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8"/>
        </w:rPr>
      </w:pPr>
    </w:p>
    <w:p w:rsidR="00D57B96" w:rsidRPr="00D57B96" w:rsidRDefault="00D57B96">
      <w:pPr>
        <w:jc w:val="both"/>
        <w:rPr>
          <w:rFonts w:ascii="Arial" w:hAnsi="Arial" w:cs="Arial"/>
          <w:sz w:val="28"/>
        </w:rPr>
      </w:pPr>
    </w:p>
    <w:p w:rsidR="00171DF2" w:rsidRDefault="00171DF2">
      <w:pPr>
        <w:tabs>
          <w:tab w:val="center" w:pos="4680"/>
        </w:tabs>
        <w:jc w:val="center"/>
        <w:outlineLvl w:val="0"/>
        <w:rPr>
          <w:rFonts w:ascii="Arial" w:hAnsi="Arial" w:cs="Arial"/>
          <w:b/>
          <w:sz w:val="36"/>
          <w:szCs w:val="36"/>
        </w:rPr>
      </w:pPr>
    </w:p>
    <w:p w:rsidR="00171DF2" w:rsidRDefault="00171DF2">
      <w:pPr>
        <w:tabs>
          <w:tab w:val="center" w:pos="4680"/>
        </w:tabs>
        <w:jc w:val="center"/>
        <w:outlineLvl w:val="0"/>
        <w:rPr>
          <w:rFonts w:ascii="Arial" w:hAnsi="Arial" w:cs="Arial"/>
          <w:b/>
          <w:sz w:val="36"/>
          <w:szCs w:val="36"/>
        </w:rPr>
      </w:pPr>
    </w:p>
    <w:p w:rsidR="00171DF2" w:rsidRDefault="00171DF2">
      <w:pPr>
        <w:tabs>
          <w:tab w:val="center" w:pos="4680"/>
        </w:tabs>
        <w:jc w:val="center"/>
        <w:outlineLvl w:val="0"/>
        <w:rPr>
          <w:rFonts w:ascii="Arial" w:hAnsi="Arial" w:cs="Arial"/>
          <w:b/>
          <w:sz w:val="36"/>
          <w:szCs w:val="36"/>
        </w:rPr>
      </w:pPr>
    </w:p>
    <w:p w:rsidR="00171DF2" w:rsidRDefault="00171DF2">
      <w:pPr>
        <w:tabs>
          <w:tab w:val="center" w:pos="4680"/>
        </w:tabs>
        <w:jc w:val="center"/>
        <w:outlineLvl w:val="0"/>
        <w:rPr>
          <w:rFonts w:ascii="Arial" w:hAnsi="Arial" w:cs="Arial"/>
          <w:b/>
          <w:sz w:val="36"/>
          <w:szCs w:val="36"/>
        </w:rPr>
      </w:pPr>
    </w:p>
    <w:p w:rsidR="00171DF2" w:rsidRDefault="00171DF2">
      <w:pPr>
        <w:tabs>
          <w:tab w:val="center" w:pos="4680"/>
        </w:tabs>
        <w:jc w:val="center"/>
        <w:outlineLvl w:val="0"/>
        <w:rPr>
          <w:rFonts w:ascii="Arial" w:hAnsi="Arial" w:cs="Arial"/>
          <w:b/>
          <w:sz w:val="36"/>
          <w:szCs w:val="36"/>
        </w:rPr>
      </w:pPr>
    </w:p>
    <w:p w:rsidR="00171DF2" w:rsidRDefault="00171DF2">
      <w:pPr>
        <w:tabs>
          <w:tab w:val="center" w:pos="4680"/>
        </w:tabs>
        <w:jc w:val="center"/>
        <w:outlineLvl w:val="0"/>
        <w:rPr>
          <w:rFonts w:ascii="Arial" w:hAnsi="Arial" w:cs="Arial"/>
          <w:b/>
          <w:sz w:val="36"/>
          <w:szCs w:val="36"/>
        </w:rPr>
      </w:pPr>
    </w:p>
    <w:p w:rsidR="00EC58EA" w:rsidRPr="00231B1B" w:rsidRDefault="00EC58EA">
      <w:pPr>
        <w:tabs>
          <w:tab w:val="center" w:pos="4680"/>
        </w:tabs>
        <w:jc w:val="center"/>
        <w:outlineLvl w:val="0"/>
        <w:rPr>
          <w:rFonts w:ascii="Arial" w:hAnsi="Arial" w:cs="Arial"/>
          <w:b/>
          <w:sz w:val="36"/>
          <w:szCs w:val="36"/>
        </w:rPr>
      </w:pPr>
      <w:r w:rsidRPr="00231B1B">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231B1B" w:rsidRDefault="00231B1B">
      <w:pPr>
        <w:tabs>
          <w:tab w:val="left" w:pos="-720"/>
        </w:tabs>
        <w:jc w:val="both"/>
        <w:rPr>
          <w:rFonts w:ascii="Arial" w:hAnsi="Arial" w:cs="Arial"/>
          <w:b/>
          <w:sz w:val="28"/>
          <w:szCs w:val="28"/>
          <w:highlight w:val="lightGray"/>
        </w:rPr>
      </w:pPr>
    </w:p>
    <w:p w:rsidR="00231B1B" w:rsidRDefault="00231B1B">
      <w:pPr>
        <w:tabs>
          <w:tab w:val="left" w:pos="-720"/>
        </w:tabs>
        <w:jc w:val="both"/>
        <w:rPr>
          <w:rFonts w:ascii="Arial" w:hAnsi="Arial" w:cs="Arial"/>
          <w:b/>
          <w:sz w:val="28"/>
          <w:szCs w:val="28"/>
          <w:highlight w:val="lightGray"/>
        </w:rPr>
      </w:pPr>
    </w:p>
    <w:p w:rsidR="00231B1B" w:rsidRDefault="00231B1B">
      <w:pPr>
        <w:tabs>
          <w:tab w:val="left" w:pos="-720"/>
        </w:tabs>
        <w:jc w:val="both"/>
        <w:rPr>
          <w:rFonts w:ascii="Arial" w:hAnsi="Arial" w:cs="Arial"/>
          <w:b/>
          <w:sz w:val="28"/>
          <w:szCs w:val="28"/>
          <w:highlight w:val="lightGray"/>
        </w:rPr>
      </w:pPr>
    </w:p>
    <w:p w:rsidR="00231B1B" w:rsidRDefault="00231B1B">
      <w:pPr>
        <w:tabs>
          <w:tab w:val="left" w:pos="-720"/>
        </w:tabs>
        <w:jc w:val="both"/>
        <w:rPr>
          <w:rFonts w:ascii="Arial" w:hAnsi="Arial" w:cs="Arial"/>
          <w:b/>
          <w:sz w:val="28"/>
          <w:szCs w:val="28"/>
          <w:highlight w:val="lightGray"/>
        </w:rPr>
      </w:pPr>
    </w:p>
    <w:p w:rsidR="00231B1B" w:rsidRDefault="00231B1B">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E365CC" w:rsidRDefault="00297C11">
      <w:pPr>
        <w:tabs>
          <w:tab w:val="left" w:pos="-720"/>
        </w:tabs>
        <w:jc w:val="both"/>
        <w:rPr>
          <w:rFonts w:ascii="Arial" w:hAnsi="Arial" w:cs="Arial"/>
          <w:b/>
          <w:sz w:val="28"/>
          <w:szCs w:val="28"/>
          <w:highlight w:val="lightGray"/>
        </w:rPr>
      </w:pPr>
    </w:p>
    <w:p w:rsidR="000712BC"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p>
    <w:p w:rsidR="000712BC" w:rsidRPr="007E3C85" w:rsidRDefault="000712BC">
      <w:pPr>
        <w:tabs>
          <w:tab w:val="center" w:pos="4680"/>
        </w:tabs>
        <w:spacing w:line="188" w:lineRule="atLeast"/>
        <w:jc w:val="center"/>
        <w:outlineLvl w:val="0"/>
        <w:rPr>
          <w:rFonts w:ascii="Arial" w:hAnsi="Arial" w:cs="Arial"/>
          <w:b/>
          <w:szCs w:val="28"/>
        </w:rPr>
      </w:pPr>
    </w:p>
    <w:p w:rsidR="00EC58EA"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THE </w:t>
      </w:r>
      <w:r w:rsidR="00367491">
        <w:rPr>
          <w:rFonts w:ascii="Arial" w:hAnsi="Arial" w:cs="Arial"/>
          <w:b/>
          <w:sz w:val="28"/>
          <w:szCs w:val="28"/>
        </w:rPr>
        <w:t>RESTRUCTURING AND CONSUMER EDUCATION SURCHARGE</w:t>
      </w:r>
    </w:p>
    <w:p w:rsidR="00F73D95" w:rsidRPr="00F73D95" w:rsidRDefault="00F73D95">
      <w:pPr>
        <w:tabs>
          <w:tab w:val="center" w:pos="4680"/>
        </w:tabs>
        <w:spacing w:line="188" w:lineRule="atLeast"/>
        <w:jc w:val="center"/>
        <w:outlineLvl w:val="0"/>
        <w:rPr>
          <w:rFonts w:ascii="Arial" w:hAnsi="Arial" w:cs="Arial"/>
          <w:b/>
          <w:szCs w:val="28"/>
        </w:rPr>
      </w:pPr>
    </w:p>
    <w:p w:rsidR="00F73D95" w:rsidRPr="000712BC" w:rsidRDefault="00F73D95" w:rsidP="00F73D9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TWELVE MONTHS ENDED</w:t>
      </w:r>
    </w:p>
    <w:p w:rsidR="00F73D95" w:rsidRPr="007E3C85" w:rsidRDefault="00F73D95" w:rsidP="00F73D95">
      <w:pPr>
        <w:tabs>
          <w:tab w:val="center" w:pos="4680"/>
        </w:tabs>
        <w:spacing w:line="188" w:lineRule="atLeast"/>
        <w:jc w:val="center"/>
        <w:outlineLvl w:val="0"/>
        <w:rPr>
          <w:rFonts w:ascii="Arial" w:hAnsi="Arial" w:cs="Arial"/>
          <w:b/>
          <w:szCs w:val="28"/>
        </w:rPr>
      </w:pPr>
    </w:p>
    <w:p w:rsidR="00F73D95" w:rsidRDefault="00F73D9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200</w:t>
      </w:r>
      <w:r w:rsidR="00896598">
        <w:rPr>
          <w:rFonts w:ascii="Arial" w:hAnsi="Arial" w:cs="Arial"/>
          <w:b/>
          <w:sz w:val="28"/>
          <w:szCs w:val="28"/>
        </w:rPr>
        <w:t>9</w:t>
      </w:r>
      <w:r>
        <w:rPr>
          <w:rFonts w:ascii="Arial" w:hAnsi="Arial" w:cs="Arial"/>
          <w:b/>
          <w:sz w:val="28"/>
          <w:szCs w:val="28"/>
        </w:rPr>
        <w:t xml:space="preserve"> </w:t>
      </w:r>
      <w:r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EC3791">
      <w:pPr>
        <w:tabs>
          <w:tab w:val="center" w:pos="4680"/>
        </w:tabs>
        <w:spacing w:line="188" w:lineRule="atLeast"/>
        <w:jc w:val="center"/>
        <w:rPr>
          <w:rFonts w:ascii="Arial" w:hAnsi="Arial" w:cs="Arial"/>
          <w:b/>
          <w:sz w:val="28"/>
        </w:rPr>
      </w:pPr>
      <w:r>
        <w:rPr>
          <w:rFonts w:ascii="Arial" w:hAnsi="Arial" w:cs="Arial"/>
          <w:b/>
          <w:sz w:val="28"/>
        </w:rPr>
        <w:t>Report Date:</w:t>
      </w:r>
      <w:r w:rsidR="008B560F">
        <w:rPr>
          <w:rFonts w:ascii="Arial" w:hAnsi="Arial" w:cs="Arial"/>
          <w:b/>
          <w:sz w:val="28"/>
        </w:rPr>
        <w:t xml:space="preserve"> </w:t>
      </w:r>
      <w:r w:rsidR="00A67278">
        <w:rPr>
          <w:rFonts w:ascii="Arial" w:hAnsi="Arial" w:cs="Arial"/>
          <w:b/>
          <w:sz w:val="28"/>
        </w:rPr>
        <w:t>January 24</w:t>
      </w:r>
      <w:r w:rsidR="00C6025D">
        <w:rPr>
          <w:rFonts w:ascii="Arial" w:hAnsi="Arial" w:cs="Arial"/>
          <w:b/>
          <w:sz w:val="28"/>
        </w:rPr>
        <w:t xml:space="preserve">, </w:t>
      </w:r>
      <w:r w:rsidR="002419C4">
        <w:rPr>
          <w:rFonts w:ascii="Arial" w:hAnsi="Arial" w:cs="Arial"/>
          <w:b/>
          <w:sz w:val="28"/>
        </w:rPr>
        <w:t>201</w:t>
      </w:r>
      <w:r w:rsidR="00A67278">
        <w:rPr>
          <w:rFonts w:ascii="Arial" w:hAnsi="Arial" w:cs="Arial"/>
          <w:b/>
          <w:sz w:val="28"/>
        </w:rPr>
        <w:t>2</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footerReference w:type="default" r:id="rId9"/>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Docket No. D-</w:t>
      </w:r>
      <w:r w:rsidR="00C6025D">
        <w:rPr>
          <w:rFonts w:ascii="Arial" w:hAnsi="Arial" w:cs="Arial"/>
          <w:b/>
          <w:sz w:val="28"/>
        </w:rPr>
        <w:t>2010-2</w:t>
      </w:r>
      <w:r w:rsidR="00EA413E">
        <w:rPr>
          <w:rFonts w:ascii="Arial" w:hAnsi="Arial" w:cs="Arial"/>
          <w:b/>
          <w:sz w:val="28"/>
        </w:rPr>
        <w:t>205</w:t>
      </w:r>
      <w:r w:rsidR="00A6139D">
        <w:rPr>
          <w:rFonts w:ascii="Arial" w:hAnsi="Arial" w:cs="Arial"/>
          <w:b/>
          <w:sz w:val="28"/>
        </w:rPr>
        <w:t>5</w:t>
      </w:r>
      <w:r w:rsidR="00EA413E">
        <w:rPr>
          <w:rFonts w:ascii="Arial" w:hAnsi="Arial" w:cs="Arial"/>
          <w:b/>
          <w:sz w:val="28"/>
        </w:rPr>
        <w:t>76</w:t>
      </w:r>
    </w:p>
    <w:p w:rsidR="00EC58EA" w:rsidRPr="00604FFF" w:rsidRDefault="00EC58EA">
      <w:pPr>
        <w:jc w:val="center"/>
        <w:outlineLvl w:val="0"/>
        <w:rPr>
          <w:rFonts w:ascii="Arial" w:hAnsi="Arial" w:cs="Arial"/>
          <w:b/>
          <w:sz w:val="28"/>
          <w:szCs w:val="28"/>
          <w:u w:val="single"/>
        </w:rPr>
      </w:pPr>
      <w:r w:rsidRPr="00604FFF">
        <w:rPr>
          <w:rFonts w:ascii="Arial" w:hAnsi="Arial" w:cs="Arial"/>
          <w:b/>
          <w:sz w:val="28"/>
          <w:szCs w:val="28"/>
          <w:u w:val="single"/>
        </w:rPr>
        <w:lastRenderedPageBreak/>
        <w:t>PHILADELPHIA GAS WORKS</w:t>
      </w:r>
    </w:p>
    <w:p w:rsidR="00EC58EA" w:rsidRPr="00051545" w:rsidRDefault="00EC58EA">
      <w:pPr>
        <w:jc w:val="center"/>
        <w:rPr>
          <w:rFonts w:ascii="Arial" w:hAnsi="Arial" w:cs="Arial"/>
          <w:b/>
          <w:sz w:val="24"/>
          <w:u w:val="single"/>
        </w:rPr>
      </w:pPr>
    </w:p>
    <w:p w:rsidR="00EC58EA" w:rsidRPr="00231B1B" w:rsidRDefault="00EC58EA">
      <w:pPr>
        <w:jc w:val="center"/>
        <w:outlineLvl w:val="0"/>
        <w:rPr>
          <w:rFonts w:ascii="Arial" w:hAnsi="Arial" w:cs="Arial"/>
          <w:b/>
          <w:sz w:val="24"/>
          <w:szCs w:val="24"/>
        </w:rPr>
      </w:pPr>
      <w:r w:rsidRPr="00231B1B">
        <w:rPr>
          <w:rFonts w:ascii="Arial" w:hAnsi="Arial" w:cs="Arial"/>
          <w:b/>
          <w:sz w:val="24"/>
          <w:szCs w:val="24"/>
          <w:u w:val="single"/>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231B1B" w:rsidTr="007D5B2E">
        <w:trPr>
          <w:jc w:val="center"/>
        </w:trPr>
        <w:tc>
          <w:tcPr>
            <w:tcW w:w="8908" w:type="dxa"/>
            <w:gridSpan w:val="2"/>
          </w:tcPr>
          <w:p w:rsidR="00C15209" w:rsidRPr="00231B1B" w:rsidRDefault="00C15209" w:rsidP="007D5B2E">
            <w:pPr>
              <w:tabs>
                <w:tab w:val="left" w:pos="-720"/>
                <w:tab w:val="left" w:pos="8640"/>
              </w:tabs>
              <w:jc w:val="both"/>
              <w:outlineLvl w:val="0"/>
              <w:rPr>
                <w:rFonts w:ascii="Arial" w:hAnsi="Arial" w:cs="Arial"/>
                <w:b/>
                <w:sz w:val="24"/>
                <w:szCs w:val="24"/>
                <w:u w:val="single"/>
              </w:rPr>
            </w:pPr>
          </w:p>
        </w:tc>
        <w:tc>
          <w:tcPr>
            <w:tcW w:w="270" w:type="dxa"/>
          </w:tcPr>
          <w:p w:rsidR="00C15209" w:rsidRPr="00231B1B"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231B1B" w:rsidRDefault="00C15209" w:rsidP="007D5B2E">
            <w:pPr>
              <w:tabs>
                <w:tab w:val="left" w:pos="-720"/>
                <w:tab w:val="left" w:pos="8640"/>
              </w:tabs>
              <w:jc w:val="both"/>
              <w:outlineLvl w:val="0"/>
              <w:rPr>
                <w:rFonts w:ascii="Arial" w:hAnsi="Arial" w:cs="Arial"/>
                <w:b/>
                <w:sz w:val="24"/>
                <w:szCs w:val="24"/>
              </w:rPr>
            </w:pPr>
            <w:r w:rsidRPr="00231B1B">
              <w:rPr>
                <w:rFonts w:ascii="Arial" w:hAnsi="Arial" w:cs="Arial"/>
                <w:b/>
                <w:sz w:val="24"/>
                <w:szCs w:val="24"/>
              </w:rPr>
              <w:t>Page</w:t>
            </w:r>
          </w:p>
        </w:tc>
      </w:tr>
      <w:tr w:rsidR="00F208ED" w:rsidRPr="00231B1B" w:rsidTr="007D5B2E">
        <w:trPr>
          <w:jc w:val="center"/>
        </w:trPr>
        <w:tc>
          <w:tcPr>
            <w:tcW w:w="8908" w:type="dxa"/>
            <w:gridSpan w:val="2"/>
          </w:tcPr>
          <w:p w:rsidR="00F208ED" w:rsidRPr="00231B1B" w:rsidRDefault="00F208ED" w:rsidP="007D5B2E">
            <w:pPr>
              <w:tabs>
                <w:tab w:val="left" w:pos="-720"/>
                <w:tab w:val="left" w:pos="8640"/>
              </w:tabs>
              <w:jc w:val="both"/>
              <w:outlineLvl w:val="0"/>
              <w:rPr>
                <w:rFonts w:ascii="Arial" w:hAnsi="Arial" w:cs="Arial"/>
                <w:sz w:val="24"/>
                <w:szCs w:val="24"/>
              </w:rPr>
            </w:pPr>
            <w:r w:rsidRPr="00231B1B">
              <w:rPr>
                <w:rFonts w:ascii="Arial" w:hAnsi="Arial" w:cs="Arial"/>
                <w:b/>
                <w:sz w:val="24"/>
                <w:szCs w:val="24"/>
                <w:u w:val="single"/>
              </w:rPr>
              <w:t>FINANCIAL REVIEW</w:t>
            </w:r>
          </w:p>
        </w:tc>
        <w:tc>
          <w:tcPr>
            <w:tcW w:w="270" w:type="dxa"/>
          </w:tcPr>
          <w:p w:rsidR="00F208ED" w:rsidRPr="00231B1B"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231B1B" w:rsidRDefault="00F208ED" w:rsidP="007D5B2E">
            <w:pPr>
              <w:tabs>
                <w:tab w:val="left" w:pos="-720"/>
                <w:tab w:val="left" w:pos="8640"/>
              </w:tabs>
              <w:jc w:val="both"/>
              <w:outlineLvl w:val="0"/>
              <w:rPr>
                <w:rFonts w:ascii="Arial" w:hAnsi="Arial" w:cs="Arial"/>
                <w:sz w:val="24"/>
                <w:szCs w:val="24"/>
              </w:rPr>
            </w:pPr>
          </w:p>
        </w:tc>
      </w:tr>
      <w:tr w:rsidR="00FA1003" w:rsidRPr="00231B1B" w:rsidTr="00733821">
        <w:trPr>
          <w:cantSplit/>
          <w:trHeight w:hRule="exact" w:val="297"/>
          <w:jc w:val="center"/>
        </w:trPr>
        <w:tc>
          <w:tcPr>
            <w:tcW w:w="718" w:type="dxa"/>
          </w:tcPr>
          <w:p w:rsidR="00FA1003" w:rsidRPr="00231B1B"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231B1B"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231B1B"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231B1B" w:rsidRDefault="00FA1003" w:rsidP="007D5B2E">
            <w:pPr>
              <w:tabs>
                <w:tab w:val="left" w:pos="-720"/>
                <w:tab w:val="left" w:pos="8640"/>
              </w:tabs>
              <w:jc w:val="both"/>
              <w:outlineLvl w:val="0"/>
              <w:rPr>
                <w:rFonts w:ascii="Arial" w:hAnsi="Arial" w:cs="Arial"/>
                <w:sz w:val="24"/>
                <w:szCs w:val="24"/>
              </w:rPr>
            </w:pPr>
          </w:p>
        </w:tc>
      </w:tr>
      <w:tr w:rsidR="00FA1003" w:rsidRPr="00231B1B" w:rsidTr="007D5B2E">
        <w:trPr>
          <w:jc w:val="center"/>
        </w:trPr>
        <w:tc>
          <w:tcPr>
            <w:tcW w:w="718" w:type="dxa"/>
          </w:tcPr>
          <w:p w:rsidR="00FA1003" w:rsidRPr="00231B1B"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231B1B" w:rsidRDefault="00F208ED" w:rsidP="007D5B2E">
            <w:pPr>
              <w:tabs>
                <w:tab w:val="left" w:pos="-720"/>
                <w:tab w:val="left" w:pos="8640"/>
              </w:tabs>
              <w:outlineLvl w:val="0"/>
              <w:rPr>
                <w:rFonts w:ascii="Arial" w:hAnsi="Arial" w:cs="Arial"/>
                <w:sz w:val="24"/>
                <w:szCs w:val="24"/>
              </w:rPr>
            </w:pPr>
            <w:r w:rsidRPr="00231B1B">
              <w:rPr>
                <w:rFonts w:ascii="Arial" w:hAnsi="Arial" w:cs="Arial"/>
                <w:sz w:val="24"/>
                <w:szCs w:val="24"/>
              </w:rPr>
              <w:t>Independent Auditor's Report</w:t>
            </w:r>
          </w:p>
        </w:tc>
        <w:tc>
          <w:tcPr>
            <w:tcW w:w="270" w:type="dxa"/>
          </w:tcPr>
          <w:p w:rsidR="00FA1003" w:rsidRPr="00231B1B"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231B1B" w:rsidRDefault="00455750" w:rsidP="00455750">
            <w:pPr>
              <w:tabs>
                <w:tab w:val="left" w:pos="-720"/>
                <w:tab w:val="left" w:pos="8640"/>
              </w:tabs>
              <w:jc w:val="center"/>
              <w:outlineLvl w:val="0"/>
              <w:rPr>
                <w:rFonts w:ascii="Arial" w:hAnsi="Arial" w:cs="Arial"/>
                <w:sz w:val="24"/>
                <w:szCs w:val="24"/>
              </w:rPr>
            </w:pPr>
            <w:r w:rsidRPr="00231B1B">
              <w:rPr>
                <w:rFonts w:ascii="Arial" w:hAnsi="Arial" w:cs="Arial"/>
                <w:sz w:val="24"/>
                <w:szCs w:val="24"/>
              </w:rPr>
              <w:t>1</w:t>
            </w:r>
          </w:p>
        </w:tc>
      </w:tr>
      <w:tr w:rsidR="00320203" w:rsidRPr="00231B1B" w:rsidTr="00D532E7">
        <w:trPr>
          <w:cantSplit/>
          <w:trHeight w:hRule="exact" w:val="252"/>
          <w:jc w:val="center"/>
        </w:trPr>
        <w:tc>
          <w:tcPr>
            <w:tcW w:w="718" w:type="dxa"/>
          </w:tcPr>
          <w:p w:rsidR="00320203" w:rsidRPr="00231B1B"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231B1B"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231B1B"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231B1B" w:rsidRDefault="00320203" w:rsidP="007D5B2E">
            <w:pPr>
              <w:tabs>
                <w:tab w:val="left" w:pos="-720"/>
                <w:tab w:val="left" w:pos="8640"/>
              </w:tabs>
              <w:jc w:val="both"/>
              <w:outlineLvl w:val="0"/>
              <w:rPr>
                <w:rFonts w:ascii="Arial" w:hAnsi="Arial" w:cs="Arial"/>
                <w:sz w:val="24"/>
                <w:szCs w:val="24"/>
              </w:rPr>
            </w:pPr>
          </w:p>
        </w:tc>
      </w:tr>
      <w:tr w:rsidR="00320203" w:rsidRPr="00231B1B" w:rsidTr="007D5B2E">
        <w:trPr>
          <w:jc w:val="center"/>
        </w:trPr>
        <w:tc>
          <w:tcPr>
            <w:tcW w:w="718" w:type="dxa"/>
          </w:tcPr>
          <w:p w:rsidR="00320203" w:rsidRPr="00231B1B"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231B1B" w:rsidRDefault="00A860D9" w:rsidP="00F72F9E">
            <w:pPr>
              <w:tabs>
                <w:tab w:val="left" w:pos="-720"/>
                <w:tab w:val="left" w:pos="8640"/>
              </w:tabs>
              <w:outlineLvl w:val="0"/>
              <w:rPr>
                <w:rFonts w:ascii="Arial" w:hAnsi="Arial" w:cs="Arial"/>
                <w:sz w:val="24"/>
                <w:szCs w:val="24"/>
              </w:rPr>
            </w:pPr>
            <w:r>
              <w:rPr>
                <w:rFonts w:ascii="Arial" w:hAnsi="Arial" w:cs="Arial"/>
                <w:sz w:val="24"/>
                <w:szCs w:val="24"/>
              </w:rPr>
              <w:t>Restructuring And Consumer Education Surcharge</w:t>
            </w:r>
            <w:r w:rsidR="00320203" w:rsidRPr="00231B1B">
              <w:rPr>
                <w:rFonts w:ascii="Arial" w:hAnsi="Arial" w:cs="Arial"/>
                <w:sz w:val="24"/>
                <w:szCs w:val="24"/>
              </w:rPr>
              <w:t xml:space="preserve"> </w:t>
            </w:r>
            <w:r>
              <w:rPr>
                <w:rFonts w:ascii="Arial" w:hAnsi="Arial" w:cs="Arial"/>
                <w:sz w:val="24"/>
                <w:szCs w:val="24"/>
              </w:rPr>
              <w:t xml:space="preserve">Reconciliation Statement </w:t>
            </w:r>
            <w:r w:rsidR="00320203" w:rsidRPr="00231B1B">
              <w:rPr>
                <w:rFonts w:ascii="Arial" w:hAnsi="Arial" w:cs="Arial"/>
                <w:sz w:val="24"/>
                <w:szCs w:val="24"/>
              </w:rPr>
              <w:t xml:space="preserve">For The Twelve Months Ended </w:t>
            </w:r>
            <w:r w:rsidR="001849D4" w:rsidRPr="00231B1B">
              <w:rPr>
                <w:rFonts w:ascii="Arial" w:hAnsi="Arial" w:cs="Arial"/>
                <w:sz w:val="24"/>
                <w:szCs w:val="24"/>
              </w:rPr>
              <w:t>August</w:t>
            </w:r>
            <w:r w:rsidR="00320203" w:rsidRPr="00231B1B">
              <w:rPr>
                <w:rFonts w:ascii="Arial" w:hAnsi="Arial" w:cs="Arial"/>
                <w:sz w:val="24"/>
                <w:szCs w:val="24"/>
              </w:rPr>
              <w:t xml:space="preserve"> 31, </w:t>
            </w:r>
            <w:r w:rsidR="00A846B4" w:rsidRPr="00231B1B">
              <w:rPr>
                <w:rFonts w:ascii="Arial" w:hAnsi="Arial" w:cs="Arial"/>
                <w:sz w:val="24"/>
                <w:szCs w:val="24"/>
              </w:rPr>
              <w:t>200</w:t>
            </w:r>
            <w:r w:rsidR="00896598" w:rsidRPr="00231B1B">
              <w:rPr>
                <w:rFonts w:ascii="Arial" w:hAnsi="Arial" w:cs="Arial"/>
                <w:sz w:val="24"/>
                <w:szCs w:val="24"/>
              </w:rPr>
              <w:t>9</w:t>
            </w:r>
          </w:p>
        </w:tc>
        <w:tc>
          <w:tcPr>
            <w:tcW w:w="270" w:type="dxa"/>
          </w:tcPr>
          <w:p w:rsidR="00320203" w:rsidRPr="00231B1B"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231B1B" w:rsidRDefault="00320203" w:rsidP="007D5B2E">
            <w:pPr>
              <w:tabs>
                <w:tab w:val="left" w:pos="-720"/>
                <w:tab w:val="left" w:pos="8640"/>
              </w:tabs>
              <w:jc w:val="both"/>
              <w:outlineLvl w:val="0"/>
              <w:rPr>
                <w:rFonts w:ascii="Arial" w:hAnsi="Arial" w:cs="Arial"/>
                <w:sz w:val="24"/>
                <w:szCs w:val="24"/>
              </w:rPr>
            </w:pPr>
          </w:p>
          <w:p w:rsidR="00813736" w:rsidRPr="00231B1B" w:rsidRDefault="00320203" w:rsidP="00455750">
            <w:pPr>
              <w:tabs>
                <w:tab w:val="left" w:pos="-720"/>
                <w:tab w:val="left" w:pos="8640"/>
              </w:tabs>
              <w:jc w:val="center"/>
              <w:outlineLvl w:val="0"/>
              <w:rPr>
                <w:rFonts w:ascii="Arial" w:hAnsi="Arial" w:cs="Arial"/>
                <w:sz w:val="24"/>
                <w:szCs w:val="24"/>
              </w:rPr>
            </w:pPr>
            <w:r w:rsidRPr="00231B1B">
              <w:rPr>
                <w:rFonts w:ascii="Arial" w:hAnsi="Arial" w:cs="Arial"/>
                <w:sz w:val="24"/>
                <w:szCs w:val="24"/>
              </w:rPr>
              <w:t>2</w:t>
            </w:r>
          </w:p>
        </w:tc>
      </w:tr>
      <w:tr w:rsidR="00D532E7" w:rsidRPr="00231B1B" w:rsidTr="007D5B2E">
        <w:trPr>
          <w:jc w:val="center"/>
        </w:trPr>
        <w:tc>
          <w:tcPr>
            <w:tcW w:w="718" w:type="dxa"/>
          </w:tcPr>
          <w:p w:rsidR="00D532E7" w:rsidRPr="00231B1B" w:rsidRDefault="00D532E7" w:rsidP="007D5B2E">
            <w:pPr>
              <w:tabs>
                <w:tab w:val="left" w:pos="-720"/>
                <w:tab w:val="left" w:pos="8640"/>
              </w:tabs>
              <w:jc w:val="both"/>
              <w:outlineLvl w:val="0"/>
              <w:rPr>
                <w:rFonts w:ascii="Arial" w:hAnsi="Arial" w:cs="Arial"/>
                <w:sz w:val="24"/>
                <w:szCs w:val="24"/>
              </w:rPr>
            </w:pPr>
          </w:p>
        </w:tc>
        <w:tc>
          <w:tcPr>
            <w:tcW w:w="8190" w:type="dxa"/>
          </w:tcPr>
          <w:p w:rsidR="00D532E7" w:rsidRPr="00231B1B" w:rsidRDefault="00D532E7" w:rsidP="00896598">
            <w:pPr>
              <w:tabs>
                <w:tab w:val="left" w:pos="-720"/>
                <w:tab w:val="left" w:pos="8640"/>
              </w:tabs>
              <w:outlineLvl w:val="0"/>
              <w:rPr>
                <w:rFonts w:ascii="Arial" w:hAnsi="Arial" w:cs="Arial"/>
                <w:sz w:val="24"/>
                <w:szCs w:val="24"/>
              </w:rPr>
            </w:pPr>
          </w:p>
        </w:tc>
        <w:tc>
          <w:tcPr>
            <w:tcW w:w="270" w:type="dxa"/>
          </w:tcPr>
          <w:p w:rsidR="00D532E7" w:rsidRPr="00231B1B" w:rsidRDefault="00D532E7" w:rsidP="007D5B2E">
            <w:pPr>
              <w:tabs>
                <w:tab w:val="left" w:pos="-720"/>
                <w:tab w:val="left" w:pos="8640"/>
              </w:tabs>
              <w:jc w:val="both"/>
              <w:outlineLvl w:val="0"/>
              <w:rPr>
                <w:rFonts w:ascii="Arial" w:hAnsi="Arial" w:cs="Arial"/>
                <w:sz w:val="24"/>
                <w:szCs w:val="24"/>
              </w:rPr>
            </w:pPr>
          </w:p>
        </w:tc>
        <w:tc>
          <w:tcPr>
            <w:tcW w:w="897" w:type="dxa"/>
          </w:tcPr>
          <w:p w:rsidR="00D532E7" w:rsidRPr="00231B1B" w:rsidRDefault="00D532E7" w:rsidP="007D5B2E">
            <w:pPr>
              <w:tabs>
                <w:tab w:val="left" w:pos="-720"/>
                <w:tab w:val="left" w:pos="8640"/>
              </w:tabs>
              <w:jc w:val="both"/>
              <w:outlineLvl w:val="0"/>
              <w:rPr>
                <w:rFonts w:ascii="Arial" w:hAnsi="Arial" w:cs="Arial"/>
                <w:sz w:val="24"/>
                <w:szCs w:val="24"/>
              </w:rPr>
            </w:pPr>
          </w:p>
        </w:tc>
      </w:tr>
      <w:tr w:rsidR="00813736" w:rsidRPr="00231B1B" w:rsidTr="002419C4">
        <w:trPr>
          <w:cantSplit/>
          <w:trHeight w:hRule="exact" w:val="270"/>
          <w:jc w:val="center"/>
        </w:trPr>
        <w:tc>
          <w:tcPr>
            <w:tcW w:w="718"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231B1B" w:rsidRDefault="00813736" w:rsidP="00A76984">
            <w:pPr>
              <w:tabs>
                <w:tab w:val="left" w:pos="-720"/>
                <w:tab w:val="left" w:pos="8640"/>
              </w:tabs>
              <w:outlineLvl w:val="0"/>
              <w:rPr>
                <w:rFonts w:ascii="Arial" w:hAnsi="Arial" w:cs="Arial"/>
                <w:sz w:val="24"/>
                <w:szCs w:val="24"/>
              </w:rPr>
            </w:pPr>
            <w:r w:rsidRPr="00231B1B">
              <w:rPr>
                <w:rFonts w:ascii="Arial" w:hAnsi="Arial" w:cs="Arial"/>
                <w:sz w:val="24"/>
                <w:szCs w:val="24"/>
              </w:rPr>
              <w:t>Notes To The Financial Statements</w:t>
            </w:r>
          </w:p>
        </w:tc>
        <w:tc>
          <w:tcPr>
            <w:tcW w:w="270" w:type="dxa"/>
          </w:tcPr>
          <w:p w:rsidR="00813736" w:rsidRPr="00231B1B" w:rsidRDefault="00813736" w:rsidP="00A76984">
            <w:pPr>
              <w:tabs>
                <w:tab w:val="left" w:pos="-720"/>
                <w:tab w:val="left" w:pos="8640"/>
              </w:tabs>
              <w:jc w:val="both"/>
              <w:outlineLvl w:val="0"/>
              <w:rPr>
                <w:rFonts w:ascii="Arial" w:hAnsi="Arial" w:cs="Arial"/>
                <w:sz w:val="24"/>
                <w:szCs w:val="24"/>
              </w:rPr>
            </w:pPr>
          </w:p>
        </w:tc>
        <w:tc>
          <w:tcPr>
            <w:tcW w:w="897" w:type="dxa"/>
          </w:tcPr>
          <w:p w:rsidR="00813736" w:rsidRPr="00231B1B" w:rsidRDefault="00455750" w:rsidP="00455750">
            <w:pPr>
              <w:tabs>
                <w:tab w:val="left" w:pos="-720"/>
                <w:tab w:val="left" w:pos="8640"/>
              </w:tabs>
              <w:jc w:val="center"/>
              <w:outlineLvl w:val="0"/>
              <w:rPr>
                <w:rFonts w:ascii="Arial" w:hAnsi="Arial" w:cs="Arial"/>
                <w:sz w:val="24"/>
                <w:szCs w:val="24"/>
              </w:rPr>
            </w:pPr>
            <w:r w:rsidRPr="00231B1B">
              <w:rPr>
                <w:rFonts w:ascii="Arial" w:hAnsi="Arial" w:cs="Arial"/>
                <w:sz w:val="24"/>
                <w:szCs w:val="24"/>
              </w:rPr>
              <w:t>3</w:t>
            </w:r>
          </w:p>
        </w:tc>
      </w:tr>
      <w:tr w:rsidR="00813736" w:rsidRPr="00231B1B" w:rsidTr="007D5B2E">
        <w:trPr>
          <w:jc w:val="center"/>
        </w:trPr>
        <w:tc>
          <w:tcPr>
            <w:tcW w:w="718"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231B1B" w:rsidRDefault="00813736" w:rsidP="00A846B4">
            <w:pPr>
              <w:tabs>
                <w:tab w:val="left" w:pos="-720"/>
                <w:tab w:val="left" w:pos="8640"/>
              </w:tabs>
              <w:outlineLvl w:val="0"/>
              <w:rPr>
                <w:rFonts w:ascii="Arial" w:hAnsi="Arial" w:cs="Arial"/>
                <w:sz w:val="24"/>
                <w:szCs w:val="24"/>
              </w:rPr>
            </w:pPr>
          </w:p>
        </w:tc>
        <w:tc>
          <w:tcPr>
            <w:tcW w:w="27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231B1B" w:rsidRDefault="00813736" w:rsidP="00565D6E">
            <w:pPr>
              <w:tabs>
                <w:tab w:val="left" w:pos="-720"/>
                <w:tab w:val="left" w:pos="8640"/>
              </w:tabs>
              <w:jc w:val="both"/>
              <w:outlineLvl w:val="0"/>
              <w:rPr>
                <w:rFonts w:ascii="Arial" w:hAnsi="Arial" w:cs="Arial"/>
                <w:sz w:val="24"/>
                <w:szCs w:val="24"/>
              </w:rPr>
            </w:pPr>
          </w:p>
        </w:tc>
      </w:tr>
      <w:tr w:rsidR="00813736" w:rsidRPr="00231B1B" w:rsidTr="007D5B2E">
        <w:trPr>
          <w:jc w:val="center"/>
        </w:trPr>
        <w:tc>
          <w:tcPr>
            <w:tcW w:w="718"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231B1B" w:rsidRDefault="00813736" w:rsidP="007D5B2E">
            <w:pPr>
              <w:tabs>
                <w:tab w:val="left" w:pos="-720"/>
                <w:tab w:val="left" w:pos="8640"/>
              </w:tabs>
              <w:jc w:val="both"/>
              <w:outlineLvl w:val="0"/>
              <w:rPr>
                <w:rFonts w:ascii="Arial" w:hAnsi="Arial" w:cs="Arial"/>
                <w:sz w:val="24"/>
                <w:szCs w:val="24"/>
              </w:rPr>
            </w:pPr>
          </w:p>
        </w:tc>
      </w:tr>
      <w:tr w:rsidR="00813736" w:rsidRPr="00231B1B" w:rsidTr="007D5B2E">
        <w:trPr>
          <w:jc w:val="center"/>
        </w:trPr>
        <w:tc>
          <w:tcPr>
            <w:tcW w:w="8908" w:type="dxa"/>
            <w:gridSpan w:val="2"/>
          </w:tcPr>
          <w:p w:rsidR="00813736" w:rsidRPr="00231B1B" w:rsidRDefault="00231B1B" w:rsidP="007D5B2E">
            <w:pPr>
              <w:tabs>
                <w:tab w:val="left" w:pos="-720"/>
                <w:tab w:val="left" w:pos="8640"/>
              </w:tabs>
              <w:jc w:val="both"/>
              <w:outlineLvl w:val="0"/>
              <w:rPr>
                <w:rFonts w:ascii="Arial" w:hAnsi="Arial" w:cs="Arial"/>
                <w:sz w:val="24"/>
                <w:szCs w:val="24"/>
              </w:rPr>
            </w:pPr>
            <w:r>
              <w:rPr>
                <w:rFonts w:ascii="Arial" w:hAnsi="Arial" w:cs="Arial"/>
                <w:b/>
                <w:sz w:val="24"/>
                <w:szCs w:val="24"/>
                <w:u w:val="single"/>
              </w:rPr>
              <w:t xml:space="preserve">BACKGROUND AND </w:t>
            </w:r>
            <w:r w:rsidR="00813736" w:rsidRPr="00231B1B">
              <w:rPr>
                <w:rFonts w:ascii="Arial" w:hAnsi="Arial" w:cs="Arial"/>
                <w:b/>
                <w:sz w:val="24"/>
                <w:szCs w:val="24"/>
                <w:u w:val="single"/>
              </w:rPr>
              <w:t>OPERATIONAL REVIEW</w:t>
            </w:r>
          </w:p>
        </w:tc>
        <w:tc>
          <w:tcPr>
            <w:tcW w:w="27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231B1B" w:rsidRDefault="00813736" w:rsidP="007D5B2E">
            <w:pPr>
              <w:tabs>
                <w:tab w:val="left" w:pos="-720"/>
                <w:tab w:val="left" w:pos="8640"/>
              </w:tabs>
              <w:jc w:val="both"/>
              <w:outlineLvl w:val="0"/>
              <w:rPr>
                <w:rFonts w:ascii="Arial" w:hAnsi="Arial" w:cs="Arial"/>
                <w:sz w:val="24"/>
                <w:szCs w:val="24"/>
              </w:rPr>
            </w:pPr>
          </w:p>
        </w:tc>
      </w:tr>
      <w:tr w:rsidR="00813736" w:rsidRPr="00231B1B" w:rsidTr="007D5B2E">
        <w:trPr>
          <w:jc w:val="center"/>
        </w:trPr>
        <w:tc>
          <w:tcPr>
            <w:tcW w:w="718"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231B1B" w:rsidRDefault="00813736" w:rsidP="007D5B2E">
            <w:pPr>
              <w:tabs>
                <w:tab w:val="left" w:pos="-720"/>
                <w:tab w:val="left" w:pos="8640"/>
              </w:tabs>
              <w:jc w:val="both"/>
              <w:outlineLvl w:val="0"/>
              <w:rPr>
                <w:rFonts w:ascii="Arial" w:hAnsi="Arial" w:cs="Arial"/>
                <w:sz w:val="24"/>
                <w:szCs w:val="24"/>
              </w:rPr>
            </w:pPr>
          </w:p>
        </w:tc>
      </w:tr>
      <w:tr w:rsidR="00813736" w:rsidRPr="00231B1B" w:rsidTr="007D5B2E">
        <w:trPr>
          <w:jc w:val="center"/>
        </w:trPr>
        <w:tc>
          <w:tcPr>
            <w:tcW w:w="718"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231B1B" w:rsidRDefault="00813736" w:rsidP="007D5B2E">
            <w:pPr>
              <w:tabs>
                <w:tab w:val="left" w:pos="-720"/>
                <w:tab w:val="left" w:pos="8640"/>
              </w:tabs>
              <w:outlineLvl w:val="0"/>
              <w:rPr>
                <w:rFonts w:ascii="Arial" w:hAnsi="Arial" w:cs="Arial"/>
                <w:sz w:val="24"/>
                <w:szCs w:val="24"/>
              </w:rPr>
            </w:pPr>
            <w:r w:rsidRPr="00231B1B">
              <w:rPr>
                <w:rFonts w:ascii="Arial" w:hAnsi="Arial" w:cs="Arial"/>
                <w:sz w:val="24"/>
                <w:szCs w:val="24"/>
              </w:rPr>
              <w:t>Company Background</w:t>
            </w:r>
          </w:p>
        </w:tc>
        <w:tc>
          <w:tcPr>
            <w:tcW w:w="270" w:type="dxa"/>
          </w:tcPr>
          <w:p w:rsidR="00813736" w:rsidRPr="00231B1B"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231B1B" w:rsidRDefault="00455750" w:rsidP="00455750">
            <w:pPr>
              <w:tabs>
                <w:tab w:val="left" w:pos="-720"/>
                <w:tab w:val="left" w:pos="8640"/>
              </w:tabs>
              <w:jc w:val="center"/>
              <w:outlineLvl w:val="0"/>
              <w:rPr>
                <w:rFonts w:ascii="Arial" w:hAnsi="Arial" w:cs="Arial"/>
                <w:sz w:val="24"/>
                <w:szCs w:val="24"/>
              </w:rPr>
            </w:pPr>
            <w:r w:rsidRPr="00231B1B">
              <w:rPr>
                <w:rFonts w:ascii="Arial" w:hAnsi="Arial" w:cs="Arial"/>
                <w:sz w:val="24"/>
                <w:szCs w:val="24"/>
              </w:rPr>
              <w:t>5</w:t>
            </w:r>
          </w:p>
        </w:tc>
      </w:tr>
      <w:tr w:rsidR="00733821" w:rsidRPr="00231B1B" w:rsidTr="007D5B2E">
        <w:trPr>
          <w:jc w:val="center"/>
        </w:trPr>
        <w:tc>
          <w:tcPr>
            <w:tcW w:w="718" w:type="dxa"/>
          </w:tcPr>
          <w:p w:rsidR="00733821" w:rsidRPr="00231B1B" w:rsidRDefault="00733821" w:rsidP="007D5B2E">
            <w:pPr>
              <w:tabs>
                <w:tab w:val="left" w:pos="-720"/>
                <w:tab w:val="left" w:pos="8640"/>
              </w:tabs>
              <w:jc w:val="both"/>
              <w:outlineLvl w:val="0"/>
              <w:rPr>
                <w:rFonts w:ascii="Arial" w:hAnsi="Arial" w:cs="Arial"/>
                <w:sz w:val="24"/>
                <w:szCs w:val="24"/>
              </w:rPr>
            </w:pPr>
          </w:p>
        </w:tc>
        <w:tc>
          <w:tcPr>
            <w:tcW w:w="8190" w:type="dxa"/>
          </w:tcPr>
          <w:p w:rsidR="00733821" w:rsidRPr="00231B1B" w:rsidRDefault="00733821" w:rsidP="007D5B2E">
            <w:pPr>
              <w:tabs>
                <w:tab w:val="left" w:pos="-720"/>
                <w:tab w:val="left" w:pos="8640"/>
              </w:tabs>
              <w:outlineLvl w:val="0"/>
              <w:rPr>
                <w:rFonts w:ascii="Arial" w:hAnsi="Arial" w:cs="Arial"/>
                <w:sz w:val="24"/>
                <w:szCs w:val="24"/>
              </w:rPr>
            </w:pPr>
          </w:p>
        </w:tc>
        <w:tc>
          <w:tcPr>
            <w:tcW w:w="270" w:type="dxa"/>
          </w:tcPr>
          <w:p w:rsidR="00733821" w:rsidRPr="00231B1B" w:rsidRDefault="00733821" w:rsidP="007D5B2E">
            <w:pPr>
              <w:tabs>
                <w:tab w:val="left" w:pos="-720"/>
                <w:tab w:val="left" w:pos="8640"/>
              </w:tabs>
              <w:jc w:val="both"/>
              <w:outlineLvl w:val="0"/>
              <w:rPr>
                <w:rFonts w:ascii="Arial" w:hAnsi="Arial" w:cs="Arial"/>
                <w:sz w:val="24"/>
                <w:szCs w:val="24"/>
              </w:rPr>
            </w:pPr>
          </w:p>
        </w:tc>
        <w:tc>
          <w:tcPr>
            <w:tcW w:w="897" w:type="dxa"/>
          </w:tcPr>
          <w:p w:rsidR="00733821" w:rsidRPr="00231B1B" w:rsidRDefault="00733821" w:rsidP="00565D6E">
            <w:pPr>
              <w:tabs>
                <w:tab w:val="left" w:pos="-720"/>
                <w:tab w:val="left" w:pos="8640"/>
              </w:tabs>
              <w:jc w:val="both"/>
              <w:outlineLvl w:val="0"/>
              <w:rPr>
                <w:rFonts w:ascii="Arial" w:hAnsi="Arial" w:cs="Arial"/>
                <w:sz w:val="24"/>
                <w:szCs w:val="24"/>
              </w:rPr>
            </w:pPr>
          </w:p>
        </w:tc>
      </w:tr>
      <w:tr w:rsidR="00733821" w:rsidRPr="00231B1B" w:rsidTr="007D5B2E">
        <w:trPr>
          <w:jc w:val="center"/>
        </w:trPr>
        <w:tc>
          <w:tcPr>
            <w:tcW w:w="718" w:type="dxa"/>
          </w:tcPr>
          <w:p w:rsidR="00733821" w:rsidRPr="00231B1B" w:rsidRDefault="00733821" w:rsidP="007D5B2E">
            <w:pPr>
              <w:tabs>
                <w:tab w:val="left" w:pos="-720"/>
                <w:tab w:val="left" w:pos="8640"/>
              </w:tabs>
              <w:jc w:val="both"/>
              <w:outlineLvl w:val="0"/>
              <w:rPr>
                <w:rFonts w:ascii="Arial" w:hAnsi="Arial" w:cs="Arial"/>
                <w:sz w:val="24"/>
                <w:szCs w:val="24"/>
              </w:rPr>
            </w:pPr>
          </w:p>
        </w:tc>
        <w:tc>
          <w:tcPr>
            <w:tcW w:w="8190" w:type="dxa"/>
          </w:tcPr>
          <w:p w:rsidR="00733821" w:rsidRPr="00231B1B" w:rsidRDefault="00733821" w:rsidP="007D5B2E">
            <w:pPr>
              <w:tabs>
                <w:tab w:val="left" w:pos="-720"/>
                <w:tab w:val="left" w:pos="8640"/>
              </w:tabs>
              <w:outlineLvl w:val="0"/>
              <w:rPr>
                <w:rFonts w:ascii="Arial" w:hAnsi="Arial" w:cs="Arial"/>
                <w:sz w:val="24"/>
                <w:szCs w:val="24"/>
              </w:rPr>
            </w:pPr>
          </w:p>
        </w:tc>
        <w:tc>
          <w:tcPr>
            <w:tcW w:w="270" w:type="dxa"/>
          </w:tcPr>
          <w:p w:rsidR="00733821" w:rsidRPr="00231B1B" w:rsidRDefault="00733821" w:rsidP="007D5B2E">
            <w:pPr>
              <w:tabs>
                <w:tab w:val="left" w:pos="-720"/>
                <w:tab w:val="left" w:pos="8640"/>
              </w:tabs>
              <w:jc w:val="both"/>
              <w:outlineLvl w:val="0"/>
              <w:rPr>
                <w:rFonts w:ascii="Arial" w:hAnsi="Arial" w:cs="Arial"/>
                <w:sz w:val="24"/>
                <w:szCs w:val="24"/>
              </w:rPr>
            </w:pPr>
          </w:p>
        </w:tc>
        <w:tc>
          <w:tcPr>
            <w:tcW w:w="897" w:type="dxa"/>
          </w:tcPr>
          <w:p w:rsidR="00733821" w:rsidRPr="00231B1B" w:rsidRDefault="00733821" w:rsidP="00565D6E">
            <w:pPr>
              <w:tabs>
                <w:tab w:val="left" w:pos="-720"/>
                <w:tab w:val="left" w:pos="8640"/>
              </w:tabs>
              <w:jc w:val="both"/>
              <w:outlineLvl w:val="0"/>
              <w:rPr>
                <w:rFonts w:ascii="Arial" w:hAnsi="Arial" w:cs="Arial"/>
                <w:sz w:val="24"/>
                <w:szCs w:val="24"/>
              </w:rPr>
            </w:pPr>
          </w:p>
        </w:tc>
      </w:tr>
      <w:tr w:rsidR="00813736" w:rsidRPr="00231B1B" w:rsidTr="00025FA2">
        <w:trPr>
          <w:jc w:val="center"/>
        </w:trPr>
        <w:tc>
          <w:tcPr>
            <w:tcW w:w="8908" w:type="dxa"/>
            <w:gridSpan w:val="2"/>
          </w:tcPr>
          <w:p w:rsidR="00813736" w:rsidRPr="00231B1B" w:rsidRDefault="00813736" w:rsidP="00025FA2">
            <w:pPr>
              <w:tabs>
                <w:tab w:val="left" w:pos="-720"/>
                <w:tab w:val="left" w:pos="8640"/>
              </w:tabs>
              <w:outlineLvl w:val="0"/>
              <w:rPr>
                <w:rFonts w:ascii="Arial" w:hAnsi="Arial" w:cs="Arial"/>
                <w:b/>
                <w:sz w:val="24"/>
                <w:szCs w:val="24"/>
                <w:u w:val="single"/>
              </w:rPr>
            </w:pPr>
            <w:r w:rsidRPr="00231B1B">
              <w:rPr>
                <w:rFonts w:ascii="Arial" w:hAnsi="Arial" w:cs="Arial"/>
                <w:b/>
                <w:sz w:val="24"/>
                <w:szCs w:val="24"/>
                <w:u w:val="single"/>
              </w:rPr>
              <w:t>ACKNOWLEDGEMENTS</w:t>
            </w:r>
          </w:p>
          <w:p w:rsidR="00813736" w:rsidRPr="00231B1B" w:rsidRDefault="00813736" w:rsidP="00025FA2">
            <w:pPr>
              <w:tabs>
                <w:tab w:val="left" w:pos="-720"/>
                <w:tab w:val="left" w:pos="8640"/>
              </w:tabs>
              <w:outlineLvl w:val="0"/>
              <w:rPr>
                <w:rFonts w:ascii="Arial" w:hAnsi="Arial" w:cs="Arial"/>
                <w:sz w:val="24"/>
                <w:szCs w:val="24"/>
              </w:rPr>
            </w:pPr>
          </w:p>
        </w:tc>
        <w:tc>
          <w:tcPr>
            <w:tcW w:w="270" w:type="dxa"/>
          </w:tcPr>
          <w:p w:rsidR="00813736" w:rsidRPr="00231B1B" w:rsidRDefault="00813736" w:rsidP="00025FA2">
            <w:pPr>
              <w:tabs>
                <w:tab w:val="left" w:pos="-720"/>
                <w:tab w:val="left" w:pos="8640"/>
              </w:tabs>
              <w:jc w:val="both"/>
              <w:outlineLvl w:val="0"/>
              <w:rPr>
                <w:rFonts w:ascii="Arial" w:hAnsi="Arial" w:cs="Arial"/>
                <w:sz w:val="24"/>
                <w:szCs w:val="24"/>
              </w:rPr>
            </w:pPr>
          </w:p>
        </w:tc>
        <w:tc>
          <w:tcPr>
            <w:tcW w:w="897" w:type="dxa"/>
          </w:tcPr>
          <w:p w:rsidR="00813736" w:rsidRPr="00231B1B" w:rsidRDefault="00813736" w:rsidP="00455750">
            <w:pPr>
              <w:tabs>
                <w:tab w:val="left" w:pos="-720"/>
                <w:tab w:val="left" w:pos="8640"/>
              </w:tabs>
              <w:jc w:val="center"/>
              <w:outlineLvl w:val="0"/>
              <w:rPr>
                <w:rFonts w:ascii="Arial" w:hAnsi="Arial" w:cs="Arial"/>
                <w:sz w:val="24"/>
                <w:szCs w:val="24"/>
              </w:rPr>
            </w:pPr>
            <w:r w:rsidRPr="00231B1B">
              <w:rPr>
                <w:rFonts w:ascii="Arial" w:hAnsi="Arial" w:cs="Arial"/>
                <w:sz w:val="24"/>
                <w:szCs w:val="24"/>
              </w:rPr>
              <w:t>6</w:t>
            </w:r>
          </w:p>
        </w:tc>
      </w:tr>
    </w:tbl>
    <w:p w:rsidR="00E32D70" w:rsidRPr="00231B1B"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4BB5B3D3" wp14:editId="14C08F6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D0219E" w:rsidRPr="00411B9D" w:rsidRDefault="00D0219E">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b/>
          <w:sz w:val="28"/>
          <w:szCs w:val="28"/>
        </w:rPr>
      </w:pPr>
      <w:r w:rsidRPr="00411B9D">
        <w:rPr>
          <w:rFonts w:ascii="Arial" w:hAnsi="Arial" w:cs="Arial"/>
          <w:b/>
          <w:sz w:val="28"/>
          <w:szCs w:val="28"/>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sz w:val="26"/>
          <w:szCs w:val="26"/>
        </w:rPr>
      </w:pPr>
      <w:r w:rsidRPr="001849D4">
        <w:rPr>
          <w:rFonts w:ascii="Arial" w:hAnsi="Arial" w:cs="Arial"/>
          <w:b/>
          <w:sz w:val="26"/>
          <w:szCs w:val="26"/>
          <w:u w:val="single"/>
        </w:rPr>
        <w:t>To The</w:t>
      </w:r>
      <w:r w:rsidR="00F1331A">
        <w:rPr>
          <w:rFonts w:ascii="Arial" w:hAnsi="Arial" w:cs="Arial"/>
          <w:b/>
          <w:sz w:val="26"/>
          <w:szCs w:val="26"/>
          <w:u w:val="single"/>
        </w:rPr>
        <w:t xml:space="preserve"> Pennsylvania</w:t>
      </w:r>
      <w:r w:rsidRPr="001849D4">
        <w:rPr>
          <w:rFonts w:ascii="Arial" w:hAnsi="Arial" w:cs="Arial"/>
          <w:b/>
          <w:sz w:val="26"/>
          <w:szCs w:val="26"/>
          <w:u w:val="single"/>
        </w:rPr>
        <w:t xml:space="preserve"> Public Utility Commission</w:t>
      </w:r>
    </w:p>
    <w:p w:rsidR="00EC58EA" w:rsidRDefault="00EC58EA">
      <w:pPr>
        <w:tabs>
          <w:tab w:val="left" w:pos="-720"/>
          <w:tab w:val="left" w:pos="8820"/>
        </w:tabs>
        <w:rPr>
          <w:rFonts w:ascii="Arial" w:hAnsi="Arial" w:cs="Arial"/>
          <w:sz w:val="24"/>
          <w:szCs w:val="26"/>
        </w:rPr>
      </w:pPr>
    </w:p>
    <w:p w:rsidR="00D57B96" w:rsidRPr="00D57B96" w:rsidRDefault="00D57B96">
      <w:pPr>
        <w:tabs>
          <w:tab w:val="left" w:pos="-720"/>
          <w:tab w:val="left" w:pos="8820"/>
        </w:tabs>
        <w:rPr>
          <w:rFonts w:ascii="Arial" w:hAnsi="Arial" w:cs="Arial"/>
          <w:sz w:val="24"/>
          <w:szCs w:val="26"/>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Pr="00071ED0">
        <w:rPr>
          <w:rFonts w:ascii="Arial" w:hAnsi="Arial" w:cs="Arial"/>
          <w:szCs w:val="24"/>
        </w:rPr>
        <w:t xml:space="preserve">We have audited Philadelphia Gas Works’ </w:t>
      </w:r>
      <w:r w:rsidR="008502C5">
        <w:rPr>
          <w:rFonts w:ascii="Arial" w:hAnsi="Arial" w:cs="Arial"/>
          <w:szCs w:val="24"/>
        </w:rPr>
        <w:t xml:space="preserve">Restructuring </w:t>
      </w:r>
      <w:r w:rsidR="0067452C">
        <w:rPr>
          <w:rFonts w:ascii="Arial" w:hAnsi="Arial" w:cs="Arial"/>
          <w:szCs w:val="24"/>
        </w:rPr>
        <w:t>a</w:t>
      </w:r>
      <w:r w:rsidR="00ED1576">
        <w:rPr>
          <w:rFonts w:ascii="Arial" w:hAnsi="Arial" w:cs="Arial"/>
          <w:szCs w:val="24"/>
        </w:rPr>
        <w:t>nd</w:t>
      </w:r>
      <w:r w:rsidR="00DD0653">
        <w:rPr>
          <w:rFonts w:ascii="Arial" w:hAnsi="Arial" w:cs="Arial"/>
          <w:szCs w:val="24"/>
        </w:rPr>
        <w:t xml:space="preserve"> Consumer Education Surcharge</w:t>
      </w:r>
      <w:r w:rsidR="00A04024">
        <w:rPr>
          <w:rFonts w:ascii="Arial" w:hAnsi="Arial" w:cs="Arial"/>
          <w:szCs w:val="24"/>
        </w:rPr>
        <w:t xml:space="preserve"> </w:t>
      </w:r>
      <w:r w:rsidR="00A860D9">
        <w:rPr>
          <w:rFonts w:ascii="Arial" w:hAnsi="Arial" w:cs="Arial"/>
          <w:szCs w:val="24"/>
        </w:rPr>
        <w:t xml:space="preserve">Reconciliation </w:t>
      </w:r>
      <w:r w:rsidR="00A860D9" w:rsidRPr="00071ED0">
        <w:rPr>
          <w:rFonts w:ascii="Arial" w:hAnsi="Arial" w:cs="Arial"/>
          <w:szCs w:val="24"/>
        </w:rPr>
        <w:t xml:space="preserve">Statement </w:t>
      </w:r>
      <w:r w:rsidR="00A860D9">
        <w:rPr>
          <w:rFonts w:ascii="Arial" w:hAnsi="Arial" w:cs="Arial"/>
          <w:szCs w:val="24"/>
        </w:rPr>
        <w:t xml:space="preserve">for the twelve months </w:t>
      </w:r>
      <w:r w:rsidR="00A04024">
        <w:rPr>
          <w:rFonts w:ascii="Arial" w:hAnsi="Arial" w:cs="Arial"/>
          <w:szCs w:val="24"/>
        </w:rPr>
        <w:t xml:space="preserve">ended August 31, </w:t>
      </w:r>
      <w:r w:rsidR="00A846B4">
        <w:rPr>
          <w:rFonts w:ascii="Arial" w:hAnsi="Arial" w:cs="Arial"/>
          <w:szCs w:val="24"/>
        </w:rPr>
        <w:t>200</w:t>
      </w:r>
      <w:r w:rsidR="00E94EB1">
        <w:rPr>
          <w:rFonts w:ascii="Arial" w:hAnsi="Arial" w:cs="Arial"/>
          <w:szCs w:val="24"/>
        </w:rPr>
        <w:t>9</w:t>
      </w:r>
      <w:r w:rsidRPr="00071ED0">
        <w:rPr>
          <w:rFonts w:ascii="Arial" w:hAnsi="Arial" w:cs="Arial"/>
          <w:szCs w:val="24"/>
        </w:rPr>
        <w:t>.  Th</w:t>
      </w:r>
      <w:r w:rsidR="00E94EB1">
        <w:rPr>
          <w:rFonts w:ascii="Arial" w:hAnsi="Arial" w:cs="Arial"/>
          <w:szCs w:val="24"/>
        </w:rPr>
        <w:t>i</w:t>
      </w:r>
      <w:r w:rsidRPr="00071ED0">
        <w:rPr>
          <w:rFonts w:ascii="Arial" w:hAnsi="Arial" w:cs="Arial"/>
          <w:szCs w:val="24"/>
        </w:rPr>
        <w:t xml:space="preserve">s statement </w:t>
      </w:r>
      <w:r w:rsidR="00E94EB1">
        <w:rPr>
          <w:rFonts w:ascii="Arial" w:hAnsi="Arial" w:cs="Arial"/>
          <w:szCs w:val="24"/>
        </w:rPr>
        <w:t>is</w:t>
      </w:r>
      <w:r w:rsidRPr="00071ED0">
        <w:rPr>
          <w:rFonts w:ascii="Arial" w:hAnsi="Arial" w:cs="Arial"/>
          <w:szCs w:val="24"/>
        </w:rPr>
        <w:t xml:space="preserve"> the responsibility of the Company's management.  Our responsibility is to express an opinion on the statement based on our audit.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 xml:space="preserve">We conducted our audit in accordance with auditing standards generally accepted in the United States of America.  Those standards require that we plan and perform the audit to obtain reasonable assurance about whether the specified statement </w:t>
      </w:r>
      <w:r w:rsidR="00F72F9E">
        <w:rPr>
          <w:rFonts w:ascii="Arial" w:hAnsi="Arial" w:cs="Arial"/>
          <w:szCs w:val="24"/>
        </w:rPr>
        <w:t>is</w:t>
      </w:r>
      <w:r w:rsidRPr="00071ED0">
        <w:rPr>
          <w:rFonts w:ascii="Arial" w:hAnsi="Arial" w:cs="Arial"/>
          <w:szCs w:val="24"/>
        </w:rPr>
        <w:t xml:space="preserve"> free of material misstatement.  </w:t>
      </w:r>
      <w:r w:rsidR="00C122F9" w:rsidRPr="00F0393F">
        <w:rPr>
          <w:rFonts w:ascii="Arial" w:hAnsi="Arial" w:cs="Arial"/>
          <w:szCs w:val="24"/>
        </w:rPr>
        <w:t>Our audit included consideration of internal control over financial reporting as a basis for designing audit procedures that are appropriate for the circum</w:t>
      </w:r>
      <w:r w:rsidR="00C04690" w:rsidRPr="00F0393F">
        <w:rPr>
          <w:rFonts w:ascii="Arial" w:hAnsi="Arial" w:cs="Arial"/>
          <w:szCs w:val="24"/>
        </w:rPr>
        <w:t xml:space="preserve">stances, but not for the purpose of expressing an opinion on the effectiveness of the Company’s internal control over financial reporting.  An audit includes examining, on a test basis, evidence supporting the amounts and disclosures </w:t>
      </w:r>
      <w:r w:rsidR="00C04690" w:rsidRPr="00071ED0">
        <w:rPr>
          <w:rFonts w:ascii="Arial" w:hAnsi="Arial" w:cs="Arial"/>
          <w:szCs w:val="24"/>
        </w:rPr>
        <w:t>in the statements referred to above.  An audit also includes assessing the accounting principles used and significant estimates made by management, as well as evaluating the overall statement presentation.  We believe that our audit provides a reasonable basis for our opinion.</w:t>
      </w:r>
      <w:r w:rsidR="00E663D2">
        <w:rPr>
          <w:rFonts w:ascii="Arial" w:hAnsi="Arial" w:cs="Arial"/>
          <w:szCs w:val="24"/>
        </w:rPr>
        <w:t xml:space="preserve">                                                                                                                                                                                                                                                                                                                                                                                                                                                        </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t>The accompanying statement w</w:t>
      </w:r>
      <w:r w:rsidR="00F72F9E">
        <w:rPr>
          <w:rFonts w:ascii="Arial" w:hAnsi="Arial" w:cs="Arial"/>
          <w:szCs w:val="24"/>
        </w:rPr>
        <w:t>as</w:t>
      </w:r>
      <w:r w:rsidRPr="00071ED0">
        <w:rPr>
          <w:rFonts w:ascii="Arial" w:hAnsi="Arial" w:cs="Arial"/>
          <w:szCs w:val="24"/>
        </w:rPr>
        <w:t xml:space="preserve"> prepared for the purpose of complying with the rules and regulations of the Pennsylvania Public Utility Commission and </w:t>
      </w:r>
      <w:r w:rsidR="00F72F9E">
        <w:rPr>
          <w:rFonts w:ascii="Arial" w:hAnsi="Arial" w:cs="Arial"/>
          <w:szCs w:val="24"/>
        </w:rPr>
        <w:t>is</w:t>
      </w:r>
      <w:r w:rsidRPr="00071ED0">
        <w:rPr>
          <w:rFonts w:ascii="Arial" w:hAnsi="Arial" w:cs="Arial"/>
          <w:szCs w:val="24"/>
        </w:rPr>
        <w:t xml:space="preserve"> not intended to be a complete presentation of the Company's </w:t>
      </w:r>
      <w:r w:rsidR="00ED1576">
        <w:rPr>
          <w:rFonts w:ascii="Arial" w:hAnsi="Arial" w:cs="Arial"/>
          <w:szCs w:val="24"/>
        </w:rPr>
        <w:t xml:space="preserve">revenues and </w:t>
      </w:r>
      <w:r w:rsidR="00F72F9E">
        <w:rPr>
          <w:rFonts w:ascii="Arial" w:hAnsi="Arial" w:cs="Arial"/>
          <w:szCs w:val="24"/>
        </w:rPr>
        <w:t>expenses</w:t>
      </w:r>
      <w:r w:rsidRPr="00071ED0">
        <w:rPr>
          <w:rFonts w:ascii="Arial" w:hAnsi="Arial" w:cs="Arial"/>
          <w:szCs w:val="24"/>
        </w:rPr>
        <w: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tabs>
          <w:tab w:val="left" w:pos="-720"/>
          <w:tab w:val="left" w:pos="720"/>
          <w:tab w:val="left" w:pos="1440"/>
        </w:tabs>
        <w:rPr>
          <w:rFonts w:ascii="Arial" w:hAnsi="Arial" w:cs="Arial"/>
          <w:sz w:val="24"/>
          <w:szCs w:val="24"/>
        </w:rPr>
      </w:pPr>
      <w:r w:rsidRPr="00071ED0">
        <w:rPr>
          <w:rFonts w:ascii="Arial" w:hAnsi="Arial" w:cs="Arial"/>
          <w:sz w:val="24"/>
          <w:szCs w:val="24"/>
        </w:rPr>
        <w:tab/>
        <w:t>In our opinion, the accompanying statement</w:t>
      </w:r>
      <w:r w:rsidR="00F72F9E">
        <w:rPr>
          <w:rFonts w:ascii="Arial" w:hAnsi="Arial" w:cs="Arial"/>
          <w:sz w:val="24"/>
          <w:szCs w:val="24"/>
        </w:rPr>
        <w:t xml:space="preserve"> </w:t>
      </w:r>
      <w:r w:rsidRPr="00071ED0">
        <w:rPr>
          <w:rFonts w:ascii="Arial" w:hAnsi="Arial" w:cs="Arial"/>
          <w:sz w:val="24"/>
          <w:szCs w:val="24"/>
        </w:rPr>
        <w:t xml:space="preserve">of Philadelphia Gas Works present fairly, in all material respects, </w:t>
      </w:r>
      <w:r w:rsidR="00ED1576">
        <w:rPr>
          <w:rFonts w:ascii="Arial" w:hAnsi="Arial" w:cs="Arial"/>
          <w:sz w:val="24"/>
          <w:szCs w:val="24"/>
        </w:rPr>
        <w:t xml:space="preserve">the </w:t>
      </w:r>
      <w:r w:rsidR="00ED1576" w:rsidRPr="00071ED0">
        <w:rPr>
          <w:rFonts w:ascii="Arial" w:hAnsi="Arial" w:cs="Arial"/>
          <w:sz w:val="24"/>
          <w:szCs w:val="24"/>
        </w:rPr>
        <w:t>Restructuring</w:t>
      </w:r>
      <w:r w:rsidR="00ED1576">
        <w:rPr>
          <w:rFonts w:ascii="Arial" w:hAnsi="Arial" w:cs="Arial"/>
          <w:sz w:val="24"/>
          <w:szCs w:val="24"/>
        </w:rPr>
        <w:t xml:space="preserve"> </w:t>
      </w:r>
      <w:r w:rsidR="0067452C">
        <w:rPr>
          <w:rFonts w:ascii="Arial" w:hAnsi="Arial" w:cs="Arial"/>
          <w:sz w:val="24"/>
          <w:szCs w:val="24"/>
        </w:rPr>
        <w:t>a</w:t>
      </w:r>
      <w:r w:rsidR="00ED1576">
        <w:rPr>
          <w:rFonts w:ascii="Arial" w:hAnsi="Arial" w:cs="Arial"/>
          <w:sz w:val="24"/>
          <w:szCs w:val="24"/>
        </w:rPr>
        <w:t xml:space="preserve">nd </w:t>
      </w:r>
      <w:r w:rsidR="00ED1576" w:rsidRPr="00071ED0">
        <w:rPr>
          <w:rFonts w:ascii="Arial" w:hAnsi="Arial" w:cs="Arial"/>
          <w:sz w:val="24"/>
          <w:szCs w:val="24"/>
        </w:rPr>
        <w:t>Consumer Education Surcharge revenues and related expenditures</w:t>
      </w:r>
      <w:r w:rsidR="00ED1576">
        <w:rPr>
          <w:rFonts w:ascii="Arial" w:hAnsi="Arial" w:cs="Arial"/>
          <w:sz w:val="24"/>
          <w:szCs w:val="24"/>
        </w:rPr>
        <w:t>,</w:t>
      </w:r>
      <w:r w:rsidR="00ED1576" w:rsidRPr="00071ED0">
        <w:rPr>
          <w:rFonts w:ascii="Arial" w:hAnsi="Arial" w:cs="Arial"/>
          <w:sz w:val="24"/>
          <w:szCs w:val="24"/>
        </w:rPr>
        <w:t xml:space="preserve"> </w:t>
      </w:r>
      <w:r w:rsidRPr="00071ED0">
        <w:rPr>
          <w:rFonts w:ascii="Arial" w:hAnsi="Arial" w:cs="Arial"/>
          <w:sz w:val="24"/>
          <w:szCs w:val="24"/>
        </w:rPr>
        <w:t xml:space="preserve">resulting from the Company’s application of the </w:t>
      </w:r>
      <w:r w:rsidR="00CA5941">
        <w:rPr>
          <w:rFonts w:ascii="Arial" w:hAnsi="Arial" w:cs="Arial"/>
          <w:sz w:val="24"/>
          <w:szCs w:val="24"/>
        </w:rPr>
        <w:t xml:space="preserve">Restructuring </w:t>
      </w:r>
      <w:r w:rsidR="006F7742">
        <w:rPr>
          <w:rFonts w:ascii="Arial" w:hAnsi="Arial" w:cs="Arial"/>
          <w:sz w:val="24"/>
          <w:szCs w:val="24"/>
        </w:rPr>
        <w:t>a</w:t>
      </w:r>
      <w:r w:rsidR="00CA5941">
        <w:rPr>
          <w:rFonts w:ascii="Arial" w:hAnsi="Arial" w:cs="Arial"/>
          <w:sz w:val="24"/>
          <w:szCs w:val="24"/>
        </w:rPr>
        <w:t>nd Consumer Education Surcharge</w:t>
      </w:r>
      <w:r w:rsidRPr="00071ED0">
        <w:rPr>
          <w:rFonts w:ascii="Arial" w:hAnsi="Arial" w:cs="Arial"/>
          <w:sz w:val="24"/>
          <w:szCs w:val="24"/>
        </w:rPr>
        <w:t>, in accordance with the provisions of its Schedule of Rates as approved by the Pennsylvania Public Utility Commission.</w:t>
      </w:r>
    </w:p>
    <w:p w:rsidR="00EC58EA" w:rsidRPr="00071ED0" w:rsidRDefault="00EC58EA">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M. Carl Lesney,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965632">
          <w:headerReference w:type="even" r:id="rId11"/>
          <w:headerReference w:type="default" r:id="rId12"/>
          <w:footerReference w:type="default" r:id="rId13"/>
          <w:headerReference w:type="first" r:id="rId14"/>
          <w:pgSz w:w="12240" w:h="15840" w:code="1"/>
          <w:pgMar w:top="720" w:right="1440" w:bottom="1152" w:left="1440" w:header="0" w:footer="720" w:gutter="0"/>
          <w:cols w:space="720"/>
          <w:noEndnote/>
          <w:titlePg/>
          <w:docGrid w:linePitch="272"/>
        </w:sectPr>
      </w:pPr>
    </w:p>
    <w:p w:rsidR="00DC0FC1" w:rsidRPr="00625757" w:rsidRDefault="00DC0FC1" w:rsidP="00DC0FC1">
      <w:pPr>
        <w:jc w:val="center"/>
        <w:outlineLvl w:val="0"/>
        <w:rPr>
          <w:rFonts w:ascii="Arial" w:hAnsi="Arial" w:cs="Arial"/>
          <w:b/>
          <w:sz w:val="28"/>
          <w:szCs w:val="28"/>
          <w:u w:val="single"/>
        </w:rPr>
      </w:pPr>
      <w:r w:rsidRPr="00625757">
        <w:rPr>
          <w:rFonts w:ascii="Arial" w:hAnsi="Arial" w:cs="Arial"/>
          <w:b/>
          <w:sz w:val="28"/>
          <w:szCs w:val="28"/>
          <w:u w:val="single"/>
        </w:rPr>
        <w:lastRenderedPageBreak/>
        <w:t>PHILADELPHIA GAS WORKS</w:t>
      </w:r>
    </w:p>
    <w:p w:rsidR="00DC0FC1" w:rsidRPr="00625757" w:rsidRDefault="00DC0FC1" w:rsidP="00DC0FC1">
      <w:pPr>
        <w:jc w:val="both"/>
        <w:rPr>
          <w:rFonts w:ascii="Arial" w:hAnsi="Arial" w:cs="Arial"/>
          <w:sz w:val="26"/>
          <w:szCs w:val="26"/>
        </w:rPr>
      </w:pPr>
    </w:p>
    <w:p w:rsidR="00DC0FC1" w:rsidRPr="00625757" w:rsidRDefault="00DC0FC1" w:rsidP="00DC0FC1">
      <w:pPr>
        <w:jc w:val="center"/>
        <w:outlineLvl w:val="0"/>
        <w:rPr>
          <w:rFonts w:ascii="Arial" w:hAnsi="Arial" w:cs="Arial"/>
          <w:b/>
          <w:sz w:val="26"/>
          <w:szCs w:val="26"/>
          <w:u w:val="single"/>
        </w:rPr>
      </w:pPr>
      <w:r w:rsidRPr="00625757">
        <w:rPr>
          <w:rFonts w:ascii="Arial" w:hAnsi="Arial" w:cs="Arial"/>
          <w:b/>
          <w:sz w:val="26"/>
          <w:szCs w:val="26"/>
          <w:u w:val="single"/>
        </w:rPr>
        <w:t>Restructuring</w:t>
      </w:r>
      <w:r w:rsidR="006D755E">
        <w:rPr>
          <w:rFonts w:ascii="Arial" w:hAnsi="Arial" w:cs="Arial"/>
          <w:b/>
          <w:sz w:val="26"/>
          <w:szCs w:val="26"/>
          <w:u w:val="single"/>
        </w:rPr>
        <w:t xml:space="preserve"> </w:t>
      </w:r>
      <w:r w:rsidR="00A860D9">
        <w:rPr>
          <w:rFonts w:ascii="Arial" w:hAnsi="Arial" w:cs="Arial"/>
          <w:b/>
          <w:sz w:val="26"/>
          <w:szCs w:val="26"/>
          <w:u w:val="single"/>
        </w:rPr>
        <w:t>A</w:t>
      </w:r>
      <w:r w:rsidR="006D755E">
        <w:rPr>
          <w:rFonts w:ascii="Arial" w:hAnsi="Arial" w:cs="Arial"/>
          <w:b/>
          <w:sz w:val="26"/>
          <w:szCs w:val="26"/>
          <w:u w:val="single"/>
        </w:rPr>
        <w:t xml:space="preserve">nd </w:t>
      </w:r>
      <w:r w:rsidRPr="00625757">
        <w:rPr>
          <w:rFonts w:ascii="Arial" w:hAnsi="Arial" w:cs="Arial"/>
          <w:b/>
          <w:sz w:val="26"/>
          <w:szCs w:val="26"/>
          <w:u w:val="single"/>
        </w:rPr>
        <w:t>Consumer Education Surcharge</w:t>
      </w:r>
    </w:p>
    <w:p w:rsidR="00DC0FC1" w:rsidRPr="00625757" w:rsidRDefault="00DC0FC1" w:rsidP="00DC0FC1">
      <w:pPr>
        <w:jc w:val="center"/>
        <w:outlineLvl w:val="0"/>
        <w:rPr>
          <w:rFonts w:ascii="Arial" w:hAnsi="Arial" w:cs="Arial"/>
          <w:sz w:val="26"/>
          <w:szCs w:val="26"/>
        </w:rPr>
      </w:pPr>
      <w:r w:rsidRPr="00625757">
        <w:rPr>
          <w:rFonts w:ascii="Arial" w:hAnsi="Arial" w:cs="Arial"/>
          <w:b/>
          <w:sz w:val="26"/>
          <w:szCs w:val="26"/>
          <w:u w:val="single"/>
        </w:rPr>
        <w:t xml:space="preserve">Reconciliation Statement (Note </w:t>
      </w:r>
      <w:r w:rsidR="007F6BB4">
        <w:rPr>
          <w:rFonts w:ascii="Arial" w:hAnsi="Arial" w:cs="Arial"/>
          <w:b/>
          <w:sz w:val="26"/>
          <w:szCs w:val="26"/>
          <w:u w:val="single"/>
        </w:rPr>
        <w:t>1</w:t>
      </w:r>
      <w:r w:rsidRPr="00625757">
        <w:rPr>
          <w:rFonts w:ascii="Arial" w:hAnsi="Arial" w:cs="Arial"/>
          <w:b/>
          <w:sz w:val="26"/>
          <w:szCs w:val="26"/>
          <w:u w:val="single"/>
        </w:rPr>
        <w:t>)</w:t>
      </w:r>
    </w:p>
    <w:p w:rsidR="00DC0FC1" w:rsidRPr="00625757" w:rsidRDefault="00DC0FC1" w:rsidP="00DC0FC1">
      <w:pPr>
        <w:jc w:val="center"/>
        <w:outlineLvl w:val="0"/>
        <w:rPr>
          <w:rFonts w:ascii="Arial" w:hAnsi="Arial" w:cs="Arial"/>
          <w:b/>
          <w:sz w:val="26"/>
          <w:szCs w:val="26"/>
          <w:u w:val="single"/>
        </w:rPr>
      </w:pPr>
      <w:r w:rsidRPr="00625757">
        <w:rPr>
          <w:rFonts w:ascii="Arial" w:hAnsi="Arial" w:cs="Arial"/>
          <w:b/>
          <w:sz w:val="26"/>
          <w:szCs w:val="26"/>
          <w:u w:val="single"/>
        </w:rPr>
        <w:t>For The Twelve</w:t>
      </w:r>
      <w:r>
        <w:rPr>
          <w:rFonts w:ascii="Arial" w:hAnsi="Arial" w:cs="Arial"/>
          <w:b/>
          <w:sz w:val="26"/>
          <w:szCs w:val="26"/>
          <w:u w:val="single"/>
        </w:rPr>
        <w:t xml:space="preserve"> </w:t>
      </w:r>
      <w:r w:rsidRPr="00625757">
        <w:rPr>
          <w:rFonts w:ascii="Arial" w:hAnsi="Arial" w:cs="Arial"/>
          <w:b/>
          <w:sz w:val="26"/>
          <w:szCs w:val="26"/>
          <w:u w:val="single"/>
        </w:rPr>
        <w:t>Months Ended August 31, 200</w:t>
      </w:r>
      <w:r w:rsidR="007F6BB4">
        <w:rPr>
          <w:rFonts w:ascii="Arial" w:hAnsi="Arial" w:cs="Arial"/>
          <w:b/>
          <w:sz w:val="26"/>
          <w:szCs w:val="26"/>
          <w:u w:val="single"/>
        </w:rPr>
        <w:t>9</w:t>
      </w: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tbl>
      <w:tblPr>
        <w:tblW w:w="0" w:type="auto"/>
        <w:jc w:val="center"/>
        <w:tblInd w:w="-1173" w:type="dxa"/>
        <w:tblLook w:val="01E0" w:firstRow="1" w:lastRow="1" w:firstColumn="1" w:lastColumn="1" w:noHBand="0" w:noVBand="0"/>
      </w:tblPr>
      <w:tblGrid>
        <w:gridCol w:w="5741"/>
        <w:gridCol w:w="2070"/>
      </w:tblGrid>
      <w:tr w:rsidR="00DC0FC1" w:rsidRPr="00231B1B" w:rsidTr="00C32231">
        <w:trPr>
          <w:jc w:val="center"/>
        </w:trPr>
        <w:tc>
          <w:tcPr>
            <w:tcW w:w="5741" w:type="dxa"/>
          </w:tcPr>
          <w:p w:rsidR="00DC0FC1" w:rsidRPr="00231B1B" w:rsidRDefault="00DC0FC1" w:rsidP="00C32231">
            <w:pPr>
              <w:tabs>
                <w:tab w:val="left" w:pos="1788"/>
              </w:tabs>
              <w:rPr>
                <w:rFonts w:ascii="Arial" w:hAnsi="Arial" w:cs="Arial"/>
                <w:b/>
                <w:sz w:val="24"/>
                <w:szCs w:val="24"/>
              </w:rPr>
            </w:pPr>
            <w:r w:rsidRPr="00231B1B">
              <w:rPr>
                <w:rFonts w:ascii="Arial" w:hAnsi="Arial" w:cs="Arial"/>
                <w:b/>
                <w:sz w:val="24"/>
                <w:szCs w:val="24"/>
              </w:rPr>
              <w:tab/>
            </w:r>
            <w:r w:rsidRPr="00231B1B">
              <w:rPr>
                <w:rFonts w:ascii="Arial" w:hAnsi="Arial" w:cs="Arial"/>
                <w:b/>
                <w:sz w:val="24"/>
                <w:szCs w:val="24"/>
                <w:u w:val="single"/>
              </w:rPr>
              <w:t>Description</w:t>
            </w:r>
          </w:p>
        </w:tc>
        <w:tc>
          <w:tcPr>
            <w:tcW w:w="2070" w:type="dxa"/>
          </w:tcPr>
          <w:p w:rsidR="00DC0FC1" w:rsidRPr="00231B1B" w:rsidRDefault="00DC0FC1" w:rsidP="00C32231">
            <w:pPr>
              <w:jc w:val="center"/>
              <w:rPr>
                <w:rFonts w:ascii="Arial" w:hAnsi="Arial" w:cs="Arial"/>
                <w:b/>
                <w:sz w:val="24"/>
                <w:szCs w:val="24"/>
                <w:u w:val="single"/>
              </w:rPr>
            </w:pPr>
            <w:r w:rsidRPr="00231B1B">
              <w:rPr>
                <w:rFonts w:ascii="Arial" w:hAnsi="Arial" w:cs="Arial"/>
                <w:b/>
                <w:sz w:val="24"/>
                <w:szCs w:val="24"/>
                <w:u w:val="single"/>
              </w:rPr>
              <w:t>Amount</w:t>
            </w:r>
          </w:p>
        </w:tc>
      </w:tr>
      <w:tr w:rsidR="00DC0FC1" w:rsidRPr="00231B1B" w:rsidTr="00C32231">
        <w:trPr>
          <w:jc w:val="center"/>
        </w:trPr>
        <w:tc>
          <w:tcPr>
            <w:tcW w:w="5741" w:type="dxa"/>
          </w:tcPr>
          <w:p w:rsidR="00DC0FC1" w:rsidRPr="00231B1B" w:rsidRDefault="00DC0FC1" w:rsidP="00C32231">
            <w:pPr>
              <w:jc w:val="both"/>
              <w:rPr>
                <w:rFonts w:ascii="Arial" w:hAnsi="Arial" w:cs="Arial"/>
                <w:sz w:val="24"/>
                <w:szCs w:val="24"/>
              </w:rPr>
            </w:pPr>
          </w:p>
        </w:tc>
        <w:tc>
          <w:tcPr>
            <w:tcW w:w="2070" w:type="dxa"/>
          </w:tcPr>
          <w:p w:rsidR="00DC0FC1" w:rsidRPr="00231B1B" w:rsidRDefault="00DC0FC1" w:rsidP="00C32231">
            <w:pPr>
              <w:rPr>
                <w:rFonts w:ascii="Arial" w:hAnsi="Arial" w:cs="Arial"/>
                <w:sz w:val="24"/>
                <w:szCs w:val="24"/>
                <w:u w:val="single"/>
              </w:rPr>
            </w:pPr>
          </w:p>
        </w:tc>
      </w:tr>
      <w:tr w:rsidR="00DC0FC1" w:rsidRPr="00231B1B" w:rsidTr="00C32231">
        <w:trPr>
          <w:jc w:val="center"/>
        </w:trPr>
        <w:tc>
          <w:tcPr>
            <w:tcW w:w="5741" w:type="dxa"/>
          </w:tcPr>
          <w:p w:rsidR="00DC0FC1" w:rsidRPr="00231B1B" w:rsidRDefault="007F6BB4" w:rsidP="006F7742">
            <w:pPr>
              <w:rPr>
                <w:rFonts w:ascii="Arial" w:hAnsi="Arial" w:cs="Arial"/>
                <w:sz w:val="24"/>
                <w:szCs w:val="24"/>
              </w:rPr>
            </w:pPr>
            <w:r w:rsidRPr="00231B1B">
              <w:rPr>
                <w:rFonts w:ascii="Arial" w:hAnsi="Arial" w:cs="Arial"/>
                <w:sz w:val="24"/>
                <w:szCs w:val="24"/>
              </w:rPr>
              <w:t>Restructuring</w:t>
            </w:r>
            <w:r w:rsidR="003B1322" w:rsidRPr="00231B1B">
              <w:rPr>
                <w:rFonts w:ascii="Arial" w:hAnsi="Arial" w:cs="Arial"/>
                <w:sz w:val="24"/>
                <w:szCs w:val="24"/>
              </w:rPr>
              <w:t xml:space="preserve"> </w:t>
            </w:r>
            <w:r w:rsidR="006F7742">
              <w:rPr>
                <w:rFonts w:ascii="Arial" w:hAnsi="Arial" w:cs="Arial"/>
                <w:sz w:val="24"/>
                <w:szCs w:val="24"/>
              </w:rPr>
              <w:t>a</w:t>
            </w:r>
            <w:r w:rsidR="003B1322" w:rsidRPr="00231B1B">
              <w:rPr>
                <w:rFonts w:ascii="Arial" w:hAnsi="Arial" w:cs="Arial"/>
                <w:sz w:val="24"/>
                <w:szCs w:val="24"/>
              </w:rPr>
              <w:t xml:space="preserve">nd </w:t>
            </w:r>
            <w:r w:rsidRPr="00231B1B">
              <w:rPr>
                <w:rFonts w:ascii="Arial" w:hAnsi="Arial" w:cs="Arial"/>
                <w:sz w:val="24"/>
                <w:szCs w:val="24"/>
              </w:rPr>
              <w:t xml:space="preserve">Consumer Education Costs </w:t>
            </w:r>
            <w:r w:rsidR="00B65EFF">
              <w:rPr>
                <w:rFonts w:ascii="Arial" w:hAnsi="Arial" w:cs="Arial"/>
                <w:sz w:val="24"/>
                <w:szCs w:val="24"/>
              </w:rPr>
              <w:t xml:space="preserve">Balance To </w:t>
            </w:r>
            <w:r w:rsidRPr="00231B1B">
              <w:rPr>
                <w:rFonts w:ascii="Arial" w:hAnsi="Arial" w:cs="Arial"/>
                <w:sz w:val="24"/>
                <w:szCs w:val="24"/>
              </w:rPr>
              <w:t xml:space="preserve">Be Recovered </w:t>
            </w:r>
            <w:r w:rsidR="00B65EFF">
              <w:rPr>
                <w:rFonts w:ascii="Arial" w:hAnsi="Arial" w:cs="Arial"/>
                <w:sz w:val="24"/>
                <w:szCs w:val="24"/>
              </w:rPr>
              <w:t>A</w:t>
            </w:r>
            <w:r w:rsidR="00DC0FC1" w:rsidRPr="00231B1B">
              <w:rPr>
                <w:rFonts w:ascii="Arial" w:hAnsi="Arial" w:cs="Arial"/>
                <w:sz w:val="24"/>
                <w:szCs w:val="24"/>
              </w:rPr>
              <w:t xml:space="preserve">t </w:t>
            </w:r>
            <w:r w:rsidR="00C04690">
              <w:rPr>
                <w:rFonts w:ascii="Arial" w:hAnsi="Arial" w:cs="Arial"/>
                <w:sz w:val="24"/>
                <w:szCs w:val="24"/>
              </w:rPr>
              <w:t xml:space="preserve">September </w:t>
            </w:r>
            <w:r w:rsidR="00DC0FC1" w:rsidRPr="00231B1B">
              <w:rPr>
                <w:rFonts w:ascii="Arial" w:hAnsi="Arial" w:cs="Arial"/>
                <w:sz w:val="24"/>
                <w:szCs w:val="24"/>
              </w:rPr>
              <w:t>1, 200</w:t>
            </w:r>
            <w:r w:rsidRPr="00231B1B">
              <w:rPr>
                <w:rFonts w:ascii="Arial" w:hAnsi="Arial" w:cs="Arial"/>
                <w:sz w:val="24"/>
                <w:szCs w:val="24"/>
              </w:rPr>
              <w:t>8</w:t>
            </w:r>
          </w:p>
        </w:tc>
        <w:tc>
          <w:tcPr>
            <w:tcW w:w="2070" w:type="dxa"/>
          </w:tcPr>
          <w:p w:rsidR="00DC0FC1" w:rsidRPr="00231B1B" w:rsidRDefault="00DC0FC1" w:rsidP="007F6BB4">
            <w:pPr>
              <w:tabs>
                <w:tab w:val="decimal" w:pos="1477"/>
              </w:tabs>
              <w:ind w:right="120"/>
              <w:rPr>
                <w:rFonts w:ascii="Arial" w:hAnsi="Arial" w:cs="Arial"/>
                <w:sz w:val="24"/>
                <w:szCs w:val="24"/>
              </w:rPr>
            </w:pPr>
            <w:r w:rsidRPr="00231B1B">
              <w:rPr>
                <w:rFonts w:ascii="Arial" w:hAnsi="Arial" w:cs="Arial"/>
                <w:sz w:val="24"/>
                <w:szCs w:val="24"/>
              </w:rPr>
              <w:t xml:space="preserve">$  </w:t>
            </w:r>
            <w:r w:rsidR="00824C36" w:rsidRPr="00231B1B">
              <w:rPr>
                <w:rFonts w:ascii="Arial" w:hAnsi="Arial" w:cs="Arial"/>
                <w:sz w:val="24"/>
                <w:szCs w:val="24"/>
              </w:rPr>
              <w:t>3,527,945</w:t>
            </w:r>
            <w:r w:rsidRPr="00231B1B">
              <w:rPr>
                <w:rFonts w:ascii="Arial" w:hAnsi="Arial" w:cs="Arial"/>
                <w:sz w:val="24"/>
                <w:szCs w:val="24"/>
              </w:rPr>
              <w:t xml:space="preserve">  </w:t>
            </w:r>
          </w:p>
        </w:tc>
      </w:tr>
      <w:tr w:rsidR="00DC0FC1" w:rsidRPr="00231B1B" w:rsidTr="00C32231">
        <w:trPr>
          <w:jc w:val="center"/>
        </w:trPr>
        <w:tc>
          <w:tcPr>
            <w:tcW w:w="5741" w:type="dxa"/>
          </w:tcPr>
          <w:p w:rsidR="00DC0FC1" w:rsidRPr="00231B1B" w:rsidRDefault="00DC0FC1" w:rsidP="00C32231">
            <w:pPr>
              <w:jc w:val="both"/>
              <w:rPr>
                <w:rFonts w:ascii="Arial" w:hAnsi="Arial" w:cs="Arial"/>
                <w:sz w:val="24"/>
                <w:szCs w:val="24"/>
              </w:rPr>
            </w:pPr>
          </w:p>
        </w:tc>
        <w:tc>
          <w:tcPr>
            <w:tcW w:w="2070" w:type="dxa"/>
          </w:tcPr>
          <w:p w:rsidR="00DC0FC1" w:rsidRPr="00231B1B" w:rsidRDefault="00DC0FC1" w:rsidP="00C32231">
            <w:pPr>
              <w:tabs>
                <w:tab w:val="decimal" w:pos="1477"/>
              </w:tabs>
              <w:ind w:right="120"/>
              <w:rPr>
                <w:rFonts w:ascii="Arial" w:hAnsi="Arial" w:cs="Arial"/>
                <w:sz w:val="24"/>
                <w:szCs w:val="24"/>
                <w:u w:val="single"/>
              </w:rPr>
            </w:pPr>
          </w:p>
        </w:tc>
      </w:tr>
      <w:tr w:rsidR="00DC0FC1" w:rsidRPr="00231B1B" w:rsidTr="00C32231">
        <w:trPr>
          <w:jc w:val="center"/>
        </w:trPr>
        <w:tc>
          <w:tcPr>
            <w:tcW w:w="5741" w:type="dxa"/>
          </w:tcPr>
          <w:p w:rsidR="00DC0FC1" w:rsidRPr="00231B1B" w:rsidRDefault="00DC0FC1" w:rsidP="00F0393F">
            <w:pPr>
              <w:ind w:left="738" w:hanging="738"/>
              <w:rPr>
                <w:rFonts w:ascii="Arial" w:hAnsi="Arial" w:cs="Arial"/>
                <w:sz w:val="24"/>
                <w:szCs w:val="24"/>
              </w:rPr>
            </w:pPr>
            <w:r w:rsidRPr="00231B1B">
              <w:rPr>
                <w:rFonts w:ascii="Arial" w:hAnsi="Arial" w:cs="Arial"/>
                <w:sz w:val="24"/>
                <w:szCs w:val="24"/>
              </w:rPr>
              <w:t>Less:  Restructuring</w:t>
            </w:r>
            <w:r w:rsidR="003B1322" w:rsidRPr="00231B1B">
              <w:rPr>
                <w:rFonts w:ascii="Arial" w:hAnsi="Arial" w:cs="Arial"/>
                <w:sz w:val="24"/>
                <w:szCs w:val="24"/>
              </w:rPr>
              <w:t xml:space="preserve"> </w:t>
            </w:r>
            <w:r w:rsidR="006F7742">
              <w:rPr>
                <w:rFonts w:ascii="Arial" w:hAnsi="Arial" w:cs="Arial"/>
                <w:sz w:val="24"/>
                <w:szCs w:val="24"/>
              </w:rPr>
              <w:t>a</w:t>
            </w:r>
            <w:r w:rsidR="003B1322" w:rsidRPr="00231B1B">
              <w:rPr>
                <w:rFonts w:ascii="Arial" w:hAnsi="Arial" w:cs="Arial"/>
                <w:sz w:val="24"/>
                <w:szCs w:val="24"/>
              </w:rPr>
              <w:t xml:space="preserve">nd </w:t>
            </w:r>
            <w:r w:rsidRPr="00231B1B">
              <w:rPr>
                <w:rFonts w:ascii="Arial" w:hAnsi="Arial" w:cs="Arial"/>
                <w:sz w:val="24"/>
                <w:szCs w:val="24"/>
              </w:rPr>
              <w:t xml:space="preserve">Consumer Education </w:t>
            </w:r>
            <w:r w:rsidR="00B65EFF">
              <w:rPr>
                <w:rFonts w:ascii="Arial" w:hAnsi="Arial" w:cs="Arial"/>
                <w:sz w:val="24"/>
                <w:szCs w:val="24"/>
              </w:rPr>
              <w:t xml:space="preserve">           </w:t>
            </w:r>
            <w:r w:rsidR="003B1322" w:rsidRPr="00231B1B">
              <w:rPr>
                <w:rFonts w:ascii="Arial" w:hAnsi="Arial" w:cs="Arial"/>
                <w:sz w:val="24"/>
                <w:szCs w:val="24"/>
              </w:rPr>
              <w:t xml:space="preserve">Surcharge </w:t>
            </w:r>
            <w:r w:rsidRPr="00231B1B">
              <w:rPr>
                <w:rFonts w:ascii="Arial" w:hAnsi="Arial" w:cs="Arial"/>
                <w:sz w:val="24"/>
                <w:szCs w:val="24"/>
              </w:rPr>
              <w:t>Cost</w:t>
            </w:r>
            <w:r w:rsidR="003B1322" w:rsidRPr="00231B1B">
              <w:rPr>
                <w:rFonts w:ascii="Arial" w:hAnsi="Arial" w:cs="Arial"/>
                <w:sz w:val="24"/>
                <w:szCs w:val="24"/>
              </w:rPr>
              <w:t xml:space="preserve"> </w:t>
            </w:r>
            <w:r w:rsidRPr="00231B1B">
              <w:rPr>
                <w:rFonts w:ascii="Arial" w:hAnsi="Arial" w:cs="Arial"/>
                <w:sz w:val="24"/>
                <w:szCs w:val="24"/>
              </w:rPr>
              <w:tab/>
              <w:t xml:space="preserve">Recoveries For The Twelve </w:t>
            </w:r>
          </w:p>
          <w:p w:rsidR="00DC0FC1" w:rsidRPr="00231B1B" w:rsidRDefault="00DC0FC1" w:rsidP="007F6BB4">
            <w:pPr>
              <w:tabs>
                <w:tab w:val="left" w:pos="723"/>
              </w:tabs>
              <w:jc w:val="both"/>
              <w:rPr>
                <w:rFonts w:ascii="Arial" w:hAnsi="Arial" w:cs="Arial"/>
                <w:sz w:val="24"/>
                <w:szCs w:val="24"/>
              </w:rPr>
            </w:pPr>
            <w:r w:rsidRPr="00231B1B">
              <w:rPr>
                <w:rFonts w:ascii="Arial" w:hAnsi="Arial" w:cs="Arial"/>
                <w:sz w:val="24"/>
                <w:szCs w:val="24"/>
              </w:rPr>
              <w:tab/>
            </w:r>
            <w:r w:rsidR="00B65EFF">
              <w:rPr>
                <w:rFonts w:ascii="Arial" w:hAnsi="Arial" w:cs="Arial"/>
                <w:sz w:val="24"/>
                <w:szCs w:val="24"/>
              </w:rPr>
              <w:t xml:space="preserve">Months </w:t>
            </w:r>
            <w:r w:rsidRPr="00231B1B">
              <w:rPr>
                <w:rFonts w:ascii="Arial" w:hAnsi="Arial" w:cs="Arial"/>
                <w:sz w:val="24"/>
                <w:szCs w:val="24"/>
              </w:rPr>
              <w:t>Ended August 31, 200</w:t>
            </w:r>
            <w:r w:rsidR="007F6BB4" w:rsidRPr="00231B1B">
              <w:rPr>
                <w:rFonts w:ascii="Arial" w:hAnsi="Arial" w:cs="Arial"/>
                <w:sz w:val="24"/>
                <w:szCs w:val="24"/>
              </w:rPr>
              <w:t>9</w:t>
            </w:r>
            <w:r w:rsidR="00824C36" w:rsidRPr="00231B1B">
              <w:rPr>
                <w:rFonts w:ascii="Arial" w:hAnsi="Arial" w:cs="Arial"/>
                <w:sz w:val="24"/>
                <w:szCs w:val="24"/>
              </w:rPr>
              <w:t xml:space="preserve"> (Note 2)</w:t>
            </w:r>
          </w:p>
        </w:tc>
        <w:tc>
          <w:tcPr>
            <w:tcW w:w="2070" w:type="dxa"/>
          </w:tcPr>
          <w:p w:rsidR="00DC0FC1" w:rsidRPr="00231B1B" w:rsidRDefault="00DC0FC1" w:rsidP="00C32231">
            <w:pPr>
              <w:tabs>
                <w:tab w:val="decimal" w:pos="1477"/>
              </w:tabs>
              <w:ind w:right="120"/>
              <w:rPr>
                <w:rFonts w:ascii="Arial" w:hAnsi="Arial" w:cs="Arial"/>
                <w:sz w:val="24"/>
                <w:szCs w:val="24"/>
                <w:u w:val="single"/>
              </w:rPr>
            </w:pPr>
          </w:p>
          <w:p w:rsidR="00DC0FC1" w:rsidRPr="00231B1B" w:rsidRDefault="00DC0FC1" w:rsidP="00C32231">
            <w:pPr>
              <w:tabs>
                <w:tab w:val="decimal" w:pos="1477"/>
              </w:tabs>
              <w:ind w:right="120"/>
              <w:rPr>
                <w:rFonts w:ascii="Arial" w:hAnsi="Arial" w:cs="Arial"/>
                <w:sz w:val="24"/>
                <w:szCs w:val="24"/>
                <w:u w:val="single"/>
              </w:rPr>
            </w:pPr>
          </w:p>
          <w:p w:rsidR="00DC0FC1" w:rsidRPr="00231B1B" w:rsidRDefault="00824C36" w:rsidP="00C32231">
            <w:pPr>
              <w:tabs>
                <w:tab w:val="decimal" w:pos="1477"/>
              </w:tabs>
              <w:ind w:right="120"/>
              <w:rPr>
                <w:rFonts w:ascii="Arial" w:hAnsi="Arial" w:cs="Arial"/>
                <w:sz w:val="24"/>
                <w:szCs w:val="24"/>
                <w:u w:val="single"/>
              </w:rPr>
            </w:pPr>
            <w:r w:rsidRPr="00231B1B">
              <w:rPr>
                <w:rFonts w:ascii="Arial" w:hAnsi="Arial" w:cs="Arial"/>
                <w:sz w:val="24"/>
                <w:szCs w:val="24"/>
                <w:u w:val="single"/>
              </w:rPr>
              <w:t>1,079,459</w:t>
            </w:r>
          </w:p>
        </w:tc>
      </w:tr>
      <w:tr w:rsidR="00DC0FC1" w:rsidRPr="00231B1B" w:rsidTr="00C32231">
        <w:trPr>
          <w:jc w:val="center"/>
        </w:trPr>
        <w:tc>
          <w:tcPr>
            <w:tcW w:w="5741" w:type="dxa"/>
          </w:tcPr>
          <w:p w:rsidR="00DC0FC1" w:rsidRDefault="00DC0FC1" w:rsidP="00C32231">
            <w:pPr>
              <w:jc w:val="both"/>
              <w:rPr>
                <w:rFonts w:ascii="Arial" w:hAnsi="Arial" w:cs="Arial"/>
                <w:sz w:val="24"/>
                <w:szCs w:val="24"/>
              </w:rPr>
            </w:pPr>
          </w:p>
          <w:p w:rsidR="00B65EFF" w:rsidRPr="00231B1B" w:rsidRDefault="00B65EFF" w:rsidP="006F7742">
            <w:pPr>
              <w:jc w:val="both"/>
              <w:rPr>
                <w:rFonts w:ascii="Arial" w:hAnsi="Arial" w:cs="Arial"/>
                <w:sz w:val="24"/>
                <w:szCs w:val="24"/>
              </w:rPr>
            </w:pPr>
            <w:r w:rsidRPr="00231B1B">
              <w:rPr>
                <w:rFonts w:ascii="Arial" w:hAnsi="Arial" w:cs="Arial"/>
                <w:sz w:val="24"/>
                <w:szCs w:val="24"/>
              </w:rPr>
              <w:t xml:space="preserve">Restructuring </w:t>
            </w:r>
            <w:r w:rsidR="006F7742">
              <w:rPr>
                <w:rFonts w:ascii="Arial" w:hAnsi="Arial" w:cs="Arial"/>
                <w:sz w:val="24"/>
                <w:szCs w:val="24"/>
              </w:rPr>
              <w:t>a</w:t>
            </w:r>
            <w:r w:rsidRPr="00231B1B">
              <w:rPr>
                <w:rFonts w:ascii="Arial" w:hAnsi="Arial" w:cs="Arial"/>
                <w:sz w:val="24"/>
                <w:szCs w:val="24"/>
              </w:rPr>
              <w:t>nd Consumer Education Costs</w:t>
            </w:r>
          </w:p>
        </w:tc>
        <w:tc>
          <w:tcPr>
            <w:tcW w:w="2070" w:type="dxa"/>
          </w:tcPr>
          <w:p w:rsidR="00DC0FC1" w:rsidRPr="00231B1B" w:rsidRDefault="00DC0FC1" w:rsidP="00C32231">
            <w:pPr>
              <w:tabs>
                <w:tab w:val="decimal" w:pos="1477"/>
              </w:tabs>
              <w:ind w:right="120"/>
              <w:rPr>
                <w:rFonts w:ascii="Arial" w:hAnsi="Arial" w:cs="Arial"/>
                <w:sz w:val="24"/>
                <w:szCs w:val="24"/>
                <w:u w:val="single"/>
              </w:rPr>
            </w:pPr>
          </w:p>
        </w:tc>
      </w:tr>
      <w:tr w:rsidR="00DC0FC1" w:rsidRPr="00231B1B" w:rsidTr="00C32231">
        <w:trPr>
          <w:jc w:val="center"/>
        </w:trPr>
        <w:tc>
          <w:tcPr>
            <w:tcW w:w="5741" w:type="dxa"/>
          </w:tcPr>
          <w:p w:rsidR="00DC0FC1" w:rsidRPr="00231B1B" w:rsidRDefault="00DC0FC1" w:rsidP="007F6BB4">
            <w:pPr>
              <w:rPr>
                <w:rFonts w:ascii="Arial" w:hAnsi="Arial" w:cs="Arial"/>
                <w:sz w:val="24"/>
                <w:szCs w:val="24"/>
              </w:rPr>
            </w:pPr>
            <w:r w:rsidRPr="00231B1B">
              <w:rPr>
                <w:rFonts w:ascii="Arial" w:hAnsi="Arial" w:cs="Arial"/>
                <w:sz w:val="24"/>
                <w:szCs w:val="24"/>
              </w:rPr>
              <w:t xml:space="preserve">Balance </w:t>
            </w:r>
            <w:r w:rsidR="00B65EFF">
              <w:rPr>
                <w:rFonts w:ascii="Arial" w:hAnsi="Arial" w:cs="Arial"/>
                <w:sz w:val="24"/>
                <w:szCs w:val="24"/>
              </w:rPr>
              <w:t xml:space="preserve">To </w:t>
            </w:r>
            <w:r w:rsidR="00B65EFF" w:rsidRPr="00231B1B">
              <w:rPr>
                <w:rFonts w:ascii="Arial" w:hAnsi="Arial" w:cs="Arial"/>
                <w:sz w:val="24"/>
                <w:szCs w:val="24"/>
              </w:rPr>
              <w:t xml:space="preserve">Be Recovered </w:t>
            </w:r>
            <w:r w:rsidRPr="00231B1B">
              <w:rPr>
                <w:rFonts w:ascii="Arial" w:hAnsi="Arial" w:cs="Arial"/>
                <w:sz w:val="24"/>
                <w:szCs w:val="24"/>
              </w:rPr>
              <w:t>At August 31, 200</w:t>
            </w:r>
            <w:r w:rsidR="007F6BB4" w:rsidRPr="00231B1B">
              <w:rPr>
                <w:rFonts w:ascii="Arial" w:hAnsi="Arial" w:cs="Arial"/>
                <w:sz w:val="24"/>
                <w:szCs w:val="24"/>
              </w:rPr>
              <w:t>9</w:t>
            </w:r>
          </w:p>
        </w:tc>
        <w:tc>
          <w:tcPr>
            <w:tcW w:w="2070" w:type="dxa"/>
          </w:tcPr>
          <w:p w:rsidR="00DC0FC1" w:rsidRPr="00231B1B" w:rsidRDefault="00DC0FC1" w:rsidP="00824C36">
            <w:pPr>
              <w:tabs>
                <w:tab w:val="decimal" w:pos="1477"/>
              </w:tabs>
              <w:ind w:right="120"/>
              <w:rPr>
                <w:rFonts w:ascii="Arial" w:hAnsi="Arial" w:cs="Arial"/>
                <w:sz w:val="24"/>
                <w:szCs w:val="24"/>
                <w:u w:val="double"/>
              </w:rPr>
            </w:pPr>
            <w:r w:rsidRPr="00231B1B">
              <w:rPr>
                <w:rFonts w:ascii="Arial" w:hAnsi="Arial" w:cs="Arial"/>
                <w:sz w:val="24"/>
                <w:szCs w:val="24"/>
              </w:rPr>
              <w:t xml:space="preserve">$ </w:t>
            </w:r>
            <w:r w:rsidRPr="00231B1B">
              <w:rPr>
                <w:rFonts w:ascii="Arial" w:hAnsi="Arial" w:cs="Arial"/>
                <w:sz w:val="24"/>
                <w:szCs w:val="24"/>
                <w:u w:val="double"/>
              </w:rPr>
              <w:t xml:space="preserve">   </w:t>
            </w:r>
            <w:r w:rsidR="00824C36" w:rsidRPr="00231B1B">
              <w:rPr>
                <w:rFonts w:ascii="Arial" w:hAnsi="Arial" w:cs="Arial"/>
                <w:sz w:val="24"/>
                <w:szCs w:val="24"/>
                <w:u w:val="double"/>
              </w:rPr>
              <w:t>2,448,486</w:t>
            </w:r>
          </w:p>
        </w:tc>
      </w:tr>
    </w:tbl>
    <w:p w:rsidR="00DC0FC1" w:rsidRPr="00231B1B" w:rsidRDefault="00DC0FC1" w:rsidP="00DC0FC1">
      <w:pPr>
        <w:spacing w:line="360" w:lineRule="atLeast"/>
        <w:outlineLvl w:val="0"/>
        <w:rPr>
          <w:rFonts w:ascii="Arial" w:hAnsi="Arial" w:cs="Arial"/>
          <w:sz w:val="24"/>
          <w:szCs w:val="24"/>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Pr="00E365CC" w:rsidRDefault="00DC0FC1" w:rsidP="00DC0FC1">
      <w:pPr>
        <w:spacing w:line="360" w:lineRule="atLeast"/>
        <w:outlineLvl w:val="0"/>
        <w:rPr>
          <w:rFonts w:ascii="Arial" w:hAnsi="Arial" w:cs="Arial"/>
          <w:sz w:val="28"/>
          <w:szCs w:val="28"/>
          <w:highlight w:val="lightGray"/>
        </w:rPr>
      </w:pPr>
    </w:p>
    <w:p w:rsidR="00DC0FC1" w:rsidRPr="00E365CC" w:rsidRDefault="00DC0FC1" w:rsidP="00DC0FC1">
      <w:pPr>
        <w:spacing w:line="360" w:lineRule="atLeast"/>
        <w:outlineLvl w:val="0"/>
        <w:rPr>
          <w:rFonts w:ascii="Arial" w:hAnsi="Arial" w:cs="Arial"/>
          <w:sz w:val="28"/>
          <w:szCs w:val="28"/>
          <w:highlight w:val="lightGray"/>
        </w:rPr>
      </w:pPr>
    </w:p>
    <w:p w:rsidR="00DC0FC1" w:rsidRPr="00E365CC" w:rsidRDefault="00DC0FC1" w:rsidP="00DC0FC1">
      <w:pPr>
        <w:spacing w:line="360" w:lineRule="atLeast"/>
        <w:outlineLvl w:val="0"/>
        <w:rPr>
          <w:rFonts w:ascii="Arial" w:hAnsi="Arial" w:cs="Arial"/>
          <w:sz w:val="28"/>
          <w:szCs w:val="28"/>
          <w:highlight w:val="lightGray"/>
        </w:rPr>
      </w:pPr>
    </w:p>
    <w:p w:rsidR="00DC0FC1" w:rsidRPr="00E365CC"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0E64EC" w:rsidRDefault="000E64EC" w:rsidP="00DC0FC1">
      <w:pPr>
        <w:spacing w:line="360" w:lineRule="atLeast"/>
        <w:outlineLvl w:val="0"/>
        <w:rPr>
          <w:rFonts w:ascii="Arial" w:hAnsi="Arial" w:cs="Arial"/>
          <w:sz w:val="28"/>
          <w:szCs w:val="28"/>
          <w:highlight w:val="lightGray"/>
        </w:rPr>
      </w:pPr>
    </w:p>
    <w:p w:rsidR="000E64EC" w:rsidRDefault="000E64EC" w:rsidP="00DC0FC1">
      <w:pPr>
        <w:spacing w:line="360" w:lineRule="atLeast"/>
        <w:outlineLvl w:val="0"/>
        <w:rPr>
          <w:rFonts w:ascii="Arial" w:hAnsi="Arial" w:cs="Arial"/>
          <w:sz w:val="28"/>
          <w:szCs w:val="28"/>
          <w:highlight w:val="lightGray"/>
        </w:rPr>
      </w:pPr>
    </w:p>
    <w:p w:rsidR="000E64EC" w:rsidRDefault="000E64EC" w:rsidP="00DC0FC1">
      <w:pPr>
        <w:spacing w:line="360" w:lineRule="atLeast"/>
        <w:outlineLvl w:val="0"/>
        <w:rPr>
          <w:rFonts w:ascii="Arial" w:hAnsi="Arial" w:cs="Arial"/>
          <w:sz w:val="28"/>
          <w:szCs w:val="28"/>
          <w:highlight w:val="lightGray"/>
        </w:rPr>
      </w:pPr>
    </w:p>
    <w:p w:rsidR="000E64EC" w:rsidRPr="00E365CC" w:rsidRDefault="000E64EC" w:rsidP="00DC0FC1">
      <w:pPr>
        <w:spacing w:line="360" w:lineRule="atLeast"/>
        <w:outlineLvl w:val="0"/>
        <w:rPr>
          <w:rFonts w:ascii="Arial" w:hAnsi="Arial" w:cs="Arial"/>
          <w:sz w:val="28"/>
          <w:szCs w:val="28"/>
          <w:highlight w:val="lightGray"/>
        </w:rPr>
      </w:pPr>
    </w:p>
    <w:p w:rsidR="000E64EC" w:rsidRDefault="00DC0FC1" w:rsidP="000E64EC">
      <w:pPr>
        <w:spacing w:line="360" w:lineRule="atLeast"/>
        <w:outlineLvl w:val="0"/>
        <w:rPr>
          <w:rFonts w:ascii="Arial" w:hAnsi="Arial" w:cs="Arial"/>
          <w:sz w:val="24"/>
          <w:szCs w:val="24"/>
        </w:rPr>
        <w:sectPr w:rsidR="000E64EC" w:rsidSect="00733821">
          <w:headerReference w:type="even" r:id="rId15"/>
          <w:headerReference w:type="default" r:id="rId16"/>
          <w:footerReference w:type="default" r:id="rId17"/>
          <w:headerReference w:type="first" r:id="rId18"/>
          <w:pgSz w:w="12240" w:h="15840" w:code="1"/>
          <w:pgMar w:top="1440" w:right="1440" w:bottom="1152" w:left="1440" w:header="0" w:footer="720" w:gutter="0"/>
          <w:cols w:space="720"/>
          <w:noEndnote/>
        </w:sectPr>
      </w:pPr>
      <w:r w:rsidRPr="007A1DB0">
        <w:rPr>
          <w:rFonts w:ascii="Arial" w:hAnsi="Arial" w:cs="Arial"/>
          <w:sz w:val="24"/>
          <w:szCs w:val="24"/>
        </w:rPr>
        <w:t>Notes to the Financial Statements are an integral part of this report.</w:t>
      </w:r>
    </w:p>
    <w:p w:rsidR="00EC58EA" w:rsidRPr="001849D4" w:rsidRDefault="00FC3ABB" w:rsidP="00591D89">
      <w:pPr>
        <w:spacing w:line="360" w:lineRule="atLeast"/>
        <w:jc w:val="center"/>
        <w:outlineLvl w:val="0"/>
        <w:rPr>
          <w:rFonts w:ascii="Arial" w:hAnsi="Arial" w:cs="Arial"/>
          <w:b/>
          <w:sz w:val="28"/>
          <w:szCs w:val="28"/>
        </w:rPr>
      </w:pPr>
      <w:r>
        <w:rPr>
          <w:rFonts w:ascii="Arial" w:hAnsi="Arial" w:cs="Arial"/>
          <w:b/>
          <w:sz w:val="28"/>
          <w:szCs w:val="28"/>
          <w:u w:val="single"/>
        </w:rPr>
        <w:lastRenderedPageBreak/>
        <w:t>P</w:t>
      </w:r>
      <w:r w:rsidR="00EC58EA" w:rsidRPr="001849D4">
        <w:rPr>
          <w:rFonts w:ascii="Arial" w:hAnsi="Arial" w:cs="Arial"/>
          <w:b/>
          <w:sz w:val="28"/>
          <w:szCs w:val="28"/>
          <w:u w:val="single"/>
        </w:rPr>
        <w:t>HILADELPHIA GAS WORKS</w:t>
      </w:r>
    </w:p>
    <w:p w:rsidR="00EC58EA" w:rsidRPr="007445B8" w:rsidRDefault="00EC58EA">
      <w:pPr>
        <w:rPr>
          <w:rFonts w:ascii="Arial" w:hAnsi="Arial" w:cs="Arial"/>
          <w:b/>
          <w:sz w:val="24"/>
          <w:szCs w:val="26"/>
          <w:u w:val="single"/>
        </w:rPr>
      </w:pPr>
    </w:p>
    <w:p w:rsidR="00EC58EA" w:rsidRDefault="00EC58EA">
      <w:pPr>
        <w:jc w:val="center"/>
        <w:rPr>
          <w:rFonts w:ascii="Arial" w:hAnsi="Arial" w:cs="Arial"/>
          <w:b/>
          <w:sz w:val="26"/>
          <w:szCs w:val="26"/>
          <w:u w:val="single"/>
        </w:rPr>
      </w:pPr>
      <w:r w:rsidRPr="001849D4">
        <w:rPr>
          <w:rFonts w:ascii="Arial" w:hAnsi="Arial" w:cs="Arial"/>
          <w:b/>
          <w:sz w:val="26"/>
          <w:szCs w:val="26"/>
          <w:u w:val="single"/>
        </w:rPr>
        <w:t xml:space="preserve">Notes </w:t>
      </w:r>
      <w:r w:rsidR="00795B0B" w:rsidRPr="001849D4">
        <w:rPr>
          <w:rFonts w:ascii="Arial" w:hAnsi="Arial" w:cs="Arial"/>
          <w:b/>
          <w:sz w:val="26"/>
          <w:szCs w:val="26"/>
          <w:u w:val="single"/>
        </w:rPr>
        <w:t>to</w:t>
      </w:r>
      <w:r w:rsidRPr="001849D4">
        <w:rPr>
          <w:rFonts w:ascii="Arial" w:hAnsi="Arial" w:cs="Arial"/>
          <w:b/>
          <w:sz w:val="26"/>
          <w:szCs w:val="26"/>
          <w:u w:val="single"/>
        </w:rPr>
        <w:t xml:space="preserve"> </w:t>
      </w:r>
      <w:r w:rsidR="00795B0B" w:rsidRPr="001849D4">
        <w:rPr>
          <w:rFonts w:ascii="Arial" w:hAnsi="Arial" w:cs="Arial"/>
          <w:b/>
          <w:sz w:val="26"/>
          <w:szCs w:val="26"/>
          <w:u w:val="single"/>
        </w:rPr>
        <w:t>the</w:t>
      </w:r>
      <w:r w:rsidRPr="001849D4">
        <w:rPr>
          <w:rFonts w:ascii="Arial" w:hAnsi="Arial" w:cs="Arial"/>
          <w:b/>
          <w:sz w:val="26"/>
          <w:szCs w:val="26"/>
          <w:u w:val="single"/>
        </w:rPr>
        <w:t xml:space="preserve"> Financial Statements</w:t>
      </w:r>
    </w:p>
    <w:p w:rsidR="00307C90" w:rsidRPr="008B560F" w:rsidRDefault="00307C90" w:rsidP="008B560F">
      <w:pPr>
        <w:rPr>
          <w:rFonts w:ascii="Arial" w:hAnsi="Arial" w:cs="Arial"/>
          <w:b/>
          <w:sz w:val="22"/>
          <w:szCs w:val="26"/>
          <w:u w:val="single"/>
        </w:rPr>
      </w:pPr>
    </w:p>
    <w:p w:rsidR="00307C90" w:rsidRPr="008B560F" w:rsidRDefault="00307C90" w:rsidP="008B560F">
      <w:pPr>
        <w:rPr>
          <w:rFonts w:ascii="Arial" w:hAnsi="Arial" w:cs="Arial"/>
          <w:sz w:val="22"/>
          <w:szCs w:val="26"/>
        </w:rPr>
      </w:pPr>
    </w:p>
    <w:p w:rsidR="001437AB" w:rsidRDefault="001437AB">
      <w:pPr>
        <w:tabs>
          <w:tab w:val="left" w:pos="360"/>
        </w:tabs>
        <w:outlineLvl w:val="0"/>
        <w:rPr>
          <w:rFonts w:ascii="Arial" w:hAnsi="Arial" w:cs="Arial"/>
          <w:b/>
          <w:sz w:val="26"/>
          <w:szCs w:val="26"/>
          <w:u w:val="single"/>
        </w:rPr>
      </w:pPr>
    </w:p>
    <w:p w:rsidR="002501B1" w:rsidRPr="00231B1B" w:rsidRDefault="002501B1" w:rsidP="002501B1">
      <w:pPr>
        <w:tabs>
          <w:tab w:val="left" w:pos="360"/>
          <w:tab w:val="left" w:pos="9720"/>
        </w:tabs>
        <w:rPr>
          <w:rFonts w:ascii="Arial" w:hAnsi="Arial" w:cs="Arial"/>
          <w:b/>
          <w:sz w:val="24"/>
          <w:szCs w:val="24"/>
          <w:u w:val="single"/>
        </w:rPr>
      </w:pPr>
      <w:r w:rsidRPr="00231B1B">
        <w:rPr>
          <w:rFonts w:ascii="Arial" w:hAnsi="Arial" w:cs="Arial"/>
          <w:b/>
          <w:sz w:val="24"/>
          <w:szCs w:val="24"/>
          <w:u w:val="single"/>
        </w:rPr>
        <w:t xml:space="preserve">1 – Restructuring </w:t>
      </w:r>
      <w:r w:rsidR="00652B13">
        <w:rPr>
          <w:rFonts w:ascii="Arial" w:hAnsi="Arial" w:cs="Arial"/>
          <w:b/>
          <w:sz w:val="24"/>
          <w:szCs w:val="24"/>
          <w:u w:val="single"/>
        </w:rPr>
        <w:t>a</w:t>
      </w:r>
      <w:r w:rsidRPr="00231B1B">
        <w:rPr>
          <w:rFonts w:ascii="Arial" w:hAnsi="Arial" w:cs="Arial"/>
          <w:b/>
          <w:sz w:val="24"/>
          <w:szCs w:val="24"/>
          <w:u w:val="single"/>
        </w:rPr>
        <w:t>nd Consumer Education Surcharge</w:t>
      </w:r>
    </w:p>
    <w:p w:rsidR="002501B1" w:rsidRPr="00231B1B" w:rsidRDefault="002501B1" w:rsidP="002501B1">
      <w:pPr>
        <w:autoSpaceDE w:val="0"/>
        <w:autoSpaceDN w:val="0"/>
        <w:adjustRightInd w:val="0"/>
        <w:ind w:left="450"/>
        <w:rPr>
          <w:rFonts w:ascii="Arial" w:hAnsi="Arial" w:cs="Arial"/>
          <w:sz w:val="24"/>
          <w:szCs w:val="24"/>
        </w:rPr>
      </w:pPr>
    </w:p>
    <w:p w:rsidR="002501B1" w:rsidRPr="00231B1B" w:rsidRDefault="002501B1" w:rsidP="002501B1">
      <w:pPr>
        <w:autoSpaceDE w:val="0"/>
        <w:autoSpaceDN w:val="0"/>
        <w:adjustRightInd w:val="0"/>
        <w:ind w:left="450"/>
        <w:rPr>
          <w:rFonts w:ascii="Arial" w:hAnsi="Arial" w:cs="Arial"/>
          <w:sz w:val="24"/>
          <w:szCs w:val="24"/>
        </w:rPr>
      </w:pPr>
      <w:r w:rsidRPr="00231B1B">
        <w:rPr>
          <w:rFonts w:ascii="Arial" w:hAnsi="Arial" w:cs="Arial"/>
          <w:sz w:val="24"/>
          <w:szCs w:val="24"/>
        </w:rPr>
        <w:t xml:space="preserve">The PGW restructuring proceeding (M-00021612) authorized the establishment of a Restructuring </w:t>
      </w:r>
      <w:r w:rsidR="0067452C">
        <w:rPr>
          <w:rFonts w:ascii="Arial" w:hAnsi="Arial" w:cs="Arial"/>
          <w:sz w:val="24"/>
          <w:szCs w:val="24"/>
        </w:rPr>
        <w:t>a</w:t>
      </w:r>
      <w:r w:rsidRPr="00231B1B">
        <w:rPr>
          <w:rFonts w:ascii="Arial" w:hAnsi="Arial" w:cs="Arial"/>
          <w:sz w:val="24"/>
          <w:szCs w:val="24"/>
        </w:rPr>
        <w:t>nd Consumer Education Surcharge, to become effective September 1, 2003.  The purpose of the surcharge is to recover the Commission approved non-gas restructuring and consumer education costs that have or will be incurred to meet the requirements of the Natural Gas Choice and Competition Act and applicable Commission regulations, orders and other regulatory requirements.</w:t>
      </w:r>
    </w:p>
    <w:p w:rsidR="002501B1" w:rsidRPr="00231B1B" w:rsidRDefault="002501B1" w:rsidP="002501B1">
      <w:pPr>
        <w:autoSpaceDE w:val="0"/>
        <w:autoSpaceDN w:val="0"/>
        <w:adjustRightInd w:val="0"/>
        <w:rPr>
          <w:rFonts w:ascii="Arial" w:hAnsi="Arial" w:cs="Arial"/>
          <w:sz w:val="24"/>
          <w:szCs w:val="24"/>
        </w:rPr>
      </w:pPr>
    </w:p>
    <w:p w:rsidR="002501B1" w:rsidRPr="00231B1B" w:rsidRDefault="002501B1" w:rsidP="002501B1">
      <w:pPr>
        <w:autoSpaceDE w:val="0"/>
        <w:autoSpaceDN w:val="0"/>
        <w:adjustRightInd w:val="0"/>
        <w:ind w:left="450"/>
        <w:rPr>
          <w:rFonts w:ascii="Arial" w:hAnsi="Arial" w:cs="Arial"/>
          <w:sz w:val="24"/>
          <w:szCs w:val="24"/>
        </w:rPr>
      </w:pPr>
      <w:r w:rsidRPr="00231B1B">
        <w:rPr>
          <w:rFonts w:ascii="Arial" w:hAnsi="Arial" w:cs="Arial"/>
          <w:sz w:val="24"/>
          <w:szCs w:val="24"/>
        </w:rPr>
        <w:t xml:space="preserve">Restructuring related costs </w:t>
      </w:r>
      <w:r w:rsidR="006D755E" w:rsidRPr="00231B1B">
        <w:rPr>
          <w:rFonts w:ascii="Arial" w:hAnsi="Arial" w:cs="Arial"/>
          <w:sz w:val="24"/>
          <w:szCs w:val="24"/>
        </w:rPr>
        <w:t>are</w:t>
      </w:r>
      <w:r w:rsidRPr="00231B1B">
        <w:rPr>
          <w:rFonts w:ascii="Arial" w:hAnsi="Arial" w:cs="Arial"/>
          <w:sz w:val="24"/>
          <w:szCs w:val="24"/>
        </w:rPr>
        <w:t xml:space="preserve"> defined as costs attributable to compliance with Chapter 59/56 Obligations and other restructuring</w:t>
      </w:r>
      <w:r w:rsidR="00A860D9">
        <w:rPr>
          <w:rFonts w:ascii="Arial" w:hAnsi="Arial" w:cs="Arial"/>
          <w:sz w:val="24"/>
          <w:szCs w:val="24"/>
        </w:rPr>
        <w:t xml:space="preserve"> </w:t>
      </w:r>
      <w:r w:rsidRPr="00231B1B">
        <w:rPr>
          <w:rFonts w:ascii="Arial" w:hAnsi="Arial" w:cs="Arial"/>
          <w:sz w:val="24"/>
          <w:szCs w:val="24"/>
        </w:rPr>
        <w:t>related costs.  Chapter 59/56 Obligations involved the following sections of the Pa. Code:</w:t>
      </w:r>
    </w:p>
    <w:p w:rsidR="002501B1" w:rsidRPr="00231B1B" w:rsidRDefault="002501B1" w:rsidP="002501B1">
      <w:pPr>
        <w:autoSpaceDE w:val="0"/>
        <w:autoSpaceDN w:val="0"/>
        <w:adjustRightInd w:val="0"/>
        <w:rPr>
          <w:rFonts w:ascii="Arial" w:hAnsi="Arial" w:cs="Arial"/>
          <w:sz w:val="24"/>
          <w:szCs w:val="24"/>
        </w:rPr>
      </w:pPr>
    </w:p>
    <w:p w:rsidR="002501B1" w:rsidRPr="00231B1B" w:rsidRDefault="002501B1" w:rsidP="002501B1">
      <w:pPr>
        <w:tabs>
          <w:tab w:val="left" w:pos="1170"/>
          <w:tab w:val="left" w:pos="1800"/>
          <w:tab w:val="left" w:pos="2880"/>
        </w:tabs>
        <w:autoSpaceDE w:val="0"/>
        <w:autoSpaceDN w:val="0"/>
        <w:adjustRightInd w:val="0"/>
        <w:ind w:left="1170" w:hanging="1170"/>
        <w:rPr>
          <w:rFonts w:ascii="Arial" w:hAnsi="Arial" w:cs="Arial"/>
          <w:sz w:val="24"/>
          <w:szCs w:val="24"/>
        </w:rPr>
      </w:pPr>
      <w:r w:rsidRPr="00231B1B">
        <w:rPr>
          <w:rFonts w:ascii="Arial" w:hAnsi="Arial" w:cs="Arial"/>
          <w:sz w:val="24"/>
          <w:szCs w:val="24"/>
        </w:rPr>
        <w:tab/>
      </w:r>
      <w:r w:rsidRPr="00231B1B">
        <w:rPr>
          <w:rFonts w:ascii="Arial" w:hAnsi="Arial" w:cs="Arial"/>
          <w:sz w:val="24"/>
          <w:szCs w:val="24"/>
        </w:rPr>
        <w:tab/>
        <w:t>§ 59.21</w:t>
      </w:r>
      <w:r w:rsidRPr="00231B1B">
        <w:rPr>
          <w:rFonts w:ascii="Arial" w:hAnsi="Arial" w:cs="Arial"/>
          <w:sz w:val="24"/>
          <w:szCs w:val="24"/>
        </w:rPr>
        <w:tab/>
        <w:t>Meter Testing/Change Out</w:t>
      </w:r>
    </w:p>
    <w:p w:rsidR="002501B1" w:rsidRPr="00231B1B" w:rsidRDefault="002501B1" w:rsidP="002501B1">
      <w:pPr>
        <w:tabs>
          <w:tab w:val="left" w:pos="1170"/>
          <w:tab w:val="left" w:pos="1800"/>
          <w:tab w:val="left" w:pos="2880"/>
        </w:tabs>
        <w:autoSpaceDE w:val="0"/>
        <w:autoSpaceDN w:val="0"/>
        <w:adjustRightInd w:val="0"/>
        <w:ind w:left="1170" w:hanging="1170"/>
        <w:rPr>
          <w:rFonts w:ascii="Arial" w:hAnsi="Arial" w:cs="Arial"/>
          <w:sz w:val="24"/>
          <w:szCs w:val="24"/>
        </w:rPr>
      </w:pPr>
      <w:r w:rsidRPr="00231B1B">
        <w:rPr>
          <w:rFonts w:ascii="Arial" w:hAnsi="Arial" w:cs="Arial"/>
          <w:sz w:val="24"/>
          <w:szCs w:val="24"/>
        </w:rPr>
        <w:tab/>
      </w:r>
      <w:r w:rsidRPr="00231B1B">
        <w:rPr>
          <w:rFonts w:ascii="Arial" w:hAnsi="Arial" w:cs="Arial"/>
          <w:sz w:val="24"/>
          <w:szCs w:val="24"/>
        </w:rPr>
        <w:tab/>
        <w:t>§ 59.34</w:t>
      </w:r>
      <w:r w:rsidRPr="00231B1B">
        <w:rPr>
          <w:rFonts w:ascii="Arial" w:hAnsi="Arial" w:cs="Arial"/>
          <w:sz w:val="24"/>
          <w:szCs w:val="24"/>
        </w:rPr>
        <w:tab/>
        <w:t>Customer Leak Survey</w:t>
      </w:r>
    </w:p>
    <w:p w:rsidR="002501B1" w:rsidRPr="00231B1B" w:rsidRDefault="002501B1" w:rsidP="002501B1">
      <w:pPr>
        <w:tabs>
          <w:tab w:val="left" w:pos="1170"/>
          <w:tab w:val="left" w:pos="1800"/>
          <w:tab w:val="left" w:pos="2880"/>
        </w:tabs>
        <w:autoSpaceDE w:val="0"/>
        <w:autoSpaceDN w:val="0"/>
        <w:adjustRightInd w:val="0"/>
        <w:ind w:left="1170" w:hanging="1170"/>
        <w:rPr>
          <w:rFonts w:ascii="Arial" w:hAnsi="Arial" w:cs="Arial"/>
          <w:sz w:val="24"/>
          <w:szCs w:val="24"/>
        </w:rPr>
      </w:pPr>
      <w:r w:rsidRPr="00231B1B">
        <w:rPr>
          <w:rFonts w:ascii="Arial" w:hAnsi="Arial" w:cs="Arial"/>
          <w:sz w:val="24"/>
          <w:szCs w:val="24"/>
        </w:rPr>
        <w:tab/>
      </w:r>
      <w:r w:rsidRPr="00231B1B">
        <w:rPr>
          <w:rFonts w:ascii="Arial" w:hAnsi="Arial" w:cs="Arial"/>
          <w:sz w:val="24"/>
          <w:szCs w:val="24"/>
        </w:rPr>
        <w:tab/>
        <w:t xml:space="preserve">§ 56.12 </w:t>
      </w:r>
      <w:r w:rsidRPr="00231B1B">
        <w:rPr>
          <w:rFonts w:ascii="Arial" w:hAnsi="Arial" w:cs="Arial"/>
          <w:sz w:val="24"/>
          <w:szCs w:val="24"/>
        </w:rPr>
        <w:tab/>
        <w:t>Actual Meter Reading</w:t>
      </w:r>
    </w:p>
    <w:p w:rsidR="002501B1" w:rsidRPr="00231B1B" w:rsidRDefault="002501B1" w:rsidP="002501B1">
      <w:pPr>
        <w:tabs>
          <w:tab w:val="left" w:pos="1080"/>
          <w:tab w:val="left" w:pos="1800"/>
          <w:tab w:val="left" w:pos="2520"/>
        </w:tabs>
        <w:autoSpaceDE w:val="0"/>
        <w:autoSpaceDN w:val="0"/>
        <w:adjustRightInd w:val="0"/>
        <w:ind w:left="450"/>
        <w:rPr>
          <w:rFonts w:ascii="Arial" w:hAnsi="Arial" w:cs="Arial"/>
          <w:sz w:val="24"/>
          <w:szCs w:val="24"/>
        </w:rPr>
      </w:pPr>
    </w:p>
    <w:p w:rsidR="002501B1" w:rsidRPr="00231B1B" w:rsidRDefault="002501B1" w:rsidP="002501B1">
      <w:pPr>
        <w:tabs>
          <w:tab w:val="left" w:pos="1080"/>
          <w:tab w:val="left" w:pos="1800"/>
          <w:tab w:val="left" w:pos="2520"/>
        </w:tabs>
        <w:autoSpaceDE w:val="0"/>
        <w:autoSpaceDN w:val="0"/>
        <w:adjustRightInd w:val="0"/>
        <w:ind w:left="450"/>
        <w:rPr>
          <w:rFonts w:ascii="Arial" w:hAnsi="Arial" w:cs="Arial"/>
          <w:sz w:val="24"/>
          <w:szCs w:val="24"/>
        </w:rPr>
      </w:pPr>
      <w:r w:rsidRPr="00231B1B">
        <w:rPr>
          <w:rFonts w:ascii="Arial" w:hAnsi="Arial" w:cs="Arial"/>
          <w:sz w:val="24"/>
          <w:szCs w:val="24"/>
        </w:rPr>
        <w:t>Restructuring related costs also include, but are not limited to, safety training costs and any other costs that are restructuring related, incremental, prudent and reasonably incurred.</w:t>
      </w:r>
    </w:p>
    <w:p w:rsidR="002501B1" w:rsidRPr="00231B1B" w:rsidRDefault="002501B1" w:rsidP="002501B1">
      <w:pPr>
        <w:tabs>
          <w:tab w:val="left" w:pos="1080"/>
          <w:tab w:val="left" w:pos="1800"/>
          <w:tab w:val="left" w:pos="2520"/>
        </w:tabs>
        <w:autoSpaceDE w:val="0"/>
        <w:autoSpaceDN w:val="0"/>
        <w:adjustRightInd w:val="0"/>
        <w:rPr>
          <w:rFonts w:ascii="Arial" w:hAnsi="Arial" w:cs="Arial"/>
          <w:sz w:val="24"/>
          <w:szCs w:val="24"/>
        </w:rPr>
      </w:pPr>
    </w:p>
    <w:p w:rsidR="002501B1" w:rsidRPr="00231B1B" w:rsidRDefault="002501B1" w:rsidP="002501B1">
      <w:pPr>
        <w:tabs>
          <w:tab w:val="left" w:pos="540"/>
          <w:tab w:val="left" w:pos="1080"/>
          <w:tab w:val="left" w:pos="1800"/>
          <w:tab w:val="left" w:pos="2520"/>
        </w:tabs>
        <w:autoSpaceDE w:val="0"/>
        <w:autoSpaceDN w:val="0"/>
        <w:adjustRightInd w:val="0"/>
        <w:ind w:left="450"/>
        <w:rPr>
          <w:rFonts w:ascii="Arial" w:hAnsi="Arial" w:cs="Arial"/>
          <w:sz w:val="24"/>
          <w:szCs w:val="24"/>
        </w:rPr>
      </w:pPr>
      <w:r w:rsidRPr="00231B1B">
        <w:rPr>
          <w:rFonts w:ascii="Arial" w:hAnsi="Arial" w:cs="Arial"/>
          <w:sz w:val="24"/>
          <w:szCs w:val="24"/>
        </w:rPr>
        <w:t>The calculation of the surcharge is in accordance with the automatic adjustment procedures utilized under Section 1307(f) of the Public Utility Code and is filed and approved in conjunction with the Company’s annual P</w:t>
      </w:r>
      <w:r w:rsidR="006D755E" w:rsidRPr="00231B1B">
        <w:rPr>
          <w:rFonts w:ascii="Arial" w:hAnsi="Arial" w:cs="Arial"/>
          <w:sz w:val="24"/>
          <w:szCs w:val="24"/>
        </w:rPr>
        <w:t xml:space="preserve">urchased </w:t>
      </w:r>
      <w:r w:rsidRPr="00231B1B">
        <w:rPr>
          <w:rFonts w:ascii="Arial" w:hAnsi="Arial" w:cs="Arial"/>
          <w:sz w:val="24"/>
          <w:szCs w:val="24"/>
        </w:rPr>
        <w:t>G</w:t>
      </w:r>
      <w:r w:rsidR="006D755E" w:rsidRPr="00231B1B">
        <w:rPr>
          <w:rFonts w:ascii="Arial" w:hAnsi="Arial" w:cs="Arial"/>
          <w:sz w:val="24"/>
          <w:szCs w:val="24"/>
        </w:rPr>
        <w:t xml:space="preserve">as </w:t>
      </w:r>
      <w:r w:rsidRPr="00231B1B">
        <w:rPr>
          <w:rFonts w:ascii="Arial" w:hAnsi="Arial" w:cs="Arial"/>
          <w:sz w:val="24"/>
          <w:szCs w:val="24"/>
        </w:rPr>
        <w:t>C</w:t>
      </w:r>
      <w:r w:rsidR="006D755E" w:rsidRPr="00231B1B">
        <w:rPr>
          <w:rFonts w:ascii="Arial" w:hAnsi="Arial" w:cs="Arial"/>
          <w:sz w:val="24"/>
          <w:szCs w:val="24"/>
        </w:rPr>
        <w:t>ost (PGC)</w:t>
      </w:r>
      <w:r w:rsidRPr="00231B1B">
        <w:rPr>
          <w:rFonts w:ascii="Arial" w:hAnsi="Arial" w:cs="Arial"/>
          <w:sz w:val="24"/>
          <w:szCs w:val="24"/>
        </w:rPr>
        <w:t xml:space="preserve"> filing.</w:t>
      </w:r>
    </w:p>
    <w:p w:rsidR="002501B1" w:rsidRPr="00231B1B" w:rsidRDefault="002501B1" w:rsidP="002501B1">
      <w:pPr>
        <w:tabs>
          <w:tab w:val="left" w:pos="540"/>
          <w:tab w:val="left" w:pos="1080"/>
          <w:tab w:val="left" w:pos="1800"/>
          <w:tab w:val="left" w:pos="2520"/>
        </w:tabs>
        <w:autoSpaceDE w:val="0"/>
        <w:autoSpaceDN w:val="0"/>
        <w:adjustRightInd w:val="0"/>
        <w:ind w:left="450"/>
        <w:rPr>
          <w:rFonts w:ascii="Arial" w:hAnsi="Arial" w:cs="Arial"/>
          <w:sz w:val="24"/>
          <w:szCs w:val="24"/>
        </w:rPr>
      </w:pPr>
    </w:p>
    <w:p w:rsidR="002501B1" w:rsidRPr="00231B1B" w:rsidRDefault="002501B1" w:rsidP="002501B1">
      <w:pPr>
        <w:autoSpaceDE w:val="0"/>
        <w:autoSpaceDN w:val="0"/>
        <w:adjustRightInd w:val="0"/>
        <w:ind w:left="450"/>
        <w:rPr>
          <w:rFonts w:ascii="Arial" w:hAnsi="Arial" w:cs="Arial"/>
          <w:sz w:val="24"/>
          <w:szCs w:val="24"/>
        </w:rPr>
      </w:pPr>
      <w:r w:rsidRPr="00231B1B">
        <w:rPr>
          <w:rFonts w:ascii="Arial" w:hAnsi="Arial" w:cs="Arial"/>
          <w:sz w:val="24"/>
          <w:szCs w:val="24"/>
        </w:rPr>
        <w:t xml:space="preserve">The surcharge is calculated by dividing the total costs approved for annual recovery by the estimated applicable </w:t>
      </w:r>
      <w:r w:rsidR="0067452C">
        <w:rPr>
          <w:rFonts w:ascii="Arial" w:hAnsi="Arial" w:cs="Arial"/>
          <w:sz w:val="24"/>
          <w:szCs w:val="24"/>
        </w:rPr>
        <w:t>M</w:t>
      </w:r>
      <w:r w:rsidRPr="00231B1B">
        <w:rPr>
          <w:rFonts w:ascii="Arial" w:hAnsi="Arial" w:cs="Arial"/>
          <w:sz w:val="24"/>
          <w:szCs w:val="24"/>
        </w:rPr>
        <w:t>CFs of throughput and applied to all firm sales and transportation volumes.</w:t>
      </w:r>
    </w:p>
    <w:p w:rsidR="002501B1" w:rsidRPr="00231B1B" w:rsidRDefault="002501B1" w:rsidP="002501B1">
      <w:pPr>
        <w:autoSpaceDE w:val="0"/>
        <w:autoSpaceDN w:val="0"/>
        <w:adjustRightInd w:val="0"/>
        <w:ind w:left="450"/>
        <w:rPr>
          <w:rFonts w:ascii="Arial" w:hAnsi="Arial" w:cs="Arial"/>
          <w:sz w:val="24"/>
          <w:szCs w:val="24"/>
        </w:rPr>
      </w:pPr>
    </w:p>
    <w:p w:rsidR="002501B1" w:rsidRPr="00231B1B" w:rsidRDefault="002501B1" w:rsidP="002501B1">
      <w:pPr>
        <w:autoSpaceDE w:val="0"/>
        <w:autoSpaceDN w:val="0"/>
        <w:adjustRightInd w:val="0"/>
        <w:ind w:left="450"/>
        <w:rPr>
          <w:rFonts w:ascii="Arial" w:hAnsi="Arial" w:cs="Arial"/>
          <w:sz w:val="24"/>
          <w:szCs w:val="24"/>
        </w:rPr>
      </w:pPr>
      <w:r w:rsidRPr="00231B1B">
        <w:rPr>
          <w:rFonts w:ascii="Arial" w:hAnsi="Arial" w:cs="Arial"/>
          <w:sz w:val="24"/>
          <w:szCs w:val="24"/>
        </w:rPr>
        <w:t xml:space="preserve">PGW stopped billing the Restructuring </w:t>
      </w:r>
      <w:r w:rsidR="0067452C">
        <w:rPr>
          <w:rFonts w:ascii="Arial" w:hAnsi="Arial" w:cs="Arial"/>
          <w:sz w:val="24"/>
          <w:szCs w:val="24"/>
        </w:rPr>
        <w:t>a</w:t>
      </w:r>
      <w:r w:rsidRPr="00231B1B">
        <w:rPr>
          <w:rFonts w:ascii="Arial" w:hAnsi="Arial" w:cs="Arial"/>
          <w:sz w:val="24"/>
          <w:szCs w:val="24"/>
        </w:rPr>
        <w:t xml:space="preserve">nd Consumer Education Surcharge after August 2007. </w:t>
      </w:r>
      <w:r w:rsidR="000E64EC" w:rsidRPr="00231B1B">
        <w:rPr>
          <w:rFonts w:ascii="Arial" w:hAnsi="Arial" w:cs="Arial"/>
          <w:sz w:val="24"/>
          <w:szCs w:val="24"/>
        </w:rPr>
        <w:t xml:space="preserve"> </w:t>
      </w:r>
      <w:r w:rsidRPr="00231B1B">
        <w:rPr>
          <w:rFonts w:ascii="Arial" w:hAnsi="Arial" w:cs="Arial"/>
          <w:sz w:val="24"/>
          <w:szCs w:val="24"/>
        </w:rPr>
        <w:t xml:space="preserve">In </w:t>
      </w:r>
      <w:r w:rsidR="00896598" w:rsidRPr="00231B1B">
        <w:rPr>
          <w:rFonts w:ascii="Arial" w:hAnsi="Arial" w:cs="Arial"/>
          <w:sz w:val="24"/>
          <w:szCs w:val="24"/>
        </w:rPr>
        <w:t xml:space="preserve">conjunction with </w:t>
      </w:r>
      <w:r w:rsidR="00BB2F48" w:rsidRPr="00231B1B">
        <w:rPr>
          <w:rFonts w:ascii="Arial" w:hAnsi="Arial" w:cs="Arial"/>
          <w:sz w:val="24"/>
          <w:szCs w:val="24"/>
        </w:rPr>
        <w:t>PGW’s</w:t>
      </w:r>
      <w:r w:rsidRPr="00231B1B">
        <w:rPr>
          <w:rFonts w:ascii="Arial" w:hAnsi="Arial" w:cs="Arial"/>
          <w:sz w:val="24"/>
          <w:szCs w:val="24"/>
        </w:rPr>
        <w:t xml:space="preserve"> annual PG</w:t>
      </w:r>
      <w:r w:rsidR="003B1322" w:rsidRPr="00231B1B">
        <w:rPr>
          <w:rFonts w:ascii="Arial" w:hAnsi="Arial" w:cs="Arial"/>
          <w:sz w:val="24"/>
          <w:szCs w:val="24"/>
        </w:rPr>
        <w:t xml:space="preserve">C </w:t>
      </w:r>
      <w:r w:rsidRPr="00231B1B">
        <w:rPr>
          <w:rFonts w:ascii="Arial" w:hAnsi="Arial" w:cs="Arial"/>
          <w:sz w:val="24"/>
          <w:szCs w:val="24"/>
        </w:rPr>
        <w:t xml:space="preserve">Rate filing submitted pursuant to 66 Pa. C.S. § 1307 (f), at Docket No. R-2008-2021348, </w:t>
      </w:r>
      <w:r w:rsidR="00BB2F48" w:rsidRPr="00231B1B">
        <w:rPr>
          <w:rFonts w:ascii="Arial" w:hAnsi="Arial" w:cs="Arial"/>
          <w:sz w:val="24"/>
          <w:szCs w:val="24"/>
        </w:rPr>
        <w:t>the Company</w:t>
      </w:r>
      <w:r w:rsidRPr="00231B1B">
        <w:rPr>
          <w:rFonts w:ascii="Arial" w:hAnsi="Arial" w:cs="Arial"/>
          <w:sz w:val="24"/>
          <w:szCs w:val="24"/>
        </w:rPr>
        <w:t xml:space="preserve"> proposed to recover the remaining recoverable costs of $3,527,945 through its base rates.  By Commission Order issued October 15, 2008 for that proceeding, PGW was directed to re-implement the Restructuring </w:t>
      </w:r>
      <w:r w:rsidR="0067452C">
        <w:rPr>
          <w:rFonts w:ascii="Arial" w:hAnsi="Arial" w:cs="Arial"/>
          <w:sz w:val="24"/>
          <w:szCs w:val="24"/>
        </w:rPr>
        <w:t>a</w:t>
      </w:r>
      <w:r w:rsidRPr="00231B1B">
        <w:rPr>
          <w:rFonts w:ascii="Arial" w:hAnsi="Arial" w:cs="Arial"/>
          <w:sz w:val="24"/>
          <w:szCs w:val="24"/>
        </w:rPr>
        <w:t xml:space="preserve">nd Consumer Education Surcharge during the four year period beginning September 1, 2008 to recover the remaining </w:t>
      </w:r>
      <w:r w:rsidR="00C04690">
        <w:rPr>
          <w:rFonts w:ascii="Arial" w:hAnsi="Arial" w:cs="Arial"/>
          <w:sz w:val="24"/>
          <w:szCs w:val="24"/>
        </w:rPr>
        <w:t xml:space="preserve">$3,527,945 </w:t>
      </w:r>
      <w:r w:rsidRPr="00231B1B">
        <w:rPr>
          <w:rFonts w:ascii="Arial" w:hAnsi="Arial" w:cs="Arial"/>
          <w:sz w:val="24"/>
          <w:szCs w:val="24"/>
        </w:rPr>
        <w:t xml:space="preserve">balance of the </w:t>
      </w:r>
      <w:r w:rsidR="000E24B9">
        <w:rPr>
          <w:rFonts w:ascii="Arial" w:hAnsi="Arial" w:cs="Arial"/>
          <w:sz w:val="24"/>
          <w:szCs w:val="24"/>
        </w:rPr>
        <w:t>r</w:t>
      </w:r>
      <w:r w:rsidRPr="00231B1B">
        <w:rPr>
          <w:rFonts w:ascii="Arial" w:hAnsi="Arial" w:cs="Arial"/>
          <w:sz w:val="24"/>
          <w:szCs w:val="24"/>
        </w:rPr>
        <w:t xml:space="preserve">estructuring and </w:t>
      </w:r>
      <w:r w:rsidR="000E24B9">
        <w:rPr>
          <w:rFonts w:ascii="Arial" w:hAnsi="Arial" w:cs="Arial"/>
          <w:sz w:val="24"/>
          <w:szCs w:val="24"/>
        </w:rPr>
        <w:t>c</w:t>
      </w:r>
      <w:r w:rsidRPr="00231B1B">
        <w:rPr>
          <w:rFonts w:ascii="Arial" w:hAnsi="Arial" w:cs="Arial"/>
          <w:sz w:val="24"/>
          <w:szCs w:val="24"/>
        </w:rPr>
        <w:t xml:space="preserve">onsumer </w:t>
      </w:r>
      <w:r w:rsidR="000E24B9">
        <w:rPr>
          <w:rFonts w:ascii="Arial" w:hAnsi="Arial" w:cs="Arial"/>
          <w:sz w:val="24"/>
          <w:szCs w:val="24"/>
        </w:rPr>
        <w:t>e</w:t>
      </w:r>
      <w:r w:rsidRPr="00231B1B">
        <w:rPr>
          <w:rFonts w:ascii="Arial" w:hAnsi="Arial" w:cs="Arial"/>
          <w:sz w:val="24"/>
          <w:szCs w:val="24"/>
        </w:rPr>
        <w:t>ducation costs.</w:t>
      </w:r>
      <w:r w:rsidR="00703C5D" w:rsidRPr="00231B1B">
        <w:rPr>
          <w:rFonts w:ascii="Arial" w:hAnsi="Arial" w:cs="Arial"/>
          <w:sz w:val="24"/>
          <w:szCs w:val="24"/>
        </w:rPr>
        <w:t xml:space="preserve"> </w:t>
      </w:r>
      <w:r w:rsidRPr="00231B1B">
        <w:rPr>
          <w:rFonts w:ascii="Arial" w:hAnsi="Arial" w:cs="Arial"/>
          <w:sz w:val="24"/>
          <w:szCs w:val="24"/>
        </w:rPr>
        <w:t xml:space="preserve"> The Restructuring </w:t>
      </w:r>
      <w:r w:rsidR="0067452C">
        <w:rPr>
          <w:rFonts w:ascii="Arial" w:hAnsi="Arial" w:cs="Arial"/>
          <w:sz w:val="24"/>
          <w:szCs w:val="24"/>
        </w:rPr>
        <w:t>a</w:t>
      </w:r>
      <w:r w:rsidRPr="00231B1B">
        <w:rPr>
          <w:rFonts w:ascii="Arial" w:hAnsi="Arial" w:cs="Arial"/>
          <w:sz w:val="24"/>
          <w:szCs w:val="24"/>
        </w:rPr>
        <w:t xml:space="preserve">nd Consumer Education Surcharge will be set to recover this balance during the period of September 1, 2008, to August 31, 2011. </w:t>
      </w:r>
      <w:r w:rsidR="00703C5D" w:rsidRPr="00231B1B">
        <w:rPr>
          <w:rFonts w:ascii="Arial" w:hAnsi="Arial" w:cs="Arial"/>
          <w:sz w:val="24"/>
          <w:szCs w:val="24"/>
        </w:rPr>
        <w:t xml:space="preserve"> </w:t>
      </w:r>
      <w:r w:rsidRPr="00231B1B">
        <w:rPr>
          <w:rFonts w:ascii="Arial" w:hAnsi="Arial" w:cs="Arial"/>
          <w:sz w:val="24"/>
          <w:szCs w:val="24"/>
        </w:rPr>
        <w:t xml:space="preserve">Any over-recovery or </w:t>
      </w:r>
      <w:r w:rsidR="00703C5D" w:rsidRPr="00231B1B">
        <w:rPr>
          <w:rFonts w:ascii="Arial" w:hAnsi="Arial" w:cs="Arial"/>
          <w:sz w:val="24"/>
          <w:szCs w:val="24"/>
        </w:rPr>
        <w:t>under</w:t>
      </w:r>
      <w:r w:rsidR="00E96CC2" w:rsidRPr="00231B1B">
        <w:rPr>
          <w:rFonts w:ascii="Arial" w:hAnsi="Arial" w:cs="Arial"/>
          <w:sz w:val="24"/>
          <w:szCs w:val="24"/>
        </w:rPr>
        <w:t>-recovery that exists as of August 31, 2011, will be either</w:t>
      </w:r>
    </w:p>
    <w:p w:rsidR="00965632" w:rsidRPr="00231B1B" w:rsidRDefault="00965632" w:rsidP="002501B1">
      <w:pPr>
        <w:spacing w:line="360" w:lineRule="atLeast"/>
        <w:jc w:val="center"/>
        <w:outlineLvl w:val="0"/>
        <w:rPr>
          <w:rFonts w:ascii="Arial" w:hAnsi="Arial" w:cs="Arial"/>
          <w:b/>
          <w:sz w:val="24"/>
          <w:szCs w:val="24"/>
          <w:u w:val="single"/>
        </w:rPr>
        <w:sectPr w:rsidR="00965632" w:rsidRPr="00231B1B" w:rsidSect="00733821">
          <w:footerReference w:type="default" r:id="rId19"/>
          <w:pgSz w:w="12240" w:h="15840" w:code="1"/>
          <w:pgMar w:top="1440" w:right="1440" w:bottom="1152" w:left="1440" w:header="0" w:footer="720" w:gutter="0"/>
          <w:cols w:space="720"/>
          <w:noEndnote/>
        </w:sectPr>
      </w:pPr>
    </w:p>
    <w:p w:rsidR="002501B1" w:rsidRPr="001849D4" w:rsidRDefault="002501B1" w:rsidP="002501B1">
      <w:pPr>
        <w:spacing w:line="360" w:lineRule="atLeast"/>
        <w:jc w:val="center"/>
        <w:outlineLvl w:val="0"/>
        <w:rPr>
          <w:rFonts w:ascii="Arial" w:hAnsi="Arial" w:cs="Arial"/>
          <w:b/>
          <w:sz w:val="28"/>
          <w:szCs w:val="28"/>
        </w:rPr>
      </w:pPr>
      <w:r>
        <w:rPr>
          <w:rFonts w:ascii="Arial" w:hAnsi="Arial" w:cs="Arial"/>
          <w:b/>
          <w:sz w:val="28"/>
          <w:szCs w:val="28"/>
          <w:u w:val="single"/>
        </w:rPr>
        <w:lastRenderedPageBreak/>
        <w:t>P</w:t>
      </w:r>
      <w:r w:rsidRPr="001849D4">
        <w:rPr>
          <w:rFonts w:ascii="Arial" w:hAnsi="Arial" w:cs="Arial"/>
          <w:b/>
          <w:sz w:val="28"/>
          <w:szCs w:val="28"/>
          <w:u w:val="single"/>
        </w:rPr>
        <w:t>HILADELPHIA GAS WORKS</w:t>
      </w:r>
    </w:p>
    <w:p w:rsidR="002501B1" w:rsidRPr="007445B8" w:rsidRDefault="002501B1" w:rsidP="002501B1">
      <w:pPr>
        <w:rPr>
          <w:rFonts w:ascii="Arial" w:hAnsi="Arial" w:cs="Arial"/>
          <w:b/>
          <w:sz w:val="24"/>
          <w:szCs w:val="26"/>
          <w:u w:val="single"/>
        </w:rPr>
      </w:pPr>
    </w:p>
    <w:p w:rsidR="002501B1" w:rsidRPr="00231B1B" w:rsidRDefault="002501B1" w:rsidP="002501B1">
      <w:pPr>
        <w:jc w:val="center"/>
        <w:rPr>
          <w:rFonts w:ascii="Arial" w:hAnsi="Arial" w:cs="Arial"/>
          <w:b/>
          <w:sz w:val="26"/>
          <w:szCs w:val="26"/>
          <w:u w:val="single"/>
        </w:rPr>
      </w:pPr>
      <w:r w:rsidRPr="00231B1B">
        <w:rPr>
          <w:rFonts w:ascii="Arial" w:hAnsi="Arial" w:cs="Arial"/>
          <w:b/>
          <w:sz w:val="26"/>
          <w:szCs w:val="26"/>
          <w:u w:val="single"/>
        </w:rPr>
        <w:t>Notes to the Financial Statements</w:t>
      </w:r>
      <w:r w:rsidR="00703C5D" w:rsidRPr="00231B1B">
        <w:rPr>
          <w:rFonts w:ascii="Arial" w:hAnsi="Arial" w:cs="Arial"/>
          <w:b/>
          <w:sz w:val="26"/>
          <w:szCs w:val="26"/>
          <w:u w:val="single"/>
        </w:rPr>
        <w:t xml:space="preserve"> (continued)</w:t>
      </w:r>
    </w:p>
    <w:p w:rsidR="00CB4C9A" w:rsidRPr="00231B1B" w:rsidRDefault="00CB4C9A" w:rsidP="00703C5D">
      <w:pPr>
        <w:rPr>
          <w:rFonts w:ascii="Arial" w:hAnsi="Arial" w:cs="Arial"/>
          <w:b/>
          <w:sz w:val="24"/>
          <w:szCs w:val="24"/>
          <w:u w:val="single"/>
        </w:rPr>
      </w:pPr>
    </w:p>
    <w:p w:rsidR="00CB4C9A" w:rsidRPr="00231B1B" w:rsidRDefault="00CB4C9A" w:rsidP="00703C5D">
      <w:pPr>
        <w:rPr>
          <w:rFonts w:ascii="Arial" w:hAnsi="Arial" w:cs="Arial"/>
          <w:b/>
          <w:sz w:val="24"/>
          <w:szCs w:val="24"/>
          <w:u w:val="single"/>
        </w:rPr>
      </w:pPr>
    </w:p>
    <w:p w:rsidR="00CB4C9A" w:rsidRPr="00231B1B" w:rsidRDefault="00CB4C9A" w:rsidP="002501B1">
      <w:pPr>
        <w:autoSpaceDE w:val="0"/>
        <w:autoSpaceDN w:val="0"/>
        <w:adjustRightInd w:val="0"/>
        <w:ind w:left="450"/>
        <w:rPr>
          <w:rFonts w:ascii="Arial" w:hAnsi="Arial" w:cs="Arial"/>
          <w:sz w:val="24"/>
          <w:szCs w:val="24"/>
        </w:rPr>
      </w:pPr>
    </w:p>
    <w:p w:rsidR="002501B1" w:rsidRPr="00231B1B" w:rsidRDefault="00CB4C9A" w:rsidP="002501B1">
      <w:pPr>
        <w:autoSpaceDE w:val="0"/>
        <w:autoSpaceDN w:val="0"/>
        <w:adjustRightInd w:val="0"/>
        <w:ind w:left="450"/>
        <w:rPr>
          <w:rFonts w:ascii="Arial" w:hAnsi="Arial" w:cs="Arial"/>
          <w:sz w:val="24"/>
          <w:szCs w:val="24"/>
        </w:rPr>
      </w:pPr>
      <w:r w:rsidRPr="00231B1B">
        <w:rPr>
          <w:rFonts w:ascii="Arial" w:hAnsi="Arial" w:cs="Arial"/>
          <w:sz w:val="24"/>
          <w:szCs w:val="24"/>
        </w:rPr>
        <w:t xml:space="preserve">returned to or recovered from the </w:t>
      </w:r>
      <w:r w:rsidR="002501B1" w:rsidRPr="00231B1B">
        <w:rPr>
          <w:rFonts w:ascii="Arial" w:hAnsi="Arial" w:cs="Arial"/>
          <w:sz w:val="24"/>
          <w:szCs w:val="24"/>
        </w:rPr>
        <w:t>ratepayers during the period of September 1, 2011 to August 31, 2012. If an over</w:t>
      </w:r>
      <w:r w:rsidR="000E24B9">
        <w:rPr>
          <w:rFonts w:ascii="Arial" w:hAnsi="Arial" w:cs="Arial"/>
          <w:sz w:val="24"/>
          <w:szCs w:val="24"/>
        </w:rPr>
        <w:t xml:space="preserve"> </w:t>
      </w:r>
      <w:r w:rsidR="002501B1" w:rsidRPr="00231B1B">
        <w:rPr>
          <w:rFonts w:ascii="Arial" w:hAnsi="Arial" w:cs="Arial"/>
          <w:sz w:val="24"/>
          <w:szCs w:val="24"/>
        </w:rPr>
        <w:t>recovery balance remains as of August 31, 2012, the Company will use the funds for low income programs, or, if any under</w:t>
      </w:r>
      <w:r w:rsidR="000E24B9">
        <w:rPr>
          <w:rFonts w:ascii="Arial" w:hAnsi="Arial" w:cs="Arial"/>
          <w:sz w:val="24"/>
          <w:szCs w:val="24"/>
        </w:rPr>
        <w:t xml:space="preserve"> </w:t>
      </w:r>
      <w:r w:rsidR="002501B1" w:rsidRPr="00231B1B">
        <w:rPr>
          <w:rFonts w:ascii="Arial" w:hAnsi="Arial" w:cs="Arial"/>
          <w:sz w:val="24"/>
          <w:szCs w:val="24"/>
        </w:rPr>
        <w:t>recovery balance remains, the Company will forego recovery of these funds.</w:t>
      </w:r>
    </w:p>
    <w:p w:rsidR="001437AB" w:rsidRPr="00231B1B" w:rsidRDefault="001437AB">
      <w:pPr>
        <w:tabs>
          <w:tab w:val="left" w:pos="360"/>
        </w:tabs>
        <w:outlineLvl w:val="0"/>
        <w:rPr>
          <w:rFonts w:ascii="Arial" w:hAnsi="Arial" w:cs="Arial"/>
          <w:b/>
          <w:sz w:val="24"/>
          <w:szCs w:val="24"/>
          <w:u w:val="single"/>
        </w:rPr>
      </w:pPr>
    </w:p>
    <w:p w:rsidR="001437AB" w:rsidRPr="00231B1B" w:rsidRDefault="001437AB">
      <w:pPr>
        <w:tabs>
          <w:tab w:val="left" w:pos="360"/>
        </w:tabs>
        <w:outlineLvl w:val="0"/>
        <w:rPr>
          <w:rFonts w:ascii="Arial" w:hAnsi="Arial" w:cs="Arial"/>
          <w:b/>
          <w:sz w:val="24"/>
          <w:szCs w:val="24"/>
          <w:u w:val="single"/>
        </w:rPr>
      </w:pPr>
    </w:p>
    <w:p w:rsidR="00EC58EA" w:rsidRPr="00231B1B" w:rsidRDefault="00824C36" w:rsidP="003B1322">
      <w:pPr>
        <w:rPr>
          <w:rFonts w:ascii="Arial" w:hAnsi="Arial" w:cs="Arial"/>
          <w:b/>
          <w:sz w:val="24"/>
          <w:szCs w:val="24"/>
          <w:u w:val="single"/>
        </w:rPr>
      </w:pPr>
      <w:r w:rsidRPr="00231B1B">
        <w:rPr>
          <w:rFonts w:ascii="Arial" w:hAnsi="Arial" w:cs="Arial"/>
          <w:b/>
          <w:sz w:val="24"/>
          <w:szCs w:val="24"/>
          <w:u w:val="single"/>
        </w:rPr>
        <w:t>2</w:t>
      </w:r>
      <w:r w:rsidR="00EC58EA" w:rsidRPr="00231B1B">
        <w:rPr>
          <w:rFonts w:ascii="Arial" w:hAnsi="Arial" w:cs="Arial"/>
          <w:b/>
          <w:sz w:val="24"/>
          <w:szCs w:val="24"/>
          <w:u w:val="single"/>
        </w:rPr>
        <w:t xml:space="preserve"> – </w:t>
      </w:r>
      <w:r w:rsidR="003B1322" w:rsidRPr="00231B1B">
        <w:rPr>
          <w:rFonts w:ascii="Arial" w:hAnsi="Arial" w:cs="Arial"/>
          <w:sz w:val="24"/>
          <w:szCs w:val="24"/>
          <w:u w:val="single"/>
        </w:rPr>
        <w:t xml:space="preserve">Restructuring </w:t>
      </w:r>
      <w:r w:rsidR="00652B13">
        <w:rPr>
          <w:rFonts w:ascii="Arial" w:hAnsi="Arial" w:cs="Arial"/>
          <w:sz w:val="24"/>
          <w:szCs w:val="24"/>
          <w:u w:val="single"/>
        </w:rPr>
        <w:t>a</w:t>
      </w:r>
      <w:r w:rsidR="003B1322" w:rsidRPr="00231B1B">
        <w:rPr>
          <w:rFonts w:ascii="Arial" w:hAnsi="Arial" w:cs="Arial"/>
          <w:sz w:val="24"/>
          <w:szCs w:val="24"/>
          <w:u w:val="single"/>
        </w:rPr>
        <w:t xml:space="preserve">nd Consumer Education </w:t>
      </w:r>
      <w:r w:rsidR="006B35F0">
        <w:rPr>
          <w:rFonts w:ascii="Arial" w:hAnsi="Arial" w:cs="Arial"/>
          <w:sz w:val="24"/>
          <w:szCs w:val="24"/>
          <w:u w:val="single"/>
        </w:rPr>
        <w:t xml:space="preserve">Surcharge </w:t>
      </w:r>
      <w:bookmarkStart w:id="0" w:name="_GoBack"/>
      <w:bookmarkEnd w:id="0"/>
      <w:r w:rsidR="003B1322" w:rsidRPr="00231B1B">
        <w:rPr>
          <w:rFonts w:ascii="Arial" w:hAnsi="Arial" w:cs="Arial"/>
          <w:sz w:val="24"/>
          <w:szCs w:val="24"/>
          <w:u w:val="single"/>
        </w:rPr>
        <w:t xml:space="preserve">Cost </w:t>
      </w:r>
      <w:r w:rsidR="003B1322" w:rsidRPr="00231B1B">
        <w:rPr>
          <w:rFonts w:ascii="Arial" w:hAnsi="Arial" w:cs="Arial"/>
          <w:sz w:val="24"/>
          <w:szCs w:val="24"/>
          <w:u w:val="single"/>
        </w:rPr>
        <w:tab/>
        <w:t>Recoveries</w:t>
      </w:r>
    </w:p>
    <w:p w:rsidR="007A1DB0" w:rsidRPr="00231B1B" w:rsidRDefault="007A1DB0">
      <w:pPr>
        <w:tabs>
          <w:tab w:val="left" w:pos="0"/>
        </w:tabs>
        <w:ind w:left="450"/>
        <w:rPr>
          <w:rFonts w:ascii="Arial" w:hAnsi="Arial" w:cs="Arial"/>
          <w:sz w:val="24"/>
          <w:szCs w:val="24"/>
        </w:rPr>
      </w:pPr>
    </w:p>
    <w:p w:rsidR="00EC58EA" w:rsidRPr="00231B1B" w:rsidRDefault="006E11CC">
      <w:pPr>
        <w:tabs>
          <w:tab w:val="left" w:pos="0"/>
        </w:tabs>
        <w:ind w:left="450"/>
        <w:rPr>
          <w:rFonts w:ascii="Arial" w:hAnsi="Arial" w:cs="Arial"/>
          <w:sz w:val="24"/>
          <w:szCs w:val="24"/>
        </w:rPr>
      </w:pPr>
      <w:r w:rsidRPr="00231B1B">
        <w:rPr>
          <w:rFonts w:ascii="Arial" w:hAnsi="Arial" w:cs="Arial"/>
          <w:sz w:val="24"/>
          <w:szCs w:val="24"/>
        </w:rPr>
        <w:t xml:space="preserve">Restructuring </w:t>
      </w:r>
      <w:r w:rsidR="0067452C">
        <w:rPr>
          <w:rFonts w:ascii="Arial" w:hAnsi="Arial" w:cs="Arial"/>
          <w:sz w:val="24"/>
          <w:szCs w:val="24"/>
        </w:rPr>
        <w:t>a</w:t>
      </w:r>
      <w:r w:rsidRPr="00231B1B">
        <w:rPr>
          <w:rFonts w:ascii="Arial" w:hAnsi="Arial" w:cs="Arial"/>
          <w:sz w:val="24"/>
          <w:szCs w:val="24"/>
        </w:rPr>
        <w:t>nd Consumer Education Surcharge</w:t>
      </w:r>
      <w:r w:rsidR="00EC58EA" w:rsidRPr="00231B1B">
        <w:rPr>
          <w:rFonts w:ascii="Arial" w:hAnsi="Arial" w:cs="Arial"/>
          <w:sz w:val="24"/>
          <w:szCs w:val="24"/>
        </w:rPr>
        <w:t xml:space="preserve"> </w:t>
      </w:r>
      <w:r w:rsidR="009E3B45" w:rsidRPr="00231B1B">
        <w:rPr>
          <w:rFonts w:ascii="Arial" w:hAnsi="Arial" w:cs="Arial"/>
          <w:sz w:val="24"/>
          <w:szCs w:val="24"/>
        </w:rPr>
        <w:t xml:space="preserve">Cost </w:t>
      </w:r>
      <w:r w:rsidR="00EC58EA" w:rsidRPr="00231B1B">
        <w:rPr>
          <w:rFonts w:ascii="Arial" w:hAnsi="Arial" w:cs="Arial"/>
          <w:sz w:val="24"/>
          <w:szCs w:val="24"/>
        </w:rPr>
        <w:t>Re</w:t>
      </w:r>
      <w:r w:rsidR="009E3B45" w:rsidRPr="00231B1B">
        <w:rPr>
          <w:rFonts w:ascii="Arial" w:hAnsi="Arial" w:cs="Arial"/>
          <w:sz w:val="24"/>
          <w:szCs w:val="24"/>
        </w:rPr>
        <w:t>coveries</w:t>
      </w:r>
      <w:r w:rsidR="00EC58EA" w:rsidRPr="00231B1B">
        <w:rPr>
          <w:rFonts w:ascii="Arial" w:hAnsi="Arial" w:cs="Arial"/>
          <w:sz w:val="24"/>
          <w:szCs w:val="24"/>
        </w:rPr>
        <w:t xml:space="preserve"> are derived by multiplying the applicable unit sales </w:t>
      </w:r>
      <w:r w:rsidR="000E24B9">
        <w:rPr>
          <w:rFonts w:ascii="Arial" w:hAnsi="Arial" w:cs="Arial"/>
          <w:sz w:val="24"/>
          <w:szCs w:val="24"/>
        </w:rPr>
        <w:t xml:space="preserve">and transportation volumes </w:t>
      </w:r>
      <w:r w:rsidR="00EC58EA" w:rsidRPr="00231B1B">
        <w:rPr>
          <w:rFonts w:ascii="Arial" w:hAnsi="Arial" w:cs="Arial"/>
          <w:sz w:val="24"/>
          <w:szCs w:val="24"/>
        </w:rPr>
        <w:t xml:space="preserve">billed during the </w:t>
      </w:r>
      <w:r w:rsidR="00C04690">
        <w:rPr>
          <w:rFonts w:ascii="Arial" w:hAnsi="Arial" w:cs="Arial"/>
          <w:sz w:val="24"/>
          <w:szCs w:val="24"/>
        </w:rPr>
        <w:t>twelve month period</w:t>
      </w:r>
      <w:r w:rsidR="00C04690" w:rsidRPr="00231B1B">
        <w:rPr>
          <w:rFonts w:ascii="Arial" w:hAnsi="Arial" w:cs="Arial"/>
          <w:sz w:val="24"/>
          <w:szCs w:val="24"/>
        </w:rPr>
        <w:t xml:space="preserve"> </w:t>
      </w:r>
      <w:r w:rsidR="00EC58EA" w:rsidRPr="00231B1B">
        <w:rPr>
          <w:rFonts w:ascii="Arial" w:hAnsi="Arial" w:cs="Arial"/>
          <w:sz w:val="24"/>
          <w:szCs w:val="24"/>
        </w:rPr>
        <w:t xml:space="preserve">by the </w:t>
      </w:r>
      <w:r w:rsidR="003248EB" w:rsidRPr="00231B1B">
        <w:rPr>
          <w:rFonts w:ascii="Arial" w:hAnsi="Arial" w:cs="Arial"/>
          <w:sz w:val="24"/>
          <w:szCs w:val="24"/>
        </w:rPr>
        <w:t>annual surcharge</w:t>
      </w:r>
      <w:r w:rsidR="009E3B45" w:rsidRPr="00231B1B">
        <w:rPr>
          <w:rFonts w:ascii="Arial" w:hAnsi="Arial" w:cs="Arial"/>
          <w:sz w:val="24"/>
          <w:szCs w:val="24"/>
        </w:rPr>
        <w:t xml:space="preserve"> rate</w:t>
      </w:r>
      <w:r w:rsidR="00EC58EA" w:rsidRPr="00231B1B">
        <w:rPr>
          <w:rFonts w:ascii="Arial" w:hAnsi="Arial" w:cs="Arial"/>
          <w:sz w:val="24"/>
          <w:szCs w:val="24"/>
        </w:rPr>
        <w:t>.</w:t>
      </w:r>
      <w:r w:rsidR="009E3B45" w:rsidRPr="00231B1B">
        <w:rPr>
          <w:rFonts w:ascii="Arial" w:hAnsi="Arial" w:cs="Arial"/>
          <w:sz w:val="24"/>
          <w:szCs w:val="24"/>
        </w:rPr>
        <w:t xml:space="preserve"> </w:t>
      </w:r>
      <w:r w:rsidR="003248EB" w:rsidRPr="00231B1B">
        <w:rPr>
          <w:rFonts w:ascii="Arial" w:hAnsi="Arial" w:cs="Arial"/>
          <w:sz w:val="24"/>
          <w:szCs w:val="24"/>
        </w:rPr>
        <w:t xml:space="preserve"> Applicable </w:t>
      </w:r>
      <w:r w:rsidR="009E3B45" w:rsidRPr="00231B1B">
        <w:rPr>
          <w:rFonts w:ascii="Arial" w:hAnsi="Arial" w:cs="Arial"/>
          <w:sz w:val="24"/>
          <w:szCs w:val="24"/>
        </w:rPr>
        <w:t xml:space="preserve">tariff </w:t>
      </w:r>
      <w:r w:rsidR="003248EB" w:rsidRPr="00231B1B">
        <w:rPr>
          <w:rFonts w:ascii="Arial" w:hAnsi="Arial" w:cs="Arial"/>
          <w:sz w:val="24"/>
          <w:szCs w:val="24"/>
        </w:rPr>
        <w:t>rate</w:t>
      </w:r>
      <w:r w:rsidR="009E3B45" w:rsidRPr="00231B1B">
        <w:rPr>
          <w:rFonts w:ascii="Arial" w:hAnsi="Arial" w:cs="Arial"/>
          <w:sz w:val="24"/>
          <w:szCs w:val="24"/>
        </w:rPr>
        <w:t xml:space="preserve"> </w:t>
      </w:r>
      <w:r w:rsidR="003248EB" w:rsidRPr="00231B1B">
        <w:rPr>
          <w:rFonts w:ascii="Arial" w:hAnsi="Arial" w:cs="Arial"/>
          <w:sz w:val="24"/>
          <w:szCs w:val="24"/>
        </w:rPr>
        <w:t>s</w:t>
      </w:r>
      <w:r w:rsidR="009E3B45" w:rsidRPr="00231B1B">
        <w:rPr>
          <w:rFonts w:ascii="Arial" w:hAnsi="Arial" w:cs="Arial"/>
          <w:sz w:val="24"/>
          <w:szCs w:val="24"/>
        </w:rPr>
        <w:t>chedules</w:t>
      </w:r>
      <w:r w:rsidR="003248EB" w:rsidRPr="00231B1B">
        <w:rPr>
          <w:rFonts w:ascii="Arial" w:hAnsi="Arial" w:cs="Arial"/>
          <w:sz w:val="24"/>
          <w:szCs w:val="24"/>
        </w:rPr>
        <w:t xml:space="preserve"> for this surcharge </w:t>
      </w:r>
      <w:r w:rsidR="00936903" w:rsidRPr="00231B1B">
        <w:rPr>
          <w:rFonts w:ascii="Arial" w:hAnsi="Arial" w:cs="Arial"/>
          <w:sz w:val="24"/>
          <w:szCs w:val="24"/>
        </w:rPr>
        <w:t>include</w:t>
      </w:r>
      <w:r w:rsidR="003248EB" w:rsidRPr="00231B1B">
        <w:rPr>
          <w:rFonts w:ascii="Arial" w:hAnsi="Arial" w:cs="Arial"/>
          <w:sz w:val="24"/>
          <w:szCs w:val="24"/>
        </w:rPr>
        <w:t xml:space="preserve"> GSR, GSRT, GSC, GSI, NGVF, PHA, MS and FT</w:t>
      </w:r>
      <w:r w:rsidR="00936903" w:rsidRPr="00231B1B">
        <w:rPr>
          <w:rFonts w:ascii="Arial" w:hAnsi="Arial" w:cs="Arial"/>
          <w:sz w:val="24"/>
          <w:szCs w:val="24"/>
        </w:rPr>
        <w:t>.</w:t>
      </w:r>
    </w:p>
    <w:p w:rsidR="00EC58EA" w:rsidRPr="00703C5D" w:rsidRDefault="00EC58EA">
      <w:pPr>
        <w:tabs>
          <w:tab w:val="left" w:pos="0"/>
        </w:tabs>
        <w:rPr>
          <w:rFonts w:ascii="Arial" w:hAnsi="Arial" w:cs="Arial"/>
          <w:sz w:val="24"/>
          <w:szCs w:val="24"/>
        </w:rPr>
      </w:pPr>
    </w:p>
    <w:p w:rsidR="00EC58EA" w:rsidRPr="00703C5D" w:rsidRDefault="00EC58EA">
      <w:pPr>
        <w:autoSpaceDE w:val="0"/>
        <w:autoSpaceDN w:val="0"/>
        <w:adjustRightInd w:val="0"/>
        <w:rPr>
          <w:rFonts w:ascii="Arial" w:hAnsi="Arial" w:cs="Arial"/>
          <w:sz w:val="24"/>
          <w:szCs w:val="24"/>
        </w:rPr>
      </w:pPr>
    </w:p>
    <w:p w:rsidR="00C122C6" w:rsidRPr="00703C5D" w:rsidRDefault="00C122C6" w:rsidP="00C122C6">
      <w:pPr>
        <w:autoSpaceDE w:val="0"/>
        <w:autoSpaceDN w:val="0"/>
        <w:adjustRightInd w:val="0"/>
        <w:ind w:left="450"/>
        <w:rPr>
          <w:rFonts w:ascii="Arial" w:hAnsi="Arial" w:cs="Arial"/>
          <w:sz w:val="24"/>
          <w:szCs w:val="24"/>
        </w:rPr>
      </w:pPr>
    </w:p>
    <w:p w:rsidR="00C122C6" w:rsidRPr="00703C5D" w:rsidRDefault="00C122C6" w:rsidP="00C122C6">
      <w:pPr>
        <w:autoSpaceDE w:val="0"/>
        <w:autoSpaceDN w:val="0"/>
        <w:adjustRightInd w:val="0"/>
        <w:ind w:left="450"/>
        <w:rPr>
          <w:rFonts w:ascii="Arial" w:hAnsi="Arial" w:cs="Arial"/>
          <w:sz w:val="24"/>
          <w:szCs w:val="24"/>
        </w:rPr>
      </w:pPr>
    </w:p>
    <w:p w:rsidR="00C122C6" w:rsidRPr="00703C5D" w:rsidRDefault="00C122C6" w:rsidP="00C122C6">
      <w:pPr>
        <w:autoSpaceDE w:val="0"/>
        <w:autoSpaceDN w:val="0"/>
        <w:adjustRightInd w:val="0"/>
        <w:ind w:left="450"/>
        <w:rPr>
          <w:rFonts w:ascii="Arial" w:hAnsi="Arial" w:cs="Arial"/>
          <w:sz w:val="24"/>
          <w:szCs w:val="24"/>
        </w:rPr>
      </w:pPr>
    </w:p>
    <w:p w:rsidR="00C122C6" w:rsidRPr="00703C5D" w:rsidRDefault="00C122C6" w:rsidP="00C122C6">
      <w:pPr>
        <w:autoSpaceDE w:val="0"/>
        <w:autoSpaceDN w:val="0"/>
        <w:adjustRightInd w:val="0"/>
        <w:ind w:left="450"/>
        <w:rPr>
          <w:rFonts w:ascii="Arial" w:hAnsi="Arial" w:cs="Arial"/>
          <w:sz w:val="24"/>
          <w:szCs w:val="24"/>
        </w:rPr>
      </w:pPr>
    </w:p>
    <w:p w:rsidR="00C122C6" w:rsidRPr="00703C5D" w:rsidRDefault="00C122C6" w:rsidP="00C122C6">
      <w:pPr>
        <w:autoSpaceDE w:val="0"/>
        <w:autoSpaceDN w:val="0"/>
        <w:adjustRightInd w:val="0"/>
        <w:ind w:left="450"/>
        <w:rPr>
          <w:rFonts w:ascii="Arial" w:hAnsi="Arial" w:cs="Arial"/>
          <w:sz w:val="24"/>
          <w:szCs w:val="24"/>
        </w:rPr>
      </w:pPr>
    </w:p>
    <w:p w:rsidR="008E210C" w:rsidRPr="00703C5D" w:rsidRDefault="008E210C" w:rsidP="00507913">
      <w:pPr>
        <w:rPr>
          <w:rFonts w:ascii="Arial" w:hAnsi="Arial" w:cs="Arial"/>
          <w:sz w:val="24"/>
          <w:szCs w:val="24"/>
          <w:highlight w:val="lightGray"/>
        </w:rPr>
        <w:sectPr w:rsidR="008E210C" w:rsidRPr="00703C5D" w:rsidSect="00733821">
          <w:footerReference w:type="default" r:id="rId20"/>
          <w:pgSz w:w="12240" w:h="15840" w:code="1"/>
          <w:pgMar w:top="1440" w:right="1440" w:bottom="1152" w:left="1440" w:header="0" w:footer="720" w:gutter="0"/>
          <w:cols w:space="720"/>
          <w:noEndnote/>
        </w:sectPr>
      </w:pPr>
    </w:p>
    <w:p w:rsidR="00FC40C3" w:rsidRPr="00E365CC" w:rsidRDefault="00FC40C3" w:rsidP="00F0057B">
      <w:pPr>
        <w:tabs>
          <w:tab w:val="left" w:pos="540"/>
          <w:tab w:val="left" w:pos="1080"/>
          <w:tab w:val="left" w:pos="1800"/>
          <w:tab w:val="left" w:pos="2520"/>
        </w:tabs>
        <w:autoSpaceDE w:val="0"/>
        <w:autoSpaceDN w:val="0"/>
        <w:adjustRightInd w:val="0"/>
        <w:ind w:left="450"/>
        <w:rPr>
          <w:rFonts w:ascii="Arial" w:hAnsi="Arial" w:cs="Arial"/>
          <w:sz w:val="26"/>
          <w:szCs w:val="26"/>
          <w:highlight w:val="lightGray"/>
        </w:rPr>
      </w:pPr>
    </w:p>
    <w:p w:rsidR="00231B1B" w:rsidRDefault="00231B1B">
      <w:pPr>
        <w:jc w:val="center"/>
        <w:outlineLvl w:val="0"/>
        <w:rPr>
          <w:rFonts w:ascii="Arial" w:hAnsi="Arial" w:cs="Arial"/>
          <w:b/>
          <w:sz w:val="36"/>
          <w:szCs w:val="36"/>
        </w:rPr>
      </w:pPr>
      <w:r>
        <w:rPr>
          <w:rFonts w:ascii="Arial" w:hAnsi="Arial" w:cs="Arial"/>
          <w:b/>
          <w:sz w:val="36"/>
          <w:szCs w:val="36"/>
        </w:rPr>
        <w:t xml:space="preserve">BACKGROUND </w:t>
      </w:r>
    </w:p>
    <w:p w:rsidR="00231B1B" w:rsidRDefault="00231B1B">
      <w:pPr>
        <w:jc w:val="center"/>
        <w:outlineLvl w:val="0"/>
        <w:rPr>
          <w:rFonts w:ascii="Arial" w:hAnsi="Arial" w:cs="Arial"/>
          <w:b/>
          <w:sz w:val="36"/>
          <w:szCs w:val="36"/>
        </w:rPr>
      </w:pPr>
      <w:r>
        <w:rPr>
          <w:rFonts w:ascii="Arial" w:hAnsi="Arial" w:cs="Arial"/>
          <w:b/>
          <w:sz w:val="36"/>
          <w:szCs w:val="36"/>
        </w:rPr>
        <w:t xml:space="preserve">AND </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5F34A4">
          <w:headerReference w:type="even" r:id="rId21"/>
          <w:headerReference w:type="default" r:id="rId22"/>
          <w:footerReference w:type="default" r:id="rId23"/>
          <w:headerReference w:type="first" r:id="rId24"/>
          <w:pgSz w:w="12240" w:h="15840" w:code="1"/>
          <w:pgMar w:top="1440" w:right="1440" w:bottom="1152" w:left="1440" w:header="0" w:footer="720" w:gutter="0"/>
          <w:pgNumType w:start="1"/>
          <w:cols w:space="720"/>
          <w:vAlign w:val="center"/>
          <w:noEndnote/>
        </w:sectPr>
      </w:pPr>
    </w:p>
    <w:p w:rsidR="00EC58EA" w:rsidRPr="00051545" w:rsidRDefault="00EC58EA">
      <w:pPr>
        <w:pStyle w:val="Heading4"/>
        <w:rPr>
          <w:rFonts w:ascii="Arial" w:hAnsi="Arial" w:cs="Arial"/>
          <w:b/>
          <w:sz w:val="28"/>
          <w:szCs w:val="28"/>
        </w:rPr>
      </w:pPr>
      <w:smartTag w:uri="urn:schemas-microsoft-com:office:smarttags" w:element="City">
        <w:smartTag w:uri="urn:schemas-microsoft-com:office:smarttags" w:element="place">
          <w:r w:rsidRPr="00051545">
            <w:rPr>
              <w:rFonts w:ascii="Arial" w:hAnsi="Arial" w:cs="Arial"/>
              <w:b/>
              <w:sz w:val="28"/>
              <w:szCs w:val="28"/>
            </w:rPr>
            <w:lastRenderedPageBreak/>
            <w:t>PHILADELPHIA</w:t>
          </w:r>
        </w:smartTag>
      </w:smartTag>
      <w:r w:rsidRPr="00051545">
        <w:rPr>
          <w:rFonts w:ascii="Arial" w:hAnsi="Arial" w:cs="Arial"/>
          <w:b/>
          <w:sz w:val="28"/>
          <w:szCs w:val="28"/>
        </w:rPr>
        <w:t xml:space="preserve"> GAS WORKS</w:t>
      </w:r>
    </w:p>
    <w:p w:rsidR="00EC58EA" w:rsidRPr="00051545" w:rsidRDefault="00EC58EA">
      <w:pPr>
        <w:rPr>
          <w:rFonts w:ascii="Arial" w:hAnsi="Arial" w:cs="Arial"/>
          <w:sz w:val="26"/>
          <w:szCs w:val="26"/>
        </w:rPr>
      </w:pPr>
    </w:p>
    <w:p w:rsidR="00EC58EA" w:rsidRPr="00051545" w:rsidRDefault="00F40B1C">
      <w:pPr>
        <w:pStyle w:val="Heading4"/>
        <w:rPr>
          <w:rFonts w:ascii="Arial" w:hAnsi="Arial" w:cs="Arial"/>
          <w:b/>
          <w:sz w:val="26"/>
          <w:szCs w:val="26"/>
        </w:rPr>
      </w:pPr>
      <w:r w:rsidRPr="00051545">
        <w:rPr>
          <w:rFonts w:ascii="Arial" w:hAnsi="Arial" w:cs="Arial"/>
          <w:b/>
          <w:sz w:val="26"/>
          <w:szCs w:val="26"/>
        </w:rPr>
        <w:t xml:space="preserve">Company </w:t>
      </w:r>
      <w:r w:rsidR="00EC58EA" w:rsidRPr="00051545">
        <w:rPr>
          <w:rFonts w:ascii="Arial" w:hAnsi="Arial" w:cs="Arial"/>
          <w:b/>
          <w:sz w:val="26"/>
          <w:szCs w:val="26"/>
        </w:rPr>
        <w:t>Background</w:t>
      </w:r>
    </w:p>
    <w:p w:rsidR="00EC58EA" w:rsidRPr="00FA202A" w:rsidRDefault="00EC58EA">
      <w:pPr>
        <w:tabs>
          <w:tab w:val="left" w:pos="-1440"/>
          <w:tab w:val="left" w:pos="-720"/>
          <w:tab w:val="left" w:pos="864"/>
        </w:tabs>
        <w:suppressAutoHyphens/>
        <w:rPr>
          <w:rFonts w:ascii="Arial" w:hAnsi="Arial" w:cs="Arial"/>
          <w:sz w:val="24"/>
          <w:szCs w:val="26"/>
        </w:rPr>
      </w:pPr>
    </w:p>
    <w:p w:rsidR="00EC58EA" w:rsidRPr="00FA202A" w:rsidRDefault="00EC58EA">
      <w:pPr>
        <w:tabs>
          <w:tab w:val="left" w:pos="-1440"/>
          <w:tab w:val="left" w:pos="-720"/>
          <w:tab w:val="left" w:pos="864"/>
        </w:tabs>
        <w:suppressAutoHyphens/>
        <w:rPr>
          <w:rFonts w:ascii="Arial" w:hAnsi="Arial" w:cs="Arial"/>
          <w:sz w:val="24"/>
          <w:szCs w:val="26"/>
        </w:rPr>
      </w:pPr>
    </w:p>
    <w:p w:rsidR="00EC58EA" w:rsidRPr="00334404" w:rsidRDefault="00EC58E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This background section was developed substantially from data and documentation made available by Philadelphia Gas Works (PGW or Company) and is presented solely for informational purposes.</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 xml:space="preserve">PGW is owned by the City of Philadelphia (City) and is the largest municipally-owned gas utility in the nation.  PGW maintains a distribution system of 6,000 miles of gas mains and services, and provides gas service to approximately half a million residential, commercial and industrial customers in the City.  The City has provided for the </w:t>
      </w:r>
      <w:r w:rsidR="009E6EC6" w:rsidRPr="00334404">
        <w:rPr>
          <w:rFonts w:ascii="Arial" w:hAnsi="Arial" w:cs="Arial"/>
          <w:sz w:val="24"/>
          <w:szCs w:val="24"/>
        </w:rPr>
        <w:t xml:space="preserve">management and </w:t>
      </w:r>
      <w:r w:rsidRPr="00334404">
        <w:rPr>
          <w:rFonts w:ascii="Arial" w:hAnsi="Arial" w:cs="Arial"/>
          <w:sz w:val="24"/>
          <w:szCs w:val="24"/>
        </w:rPr>
        <w:t>oversight of PGW’s operations through a non-profit corporation, the Philadelphia Facilities Management Corporation</w:t>
      </w:r>
      <w:r w:rsidR="009E6EC6" w:rsidRPr="00334404">
        <w:rPr>
          <w:rFonts w:ascii="Arial" w:hAnsi="Arial" w:cs="Arial"/>
          <w:sz w:val="24"/>
          <w:szCs w:val="24"/>
        </w:rPr>
        <w:t xml:space="preserve"> (PFMC)</w:t>
      </w:r>
      <w:r w:rsidRPr="00334404">
        <w:rPr>
          <w:rFonts w:ascii="Arial" w:hAnsi="Arial" w:cs="Arial"/>
          <w:sz w:val="24"/>
          <w:szCs w:val="24"/>
        </w:rPr>
        <w:t xml:space="preserve">. </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EC58EA" w:rsidRPr="00334404" w:rsidRDefault="00EC58EA">
      <w:pPr>
        <w:tabs>
          <w:tab w:val="left" w:pos="-1440"/>
          <w:tab w:val="left" w:pos="-720"/>
          <w:tab w:val="left" w:pos="864"/>
        </w:tabs>
        <w:suppressAutoHyphens/>
        <w:rPr>
          <w:rFonts w:ascii="Arial" w:hAnsi="Arial" w:cs="Arial"/>
          <w:sz w:val="24"/>
          <w:szCs w:val="24"/>
        </w:rPr>
      </w:pPr>
    </w:p>
    <w:p w:rsidR="00C525EA" w:rsidRPr="00334404" w:rsidRDefault="00EC58EA" w:rsidP="000F751C">
      <w:pPr>
        <w:tabs>
          <w:tab w:val="left" w:pos="-1440"/>
          <w:tab w:val="left" w:pos="-720"/>
          <w:tab w:val="left" w:pos="720"/>
          <w:tab w:val="left" w:pos="864"/>
        </w:tabs>
        <w:suppressAutoHyphens/>
        <w:rPr>
          <w:rFonts w:ascii="Arial" w:hAnsi="Arial" w:cs="Arial"/>
          <w:sz w:val="24"/>
          <w:szCs w:val="24"/>
        </w:rPr>
        <w:sectPr w:rsidR="00C525EA" w:rsidRPr="00334404" w:rsidSect="00680899">
          <w:headerReference w:type="even" r:id="rId25"/>
          <w:headerReference w:type="default" r:id="rId26"/>
          <w:headerReference w:type="first" r:id="rId27"/>
          <w:footerReference w:type="first" r:id="rId28"/>
          <w:pgSz w:w="12240" w:h="15840" w:code="1"/>
          <w:pgMar w:top="1440" w:right="1440" w:bottom="1152" w:left="1440" w:header="0" w:footer="720" w:gutter="0"/>
          <w:pgNumType w:start="8"/>
          <w:cols w:space="720"/>
          <w:noEndnote/>
          <w:titlePg/>
        </w:sectPr>
      </w:pPr>
      <w:r w:rsidRPr="00334404">
        <w:rPr>
          <w:rFonts w:ascii="Arial" w:hAnsi="Arial" w:cs="Arial"/>
          <w:sz w:val="24"/>
          <w:szCs w:val="24"/>
        </w:rPr>
        <w:tab/>
        <w:t xml:space="preserve"> </w:t>
      </w:r>
    </w:p>
    <w:p w:rsidR="00EC58EA" w:rsidRPr="00051545" w:rsidRDefault="00F83825" w:rsidP="00455750">
      <w:pPr>
        <w:jc w:val="center"/>
        <w:rPr>
          <w:rFonts w:ascii="Arial" w:hAnsi="Arial" w:cs="Arial"/>
          <w:sz w:val="28"/>
          <w:szCs w:val="28"/>
        </w:rPr>
      </w:pPr>
      <w:r>
        <w:rPr>
          <w:rFonts w:ascii="Arial" w:hAnsi="Arial" w:cs="Arial"/>
          <w:b/>
          <w:sz w:val="28"/>
          <w:szCs w:val="28"/>
          <w:u w:val="single"/>
        </w:rPr>
        <w:lastRenderedPageBreak/>
        <w:t>A</w:t>
      </w:r>
      <w:r w:rsidR="00EC58EA" w:rsidRPr="00051545">
        <w:rPr>
          <w:rFonts w:ascii="Arial" w:hAnsi="Arial" w:cs="Arial"/>
          <w:b/>
          <w:sz w:val="28"/>
          <w:szCs w:val="28"/>
          <w:u w:val="single"/>
        </w:rPr>
        <w:t>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us during the course of our examination.  The audit was conducted by </w:t>
      </w:r>
      <w:r w:rsidR="00813736">
        <w:rPr>
          <w:rFonts w:ascii="Arial" w:hAnsi="Arial" w:cs="Arial"/>
          <w:sz w:val="24"/>
          <w:szCs w:val="24"/>
        </w:rPr>
        <w:t>Robert M. Keen</w:t>
      </w:r>
      <w:r w:rsidR="00157BF3">
        <w:rPr>
          <w:rFonts w:ascii="Arial" w:hAnsi="Arial" w:cs="Arial"/>
          <w:sz w:val="24"/>
          <w:szCs w:val="24"/>
        </w:rPr>
        <w:t xml:space="preserve"> CPA</w:t>
      </w:r>
      <w:r w:rsidRPr="00E32D70">
        <w:rPr>
          <w:rFonts w:ascii="Arial" w:hAnsi="Arial" w:cs="Arial"/>
          <w:sz w:val="24"/>
          <w:szCs w:val="24"/>
        </w:rPr>
        <w:t>, assisted by Dennis C. Grady</w:t>
      </w:r>
      <w:r w:rsidR="0058468E">
        <w:rPr>
          <w:rFonts w:ascii="Arial" w:hAnsi="Arial" w:cs="Arial"/>
          <w:sz w:val="24"/>
          <w:szCs w:val="24"/>
        </w:rPr>
        <w:t xml:space="preserve"> and Katrina S. Johnson.</w:t>
      </w:r>
    </w:p>
    <w:sectPr w:rsidR="00EC58EA" w:rsidRPr="00E32D70" w:rsidSect="00EA4852">
      <w:headerReference w:type="even" r:id="rId29"/>
      <w:headerReference w:type="default" r:id="rId30"/>
      <w:footerReference w:type="default" r:id="rId31"/>
      <w:headerReference w:type="first" r:id="rId32"/>
      <w:pgSz w:w="12240" w:h="15840" w:code="1"/>
      <w:pgMar w:top="1440" w:right="1440" w:bottom="1440" w:left="1440" w:header="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76" w:rsidRDefault="00342476">
      <w:r>
        <w:separator/>
      </w:r>
    </w:p>
  </w:endnote>
  <w:endnote w:type="continuationSeparator" w:id="0">
    <w:p w:rsidR="00342476" w:rsidRDefault="0034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42928" w:rsidRDefault="00E94EB1"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E94EB1" w:rsidP="00C91F78">
    <w:pPr>
      <w:pStyle w:val="Footer"/>
      <w:tabs>
        <w:tab w:val="clear" w:pos="4320"/>
      </w:tabs>
      <w:jc w:val="center"/>
      <w:rPr>
        <w:rFonts w:ascii="Arial" w:hAnsi="Arial" w:cs="Arial"/>
        <w:sz w:val="24"/>
        <w:szCs w:val="24"/>
      </w:rPr>
    </w:pPr>
    <w:r w:rsidRPr="00C91F78">
      <w:rPr>
        <w:rFonts w:ascii="Arial" w:hAnsi="Arial" w:cs="Arial"/>
        <w:sz w:val="24"/>
        <w:szCs w:val="24"/>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922174" w:rsidRDefault="00C91F78" w:rsidP="00C91F78">
    <w:pPr>
      <w:pStyle w:val="Footer"/>
      <w:tabs>
        <w:tab w:val="clear" w:pos="4320"/>
      </w:tabs>
      <w:jc w:val="center"/>
      <w:rPr>
        <w:rFonts w:ascii="Arial" w:hAnsi="Arial" w:cs="Arial"/>
        <w:sz w:val="24"/>
        <w:szCs w:val="24"/>
      </w:rPr>
    </w:pPr>
    <w:r w:rsidRPr="00922174">
      <w:rPr>
        <w:rFonts w:ascii="Arial" w:hAnsi="Arial" w:cs="Arial"/>
        <w:sz w:val="24"/>
        <w:szCs w:val="24"/>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8" w:rsidRPr="00C91F78" w:rsidRDefault="00965632" w:rsidP="00965632">
    <w:pPr>
      <w:pStyle w:val="Footer"/>
      <w:tabs>
        <w:tab w:val="clear" w:pos="4320"/>
        <w:tab w:val="clear" w:pos="8640"/>
      </w:tabs>
      <w:jc w:val="center"/>
      <w:rPr>
        <w:rFonts w:ascii="Arial" w:hAnsi="Arial" w:cs="Arial"/>
        <w:sz w:val="24"/>
        <w:szCs w:val="24"/>
      </w:rPr>
    </w:pPr>
    <w:r>
      <w:rPr>
        <w:rFonts w:ascii="Arial" w:hAnsi="Arial" w:cs="Arial"/>
        <w:sz w:val="24"/>
        <w:szCs w:val="24"/>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32" w:rsidRPr="00C91F78" w:rsidRDefault="00965632" w:rsidP="00965632">
    <w:pPr>
      <w:pStyle w:val="Footer"/>
      <w:tabs>
        <w:tab w:val="clear" w:pos="4320"/>
        <w:tab w:val="clear" w:pos="8640"/>
      </w:tabs>
      <w:jc w:val="center"/>
      <w:rPr>
        <w:rFonts w:ascii="Arial" w:hAnsi="Arial" w:cs="Arial"/>
        <w:sz w:val="24"/>
        <w:szCs w:val="24"/>
      </w:rPr>
    </w:pPr>
    <w:r>
      <w:rPr>
        <w:rFonts w:ascii="Arial" w:hAnsi="Arial" w:cs="Arial"/>
        <w:sz w:val="24"/>
        <w:szCs w:val="24"/>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rsidP="007C71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C91F78" w:rsidP="00C91F78">
    <w:pPr>
      <w:pStyle w:val="Footer"/>
      <w:jc w:val="center"/>
      <w:rPr>
        <w:rFonts w:ascii="Arial" w:hAnsi="Arial" w:cs="Arial"/>
        <w:sz w:val="24"/>
        <w:szCs w:val="24"/>
      </w:rPr>
    </w:pPr>
    <w:r w:rsidRPr="00C91F78">
      <w:rPr>
        <w:rFonts w:ascii="Arial" w:hAnsi="Arial" w:cs="Arial"/>
        <w:sz w:val="24"/>
        <w:szCs w:val="24"/>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C91F78" w:rsidP="00C91F78">
    <w:pPr>
      <w:pStyle w:val="Footer"/>
      <w:jc w:val="center"/>
      <w:rPr>
        <w:rFonts w:ascii="Arial" w:hAnsi="Arial" w:cs="Arial"/>
        <w:sz w:val="24"/>
        <w:szCs w:val="24"/>
      </w:rPr>
    </w:pPr>
    <w:r w:rsidRPr="00C91F78">
      <w:rPr>
        <w:rFonts w:ascii="Arial" w:hAnsi="Arial" w:cs="Arial"/>
        <w:sz w:val="24"/>
        <w:szCs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76" w:rsidRDefault="00342476">
      <w:r>
        <w:rPr>
          <w:sz w:val="24"/>
        </w:rPr>
        <w:separator/>
      </w:r>
    </w:p>
  </w:footnote>
  <w:footnote w:type="continuationSeparator" w:id="0">
    <w:p w:rsidR="00342476" w:rsidRDefault="00342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309B"/>
    <w:rsid w:val="00025664"/>
    <w:rsid w:val="00025FA2"/>
    <w:rsid w:val="00026C48"/>
    <w:rsid w:val="00033E1E"/>
    <w:rsid w:val="00051545"/>
    <w:rsid w:val="00057A59"/>
    <w:rsid w:val="00062389"/>
    <w:rsid w:val="0006368F"/>
    <w:rsid w:val="00067375"/>
    <w:rsid w:val="000712BC"/>
    <w:rsid w:val="00071ED0"/>
    <w:rsid w:val="00083CAB"/>
    <w:rsid w:val="00091A69"/>
    <w:rsid w:val="00094E55"/>
    <w:rsid w:val="000A44C8"/>
    <w:rsid w:val="000A55CF"/>
    <w:rsid w:val="000B49E7"/>
    <w:rsid w:val="000C2895"/>
    <w:rsid w:val="000E1C5D"/>
    <w:rsid w:val="000E24B9"/>
    <w:rsid w:val="000E543B"/>
    <w:rsid w:val="000E64EC"/>
    <w:rsid w:val="000E6C1C"/>
    <w:rsid w:val="000F4ADE"/>
    <w:rsid w:val="000F634D"/>
    <w:rsid w:val="000F751C"/>
    <w:rsid w:val="00102368"/>
    <w:rsid w:val="00104683"/>
    <w:rsid w:val="00127F65"/>
    <w:rsid w:val="00133F0E"/>
    <w:rsid w:val="001437AB"/>
    <w:rsid w:val="00143BBE"/>
    <w:rsid w:val="00144581"/>
    <w:rsid w:val="00153537"/>
    <w:rsid w:val="00157BF3"/>
    <w:rsid w:val="00164EBA"/>
    <w:rsid w:val="0016795A"/>
    <w:rsid w:val="00170780"/>
    <w:rsid w:val="00171631"/>
    <w:rsid w:val="00171DF2"/>
    <w:rsid w:val="00171F95"/>
    <w:rsid w:val="0017282F"/>
    <w:rsid w:val="00172C33"/>
    <w:rsid w:val="00180B59"/>
    <w:rsid w:val="00181737"/>
    <w:rsid w:val="00183D20"/>
    <w:rsid w:val="001849D4"/>
    <w:rsid w:val="0018653D"/>
    <w:rsid w:val="001866A8"/>
    <w:rsid w:val="0018674E"/>
    <w:rsid w:val="00191D62"/>
    <w:rsid w:val="001A278B"/>
    <w:rsid w:val="001A59C0"/>
    <w:rsid w:val="001B39E8"/>
    <w:rsid w:val="001B5F87"/>
    <w:rsid w:val="001C0358"/>
    <w:rsid w:val="001D4C6C"/>
    <w:rsid w:val="001D703A"/>
    <w:rsid w:val="00206E69"/>
    <w:rsid w:val="00207628"/>
    <w:rsid w:val="002130B0"/>
    <w:rsid w:val="00220DDF"/>
    <w:rsid w:val="00222A8E"/>
    <w:rsid w:val="002269C6"/>
    <w:rsid w:val="00226EB2"/>
    <w:rsid w:val="00231B1B"/>
    <w:rsid w:val="0023542C"/>
    <w:rsid w:val="00235734"/>
    <w:rsid w:val="00236ED8"/>
    <w:rsid w:val="002419C4"/>
    <w:rsid w:val="0024348A"/>
    <w:rsid w:val="002501B1"/>
    <w:rsid w:val="00250D09"/>
    <w:rsid w:val="0025277C"/>
    <w:rsid w:val="002627D0"/>
    <w:rsid w:val="00266297"/>
    <w:rsid w:val="00266671"/>
    <w:rsid w:val="00270F72"/>
    <w:rsid w:val="0027623B"/>
    <w:rsid w:val="002774E4"/>
    <w:rsid w:val="002817DE"/>
    <w:rsid w:val="00290DDE"/>
    <w:rsid w:val="00296431"/>
    <w:rsid w:val="00297C11"/>
    <w:rsid w:val="002A6835"/>
    <w:rsid w:val="002C2982"/>
    <w:rsid w:val="002C5E34"/>
    <w:rsid w:val="002E0D61"/>
    <w:rsid w:val="002F270D"/>
    <w:rsid w:val="002F7950"/>
    <w:rsid w:val="00303FBF"/>
    <w:rsid w:val="00307C90"/>
    <w:rsid w:val="00312758"/>
    <w:rsid w:val="00315A4E"/>
    <w:rsid w:val="00320203"/>
    <w:rsid w:val="00321942"/>
    <w:rsid w:val="003248EB"/>
    <w:rsid w:val="003316B7"/>
    <w:rsid w:val="00334404"/>
    <w:rsid w:val="00340ED4"/>
    <w:rsid w:val="00342476"/>
    <w:rsid w:val="00366D2F"/>
    <w:rsid w:val="00367491"/>
    <w:rsid w:val="00367F28"/>
    <w:rsid w:val="00367FCE"/>
    <w:rsid w:val="00371DDC"/>
    <w:rsid w:val="00373D2A"/>
    <w:rsid w:val="00374FB6"/>
    <w:rsid w:val="00376DD6"/>
    <w:rsid w:val="00382903"/>
    <w:rsid w:val="0038728A"/>
    <w:rsid w:val="00391485"/>
    <w:rsid w:val="00392BBB"/>
    <w:rsid w:val="003A2BEF"/>
    <w:rsid w:val="003B1322"/>
    <w:rsid w:val="003E29DF"/>
    <w:rsid w:val="00400894"/>
    <w:rsid w:val="004017BA"/>
    <w:rsid w:val="00405669"/>
    <w:rsid w:val="0041125E"/>
    <w:rsid w:val="00411B9D"/>
    <w:rsid w:val="004227E7"/>
    <w:rsid w:val="00424006"/>
    <w:rsid w:val="0042485D"/>
    <w:rsid w:val="0042580B"/>
    <w:rsid w:val="00426EB2"/>
    <w:rsid w:val="0044633C"/>
    <w:rsid w:val="00454826"/>
    <w:rsid w:val="00455750"/>
    <w:rsid w:val="00457A99"/>
    <w:rsid w:val="004648D9"/>
    <w:rsid w:val="00464EF5"/>
    <w:rsid w:val="00465E6B"/>
    <w:rsid w:val="0047343E"/>
    <w:rsid w:val="0048234E"/>
    <w:rsid w:val="00492D5F"/>
    <w:rsid w:val="0049713D"/>
    <w:rsid w:val="004B5DDA"/>
    <w:rsid w:val="004C0E81"/>
    <w:rsid w:val="004C4343"/>
    <w:rsid w:val="004C5477"/>
    <w:rsid w:val="004E3A19"/>
    <w:rsid w:val="004E3EBA"/>
    <w:rsid w:val="004E6441"/>
    <w:rsid w:val="004F0C6B"/>
    <w:rsid w:val="004F0EA6"/>
    <w:rsid w:val="004F2DA6"/>
    <w:rsid w:val="0050371C"/>
    <w:rsid w:val="00507913"/>
    <w:rsid w:val="00514F0C"/>
    <w:rsid w:val="00522C2C"/>
    <w:rsid w:val="00534447"/>
    <w:rsid w:val="00545E73"/>
    <w:rsid w:val="00551057"/>
    <w:rsid w:val="005528AB"/>
    <w:rsid w:val="0055766F"/>
    <w:rsid w:val="00561B65"/>
    <w:rsid w:val="00565D6E"/>
    <w:rsid w:val="0057099A"/>
    <w:rsid w:val="005712C8"/>
    <w:rsid w:val="00573E3C"/>
    <w:rsid w:val="00581625"/>
    <w:rsid w:val="00582AEC"/>
    <w:rsid w:val="0058468E"/>
    <w:rsid w:val="00590ABA"/>
    <w:rsid w:val="00591D89"/>
    <w:rsid w:val="0059597A"/>
    <w:rsid w:val="00595D6C"/>
    <w:rsid w:val="005A25FD"/>
    <w:rsid w:val="005A4DB0"/>
    <w:rsid w:val="005A5B75"/>
    <w:rsid w:val="005B6D2B"/>
    <w:rsid w:val="005C2241"/>
    <w:rsid w:val="005D2455"/>
    <w:rsid w:val="005D3B56"/>
    <w:rsid w:val="005D564B"/>
    <w:rsid w:val="005F34A4"/>
    <w:rsid w:val="005F4E5C"/>
    <w:rsid w:val="00601992"/>
    <w:rsid w:val="00604FFF"/>
    <w:rsid w:val="00605422"/>
    <w:rsid w:val="00625757"/>
    <w:rsid w:val="00652B13"/>
    <w:rsid w:val="00665D8C"/>
    <w:rsid w:val="00665E24"/>
    <w:rsid w:val="0067452C"/>
    <w:rsid w:val="006752A3"/>
    <w:rsid w:val="00680899"/>
    <w:rsid w:val="006951CC"/>
    <w:rsid w:val="00697026"/>
    <w:rsid w:val="006978C6"/>
    <w:rsid w:val="006A6AD0"/>
    <w:rsid w:val="006B35F0"/>
    <w:rsid w:val="006C2D70"/>
    <w:rsid w:val="006C740F"/>
    <w:rsid w:val="006C7425"/>
    <w:rsid w:val="006D20E2"/>
    <w:rsid w:val="006D5702"/>
    <w:rsid w:val="006D755E"/>
    <w:rsid w:val="006E11CC"/>
    <w:rsid w:val="006E58D2"/>
    <w:rsid w:val="006E7147"/>
    <w:rsid w:val="006F314C"/>
    <w:rsid w:val="006F7320"/>
    <w:rsid w:val="006F7742"/>
    <w:rsid w:val="00703C5D"/>
    <w:rsid w:val="00707305"/>
    <w:rsid w:val="0072072A"/>
    <w:rsid w:val="0073324A"/>
    <w:rsid w:val="00733821"/>
    <w:rsid w:val="007445B8"/>
    <w:rsid w:val="007621ED"/>
    <w:rsid w:val="00766003"/>
    <w:rsid w:val="00766447"/>
    <w:rsid w:val="0076760B"/>
    <w:rsid w:val="00770840"/>
    <w:rsid w:val="007708E8"/>
    <w:rsid w:val="0077232C"/>
    <w:rsid w:val="00781CE3"/>
    <w:rsid w:val="007906E6"/>
    <w:rsid w:val="00795B0B"/>
    <w:rsid w:val="007A14D7"/>
    <w:rsid w:val="007A1DB0"/>
    <w:rsid w:val="007A3806"/>
    <w:rsid w:val="007A6B2A"/>
    <w:rsid w:val="007A793D"/>
    <w:rsid w:val="007A7FB4"/>
    <w:rsid w:val="007B6CE7"/>
    <w:rsid w:val="007C1D6C"/>
    <w:rsid w:val="007C71D9"/>
    <w:rsid w:val="007D0FD1"/>
    <w:rsid w:val="007D5B2E"/>
    <w:rsid w:val="007E3C85"/>
    <w:rsid w:val="007E7D51"/>
    <w:rsid w:val="007F16EC"/>
    <w:rsid w:val="007F22F9"/>
    <w:rsid w:val="007F242D"/>
    <w:rsid w:val="007F6BB4"/>
    <w:rsid w:val="00800B17"/>
    <w:rsid w:val="008123E9"/>
    <w:rsid w:val="00813736"/>
    <w:rsid w:val="00822271"/>
    <w:rsid w:val="008241C6"/>
    <w:rsid w:val="00824C36"/>
    <w:rsid w:val="0082666F"/>
    <w:rsid w:val="00827A4B"/>
    <w:rsid w:val="00827B39"/>
    <w:rsid w:val="00827E0A"/>
    <w:rsid w:val="00833633"/>
    <w:rsid w:val="0083596D"/>
    <w:rsid w:val="008502C5"/>
    <w:rsid w:val="00851274"/>
    <w:rsid w:val="0086087D"/>
    <w:rsid w:val="0086109A"/>
    <w:rsid w:val="00861B71"/>
    <w:rsid w:val="00873305"/>
    <w:rsid w:val="00876154"/>
    <w:rsid w:val="0089193A"/>
    <w:rsid w:val="00896598"/>
    <w:rsid w:val="008A4AA6"/>
    <w:rsid w:val="008B2B36"/>
    <w:rsid w:val="008B53CE"/>
    <w:rsid w:val="008B560F"/>
    <w:rsid w:val="008B6262"/>
    <w:rsid w:val="008C2021"/>
    <w:rsid w:val="008C429F"/>
    <w:rsid w:val="008C574C"/>
    <w:rsid w:val="008E05DB"/>
    <w:rsid w:val="008E210C"/>
    <w:rsid w:val="008F2B79"/>
    <w:rsid w:val="008F5081"/>
    <w:rsid w:val="0090453B"/>
    <w:rsid w:val="0091029F"/>
    <w:rsid w:val="0091170D"/>
    <w:rsid w:val="0091182B"/>
    <w:rsid w:val="0091221E"/>
    <w:rsid w:val="00922174"/>
    <w:rsid w:val="00926FF0"/>
    <w:rsid w:val="00933B61"/>
    <w:rsid w:val="00936903"/>
    <w:rsid w:val="00942B5B"/>
    <w:rsid w:val="00943161"/>
    <w:rsid w:val="00960994"/>
    <w:rsid w:val="009609BA"/>
    <w:rsid w:val="00965632"/>
    <w:rsid w:val="00977514"/>
    <w:rsid w:val="00981A3D"/>
    <w:rsid w:val="00984081"/>
    <w:rsid w:val="0099094B"/>
    <w:rsid w:val="00993693"/>
    <w:rsid w:val="00993777"/>
    <w:rsid w:val="009938BE"/>
    <w:rsid w:val="009B3187"/>
    <w:rsid w:val="009B4985"/>
    <w:rsid w:val="009D76EB"/>
    <w:rsid w:val="009E095A"/>
    <w:rsid w:val="009E0ABF"/>
    <w:rsid w:val="009E3B45"/>
    <w:rsid w:val="009E6EC6"/>
    <w:rsid w:val="009F1BF8"/>
    <w:rsid w:val="00A04024"/>
    <w:rsid w:val="00A0425B"/>
    <w:rsid w:val="00A170C3"/>
    <w:rsid w:val="00A210E4"/>
    <w:rsid w:val="00A222A3"/>
    <w:rsid w:val="00A22C97"/>
    <w:rsid w:val="00A252DD"/>
    <w:rsid w:val="00A262D0"/>
    <w:rsid w:val="00A30CD0"/>
    <w:rsid w:val="00A334FB"/>
    <w:rsid w:val="00A33965"/>
    <w:rsid w:val="00A3590A"/>
    <w:rsid w:val="00A46209"/>
    <w:rsid w:val="00A6139D"/>
    <w:rsid w:val="00A67278"/>
    <w:rsid w:val="00A75A66"/>
    <w:rsid w:val="00A846B4"/>
    <w:rsid w:val="00A860D9"/>
    <w:rsid w:val="00A86A65"/>
    <w:rsid w:val="00A908FD"/>
    <w:rsid w:val="00A96122"/>
    <w:rsid w:val="00AA6885"/>
    <w:rsid w:val="00AB1510"/>
    <w:rsid w:val="00AB5D84"/>
    <w:rsid w:val="00AB66FB"/>
    <w:rsid w:val="00AC7515"/>
    <w:rsid w:val="00AD113F"/>
    <w:rsid w:val="00AE1737"/>
    <w:rsid w:val="00AF00D5"/>
    <w:rsid w:val="00AF26A9"/>
    <w:rsid w:val="00AF7525"/>
    <w:rsid w:val="00B30F62"/>
    <w:rsid w:val="00B332F7"/>
    <w:rsid w:val="00B56BDA"/>
    <w:rsid w:val="00B65EFF"/>
    <w:rsid w:val="00B67006"/>
    <w:rsid w:val="00B70FD9"/>
    <w:rsid w:val="00B75B88"/>
    <w:rsid w:val="00B906D6"/>
    <w:rsid w:val="00B907FB"/>
    <w:rsid w:val="00BA5FD3"/>
    <w:rsid w:val="00BB2F48"/>
    <w:rsid w:val="00BD5B29"/>
    <w:rsid w:val="00BE75C1"/>
    <w:rsid w:val="00C02B50"/>
    <w:rsid w:val="00C04224"/>
    <w:rsid w:val="00C04690"/>
    <w:rsid w:val="00C122C6"/>
    <w:rsid w:val="00C122F9"/>
    <w:rsid w:val="00C15209"/>
    <w:rsid w:val="00C16F88"/>
    <w:rsid w:val="00C3173E"/>
    <w:rsid w:val="00C32AF1"/>
    <w:rsid w:val="00C33087"/>
    <w:rsid w:val="00C373FC"/>
    <w:rsid w:val="00C41B6C"/>
    <w:rsid w:val="00C41D73"/>
    <w:rsid w:val="00C46B82"/>
    <w:rsid w:val="00C525EA"/>
    <w:rsid w:val="00C55F1E"/>
    <w:rsid w:val="00C6025D"/>
    <w:rsid w:val="00C664D4"/>
    <w:rsid w:val="00C73B37"/>
    <w:rsid w:val="00C91F78"/>
    <w:rsid w:val="00C93B6F"/>
    <w:rsid w:val="00C96BF5"/>
    <w:rsid w:val="00CA5941"/>
    <w:rsid w:val="00CA7729"/>
    <w:rsid w:val="00CB2881"/>
    <w:rsid w:val="00CB4C9A"/>
    <w:rsid w:val="00CB5930"/>
    <w:rsid w:val="00CC1D98"/>
    <w:rsid w:val="00CD7144"/>
    <w:rsid w:val="00CD7D73"/>
    <w:rsid w:val="00CE3214"/>
    <w:rsid w:val="00CE4C3C"/>
    <w:rsid w:val="00CE62DB"/>
    <w:rsid w:val="00CF3B16"/>
    <w:rsid w:val="00D01A41"/>
    <w:rsid w:val="00D0219E"/>
    <w:rsid w:val="00D04417"/>
    <w:rsid w:val="00D16893"/>
    <w:rsid w:val="00D175E4"/>
    <w:rsid w:val="00D2106E"/>
    <w:rsid w:val="00D21CDB"/>
    <w:rsid w:val="00D30409"/>
    <w:rsid w:val="00D40213"/>
    <w:rsid w:val="00D41A80"/>
    <w:rsid w:val="00D448C9"/>
    <w:rsid w:val="00D512D9"/>
    <w:rsid w:val="00D532E7"/>
    <w:rsid w:val="00D541E0"/>
    <w:rsid w:val="00D561C6"/>
    <w:rsid w:val="00D57B96"/>
    <w:rsid w:val="00D60292"/>
    <w:rsid w:val="00D63589"/>
    <w:rsid w:val="00D712C2"/>
    <w:rsid w:val="00D74E9D"/>
    <w:rsid w:val="00D95A69"/>
    <w:rsid w:val="00DB24B8"/>
    <w:rsid w:val="00DC0FC1"/>
    <w:rsid w:val="00DC1BAC"/>
    <w:rsid w:val="00DC59C5"/>
    <w:rsid w:val="00DD0653"/>
    <w:rsid w:val="00DE16CC"/>
    <w:rsid w:val="00DE410B"/>
    <w:rsid w:val="00DF04C7"/>
    <w:rsid w:val="00DF5868"/>
    <w:rsid w:val="00E01763"/>
    <w:rsid w:val="00E0533D"/>
    <w:rsid w:val="00E074AF"/>
    <w:rsid w:val="00E07E7F"/>
    <w:rsid w:val="00E16219"/>
    <w:rsid w:val="00E32D70"/>
    <w:rsid w:val="00E365CC"/>
    <w:rsid w:val="00E42928"/>
    <w:rsid w:val="00E578CA"/>
    <w:rsid w:val="00E637C8"/>
    <w:rsid w:val="00E641A8"/>
    <w:rsid w:val="00E65AB3"/>
    <w:rsid w:val="00E663D2"/>
    <w:rsid w:val="00E73E5A"/>
    <w:rsid w:val="00E83A9A"/>
    <w:rsid w:val="00E862C2"/>
    <w:rsid w:val="00E916BA"/>
    <w:rsid w:val="00E9251D"/>
    <w:rsid w:val="00E94EB1"/>
    <w:rsid w:val="00E96CC2"/>
    <w:rsid w:val="00E97630"/>
    <w:rsid w:val="00EA413E"/>
    <w:rsid w:val="00EA4852"/>
    <w:rsid w:val="00EB18D8"/>
    <w:rsid w:val="00EC3791"/>
    <w:rsid w:val="00EC4A03"/>
    <w:rsid w:val="00EC58EA"/>
    <w:rsid w:val="00ED1514"/>
    <w:rsid w:val="00ED1576"/>
    <w:rsid w:val="00ED471F"/>
    <w:rsid w:val="00ED4B18"/>
    <w:rsid w:val="00EE3FBC"/>
    <w:rsid w:val="00EF0310"/>
    <w:rsid w:val="00EF4447"/>
    <w:rsid w:val="00EF7B88"/>
    <w:rsid w:val="00F0057B"/>
    <w:rsid w:val="00F0393F"/>
    <w:rsid w:val="00F1331A"/>
    <w:rsid w:val="00F208ED"/>
    <w:rsid w:val="00F30723"/>
    <w:rsid w:val="00F40B1C"/>
    <w:rsid w:val="00F46EF1"/>
    <w:rsid w:val="00F64CB4"/>
    <w:rsid w:val="00F67C2D"/>
    <w:rsid w:val="00F72F9E"/>
    <w:rsid w:val="00F73D95"/>
    <w:rsid w:val="00F83825"/>
    <w:rsid w:val="00F86D79"/>
    <w:rsid w:val="00FA0B76"/>
    <w:rsid w:val="00FA1003"/>
    <w:rsid w:val="00FA202A"/>
    <w:rsid w:val="00FA3FA7"/>
    <w:rsid w:val="00FA6CFA"/>
    <w:rsid w:val="00FB40B2"/>
    <w:rsid w:val="00FB56AA"/>
    <w:rsid w:val="00FC1A45"/>
    <w:rsid w:val="00FC3ABB"/>
    <w:rsid w:val="00FC40C3"/>
    <w:rsid w:val="00FC600A"/>
    <w:rsid w:val="00FE7050"/>
    <w:rsid w:val="00FE755E"/>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773A-B091-4D97-9689-42CA5AB7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PGW R&amp;CES</vt:lpstr>
    </vt:vector>
  </TitlesOfParts>
  <Company>PA PUC</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PGW R&amp;CES</dc:title>
  <dc:creator>RMK</dc:creator>
  <cp:lastModifiedBy>Wilcox, Jenna</cp:lastModifiedBy>
  <cp:revision>3</cp:revision>
  <cp:lastPrinted>2012-01-25T14:22:00Z</cp:lastPrinted>
  <dcterms:created xsi:type="dcterms:W3CDTF">2012-01-26T16:00:00Z</dcterms:created>
  <dcterms:modified xsi:type="dcterms:W3CDTF">2012-02-02T19:58:00Z</dcterms:modified>
</cp:coreProperties>
</file>