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C20F64" w:rsidRDefault="00C20F64">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8016CC" w:rsidRDefault="008016CC">
      <w:pPr>
        <w:tabs>
          <w:tab w:val="left" w:pos="-720"/>
        </w:tabs>
        <w:jc w:val="both"/>
        <w:rPr>
          <w:rFonts w:ascii="Arial" w:hAnsi="Arial" w:cs="Arial"/>
          <w:b/>
          <w:sz w:val="28"/>
          <w:szCs w:val="28"/>
          <w:highlight w:val="lightGray"/>
        </w:rPr>
      </w:pPr>
    </w:p>
    <w:p w:rsidR="008016CC" w:rsidRPr="00E365CC" w:rsidRDefault="008016CC">
      <w:pPr>
        <w:tabs>
          <w:tab w:val="left" w:pos="-720"/>
        </w:tabs>
        <w:jc w:val="both"/>
        <w:rPr>
          <w:rFonts w:ascii="Arial" w:hAnsi="Arial" w:cs="Arial"/>
          <w:b/>
          <w:sz w:val="28"/>
          <w:szCs w:val="28"/>
          <w:highlight w:val="lightGray"/>
        </w:rPr>
      </w:pPr>
    </w:p>
    <w:p w:rsidR="00795B0B" w:rsidRPr="00976A67" w:rsidRDefault="00EC58EA" w:rsidP="00795B0B">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p>
    <w:p w:rsidR="00976A67" w:rsidRPr="007E3C85" w:rsidRDefault="00976A67" w:rsidP="00795B0B">
      <w:pPr>
        <w:tabs>
          <w:tab w:val="center" w:pos="4680"/>
        </w:tabs>
        <w:spacing w:line="188" w:lineRule="atLeast"/>
        <w:jc w:val="center"/>
        <w:outlineLvl w:val="0"/>
        <w:rPr>
          <w:rFonts w:ascii="Arial" w:hAnsi="Arial" w:cs="Arial"/>
          <w:b/>
          <w:szCs w:val="28"/>
        </w:rPr>
      </w:pPr>
    </w:p>
    <w:p w:rsidR="000712BC" w:rsidRDefault="00EC58EA" w:rsidP="00795B0B">
      <w:pPr>
        <w:jc w:val="center"/>
        <w:rPr>
          <w:rFonts w:ascii="Arial" w:hAnsi="Arial" w:cs="Arial"/>
          <w:b/>
          <w:sz w:val="28"/>
          <w:szCs w:val="28"/>
        </w:rPr>
      </w:pPr>
      <w:r w:rsidRPr="000712BC">
        <w:rPr>
          <w:rFonts w:ascii="Arial" w:hAnsi="Arial" w:cs="Arial"/>
          <w:b/>
          <w:sz w:val="28"/>
          <w:szCs w:val="28"/>
        </w:rPr>
        <w:t>UNIVERSAL SERVICE</w:t>
      </w:r>
      <w:r w:rsidR="00E23F7B">
        <w:rPr>
          <w:rFonts w:ascii="Arial" w:hAnsi="Arial" w:cs="Arial"/>
          <w:b/>
          <w:sz w:val="28"/>
          <w:szCs w:val="28"/>
        </w:rPr>
        <w:t xml:space="preserve"> AND </w:t>
      </w:r>
      <w:r w:rsidRPr="000712BC">
        <w:rPr>
          <w:rFonts w:ascii="Arial" w:hAnsi="Arial" w:cs="Arial"/>
          <w:b/>
          <w:sz w:val="28"/>
          <w:szCs w:val="28"/>
        </w:rPr>
        <w:t>ENERGY CONSERVATION</w:t>
      </w:r>
      <w:r w:rsidR="000712BC">
        <w:rPr>
          <w:rFonts w:ascii="Arial" w:hAnsi="Arial" w:cs="Arial"/>
          <w:b/>
          <w:sz w:val="28"/>
          <w:szCs w:val="28"/>
        </w:rPr>
        <w:t xml:space="preserve"> </w:t>
      </w:r>
      <w:r w:rsidR="00795B0B" w:rsidRPr="000712BC">
        <w:rPr>
          <w:rFonts w:ascii="Arial" w:hAnsi="Arial" w:cs="Arial"/>
          <w:b/>
          <w:sz w:val="28"/>
          <w:szCs w:val="28"/>
        </w:rPr>
        <w:t>SURCHARGE</w:t>
      </w:r>
      <w:r w:rsidRPr="000712BC">
        <w:rPr>
          <w:rFonts w:ascii="Arial" w:hAnsi="Arial" w:cs="Arial"/>
          <w:b/>
          <w:sz w:val="28"/>
          <w:szCs w:val="28"/>
        </w:rPr>
        <w:t xml:space="preserve"> </w:t>
      </w:r>
    </w:p>
    <w:p w:rsidR="000712BC" w:rsidRPr="007E3C85" w:rsidRDefault="000712BC" w:rsidP="00795B0B">
      <w:pPr>
        <w:jc w:val="center"/>
        <w:rPr>
          <w:rFonts w:ascii="Arial" w:hAnsi="Arial" w:cs="Arial"/>
          <w:b/>
          <w:szCs w:val="28"/>
        </w:rPr>
      </w:pPr>
    </w:p>
    <w:p w:rsidR="00A30CD0"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Pr="000712BC">
        <w:rPr>
          <w:rFonts w:ascii="Arial" w:hAnsi="Arial" w:cs="Arial"/>
          <w:b/>
          <w:sz w:val="28"/>
          <w:szCs w:val="28"/>
        </w:rPr>
        <w:t xml:space="preserve"> MONTHS ENDED</w:t>
      </w:r>
    </w:p>
    <w:p w:rsidR="00A30CD0" w:rsidRPr="007E3C85" w:rsidRDefault="00A30CD0">
      <w:pPr>
        <w:tabs>
          <w:tab w:val="center" w:pos="4680"/>
        </w:tabs>
        <w:spacing w:line="188" w:lineRule="atLeast"/>
        <w:jc w:val="center"/>
        <w:outlineLvl w:val="0"/>
        <w:rPr>
          <w:rFonts w:ascii="Arial" w:hAnsi="Arial" w:cs="Arial"/>
          <w:b/>
          <w:szCs w:val="28"/>
        </w:rPr>
      </w:pPr>
    </w:p>
    <w:p w:rsidR="00EC58EA" w:rsidRDefault="00297C11">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200</w:t>
      </w:r>
      <w:r w:rsidR="00976A67">
        <w:rPr>
          <w:rFonts w:ascii="Arial" w:hAnsi="Arial" w:cs="Arial"/>
          <w:b/>
          <w:sz w:val="28"/>
          <w:szCs w:val="28"/>
        </w:rPr>
        <w:t>9</w:t>
      </w:r>
      <w:r w:rsidR="00A846B4"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EC58EA" w:rsidRPr="00E365CC" w:rsidRDefault="00EC58EA">
      <w:pPr>
        <w:tabs>
          <w:tab w:val="center" w:pos="4680"/>
        </w:tabs>
        <w:spacing w:line="188" w:lineRule="atLeast"/>
        <w:jc w:val="both"/>
        <w:rPr>
          <w:rFonts w:ascii="Times New Roman" w:hAnsi="Times New Roman"/>
          <w:b/>
          <w:sz w:val="24"/>
          <w:szCs w:val="24"/>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F73D95" w:rsidRPr="00E365CC" w:rsidRDefault="00F73D95">
      <w:pPr>
        <w:tabs>
          <w:tab w:val="left" w:pos="-720"/>
        </w:tabs>
        <w:spacing w:line="188" w:lineRule="atLeast"/>
        <w:jc w:val="both"/>
        <w:rPr>
          <w:rFonts w:ascii="Times New Roman" w:hAnsi="Times New Roman"/>
          <w:b/>
          <w:sz w:val="24"/>
          <w:highlight w:val="lightGray"/>
          <w:u w:val="single"/>
        </w:rPr>
      </w:pPr>
    </w:p>
    <w:p w:rsidR="002C5E34" w:rsidRDefault="002C5E34">
      <w:pPr>
        <w:tabs>
          <w:tab w:val="left" w:pos="-720"/>
        </w:tabs>
        <w:spacing w:line="188" w:lineRule="atLeast"/>
        <w:jc w:val="both"/>
        <w:rPr>
          <w:rFonts w:ascii="Times New Roman" w:hAnsi="Times New Roman"/>
          <w:b/>
          <w:sz w:val="24"/>
          <w:highlight w:val="lightGray"/>
          <w:u w:val="single"/>
        </w:rPr>
      </w:pPr>
    </w:p>
    <w:p w:rsidR="003858C7" w:rsidRDefault="003858C7">
      <w:pPr>
        <w:tabs>
          <w:tab w:val="left" w:pos="-720"/>
        </w:tabs>
        <w:spacing w:line="188" w:lineRule="atLeast"/>
        <w:jc w:val="both"/>
        <w:rPr>
          <w:rFonts w:ascii="Times New Roman" w:hAnsi="Times New Roman"/>
          <w:b/>
          <w:sz w:val="24"/>
          <w:highlight w:val="lightGray"/>
          <w:u w:val="single"/>
        </w:rPr>
      </w:pPr>
    </w:p>
    <w:p w:rsidR="003858C7" w:rsidRDefault="003858C7">
      <w:pPr>
        <w:tabs>
          <w:tab w:val="left" w:pos="-720"/>
        </w:tabs>
        <w:spacing w:line="188" w:lineRule="atLeast"/>
        <w:jc w:val="both"/>
        <w:rPr>
          <w:rFonts w:ascii="Times New Roman" w:hAnsi="Times New Roman"/>
          <w:b/>
          <w:sz w:val="24"/>
          <w:highlight w:val="lightGray"/>
          <w:u w:val="single"/>
        </w:rPr>
      </w:pPr>
    </w:p>
    <w:p w:rsidR="00C20F64" w:rsidRDefault="00C20F64">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380DEF" w:rsidRDefault="00380DEF" w:rsidP="00380DEF">
      <w:pPr>
        <w:tabs>
          <w:tab w:val="center" w:pos="4680"/>
        </w:tabs>
        <w:spacing w:line="188" w:lineRule="atLeast"/>
        <w:outlineLvl w:val="0"/>
        <w:rPr>
          <w:rFonts w:ascii="Arial" w:hAnsi="Arial" w:cs="Arial"/>
          <w:b/>
          <w:sz w:val="28"/>
        </w:rPr>
      </w:pPr>
    </w:p>
    <w:p w:rsidR="00EC58EA" w:rsidRPr="00E365CC"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r w:rsidR="00EC58EA"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976A67">
        <w:rPr>
          <w:rFonts w:ascii="Arial" w:hAnsi="Arial" w:cs="Arial"/>
          <w:b/>
          <w:sz w:val="28"/>
        </w:rPr>
        <w:t xml:space="preserve"> </w:t>
      </w:r>
      <w:r w:rsidR="000E4222">
        <w:rPr>
          <w:rFonts w:ascii="Arial" w:hAnsi="Arial" w:cs="Arial"/>
          <w:b/>
          <w:sz w:val="28"/>
        </w:rPr>
        <w:t>January 24</w:t>
      </w:r>
      <w:r w:rsidR="00976A67">
        <w:rPr>
          <w:rFonts w:ascii="Arial" w:hAnsi="Arial" w:cs="Arial"/>
          <w:b/>
          <w:sz w:val="28"/>
        </w:rPr>
        <w:t>,</w:t>
      </w:r>
      <w:r w:rsidR="00E365CC" w:rsidRPr="00E365CC">
        <w:rPr>
          <w:rFonts w:ascii="Arial" w:hAnsi="Arial" w:cs="Arial"/>
          <w:b/>
          <w:sz w:val="28"/>
        </w:rPr>
        <w:t xml:space="preserve"> 20</w:t>
      </w:r>
      <w:r w:rsidR="001849D4">
        <w:rPr>
          <w:rFonts w:ascii="Arial" w:hAnsi="Arial" w:cs="Arial"/>
          <w:b/>
          <w:sz w:val="28"/>
        </w:rPr>
        <w:t>1</w:t>
      </w:r>
      <w:r w:rsidR="000E4222">
        <w:rPr>
          <w:rFonts w:ascii="Arial" w:hAnsi="Arial" w:cs="Arial"/>
          <w:b/>
          <w:sz w:val="28"/>
        </w:rPr>
        <w:t>2</w:t>
      </w:r>
    </w:p>
    <w:p w:rsidR="00EC58EA" w:rsidRPr="00E365CC" w:rsidRDefault="00EC58EA">
      <w:pPr>
        <w:tabs>
          <w:tab w:val="center" w:pos="4680"/>
        </w:tabs>
        <w:spacing w:line="188" w:lineRule="atLeast"/>
        <w:jc w:val="center"/>
        <w:rPr>
          <w:rFonts w:ascii="Arial" w:hAnsi="Arial" w:cs="Arial"/>
          <w:b/>
          <w:sz w:val="28"/>
          <w:highlight w:val="lightGray"/>
        </w:rPr>
      </w:pPr>
    </w:p>
    <w:p w:rsidR="00EC58EA" w:rsidRPr="00051545" w:rsidRDefault="00EC58EA">
      <w:pPr>
        <w:tabs>
          <w:tab w:val="center" w:pos="4680"/>
        </w:tabs>
        <w:spacing w:line="188" w:lineRule="atLeast"/>
        <w:jc w:val="center"/>
        <w:rPr>
          <w:rFonts w:ascii="Arial" w:hAnsi="Arial" w:cs="Arial"/>
          <w:b/>
          <w:sz w:val="28"/>
        </w:r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10</w:t>
      </w:r>
      <w:r w:rsidR="0041125E">
        <w:rPr>
          <w:rFonts w:ascii="Arial" w:hAnsi="Arial" w:cs="Arial"/>
          <w:b/>
          <w:sz w:val="28"/>
        </w:rPr>
        <w:t>-</w:t>
      </w:r>
      <w:r w:rsidR="00051545" w:rsidRPr="00051545">
        <w:rPr>
          <w:rFonts w:ascii="Arial" w:hAnsi="Arial" w:cs="Arial"/>
          <w:b/>
          <w:sz w:val="28"/>
        </w:rPr>
        <w:t>2</w:t>
      </w:r>
      <w:r w:rsidR="00436990">
        <w:rPr>
          <w:rFonts w:ascii="Arial" w:hAnsi="Arial" w:cs="Arial"/>
          <w:b/>
          <w:sz w:val="28"/>
        </w:rPr>
        <w:t>205575</w:t>
      </w:r>
    </w:p>
    <w:p w:rsidR="002627D0" w:rsidRDefault="002627D0">
      <w:pPr>
        <w:jc w:val="center"/>
        <w:outlineLvl w:val="0"/>
        <w:rPr>
          <w:rFonts w:ascii="Arial" w:hAnsi="Arial" w:cs="Arial"/>
          <w:b/>
          <w:sz w:val="28"/>
          <w:szCs w:val="28"/>
          <w:u w:val="single"/>
        </w:rPr>
        <w:sectPr w:rsidR="002627D0" w:rsidSect="009B54DF">
          <w:footerReference w:type="default" r:id="rId9"/>
          <w:footerReference w:type="first" r:id="rId10"/>
          <w:type w:val="oddPage"/>
          <w:pgSz w:w="12240" w:h="15840" w:code="1"/>
          <w:pgMar w:top="1440" w:right="1440" w:bottom="1152" w:left="1440" w:header="0" w:footer="720" w:gutter="0"/>
          <w:pgNumType w:start="1"/>
          <w:cols w:space="720"/>
          <w:noEndnote/>
          <w:titlePg/>
          <w:docGrid w:linePitch="272"/>
        </w:sectPr>
      </w:pPr>
    </w:p>
    <w:p w:rsidR="00EC58EA" w:rsidRPr="00604FFF" w:rsidRDefault="00EC58EA">
      <w:pPr>
        <w:jc w:val="center"/>
        <w:outlineLvl w:val="0"/>
        <w:rPr>
          <w:rFonts w:ascii="Arial" w:hAnsi="Arial" w:cs="Arial"/>
          <w:b/>
          <w:sz w:val="28"/>
          <w:szCs w:val="28"/>
          <w:u w:val="single"/>
        </w:rPr>
      </w:pPr>
      <w:r w:rsidRPr="00604FFF">
        <w:rPr>
          <w:rFonts w:ascii="Arial" w:hAnsi="Arial" w:cs="Arial"/>
          <w:b/>
          <w:sz w:val="28"/>
          <w:szCs w:val="28"/>
          <w:u w:val="single"/>
        </w:rPr>
        <w:lastRenderedPageBreak/>
        <w:t>PHILADELPHIA GAS WORKS</w:t>
      </w:r>
    </w:p>
    <w:p w:rsidR="00EC58EA" w:rsidRPr="00C20F64" w:rsidRDefault="00EC58EA">
      <w:pPr>
        <w:jc w:val="center"/>
        <w:rPr>
          <w:rFonts w:ascii="Arial" w:hAnsi="Arial" w:cs="Arial"/>
          <w:b/>
          <w:sz w:val="24"/>
          <w:szCs w:val="24"/>
          <w:u w:val="single"/>
        </w:rPr>
      </w:pPr>
    </w:p>
    <w:p w:rsidR="00EC58EA" w:rsidRPr="00C20F64" w:rsidRDefault="00EC58EA">
      <w:pPr>
        <w:jc w:val="center"/>
        <w:outlineLvl w:val="0"/>
        <w:rPr>
          <w:rFonts w:ascii="Arial" w:hAnsi="Arial" w:cs="Arial"/>
          <w:b/>
          <w:sz w:val="24"/>
          <w:szCs w:val="24"/>
        </w:rPr>
      </w:pPr>
      <w:r w:rsidRPr="00C20F64">
        <w:rPr>
          <w:rFonts w:ascii="Arial" w:hAnsi="Arial" w:cs="Arial"/>
          <w:b/>
          <w:sz w:val="24"/>
          <w:szCs w:val="24"/>
          <w:u w:val="single"/>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C20F64" w:rsidTr="007D5B2E">
        <w:trPr>
          <w:jc w:val="center"/>
        </w:trPr>
        <w:tc>
          <w:tcPr>
            <w:tcW w:w="8908" w:type="dxa"/>
            <w:gridSpan w:val="2"/>
          </w:tcPr>
          <w:p w:rsidR="00C15209" w:rsidRPr="00C20F64" w:rsidRDefault="00C15209" w:rsidP="007D5B2E">
            <w:pPr>
              <w:tabs>
                <w:tab w:val="left" w:pos="-720"/>
                <w:tab w:val="left" w:pos="8640"/>
              </w:tabs>
              <w:jc w:val="both"/>
              <w:outlineLvl w:val="0"/>
              <w:rPr>
                <w:rFonts w:ascii="Arial" w:hAnsi="Arial" w:cs="Arial"/>
                <w:b/>
                <w:sz w:val="24"/>
                <w:szCs w:val="24"/>
                <w:u w:val="single"/>
              </w:rPr>
            </w:pPr>
          </w:p>
        </w:tc>
        <w:tc>
          <w:tcPr>
            <w:tcW w:w="270" w:type="dxa"/>
          </w:tcPr>
          <w:p w:rsidR="00C15209" w:rsidRPr="00C20F64"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C20F64" w:rsidRDefault="00C15209" w:rsidP="007D5B2E">
            <w:pPr>
              <w:tabs>
                <w:tab w:val="left" w:pos="-720"/>
                <w:tab w:val="left" w:pos="8640"/>
              </w:tabs>
              <w:jc w:val="both"/>
              <w:outlineLvl w:val="0"/>
              <w:rPr>
                <w:rFonts w:ascii="Arial" w:hAnsi="Arial" w:cs="Arial"/>
                <w:b/>
                <w:sz w:val="24"/>
                <w:szCs w:val="24"/>
              </w:rPr>
            </w:pPr>
            <w:r w:rsidRPr="00C20F64">
              <w:rPr>
                <w:rFonts w:ascii="Arial" w:hAnsi="Arial" w:cs="Arial"/>
                <w:b/>
                <w:sz w:val="24"/>
                <w:szCs w:val="24"/>
              </w:rPr>
              <w:t>Page</w:t>
            </w:r>
          </w:p>
        </w:tc>
      </w:tr>
      <w:tr w:rsidR="00F208ED" w:rsidRPr="00C20F64" w:rsidTr="007D5B2E">
        <w:trPr>
          <w:jc w:val="center"/>
        </w:trPr>
        <w:tc>
          <w:tcPr>
            <w:tcW w:w="8908" w:type="dxa"/>
            <w:gridSpan w:val="2"/>
          </w:tcPr>
          <w:p w:rsidR="00F208ED" w:rsidRPr="00C20F64" w:rsidRDefault="00F208ED" w:rsidP="007D5B2E">
            <w:pPr>
              <w:tabs>
                <w:tab w:val="left" w:pos="-720"/>
                <w:tab w:val="left" w:pos="8640"/>
              </w:tabs>
              <w:jc w:val="both"/>
              <w:outlineLvl w:val="0"/>
              <w:rPr>
                <w:rFonts w:ascii="Arial" w:hAnsi="Arial" w:cs="Arial"/>
                <w:sz w:val="24"/>
                <w:szCs w:val="24"/>
              </w:rPr>
            </w:pPr>
            <w:r w:rsidRPr="00C20F64">
              <w:rPr>
                <w:rFonts w:ascii="Arial" w:hAnsi="Arial" w:cs="Arial"/>
                <w:b/>
                <w:sz w:val="24"/>
                <w:szCs w:val="24"/>
                <w:u w:val="single"/>
              </w:rPr>
              <w:t>FINANCIAL REVIEW</w:t>
            </w:r>
          </w:p>
        </w:tc>
        <w:tc>
          <w:tcPr>
            <w:tcW w:w="270" w:type="dxa"/>
          </w:tcPr>
          <w:p w:rsidR="00F208ED" w:rsidRPr="00C20F64"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C20F64" w:rsidRDefault="00F208ED" w:rsidP="007D5B2E">
            <w:pPr>
              <w:tabs>
                <w:tab w:val="left" w:pos="-720"/>
                <w:tab w:val="left" w:pos="8640"/>
              </w:tabs>
              <w:jc w:val="both"/>
              <w:outlineLvl w:val="0"/>
              <w:rPr>
                <w:rFonts w:ascii="Arial" w:hAnsi="Arial" w:cs="Arial"/>
                <w:sz w:val="24"/>
                <w:szCs w:val="24"/>
              </w:rPr>
            </w:pPr>
          </w:p>
        </w:tc>
      </w:tr>
      <w:tr w:rsidR="00FA1003" w:rsidRPr="00C20F64" w:rsidTr="009F6A59">
        <w:trPr>
          <w:cantSplit/>
          <w:trHeight w:hRule="exact" w:val="297"/>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FA1003"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208ED" w:rsidP="007D5B2E">
            <w:pPr>
              <w:tabs>
                <w:tab w:val="left" w:pos="-720"/>
                <w:tab w:val="left" w:pos="8640"/>
              </w:tabs>
              <w:outlineLvl w:val="0"/>
              <w:rPr>
                <w:rFonts w:ascii="Arial" w:hAnsi="Arial" w:cs="Arial"/>
                <w:sz w:val="24"/>
                <w:szCs w:val="24"/>
              </w:rPr>
            </w:pPr>
            <w:r w:rsidRPr="00C20F64">
              <w:rPr>
                <w:rFonts w:ascii="Arial" w:hAnsi="Arial" w:cs="Arial"/>
                <w:sz w:val="24"/>
                <w:szCs w:val="24"/>
              </w:rPr>
              <w:t>Independent Auditor's Report</w:t>
            </w: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960994" w:rsidP="007D5B2E">
            <w:pPr>
              <w:tabs>
                <w:tab w:val="left" w:pos="-720"/>
                <w:tab w:val="left" w:pos="8640"/>
              </w:tabs>
              <w:jc w:val="both"/>
              <w:outlineLvl w:val="0"/>
              <w:rPr>
                <w:rFonts w:ascii="Arial" w:hAnsi="Arial" w:cs="Arial"/>
                <w:sz w:val="24"/>
                <w:szCs w:val="24"/>
              </w:rPr>
            </w:pPr>
            <w:r w:rsidRPr="00C20F64">
              <w:rPr>
                <w:rFonts w:ascii="Arial" w:hAnsi="Arial" w:cs="Arial"/>
                <w:sz w:val="24"/>
                <w:szCs w:val="24"/>
              </w:rPr>
              <w:t xml:space="preserve"> </w:t>
            </w:r>
            <w:r w:rsidR="0091221E" w:rsidRPr="00C20F64">
              <w:rPr>
                <w:rFonts w:ascii="Arial" w:hAnsi="Arial" w:cs="Arial"/>
                <w:sz w:val="24"/>
                <w:szCs w:val="24"/>
              </w:rPr>
              <w:t xml:space="preserve"> </w:t>
            </w:r>
            <w:r w:rsidRPr="00C20F64">
              <w:rPr>
                <w:rFonts w:ascii="Arial" w:hAnsi="Arial" w:cs="Arial"/>
                <w:sz w:val="24"/>
                <w:szCs w:val="24"/>
              </w:rPr>
              <w:t xml:space="preserve">  </w:t>
            </w:r>
            <w:r w:rsidR="00FC40C3" w:rsidRPr="00C20F64">
              <w:rPr>
                <w:rFonts w:ascii="Arial" w:hAnsi="Arial" w:cs="Arial"/>
                <w:sz w:val="24"/>
                <w:szCs w:val="24"/>
              </w:rPr>
              <w:t>1</w:t>
            </w:r>
          </w:p>
        </w:tc>
      </w:tr>
      <w:tr w:rsidR="00274E4B" w:rsidRPr="00C20F64" w:rsidTr="00274E4B">
        <w:trPr>
          <w:trHeight w:val="342"/>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7D5B2E">
            <w:pPr>
              <w:tabs>
                <w:tab w:val="left" w:pos="-720"/>
                <w:tab w:val="left" w:pos="8640"/>
              </w:tabs>
              <w:jc w:val="both"/>
              <w:outlineLvl w:val="0"/>
              <w:rPr>
                <w:rFonts w:ascii="Arial" w:hAnsi="Arial" w:cs="Arial"/>
                <w:sz w:val="24"/>
                <w:szCs w:val="24"/>
              </w:rPr>
            </w:pPr>
          </w:p>
        </w:tc>
      </w:tr>
      <w:tr w:rsidR="00320203" w:rsidRPr="00C20F64" w:rsidTr="007D5B2E">
        <w:trPr>
          <w:jc w:val="center"/>
        </w:trPr>
        <w:tc>
          <w:tcPr>
            <w:tcW w:w="718" w:type="dxa"/>
          </w:tcPr>
          <w:p w:rsidR="00320203" w:rsidRPr="00C20F64"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C20F64" w:rsidRDefault="00320203" w:rsidP="007D5B2E">
            <w:pPr>
              <w:tabs>
                <w:tab w:val="left" w:pos="-720"/>
                <w:tab w:val="left" w:pos="8640"/>
              </w:tabs>
              <w:outlineLvl w:val="0"/>
              <w:rPr>
                <w:rFonts w:ascii="Arial" w:hAnsi="Arial" w:cs="Arial"/>
                <w:sz w:val="24"/>
                <w:szCs w:val="24"/>
              </w:rPr>
            </w:pPr>
            <w:r w:rsidRPr="00C20F64">
              <w:rPr>
                <w:rFonts w:ascii="Arial" w:hAnsi="Arial" w:cs="Arial"/>
                <w:sz w:val="24"/>
                <w:szCs w:val="24"/>
              </w:rPr>
              <w:t>Universal Service</w:t>
            </w:r>
            <w:r w:rsidR="00E23F7B">
              <w:rPr>
                <w:rFonts w:ascii="Arial" w:hAnsi="Arial" w:cs="Arial"/>
                <w:sz w:val="24"/>
                <w:szCs w:val="24"/>
              </w:rPr>
              <w:t xml:space="preserve"> And </w:t>
            </w:r>
            <w:r w:rsidRPr="00C20F64">
              <w:rPr>
                <w:rFonts w:ascii="Arial" w:hAnsi="Arial" w:cs="Arial"/>
                <w:sz w:val="24"/>
                <w:szCs w:val="24"/>
              </w:rPr>
              <w:t>Energy Conservation Surcharge Reconciliation</w:t>
            </w:r>
          </w:p>
          <w:p w:rsidR="00320203" w:rsidRPr="00C20F64" w:rsidRDefault="00E23F7B" w:rsidP="000A6A45">
            <w:pPr>
              <w:tabs>
                <w:tab w:val="left" w:pos="-720"/>
                <w:tab w:val="left" w:pos="8640"/>
              </w:tabs>
              <w:outlineLvl w:val="0"/>
              <w:rPr>
                <w:rFonts w:ascii="Arial" w:hAnsi="Arial" w:cs="Arial"/>
                <w:sz w:val="24"/>
                <w:szCs w:val="24"/>
              </w:rPr>
            </w:pPr>
            <w:r>
              <w:rPr>
                <w:rFonts w:ascii="Arial" w:hAnsi="Arial" w:cs="Arial"/>
                <w:sz w:val="24"/>
                <w:szCs w:val="24"/>
              </w:rPr>
              <w:t xml:space="preserve">Statement </w:t>
            </w:r>
            <w:r w:rsidR="00320203" w:rsidRPr="00C20F64">
              <w:rPr>
                <w:rFonts w:ascii="Arial" w:hAnsi="Arial" w:cs="Arial"/>
                <w:sz w:val="24"/>
                <w:szCs w:val="24"/>
              </w:rPr>
              <w:t xml:space="preserve">For The Twelve Months Ended August 31, </w:t>
            </w:r>
            <w:r w:rsidR="00A846B4" w:rsidRPr="00C20F64">
              <w:rPr>
                <w:rFonts w:ascii="Arial" w:hAnsi="Arial" w:cs="Arial"/>
                <w:sz w:val="24"/>
                <w:szCs w:val="24"/>
              </w:rPr>
              <w:t>200</w:t>
            </w:r>
            <w:r w:rsidR="000A6A45" w:rsidRPr="00C20F64">
              <w:rPr>
                <w:rFonts w:ascii="Arial" w:hAnsi="Arial" w:cs="Arial"/>
                <w:sz w:val="24"/>
                <w:szCs w:val="24"/>
              </w:rPr>
              <w:t>9</w:t>
            </w:r>
            <w:r w:rsidR="00320203" w:rsidRPr="00C20F64">
              <w:rPr>
                <w:rFonts w:ascii="Arial" w:hAnsi="Arial" w:cs="Arial"/>
                <w:sz w:val="24"/>
                <w:szCs w:val="24"/>
              </w:rPr>
              <w:tab/>
              <w:t>Statement For The Twelve-Months Ended August 31, 2006</w:t>
            </w:r>
          </w:p>
        </w:tc>
        <w:tc>
          <w:tcPr>
            <w:tcW w:w="270" w:type="dxa"/>
          </w:tcPr>
          <w:p w:rsidR="00320203" w:rsidRPr="00C20F64"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C20F64" w:rsidRDefault="00320203" w:rsidP="007D5B2E">
            <w:pPr>
              <w:tabs>
                <w:tab w:val="left" w:pos="-720"/>
                <w:tab w:val="left" w:pos="8640"/>
              </w:tabs>
              <w:jc w:val="both"/>
              <w:outlineLvl w:val="0"/>
              <w:rPr>
                <w:rFonts w:ascii="Arial" w:hAnsi="Arial" w:cs="Arial"/>
                <w:sz w:val="24"/>
                <w:szCs w:val="24"/>
              </w:rPr>
            </w:pPr>
          </w:p>
          <w:p w:rsidR="00320203" w:rsidRPr="00C20F64" w:rsidRDefault="00614171" w:rsidP="00614171">
            <w:pPr>
              <w:tabs>
                <w:tab w:val="left" w:pos="-720"/>
                <w:tab w:val="left" w:pos="8640"/>
              </w:tabs>
              <w:jc w:val="center"/>
              <w:outlineLvl w:val="0"/>
              <w:rPr>
                <w:rFonts w:ascii="Arial" w:hAnsi="Arial" w:cs="Arial"/>
                <w:sz w:val="24"/>
                <w:szCs w:val="24"/>
              </w:rPr>
            </w:pPr>
            <w:r w:rsidRPr="00C20F64">
              <w:rPr>
                <w:rFonts w:ascii="Arial" w:hAnsi="Arial" w:cs="Arial"/>
                <w:sz w:val="24"/>
                <w:szCs w:val="24"/>
              </w:rPr>
              <w:t>2</w:t>
            </w: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208ED" w:rsidP="007D5B2E">
            <w:pPr>
              <w:tabs>
                <w:tab w:val="left" w:pos="-720"/>
                <w:tab w:val="left" w:pos="8640"/>
              </w:tabs>
              <w:outlineLvl w:val="0"/>
              <w:rPr>
                <w:rFonts w:ascii="Arial" w:hAnsi="Arial" w:cs="Arial"/>
                <w:sz w:val="24"/>
                <w:szCs w:val="24"/>
              </w:rPr>
            </w:pPr>
            <w:r w:rsidRPr="00C20F64">
              <w:rPr>
                <w:rFonts w:ascii="Arial" w:hAnsi="Arial" w:cs="Arial"/>
                <w:sz w:val="24"/>
                <w:szCs w:val="24"/>
              </w:rPr>
              <w:t>Notes To The Financial Statements</w:t>
            </w: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274E4B" w:rsidP="00274E4B">
            <w:pPr>
              <w:tabs>
                <w:tab w:val="left" w:pos="-720"/>
                <w:tab w:val="left" w:pos="8640"/>
              </w:tabs>
              <w:jc w:val="center"/>
              <w:outlineLvl w:val="0"/>
              <w:rPr>
                <w:rFonts w:ascii="Arial" w:hAnsi="Arial" w:cs="Arial"/>
                <w:sz w:val="24"/>
                <w:szCs w:val="24"/>
              </w:rPr>
            </w:pPr>
            <w:r w:rsidRPr="00C20F64">
              <w:rPr>
                <w:rFonts w:ascii="Arial" w:hAnsi="Arial" w:cs="Arial"/>
                <w:sz w:val="24"/>
                <w:szCs w:val="24"/>
              </w:rPr>
              <w:t>3</w:t>
            </w: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A04024">
            <w:pPr>
              <w:tabs>
                <w:tab w:val="left" w:pos="-720"/>
                <w:tab w:val="left" w:pos="8640"/>
              </w:tabs>
              <w:jc w:val="both"/>
              <w:outlineLvl w:val="0"/>
              <w:rPr>
                <w:rFonts w:ascii="Arial" w:hAnsi="Arial" w:cs="Arial"/>
                <w:sz w:val="24"/>
                <w:szCs w:val="24"/>
              </w:rPr>
            </w:pP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A04024">
            <w:pPr>
              <w:tabs>
                <w:tab w:val="left" w:pos="-720"/>
                <w:tab w:val="left" w:pos="8640"/>
              </w:tabs>
              <w:jc w:val="both"/>
              <w:outlineLvl w:val="0"/>
              <w:rPr>
                <w:rFonts w:ascii="Arial" w:hAnsi="Arial" w:cs="Arial"/>
                <w:sz w:val="24"/>
                <w:szCs w:val="24"/>
              </w:rPr>
            </w:pPr>
          </w:p>
        </w:tc>
      </w:tr>
      <w:tr w:rsidR="00933B61" w:rsidRPr="00C20F64" w:rsidTr="007D5B2E">
        <w:trPr>
          <w:jc w:val="center"/>
        </w:trPr>
        <w:tc>
          <w:tcPr>
            <w:tcW w:w="8908" w:type="dxa"/>
            <w:gridSpan w:val="2"/>
          </w:tcPr>
          <w:p w:rsidR="00933B61" w:rsidRPr="00C20F64" w:rsidRDefault="00E14488" w:rsidP="002560FA">
            <w:pPr>
              <w:tabs>
                <w:tab w:val="left" w:pos="-720"/>
                <w:tab w:val="left" w:pos="8640"/>
              </w:tabs>
              <w:jc w:val="both"/>
              <w:outlineLvl w:val="0"/>
              <w:rPr>
                <w:rFonts w:ascii="Arial" w:hAnsi="Arial" w:cs="Arial"/>
                <w:sz w:val="24"/>
                <w:szCs w:val="24"/>
              </w:rPr>
            </w:pPr>
            <w:r>
              <w:rPr>
                <w:rFonts w:ascii="Arial" w:hAnsi="Arial" w:cs="Arial"/>
                <w:b/>
                <w:sz w:val="24"/>
                <w:szCs w:val="24"/>
                <w:u w:val="single"/>
              </w:rPr>
              <w:t>BACKGROUN</w:t>
            </w:r>
            <w:r w:rsidR="002560FA">
              <w:rPr>
                <w:rFonts w:ascii="Arial" w:hAnsi="Arial" w:cs="Arial"/>
                <w:b/>
                <w:sz w:val="24"/>
                <w:szCs w:val="24"/>
                <w:u w:val="single"/>
              </w:rPr>
              <w:t>D</w:t>
            </w:r>
            <w:r w:rsidR="0033091F">
              <w:rPr>
                <w:rFonts w:ascii="Arial" w:hAnsi="Arial" w:cs="Arial"/>
                <w:b/>
                <w:sz w:val="24"/>
                <w:szCs w:val="24"/>
                <w:u w:val="single"/>
              </w:rPr>
              <w:t>L</w:t>
            </w:r>
            <w:r>
              <w:rPr>
                <w:rFonts w:ascii="Arial" w:hAnsi="Arial" w:cs="Arial"/>
                <w:b/>
                <w:sz w:val="24"/>
                <w:szCs w:val="24"/>
                <w:u w:val="single"/>
              </w:rPr>
              <w:t xml:space="preserve"> AND </w:t>
            </w:r>
            <w:r w:rsidR="00933B61" w:rsidRPr="00C20F64">
              <w:rPr>
                <w:rFonts w:ascii="Arial" w:hAnsi="Arial" w:cs="Arial"/>
                <w:b/>
                <w:sz w:val="24"/>
                <w:szCs w:val="24"/>
                <w:u w:val="single"/>
              </w:rPr>
              <w:t>OPERATIONAL REVIEW</w:t>
            </w:r>
          </w:p>
        </w:tc>
        <w:tc>
          <w:tcPr>
            <w:tcW w:w="270" w:type="dxa"/>
          </w:tcPr>
          <w:p w:rsidR="00933B61" w:rsidRPr="00C20F64" w:rsidRDefault="00933B61" w:rsidP="007D5B2E">
            <w:pPr>
              <w:tabs>
                <w:tab w:val="left" w:pos="-720"/>
                <w:tab w:val="left" w:pos="8640"/>
              </w:tabs>
              <w:jc w:val="both"/>
              <w:outlineLvl w:val="0"/>
              <w:rPr>
                <w:rFonts w:ascii="Arial" w:hAnsi="Arial" w:cs="Arial"/>
                <w:sz w:val="24"/>
                <w:szCs w:val="24"/>
              </w:rPr>
            </w:pPr>
          </w:p>
        </w:tc>
        <w:tc>
          <w:tcPr>
            <w:tcW w:w="897" w:type="dxa"/>
          </w:tcPr>
          <w:p w:rsidR="00933B61" w:rsidRPr="00C20F64" w:rsidRDefault="00933B61"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FA1003"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933B61" w:rsidP="007D5B2E">
            <w:pPr>
              <w:tabs>
                <w:tab w:val="left" w:pos="-720"/>
                <w:tab w:val="left" w:pos="8640"/>
              </w:tabs>
              <w:outlineLvl w:val="0"/>
              <w:rPr>
                <w:rFonts w:ascii="Arial" w:hAnsi="Arial" w:cs="Arial"/>
                <w:sz w:val="24"/>
                <w:szCs w:val="24"/>
              </w:rPr>
            </w:pPr>
            <w:r w:rsidRPr="00C20F64">
              <w:rPr>
                <w:rFonts w:ascii="Arial" w:hAnsi="Arial" w:cs="Arial"/>
                <w:sz w:val="24"/>
                <w:szCs w:val="24"/>
              </w:rPr>
              <w:t>Company Background</w:t>
            </w: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DD4A28" w:rsidP="00274E4B">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565D6E">
            <w:pPr>
              <w:tabs>
                <w:tab w:val="left" w:pos="-720"/>
                <w:tab w:val="left" w:pos="8640"/>
              </w:tabs>
              <w:jc w:val="both"/>
              <w:outlineLvl w:val="0"/>
              <w:rPr>
                <w:rFonts w:ascii="Arial" w:hAnsi="Arial" w:cs="Arial"/>
                <w:sz w:val="24"/>
                <w:szCs w:val="24"/>
              </w:rPr>
            </w:pPr>
          </w:p>
        </w:tc>
      </w:tr>
      <w:tr w:rsidR="00614171" w:rsidRPr="00C20F64" w:rsidTr="007D5B2E">
        <w:trPr>
          <w:jc w:val="center"/>
        </w:trPr>
        <w:tc>
          <w:tcPr>
            <w:tcW w:w="718" w:type="dxa"/>
          </w:tcPr>
          <w:p w:rsidR="00614171" w:rsidRPr="00C20F64" w:rsidRDefault="00614171" w:rsidP="007D5B2E">
            <w:pPr>
              <w:tabs>
                <w:tab w:val="left" w:pos="-720"/>
                <w:tab w:val="left" w:pos="8640"/>
              </w:tabs>
              <w:jc w:val="both"/>
              <w:outlineLvl w:val="0"/>
              <w:rPr>
                <w:rFonts w:ascii="Arial" w:hAnsi="Arial" w:cs="Arial"/>
                <w:sz w:val="24"/>
                <w:szCs w:val="24"/>
              </w:rPr>
            </w:pPr>
          </w:p>
        </w:tc>
        <w:tc>
          <w:tcPr>
            <w:tcW w:w="8190" w:type="dxa"/>
          </w:tcPr>
          <w:p w:rsidR="00614171" w:rsidRDefault="00EA26A5" w:rsidP="007D5B2E">
            <w:pPr>
              <w:tabs>
                <w:tab w:val="left" w:pos="-720"/>
                <w:tab w:val="left" w:pos="8640"/>
              </w:tabs>
              <w:outlineLvl w:val="0"/>
              <w:rPr>
                <w:rFonts w:ascii="Arial" w:hAnsi="Arial" w:cs="Arial"/>
                <w:sz w:val="24"/>
                <w:szCs w:val="24"/>
              </w:rPr>
            </w:pPr>
            <w:r w:rsidRPr="00C20F64">
              <w:rPr>
                <w:rFonts w:ascii="Arial" w:hAnsi="Arial" w:cs="Arial"/>
                <w:sz w:val="24"/>
                <w:szCs w:val="24"/>
              </w:rPr>
              <w:t>Current</w:t>
            </w:r>
            <w:r w:rsidR="00675CC5">
              <w:rPr>
                <w:rFonts w:ascii="Arial" w:hAnsi="Arial" w:cs="Arial"/>
                <w:sz w:val="24"/>
                <w:szCs w:val="24"/>
              </w:rPr>
              <w:t xml:space="preserve"> Year’s</w:t>
            </w:r>
            <w:r w:rsidR="00614171" w:rsidRPr="00C20F64">
              <w:rPr>
                <w:rFonts w:ascii="Arial" w:hAnsi="Arial" w:cs="Arial"/>
                <w:sz w:val="24"/>
                <w:szCs w:val="24"/>
              </w:rPr>
              <w:t xml:space="preserve"> Audit Finding</w:t>
            </w:r>
          </w:p>
          <w:p w:rsidR="0039211D" w:rsidRDefault="0039211D" w:rsidP="007D5B2E">
            <w:pPr>
              <w:tabs>
                <w:tab w:val="left" w:pos="-720"/>
                <w:tab w:val="left" w:pos="8640"/>
              </w:tabs>
              <w:outlineLvl w:val="0"/>
              <w:rPr>
                <w:rFonts w:ascii="Arial" w:hAnsi="Arial" w:cs="Arial"/>
                <w:sz w:val="24"/>
                <w:szCs w:val="24"/>
              </w:rPr>
            </w:pPr>
          </w:p>
          <w:p w:rsidR="00E14488" w:rsidRPr="008D0BD6" w:rsidRDefault="00D94B72" w:rsidP="00C97E71">
            <w:pPr>
              <w:tabs>
                <w:tab w:val="left" w:pos="1710"/>
              </w:tabs>
              <w:ind w:left="1152" w:hanging="1109"/>
              <w:rPr>
                <w:rFonts w:ascii="Arial" w:hAnsi="Arial" w:cs="Arial"/>
                <w:b/>
                <w:sz w:val="24"/>
                <w:szCs w:val="24"/>
                <w:u w:val="single"/>
              </w:rPr>
            </w:pPr>
            <w:r w:rsidRPr="00BB6B18">
              <w:rPr>
                <w:rFonts w:ascii="Arial" w:hAnsi="Arial" w:cs="Arial"/>
                <w:b/>
                <w:sz w:val="24"/>
                <w:szCs w:val="24"/>
                <w:u w:val="single"/>
              </w:rPr>
              <w:t xml:space="preserve">Finding </w:t>
            </w:r>
            <w:r w:rsidR="00356B91" w:rsidRPr="00BB6B18">
              <w:rPr>
                <w:rFonts w:ascii="Arial" w:hAnsi="Arial" w:cs="Arial"/>
                <w:b/>
                <w:sz w:val="24"/>
                <w:szCs w:val="24"/>
                <w:u w:val="single"/>
              </w:rPr>
              <w:sym w:font="Symbol" w:char="F02D"/>
            </w:r>
            <w:r w:rsidRPr="00BB6B18">
              <w:rPr>
                <w:rFonts w:ascii="Arial" w:hAnsi="Arial" w:cs="Arial"/>
                <w:b/>
                <w:sz w:val="24"/>
                <w:szCs w:val="24"/>
                <w:u w:val="single"/>
              </w:rPr>
              <w:t xml:space="preserve"> </w:t>
            </w:r>
            <w:r w:rsidR="00E14488" w:rsidRPr="00BB6B18">
              <w:rPr>
                <w:rFonts w:ascii="Arial" w:hAnsi="Arial" w:cs="Arial"/>
                <w:b/>
                <w:sz w:val="24"/>
                <w:szCs w:val="24"/>
                <w:u w:val="single"/>
              </w:rPr>
              <w:t>Administrative</w:t>
            </w:r>
            <w:r w:rsidR="00E14488" w:rsidRPr="008D0BD6">
              <w:rPr>
                <w:rFonts w:ascii="Arial" w:hAnsi="Arial" w:cs="Arial"/>
                <w:b/>
                <w:sz w:val="24"/>
                <w:szCs w:val="24"/>
                <w:u w:val="single"/>
              </w:rPr>
              <w:t xml:space="preserve"> Labor Costs </w:t>
            </w:r>
            <w:r w:rsidR="00E14488">
              <w:rPr>
                <w:rFonts w:ascii="Arial" w:hAnsi="Arial" w:cs="Arial"/>
                <w:b/>
                <w:sz w:val="24"/>
                <w:szCs w:val="24"/>
                <w:u w:val="single"/>
              </w:rPr>
              <w:t>Totaling</w:t>
            </w:r>
            <w:r w:rsidR="00E14488" w:rsidRPr="008D0BD6">
              <w:rPr>
                <w:rFonts w:ascii="Arial" w:hAnsi="Arial" w:cs="Arial"/>
                <w:b/>
                <w:sz w:val="24"/>
                <w:szCs w:val="24"/>
                <w:u w:val="single"/>
              </w:rPr>
              <w:t xml:space="preserve"> $108,787 </w:t>
            </w:r>
            <w:r w:rsidR="00C97E71">
              <w:rPr>
                <w:rFonts w:ascii="Arial" w:hAnsi="Arial" w:cs="Arial"/>
                <w:b/>
                <w:sz w:val="24"/>
                <w:szCs w:val="24"/>
                <w:u w:val="single"/>
              </w:rPr>
              <w:t>W</w:t>
            </w:r>
            <w:r w:rsidR="00F320BC">
              <w:rPr>
                <w:rFonts w:ascii="Arial" w:hAnsi="Arial" w:cs="Arial"/>
                <w:b/>
                <w:sz w:val="24"/>
                <w:szCs w:val="24"/>
                <w:u w:val="single"/>
              </w:rPr>
              <w:t xml:space="preserve">ere </w:t>
            </w:r>
            <w:r w:rsidR="00C97E71">
              <w:rPr>
                <w:rFonts w:ascii="Arial" w:hAnsi="Arial" w:cs="Arial"/>
                <w:b/>
                <w:sz w:val="24"/>
                <w:szCs w:val="24"/>
                <w:u w:val="single"/>
              </w:rPr>
              <w:t>I</w:t>
            </w:r>
            <w:r w:rsidR="00E14488" w:rsidRPr="008D0BD6">
              <w:rPr>
                <w:rFonts w:ascii="Arial" w:hAnsi="Arial" w:cs="Arial"/>
                <w:b/>
                <w:sz w:val="24"/>
                <w:szCs w:val="24"/>
                <w:u w:val="single"/>
              </w:rPr>
              <w:t xml:space="preserve">ncluded </w:t>
            </w:r>
            <w:r w:rsidR="00C97E71">
              <w:rPr>
                <w:rFonts w:ascii="Arial" w:hAnsi="Arial" w:cs="Arial"/>
                <w:b/>
                <w:sz w:val="24"/>
                <w:szCs w:val="24"/>
                <w:u w:val="single"/>
              </w:rPr>
              <w:t>I</w:t>
            </w:r>
            <w:r w:rsidR="00E14488" w:rsidRPr="008D0BD6">
              <w:rPr>
                <w:rFonts w:ascii="Arial" w:hAnsi="Arial" w:cs="Arial"/>
                <w:b/>
                <w:sz w:val="24"/>
                <w:szCs w:val="24"/>
                <w:u w:val="single"/>
              </w:rPr>
              <w:t xml:space="preserve">n </w:t>
            </w:r>
            <w:r w:rsidR="00C97E71">
              <w:rPr>
                <w:rFonts w:ascii="Arial" w:hAnsi="Arial" w:cs="Arial"/>
                <w:b/>
                <w:sz w:val="24"/>
                <w:szCs w:val="24"/>
                <w:u w:val="single"/>
              </w:rPr>
              <w:t>T</w:t>
            </w:r>
            <w:r w:rsidR="00E14488" w:rsidRPr="008D0BD6">
              <w:rPr>
                <w:rFonts w:ascii="Arial" w:hAnsi="Arial" w:cs="Arial"/>
                <w:b/>
                <w:sz w:val="24"/>
                <w:szCs w:val="24"/>
                <w:u w:val="single"/>
              </w:rPr>
              <w:t xml:space="preserve">he </w:t>
            </w:r>
            <w:r w:rsidR="00C97E71">
              <w:rPr>
                <w:rFonts w:ascii="Arial" w:hAnsi="Arial" w:cs="Arial"/>
                <w:b/>
                <w:sz w:val="24"/>
                <w:szCs w:val="24"/>
                <w:u w:val="single"/>
              </w:rPr>
              <w:t>C</w:t>
            </w:r>
            <w:r w:rsidR="00E14488" w:rsidRPr="008D0BD6">
              <w:rPr>
                <w:rFonts w:ascii="Arial" w:hAnsi="Arial" w:cs="Arial"/>
                <w:b/>
                <w:sz w:val="24"/>
                <w:szCs w:val="24"/>
                <w:u w:val="single"/>
              </w:rPr>
              <w:t xml:space="preserve">osts </w:t>
            </w:r>
            <w:r w:rsidR="00C97E71">
              <w:rPr>
                <w:rFonts w:ascii="Arial" w:hAnsi="Arial" w:cs="Arial"/>
                <w:b/>
                <w:sz w:val="24"/>
                <w:szCs w:val="24"/>
                <w:u w:val="single"/>
              </w:rPr>
              <w:t>T</w:t>
            </w:r>
            <w:r w:rsidR="00E14488" w:rsidRPr="008D0BD6">
              <w:rPr>
                <w:rFonts w:ascii="Arial" w:hAnsi="Arial" w:cs="Arial"/>
                <w:b/>
                <w:sz w:val="24"/>
                <w:szCs w:val="24"/>
                <w:u w:val="single"/>
              </w:rPr>
              <w:t xml:space="preserve">hat </w:t>
            </w:r>
            <w:r w:rsidR="00C97E71">
              <w:rPr>
                <w:rFonts w:ascii="Arial" w:hAnsi="Arial" w:cs="Arial"/>
                <w:b/>
                <w:sz w:val="24"/>
                <w:szCs w:val="24"/>
                <w:u w:val="single"/>
              </w:rPr>
              <w:t>W</w:t>
            </w:r>
            <w:r w:rsidR="00E14488">
              <w:rPr>
                <w:rFonts w:ascii="Arial" w:hAnsi="Arial" w:cs="Arial"/>
                <w:b/>
                <w:sz w:val="24"/>
                <w:szCs w:val="24"/>
                <w:u w:val="single"/>
              </w:rPr>
              <w:t>ere</w:t>
            </w:r>
            <w:r w:rsidR="00E14488" w:rsidRPr="008D0BD6">
              <w:rPr>
                <w:rFonts w:ascii="Arial" w:hAnsi="Arial" w:cs="Arial"/>
                <w:b/>
                <w:sz w:val="24"/>
                <w:szCs w:val="24"/>
                <w:u w:val="single"/>
              </w:rPr>
              <w:t xml:space="preserve"> </w:t>
            </w:r>
            <w:r w:rsidR="00C97E71">
              <w:rPr>
                <w:rFonts w:ascii="Arial" w:hAnsi="Arial" w:cs="Arial"/>
                <w:b/>
                <w:sz w:val="24"/>
                <w:szCs w:val="24"/>
                <w:u w:val="single"/>
              </w:rPr>
              <w:t>R</w:t>
            </w:r>
            <w:r w:rsidR="00E14488" w:rsidRPr="008D0BD6">
              <w:rPr>
                <w:rFonts w:ascii="Arial" w:hAnsi="Arial" w:cs="Arial"/>
                <w:b/>
                <w:sz w:val="24"/>
                <w:szCs w:val="24"/>
                <w:u w:val="single"/>
              </w:rPr>
              <w:t>ecover</w:t>
            </w:r>
            <w:r w:rsidR="00E14488">
              <w:rPr>
                <w:rFonts w:ascii="Arial" w:hAnsi="Arial" w:cs="Arial"/>
                <w:b/>
                <w:sz w:val="24"/>
                <w:szCs w:val="24"/>
                <w:u w:val="single"/>
              </w:rPr>
              <w:t>ed</w:t>
            </w:r>
            <w:r w:rsidR="00E14488" w:rsidRPr="008D0BD6">
              <w:rPr>
                <w:rFonts w:ascii="Arial" w:hAnsi="Arial" w:cs="Arial"/>
                <w:b/>
                <w:sz w:val="24"/>
                <w:szCs w:val="24"/>
                <w:u w:val="single"/>
              </w:rPr>
              <w:t xml:space="preserve"> </w:t>
            </w:r>
            <w:r w:rsidR="00C97E71">
              <w:rPr>
                <w:rFonts w:ascii="Arial" w:hAnsi="Arial" w:cs="Arial"/>
                <w:b/>
                <w:sz w:val="24"/>
                <w:szCs w:val="24"/>
                <w:u w:val="single"/>
              </w:rPr>
              <w:t>T</w:t>
            </w:r>
            <w:r w:rsidR="00E14488" w:rsidRPr="008D0BD6">
              <w:rPr>
                <w:rFonts w:ascii="Arial" w:hAnsi="Arial" w:cs="Arial"/>
                <w:b/>
                <w:sz w:val="24"/>
                <w:szCs w:val="24"/>
                <w:u w:val="single"/>
              </w:rPr>
              <w:t xml:space="preserve">hrough </w:t>
            </w:r>
            <w:r w:rsidR="00C97E71">
              <w:rPr>
                <w:rFonts w:ascii="Arial" w:hAnsi="Arial" w:cs="Arial"/>
                <w:b/>
                <w:sz w:val="24"/>
                <w:szCs w:val="24"/>
                <w:u w:val="single"/>
              </w:rPr>
              <w:t>T</w:t>
            </w:r>
            <w:r w:rsidR="00E14488" w:rsidRPr="008D0BD6">
              <w:rPr>
                <w:rFonts w:ascii="Arial" w:hAnsi="Arial" w:cs="Arial"/>
                <w:b/>
                <w:sz w:val="24"/>
                <w:szCs w:val="24"/>
                <w:u w:val="single"/>
              </w:rPr>
              <w:t xml:space="preserve">he Universal Service </w:t>
            </w:r>
            <w:r w:rsidR="00C97E71">
              <w:rPr>
                <w:rFonts w:ascii="Arial" w:hAnsi="Arial" w:cs="Arial"/>
                <w:b/>
                <w:sz w:val="24"/>
                <w:szCs w:val="24"/>
                <w:u w:val="single"/>
              </w:rPr>
              <w:t>A</w:t>
            </w:r>
            <w:r w:rsidR="00E14488" w:rsidRPr="008D0BD6">
              <w:rPr>
                <w:rFonts w:ascii="Arial" w:hAnsi="Arial" w:cs="Arial"/>
                <w:b/>
                <w:sz w:val="24"/>
                <w:szCs w:val="24"/>
                <w:u w:val="single"/>
              </w:rPr>
              <w:t>nd Energy Conservation Surcharge.</w:t>
            </w:r>
          </w:p>
          <w:p w:rsidR="0039211D" w:rsidRPr="00E14488" w:rsidRDefault="0039211D" w:rsidP="007D5B2E">
            <w:pPr>
              <w:tabs>
                <w:tab w:val="left" w:pos="-720"/>
                <w:tab w:val="left" w:pos="8640"/>
              </w:tabs>
              <w:outlineLvl w:val="0"/>
              <w:rPr>
                <w:rFonts w:ascii="Arial" w:hAnsi="Arial" w:cs="Arial"/>
                <w:b/>
                <w:color w:val="FF0000"/>
                <w:sz w:val="24"/>
                <w:szCs w:val="24"/>
              </w:rPr>
            </w:pPr>
          </w:p>
        </w:tc>
        <w:tc>
          <w:tcPr>
            <w:tcW w:w="270" w:type="dxa"/>
          </w:tcPr>
          <w:p w:rsidR="00614171" w:rsidRPr="00C20F64" w:rsidRDefault="00614171" w:rsidP="007D5B2E">
            <w:pPr>
              <w:tabs>
                <w:tab w:val="left" w:pos="-720"/>
                <w:tab w:val="left" w:pos="8640"/>
              </w:tabs>
              <w:jc w:val="both"/>
              <w:outlineLvl w:val="0"/>
              <w:rPr>
                <w:rFonts w:ascii="Arial" w:hAnsi="Arial" w:cs="Arial"/>
                <w:sz w:val="24"/>
                <w:szCs w:val="24"/>
              </w:rPr>
            </w:pPr>
          </w:p>
        </w:tc>
        <w:tc>
          <w:tcPr>
            <w:tcW w:w="897" w:type="dxa"/>
          </w:tcPr>
          <w:p w:rsidR="00924014" w:rsidRDefault="00924014" w:rsidP="00614171">
            <w:pPr>
              <w:tabs>
                <w:tab w:val="left" w:pos="-720"/>
                <w:tab w:val="left" w:pos="8640"/>
              </w:tabs>
              <w:jc w:val="center"/>
              <w:outlineLvl w:val="0"/>
              <w:rPr>
                <w:rFonts w:ascii="Arial" w:hAnsi="Arial" w:cs="Arial"/>
                <w:sz w:val="24"/>
                <w:szCs w:val="24"/>
              </w:rPr>
            </w:pPr>
          </w:p>
          <w:p w:rsidR="00DD4A28" w:rsidRDefault="00DD4A28" w:rsidP="00614171">
            <w:pPr>
              <w:tabs>
                <w:tab w:val="left" w:pos="-720"/>
                <w:tab w:val="left" w:pos="8640"/>
              </w:tabs>
              <w:jc w:val="center"/>
              <w:outlineLvl w:val="0"/>
              <w:rPr>
                <w:rFonts w:ascii="Arial" w:hAnsi="Arial" w:cs="Arial"/>
                <w:sz w:val="24"/>
                <w:szCs w:val="24"/>
              </w:rPr>
            </w:pPr>
          </w:p>
          <w:p w:rsidR="00DD4A28" w:rsidRDefault="00DD4A28" w:rsidP="00614171">
            <w:pPr>
              <w:tabs>
                <w:tab w:val="left" w:pos="-720"/>
                <w:tab w:val="left" w:pos="8640"/>
              </w:tabs>
              <w:jc w:val="center"/>
              <w:outlineLvl w:val="0"/>
              <w:rPr>
                <w:rFonts w:ascii="Arial" w:hAnsi="Arial" w:cs="Arial"/>
                <w:sz w:val="24"/>
                <w:szCs w:val="24"/>
              </w:rPr>
            </w:pPr>
          </w:p>
          <w:p w:rsidR="00DD4A28" w:rsidRDefault="00DD4A28" w:rsidP="00614171">
            <w:pPr>
              <w:tabs>
                <w:tab w:val="left" w:pos="-720"/>
                <w:tab w:val="left" w:pos="8640"/>
              </w:tabs>
              <w:jc w:val="center"/>
              <w:outlineLvl w:val="0"/>
              <w:rPr>
                <w:rFonts w:ascii="Arial" w:hAnsi="Arial" w:cs="Arial"/>
                <w:sz w:val="24"/>
                <w:szCs w:val="24"/>
              </w:rPr>
            </w:pPr>
          </w:p>
          <w:p w:rsidR="00924014" w:rsidRPr="00C20F64" w:rsidRDefault="00924014" w:rsidP="00614171">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274E4B" w:rsidRPr="00C20F64" w:rsidTr="00C20F64">
        <w:trPr>
          <w:trHeight w:val="198"/>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565D6E">
            <w:pPr>
              <w:tabs>
                <w:tab w:val="left" w:pos="-720"/>
                <w:tab w:val="left" w:pos="8640"/>
              </w:tabs>
              <w:jc w:val="both"/>
              <w:outlineLvl w:val="0"/>
              <w:rPr>
                <w:rFonts w:ascii="Arial" w:hAnsi="Arial" w:cs="Arial"/>
                <w:sz w:val="24"/>
                <w:szCs w:val="24"/>
              </w:rPr>
            </w:pPr>
          </w:p>
        </w:tc>
      </w:tr>
      <w:tr w:rsidR="00367F28" w:rsidRPr="00C20F64" w:rsidTr="00025FA2">
        <w:trPr>
          <w:jc w:val="center"/>
        </w:trPr>
        <w:tc>
          <w:tcPr>
            <w:tcW w:w="8908" w:type="dxa"/>
            <w:gridSpan w:val="2"/>
          </w:tcPr>
          <w:p w:rsidR="00367F28" w:rsidRPr="00C20F64" w:rsidRDefault="00367F28" w:rsidP="00025FA2">
            <w:pPr>
              <w:tabs>
                <w:tab w:val="left" w:pos="-720"/>
                <w:tab w:val="left" w:pos="8640"/>
              </w:tabs>
              <w:outlineLvl w:val="0"/>
              <w:rPr>
                <w:rFonts w:ascii="Arial" w:hAnsi="Arial" w:cs="Arial"/>
                <w:b/>
                <w:sz w:val="24"/>
                <w:szCs w:val="24"/>
                <w:u w:val="single"/>
              </w:rPr>
            </w:pPr>
            <w:r w:rsidRPr="00C20F64">
              <w:rPr>
                <w:rFonts w:ascii="Arial" w:hAnsi="Arial" w:cs="Arial"/>
                <w:b/>
                <w:sz w:val="24"/>
                <w:szCs w:val="24"/>
                <w:u w:val="single"/>
              </w:rPr>
              <w:t>ACKNOWLEDGEMENTS</w:t>
            </w:r>
          </w:p>
          <w:p w:rsidR="002774E4" w:rsidRPr="00C20F64" w:rsidRDefault="002774E4" w:rsidP="00025FA2">
            <w:pPr>
              <w:tabs>
                <w:tab w:val="left" w:pos="-720"/>
                <w:tab w:val="left" w:pos="8640"/>
              </w:tabs>
              <w:outlineLvl w:val="0"/>
              <w:rPr>
                <w:rFonts w:ascii="Arial" w:hAnsi="Arial" w:cs="Arial"/>
                <w:sz w:val="24"/>
                <w:szCs w:val="24"/>
              </w:rPr>
            </w:pPr>
          </w:p>
        </w:tc>
        <w:tc>
          <w:tcPr>
            <w:tcW w:w="270" w:type="dxa"/>
          </w:tcPr>
          <w:p w:rsidR="00367F28" w:rsidRPr="00C20F64" w:rsidRDefault="00367F28" w:rsidP="00025FA2">
            <w:pPr>
              <w:tabs>
                <w:tab w:val="left" w:pos="-720"/>
                <w:tab w:val="left" w:pos="8640"/>
              </w:tabs>
              <w:jc w:val="both"/>
              <w:outlineLvl w:val="0"/>
              <w:rPr>
                <w:rFonts w:ascii="Arial" w:hAnsi="Arial" w:cs="Arial"/>
                <w:sz w:val="24"/>
                <w:szCs w:val="24"/>
              </w:rPr>
            </w:pPr>
          </w:p>
        </w:tc>
        <w:tc>
          <w:tcPr>
            <w:tcW w:w="897" w:type="dxa"/>
          </w:tcPr>
          <w:p w:rsidR="00367F28" w:rsidRPr="00C20F64" w:rsidRDefault="00924014" w:rsidP="00614171">
            <w:pPr>
              <w:tabs>
                <w:tab w:val="left" w:pos="-720"/>
                <w:tab w:val="left" w:pos="8640"/>
              </w:tabs>
              <w:jc w:val="center"/>
              <w:outlineLvl w:val="0"/>
              <w:rPr>
                <w:rFonts w:ascii="Arial" w:hAnsi="Arial" w:cs="Arial"/>
                <w:sz w:val="24"/>
                <w:szCs w:val="24"/>
              </w:rPr>
            </w:pPr>
            <w:r>
              <w:rPr>
                <w:rFonts w:ascii="Arial" w:hAnsi="Arial" w:cs="Arial"/>
                <w:sz w:val="24"/>
                <w:szCs w:val="24"/>
              </w:rPr>
              <w:t>8</w:t>
            </w:r>
          </w:p>
        </w:tc>
      </w:tr>
    </w:tbl>
    <w:p w:rsidR="00E32D70" w:rsidRPr="00C20F64"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tbl>
      <w:tblPr>
        <w:tblW w:w="10075" w:type="dxa"/>
        <w:jc w:val="center"/>
        <w:tblLayout w:type="fixed"/>
        <w:tblLook w:val="01E0" w:firstRow="1" w:lastRow="1" w:firstColumn="1" w:lastColumn="1" w:noHBand="0" w:noVBand="0"/>
      </w:tblPr>
      <w:tblGrid>
        <w:gridCol w:w="718"/>
        <w:gridCol w:w="8190"/>
        <w:gridCol w:w="270"/>
        <w:gridCol w:w="897"/>
      </w:tblGrid>
      <w:tr w:rsidR="00933B61" w:rsidRPr="007D5B2E" w:rsidTr="007D5B2E">
        <w:trPr>
          <w:jc w:val="center"/>
        </w:trPr>
        <w:tc>
          <w:tcPr>
            <w:tcW w:w="718" w:type="dxa"/>
          </w:tcPr>
          <w:p w:rsidR="00933B61" w:rsidRPr="007D5B2E" w:rsidRDefault="00933B61" w:rsidP="007D5B2E">
            <w:pPr>
              <w:tabs>
                <w:tab w:val="left" w:pos="-720"/>
                <w:tab w:val="left" w:pos="8640"/>
              </w:tabs>
              <w:jc w:val="both"/>
              <w:outlineLvl w:val="0"/>
              <w:rPr>
                <w:rFonts w:ascii="Arial" w:hAnsi="Arial" w:cs="Arial"/>
                <w:sz w:val="26"/>
                <w:szCs w:val="26"/>
                <w:highlight w:val="lightGray"/>
              </w:rPr>
            </w:pPr>
          </w:p>
        </w:tc>
        <w:tc>
          <w:tcPr>
            <w:tcW w:w="8190" w:type="dxa"/>
          </w:tcPr>
          <w:p w:rsidR="00933B61" w:rsidRPr="007D5B2E" w:rsidRDefault="00933B61" w:rsidP="007D5B2E">
            <w:pPr>
              <w:tabs>
                <w:tab w:val="left" w:pos="-720"/>
                <w:tab w:val="left" w:pos="8640"/>
              </w:tabs>
              <w:outlineLvl w:val="0"/>
              <w:rPr>
                <w:rFonts w:ascii="Arial" w:hAnsi="Arial" w:cs="Arial"/>
                <w:sz w:val="26"/>
                <w:szCs w:val="26"/>
                <w:highlight w:val="lightGray"/>
              </w:rPr>
            </w:pPr>
          </w:p>
        </w:tc>
        <w:tc>
          <w:tcPr>
            <w:tcW w:w="270" w:type="dxa"/>
          </w:tcPr>
          <w:p w:rsidR="00933B61" w:rsidRPr="007D5B2E" w:rsidRDefault="00933B61" w:rsidP="007D5B2E">
            <w:pPr>
              <w:tabs>
                <w:tab w:val="left" w:pos="-720"/>
                <w:tab w:val="left" w:pos="8640"/>
              </w:tabs>
              <w:jc w:val="both"/>
              <w:outlineLvl w:val="0"/>
              <w:rPr>
                <w:rFonts w:ascii="Arial" w:hAnsi="Arial" w:cs="Arial"/>
                <w:sz w:val="26"/>
                <w:szCs w:val="26"/>
                <w:highlight w:val="lightGray"/>
              </w:rPr>
            </w:pPr>
          </w:p>
        </w:tc>
        <w:tc>
          <w:tcPr>
            <w:tcW w:w="897" w:type="dxa"/>
          </w:tcPr>
          <w:p w:rsidR="00933B61" w:rsidRPr="007D5B2E" w:rsidRDefault="00933B61" w:rsidP="00565D6E">
            <w:pPr>
              <w:tabs>
                <w:tab w:val="left" w:pos="-720"/>
                <w:tab w:val="left" w:pos="8640"/>
              </w:tabs>
              <w:jc w:val="both"/>
              <w:outlineLvl w:val="0"/>
              <w:rPr>
                <w:rFonts w:ascii="Arial" w:hAnsi="Arial" w:cs="Arial"/>
                <w:sz w:val="26"/>
                <w:szCs w:val="26"/>
                <w:highlight w:val="lightGray"/>
              </w:rPr>
            </w:pPr>
          </w:p>
        </w:tc>
      </w:tr>
    </w:tbl>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D0219E" w:rsidRPr="00411B9D" w:rsidRDefault="00D0219E">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b/>
          <w:sz w:val="28"/>
          <w:szCs w:val="28"/>
        </w:rPr>
      </w:pPr>
      <w:r w:rsidRPr="00411B9D">
        <w:rPr>
          <w:rFonts w:ascii="Arial" w:hAnsi="Arial" w:cs="Arial"/>
          <w:b/>
          <w:sz w:val="28"/>
          <w:szCs w:val="28"/>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C20F64" w:rsidRDefault="00EC58EA">
      <w:pPr>
        <w:tabs>
          <w:tab w:val="center" w:pos="4680"/>
          <w:tab w:val="left" w:pos="8820"/>
        </w:tabs>
        <w:jc w:val="center"/>
        <w:outlineLvl w:val="0"/>
        <w:rPr>
          <w:rFonts w:ascii="Arial" w:hAnsi="Arial" w:cs="Arial"/>
          <w:sz w:val="24"/>
          <w:szCs w:val="24"/>
        </w:rPr>
      </w:pPr>
      <w:r w:rsidRPr="00C20F64">
        <w:rPr>
          <w:rFonts w:ascii="Arial" w:hAnsi="Arial" w:cs="Arial"/>
          <w:b/>
          <w:sz w:val="24"/>
          <w:szCs w:val="24"/>
          <w:u w:val="single"/>
        </w:rPr>
        <w:t>To The</w:t>
      </w:r>
      <w:r w:rsidR="00F1331A" w:rsidRPr="00C20F64">
        <w:rPr>
          <w:rFonts w:ascii="Arial" w:hAnsi="Arial" w:cs="Arial"/>
          <w:b/>
          <w:sz w:val="24"/>
          <w:szCs w:val="24"/>
          <w:u w:val="single"/>
        </w:rPr>
        <w:t xml:space="preserve"> Pennsylvania</w:t>
      </w:r>
      <w:r w:rsidRPr="00C20F64">
        <w:rPr>
          <w:rFonts w:ascii="Arial" w:hAnsi="Arial" w:cs="Arial"/>
          <w:b/>
          <w:sz w:val="24"/>
          <w:szCs w:val="24"/>
          <w:u w:val="single"/>
        </w:rPr>
        <w:t xml:space="preserve"> Public Utility Commission</w:t>
      </w:r>
    </w:p>
    <w:p w:rsidR="00EC58EA" w:rsidRPr="00C20F64" w:rsidRDefault="00EC58EA">
      <w:pPr>
        <w:tabs>
          <w:tab w:val="left" w:pos="-720"/>
          <w:tab w:val="left" w:pos="8820"/>
        </w:tabs>
        <w:rPr>
          <w:rFonts w:ascii="Arial" w:hAnsi="Arial" w:cs="Arial"/>
          <w:sz w:val="24"/>
          <w:szCs w:val="24"/>
        </w:rPr>
      </w:pPr>
    </w:p>
    <w:p w:rsidR="00EC58EA" w:rsidRPr="00C20F64" w:rsidRDefault="00EC58EA">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We have audited Philadelphia Gas Works’ Universal Service</w:t>
      </w:r>
      <w:r w:rsidR="00A355F6">
        <w:rPr>
          <w:rFonts w:ascii="Arial" w:hAnsi="Arial" w:cs="Arial"/>
          <w:szCs w:val="24"/>
        </w:rPr>
        <w:t xml:space="preserve"> </w:t>
      </w:r>
      <w:r w:rsidR="00A936C0">
        <w:rPr>
          <w:rFonts w:ascii="Arial" w:hAnsi="Arial" w:cs="Arial"/>
          <w:szCs w:val="24"/>
        </w:rPr>
        <w:t>a</w:t>
      </w:r>
      <w:r w:rsidR="00A355F6">
        <w:rPr>
          <w:rFonts w:ascii="Arial" w:hAnsi="Arial" w:cs="Arial"/>
          <w:szCs w:val="24"/>
        </w:rPr>
        <w:t xml:space="preserve">nd </w:t>
      </w:r>
      <w:r w:rsidRPr="00C20F64">
        <w:rPr>
          <w:rFonts w:ascii="Arial" w:hAnsi="Arial" w:cs="Arial"/>
          <w:szCs w:val="24"/>
        </w:rPr>
        <w:t>Energy Conservation Surcharge</w:t>
      </w:r>
      <w:r w:rsidR="00A04024" w:rsidRPr="00C20F64">
        <w:rPr>
          <w:rFonts w:ascii="Arial" w:hAnsi="Arial" w:cs="Arial"/>
          <w:szCs w:val="24"/>
        </w:rPr>
        <w:t xml:space="preserve"> </w:t>
      </w:r>
      <w:r w:rsidR="0099094B" w:rsidRPr="00C20F64">
        <w:rPr>
          <w:rFonts w:ascii="Arial" w:hAnsi="Arial" w:cs="Arial"/>
          <w:szCs w:val="24"/>
        </w:rPr>
        <w:t xml:space="preserve">Reconciliation Statement </w:t>
      </w:r>
      <w:r w:rsidR="00A04024" w:rsidRPr="00C20F64">
        <w:rPr>
          <w:rFonts w:ascii="Arial" w:hAnsi="Arial" w:cs="Arial"/>
          <w:szCs w:val="24"/>
        </w:rPr>
        <w:t xml:space="preserve">for the twelve months ended August 31, </w:t>
      </w:r>
      <w:r w:rsidR="00A846B4" w:rsidRPr="00C20F64">
        <w:rPr>
          <w:rFonts w:ascii="Arial" w:hAnsi="Arial" w:cs="Arial"/>
          <w:szCs w:val="24"/>
        </w:rPr>
        <w:t>200</w:t>
      </w:r>
      <w:r w:rsidR="00A62A84" w:rsidRPr="00C20F64">
        <w:rPr>
          <w:rFonts w:ascii="Arial" w:hAnsi="Arial" w:cs="Arial"/>
          <w:szCs w:val="24"/>
        </w:rPr>
        <w:t>9</w:t>
      </w:r>
      <w:r w:rsidRPr="00C20F64">
        <w:rPr>
          <w:rFonts w:ascii="Arial" w:hAnsi="Arial" w:cs="Arial"/>
          <w:szCs w:val="24"/>
        </w:rPr>
        <w:t>.  Th</w:t>
      </w:r>
      <w:r w:rsidR="00A62A84" w:rsidRPr="00C20F64">
        <w:rPr>
          <w:rFonts w:ascii="Arial" w:hAnsi="Arial" w:cs="Arial"/>
          <w:szCs w:val="24"/>
        </w:rPr>
        <w:t>i</w:t>
      </w:r>
      <w:r w:rsidRPr="00C20F64">
        <w:rPr>
          <w:rFonts w:ascii="Arial" w:hAnsi="Arial" w:cs="Arial"/>
          <w:szCs w:val="24"/>
        </w:rPr>
        <w:t xml:space="preserve">s statement </w:t>
      </w:r>
      <w:r w:rsidR="00A62A84" w:rsidRPr="00C20F64">
        <w:rPr>
          <w:rFonts w:ascii="Arial" w:hAnsi="Arial" w:cs="Arial"/>
          <w:szCs w:val="24"/>
        </w:rPr>
        <w:t>is</w:t>
      </w:r>
      <w:r w:rsidRPr="00C20F64">
        <w:rPr>
          <w:rFonts w:ascii="Arial" w:hAnsi="Arial" w:cs="Arial"/>
          <w:szCs w:val="24"/>
        </w:rPr>
        <w:t xml:space="preserve"> the responsibility of the Company's management.  Our responsibility is to express an opinion on the statement based on our audit.</w:t>
      </w:r>
    </w:p>
    <w:p w:rsidR="00EC58EA" w:rsidRPr="00C20F64" w:rsidRDefault="00EC58EA">
      <w:pPr>
        <w:tabs>
          <w:tab w:val="left" w:pos="-720"/>
          <w:tab w:val="left" w:pos="8820"/>
        </w:tabs>
        <w:ind w:right="504"/>
        <w:rPr>
          <w:rFonts w:ascii="Arial" w:hAnsi="Arial" w:cs="Arial"/>
          <w:sz w:val="24"/>
          <w:szCs w:val="24"/>
        </w:rPr>
      </w:pPr>
    </w:p>
    <w:p w:rsidR="00EC58EA" w:rsidRPr="00C20F64" w:rsidRDefault="00EC58EA">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We conducted our audit in accordance with auditing standards generally accepted in the United States of America.  Those standards require that we plan and perform the audit to obtain reasonable assurance about whether the specified statements are free of material misstatement</w:t>
      </w:r>
      <w:r w:rsidRPr="00693959">
        <w:rPr>
          <w:rFonts w:ascii="Arial" w:hAnsi="Arial" w:cs="Arial"/>
          <w:szCs w:val="24"/>
        </w:rPr>
        <w:t xml:space="preserve">.  </w:t>
      </w:r>
      <w:r w:rsidR="0039211D" w:rsidRPr="00693959">
        <w:rPr>
          <w:rFonts w:ascii="Arial" w:hAnsi="Arial" w:cs="Arial"/>
          <w:szCs w:val="24"/>
        </w:rPr>
        <w:t>Our audit included consideration of internal control over financial reporting as a basis for designing audit procedures that are appropriate for the circumstances, but not for the purpose of expressin</w:t>
      </w:r>
      <w:r w:rsidR="00D76201" w:rsidRPr="00693959">
        <w:rPr>
          <w:rFonts w:ascii="Arial" w:hAnsi="Arial" w:cs="Arial"/>
          <w:szCs w:val="24"/>
        </w:rPr>
        <w:t>g</w:t>
      </w:r>
      <w:r w:rsidR="0039211D" w:rsidRPr="00693959">
        <w:rPr>
          <w:rFonts w:ascii="Arial" w:hAnsi="Arial" w:cs="Arial"/>
          <w:szCs w:val="24"/>
        </w:rPr>
        <w:t xml:space="preserve"> an opinion on the effectiveness of the Company’s internal control over financial reporting.  </w:t>
      </w:r>
      <w:r w:rsidRPr="00693959">
        <w:rPr>
          <w:rFonts w:ascii="Arial" w:hAnsi="Arial" w:cs="Arial"/>
          <w:szCs w:val="24"/>
        </w:rPr>
        <w:t xml:space="preserve">An audit includes examining, on a test basis, evidence supporting the amounts and disclosures in the statements referred to above.  An audit also includes assessing the accounting </w:t>
      </w:r>
      <w:r w:rsidRPr="00C20F64">
        <w:rPr>
          <w:rFonts w:ascii="Arial" w:hAnsi="Arial" w:cs="Arial"/>
          <w:szCs w:val="24"/>
        </w:rPr>
        <w:t>principles used and significant estimates made by management, as well as evaluating the overall statement presentation.  We believe that our audit provides a reasonable basis for our opinion.</w:t>
      </w:r>
    </w:p>
    <w:p w:rsidR="00EC58EA" w:rsidRPr="00C20F64" w:rsidRDefault="00EC58EA">
      <w:pPr>
        <w:tabs>
          <w:tab w:val="left" w:pos="-720"/>
          <w:tab w:val="left" w:pos="8820"/>
        </w:tabs>
        <w:ind w:right="504"/>
        <w:rPr>
          <w:rFonts w:ascii="Arial" w:hAnsi="Arial" w:cs="Arial"/>
          <w:sz w:val="24"/>
          <w:szCs w:val="24"/>
        </w:rPr>
      </w:pPr>
    </w:p>
    <w:p w:rsidR="00EC58EA" w:rsidRPr="00C20F64" w:rsidRDefault="003858C7">
      <w:pPr>
        <w:pStyle w:val="BodyText"/>
        <w:tabs>
          <w:tab w:val="clear" w:pos="900"/>
          <w:tab w:val="left" w:pos="720"/>
          <w:tab w:val="left" w:pos="1440"/>
        </w:tabs>
        <w:jc w:val="left"/>
        <w:rPr>
          <w:rFonts w:ascii="Arial" w:hAnsi="Arial" w:cs="Arial"/>
          <w:szCs w:val="24"/>
        </w:rPr>
      </w:pPr>
      <w:r w:rsidRPr="00C20F64">
        <w:rPr>
          <w:rFonts w:ascii="Arial" w:hAnsi="Arial" w:cs="Arial"/>
          <w:szCs w:val="24"/>
        </w:rPr>
        <w:tab/>
        <w:t xml:space="preserve">The accompanying statement </w:t>
      </w:r>
      <w:r w:rsidR="00EC58EA" w:rsidRPr="00C20F64">
        <w:rPr>
          <w:rFonts w:ascii="Arial" w:hAnsi="Arial" w:cs="Arial"/>
          <w:szCs w:val="24"/>
        </w:rPr>
        <w:t>w</w:t>
      </w:r>
      <w:r w:rsidRPr="00C20F64">
        <w:rPr>
          <w:rFonts w:ascii="Arial" w:hAnsi="Arial" w:cs="Arial"/>
          <w:szCs w:val="24"/>
        </w:rPr>
        <w:t>as</w:t>
      </w:r>
      <w:r w:rsidR="00EC58EA" w:rsidRPr="00C20F64">
        <w:rPr>
          <w:rFonts w:ascii="Arial" w:hAnsi="Arial" w:cs="Arial"/>
          <w:szCs w:val="24"/>
        </w:rPr>
        <w:t xml:space="preserve"> prepared for the purpose of complying with the rules and regulations of the Pennsylvania Public Utility Commission and </w:t>
      </w:r>
      <w:r w:rsidRPr="00C20F64">
        <w:rPr>
          <w:rFonts w:ascii="Arial" w:hAnsi="Arial" w:cs="Arial"/>
          <w:szCs w:val="24"/>
        </w:rPr>
        <w:t>is</w:t>
      </w:r>
      <w:r w:rsidR="00EC58EA" w:rsidRPr="00C20F64">
        <w:rPr>
          <w:rFonts w:ascii="Arial" w:hAnsi="Arial" w:cs="Arial"/>
          <w:szCs w:val="24"/>
        </w:rPr>
        <w:t xml:space="preserve"> not intended to be a complete presentation of the Company's revenues and expenses.</w:t>
      </w:r>
    </w:p>
    <w:p w:rsidR="00EC58EA" w:rsidRPr="00C20F64" w:rsidRDefault="00EC58EA">
      <w:pPr>
        <w:tabs>
          <w:tab w:val="left" w:pos="-720"/>
          <w:tab w:val="left" w:pos="8820"/>
        </w:tabs>
        <w:ind w:right="504"/>
        <w:rPr>
          <w:rFonts w:ascii="Arial" w:hAnsi="Arial" w:cs="Arial"/>
          <w:sz w:val="24"/>
          <w:szCs w:val="24"/>
        </w:rPr>
      </w:pPr>
    </w:p>
    <w:p w:rsidR="00EC58EA" w:rsidRPr="00C20F64" w:rsidRDefault="00EC58EA">
      <w:pPr>
        <w:tabs>
          <w:tab w:val="left" w:pos="-720"/>
          <w:tab w:val="left" w:pos="720"/>
          <w:tab w:val="left" w:pos="1440"/>
        </w:tabs>
        <w:rPr>
          <w:rFonts w:ascii="Arial" w:hAnsi="Arial" w:cs="Arial"/>
          <w:sz w:val="24"/>
          <w:szCs w:val="24"/>
        </w:rPr>
      </w:pPr>
      <w:r w:rsidRPr="00C20F64">
        <w:rPr>
          <w:rFonts w:ascii="Arial" w:hAnsi="Arial" w:cs="Arial"/>
          <w:sz w:val="24"/>
          <w:szCs w:val="24"/>
        </w:rPr>
        <w:tab/>
        <w:t>In our opin</w:t>
      </w:r>
      <w:r w:rsidR="003858C7" w:rsidRPr="00C20F64">
        <w:rPr>
          <w:rFonts w:ascii="Arial" w:hAnsi="Arial" w:cs="Arial"/>
          <w:sz w:val="24"/>
          <w:szCs w:val="24"/>
        </w:rPr>
        <w:t>ion, the accompanying statement</w:t>
      </w:r>
      <w:r w:rsidRPr="00C20F64">
        <w:rPr>
          <w:rFonts w:ascii="Arial" w:hAnsi="Arial" w:cs="Arial"/>
          <w:sz w:val="24"/>
          <w:szCs w:val="24"/>
        </w:rPr>
        <w:t xml:space="preserve"> of Philadelphia Gas Works present</w:t>
      </w:r>
      <w:r w:rsidR="003858C7" w:rsidRPr="00C20F64">
        <w:rPr>
          <w:rFonts w:ascii="Arial" w:hAnsi="Arial" w:cs="Arial"/>
          <w:sz w:val="24"/>
          <w:szCs w:val="24"/>
        </w:rPr>
        <w:t>s</w:t>
      </w:r>
      <w:r w:rsidRPr="00C20F64">
        <w:rPr>
          <w:rFonts w:ascii="Arial" w:hAnsi="Arial" w:cs="Arial"/>
          <w:sz w:val="24"/>
          <w:szCs w:val="24"/>
        </w:rPr>
        <w:t xml:space="preserve"> fairly, in all material respects, the Universal Service</w:t>
      </w:r>
      <w:r w:rsidR="00BE2AD3">
        <w:rPr>
          <w:rFonts w:ascii="Arial" w:hAnsi="Arial" w:cs="Arial"/>
          <w:sz w:val="24"/>
          <w:szCs w:val="24"/>
        </w:rPr>
        <w:t xml:space="preserve"> </w:t>
      </w:r>
      <w:r w:rsidR="00A936C0">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 xml:space="preserve">Energy Conservation Surcharge </w:t>
      </w:r>
      <w:r w:rsidR="00A62A84" w:rsidRPr="00C20F64">
        <w:rPr>
          <w:rFonts w:ascii="Arial" w:hAnsi="Arial" w:cs="Arial"/>
          <w:sz w:val="24"/>
          <w:szCs w:val="24"/>
        </w:rPr>
        <w:t>recovery r</w:t>
      </w:r>
      <w:r w:rsidRPr="00C20F64">
        <w:rPr>
          <w:rFonts w:ascii="Arial" w:hAnsi="Arial" w:cs="Arial"/>
          <w:sz w:val="24"/>
          <w:szCs w:val="24"/>
        </w:rPr>
        <w:t xml:space="preserve">evenues and related expenditures, in accordance with the provisions of </w:t>
      </w:r>
      <w:r w:rsidR="00A62A84" w:rsidRPr="00C20F64">
        <w:rPr>
          <w:rFonts w:ascii="Arial" w:hAnsi="Arial" w:cs="Arial"/>
          <w:sz w:val="24"/>
          <w:szCs w:val="24"/>
        </w:rPr>
        <w:t>the Company’s</w:t>
      </w:r>
      <w:r w:rsidRPr="00C20F64">
        <w:rPr>
          <w:rFonts w:ascii="Arial" w:hAnsi="Arial" w:cs="Arial"/>
          <w:sz w:val="24"/>
          <w:szCs w:val="24"/>
        </w:rPr>
        <w:t xml:space="preserve"> Schedule of Rates as approved by the Pennsylvania Public Utility Commission.</w:t>
      </w:r>
    </w:p>
    <w:p w:rsidR="00EC58EA" w:rsidRPr="00C20F64" w:rsidRDefault="00EC58EA">
      <w:pPr>
        <w:tabs>
          <w:tab w:val="left" w:pos="-720"/>
          <w:tab w:val="left" w:pos="8820"/>
        </w:tabs>
        <w:rPr>
          <w:rFonts w:ascii="Arial" w:hAnsi="Arial" w:cs="Arial"/>
          <w:sz w:val="24"/>
          <w:szCs w:val="24"/>
        </w:rPr>
      </w:pPr>
    </w:p>
    <w:p w:rsidR="00ED471F" w:rsidRPr="00C20F64" w:rsidRDefault="00ED471F">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M. Carl Lesney, CPA</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Director</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D0219E">
          <w:headerReference w:type="even" r:id="rId12"/>
          <w:headerReference w:type="default" r:id="rId13"/>
          <w:footerReference w:type="default" r:id="rId14"/>
          <w:headerReference w:type="first" r:id="rId15"/>
          <w:pgSz w:w="12240" w:h="15840" w:code="1"/>
          <w:pgMar w:top="720" w:right="1440" w:bottom="1152" w:left="1440" w:header="0" w:footer="720" w:gutter="0"/>
          <w:cols w:space="720"/>
          <w:noEndnote/>
        </w:sectPr>
      </w:pPr>
    </w:p>
    <w:p w:rsidR="004B5DDA" w:rsidRPr="0091182B" w:rsidRDefault="004B5DDA" w:rsidP="004B5DDA">
      <w:pPr>
        <w:tabs>
          <w:tab w:val="left" w:pos="0"/>
          <w:tab w:val="left" w:pos="1800"/>
          <w:tab w:val="decimal" w:pos="6300"/>
          <w:tab w:val="decimal" w:pos="8550"/>
          <w:tab w:val="decimal" w:pos="10350"/>
          <w:tab w:val="left" w:pos="10800"/>
        </w:tabs>
        <w:ind w:right="-144"/>
        <w:jc w:val="center"/>
        <w:rPr>
          <w:rFonts w:ascii="Arial" w:hAnsi="Arial" w:cs="Arial"/>
          <w:b/>
          <w:sz w:val="28"/>
          <w:szCs w:val="28"/>
          <w:u w:val="single"/>
        </w:rPr>
      </w:pPr>
      <w:r w:rsidRPr="0091182B">
        <w:rPr>
          <w:rFonts w:ascii="Arial" w:hAnsi="Arial" w:cs="Arial"/>
          <w:b/>
          <w:sz w:val="28"/>
          <w:szCs w:val="28"/>
          <w:u w:val="single"/>
        </w:rPr>
        <w:lastRenderedPageBreak/>
        <w:t>PHILADELPHIA GAS WORKS</w:t>
      </w:r>
    </w:p>
    <w:p w:rsidR="004B5DDA" w:rsidRPr="0091182B" w:rsidRDefault="004B5DDA" w:rsidP="004B5DDA">
      <w:pPr>
        <w:jc w:val="both"/>
        <w:rPr>
          <w:rFonts w:ascii="Arial" w:hAnsi="Arial" w:cs="Arial"/>
          <w:sz w:val="26"/>
          <w:szCs w:val="26"/>
        </w:rPr>
      </w:pPr>
    </w:p>
    <w:p w:rsidR="004B5DDA" w:rsidRPr="00C20F64" w:rsidRDefault="004B5DDA" w:rsidP="004B5DDA">
      <w:pPr>
        <w:jc w:val="center"/>
        <w:outlineLvl w:val="0"/>
        <w:rPr>
          <w:rFonts w:ascii="Arial" w:hAnsi="Arial" w:cs="Arial"/>
          <w:b/>
          <w:sz w:val="24"/>
          <w:szCs w:val="24"/>
          <w:u w:val="single"/>
        </w:rPr>
      </w:pPr>
      <w:r w:rsidRPr="00C20F64">
        <w:rPr>
          <w:rFonts w:ascii="Arial" w:hAnsi="Arial" w:cs="Arial"/>
          <w:b/>
          <w:sz w:val="24"/>
          <w:szCs w:val="24"/>
          <w:u w:val="single"/>
        </w:rPr>
        <w:t>Universal Service</w:t>
      </w:r>
      <w:r w:rsidR="00BE2AD3">
        <w:rPr>
          <w:rFonts w:ascii="Arial" w:hAnsi="Arial" w:cs="Arial"/>
          <w:b/>
          <w:sz w:val="24"/>
          <w:szCs w:val="24"/>
          <w:u w:val="single"/>
        </w:rPr>
        <w:t xml:space="preserve"> And </w:t>
      </w:r>
      <w:r w:rsidRPr="00C20F64">
        <w:rPr>
          <w:rFonts w:ascii="Arial" w:hAnsi="Arial" w:cs="Arial"/>
          <w:b/>
          <w:sz w:val="24"/>
          <w:szCs w:val="24"/>
          <w:u w:val="single"/>
        </w:rPr>
        <w:t xml:space="preserve">Energy Conservation Surcharge </w:t>
      </w:r>
    </w:p>
    <w:p w:rsidR="004B5DDA" w:rsidRPr="00C20F64" w:rsidRDefault="002225EB" w:rsidP="004B5DDA">
      <w:pPr>
        <w:jc w:val="center"/>
        <w:outlineLvl w:val="0"/>
        <w:rPr>
          <w:rFonts w:ascii="Arial" w:hAnsi="Arial" w:cs="Arial"/>
          <w:sz w:val="24"/>
          <w:szCs w:val="24"/>
        </w:rPr>
      </w:pPr>
      <w:r>
        <w:rPr>
          <w:rFonts w:ascii="Arial" w:hAnsi="Arial" w:cs="Arial"/>
          <w:b/>
          <w:sz w:val="24"/>
          <w:szCs w:val="24"/>
          <w:u w:val="single"/>
        </w:rPr>
        <w:t>Reconciliation Statement</w:t>
      </w:r>
      <w:r w:rsidR="004B5DDA" w:rsidRPr="00C20F64">
        <w:rPr>
          <w:rFonts w:ascii="Arial" w:hAnsi="Arial" w:cs="Arial"/>
          <w:b/>
          <w:sz w:val="24"/>
          <w:szCs w:val="24"/>
          <w:u w:val="single"/>
        </w:rPr>
        <w:t xml:space="preserve"> </w:t>
      </w:r>
    </w:p>
    <w:p w:rsidR="004B5DDA" w:rsidRPr="00C20F64" w:rsidRDefault="004B5DDA" w:rsidP="004B5DDA">
      <w:pPr>
        <w:jc w:val="center"/>
        <w:outlineLvl w:val="0"/>
        <w:rPr>
          <w:rFonts w:ascii="Arial" w:hAnsi="Arial" w:cs="Arial"/>
          <w:sz w:val="24"/>
          <w:szCs w:val="24"/>
        </w:rPr>
      </w:pPr>
      <w:r w:rsidRPr="00C20F64">
        <w:rPr>
          <w:rFonts w:ascii="Arial" w:hAnsi="Arial" w:cs="Arial"/>
          <w:b/>
          <w:sz w:val="24"/>
          <w:szCs w:val="24"/>
          <w:u w:val="single"/>
        </w:rPr>
        <w:t>For The Twelve</w:t>
      </w:r>
      <w:r w:rsidR="00207628" w:rsidRPr="00C20F64">
        <w:rPr>
          <w:rFonts w:ascii="Arial" w:hAnsi="Arial" w:cs="Arial"/>
          <w:b/>
          <w:sz w:val="24"/>
          <w:szCs w:val="24"/>
          <w:u w:val="single"/>
        </w:rPr>
        <w:t xml:space="preserve"> </w:t>
      </w:r>
      <w:r w:rsidRPr="00C20F64">
        <w:rPr>
          <w:rFonts w:ascii="Arial" w:hAnsi="Arial" w:cs="Arial"/>
          <w:b/>
          <w:sz w:val="24"/>
          <w:szCs w:val="24"/>
          <w:u w:val="single"/>
        </w:rPr>
        <w:t>Months Ended August 31, 200</w:t>
      </w:r>
      <w:r w:rsidR="002F32AD" w:rsidRPr="00C20F64">
        <w:rPr>
          <w:rFonts w:ascii="Arial" w:hAnsi="Arial" w:cs="Arial"/>
          <w:b/>
          <w:sz w:val="24"/>
          <w:szCs w:val="24"/>
          <w:u w:val="single"/>
        </w:rPr>
        <w:t>9</w:t>
      </w:r>
    </w:p>
    <w:p w:rsidR="004B5DDA" w:rsidRPr="00C20F64" w:rsidRDefault="004B5DDA" w:rsidP="004B5DDA">
      <w:pPr>
        <w:tabs>
          <w:tab w:val="left" w:pos="-288"/>
        </w:tabs>
        <w:ind w:right="-36"/>
        <w:jc w:val="both"/>
        <w:rPr>
          <w:rFonts w:ascii="Arial" w:hAnsi="Arial" w:cs="Arial"/>
          <w:sz w:val="24"/>
          <w:szCs w:val="24"/>
        </w:rPr>
      </w:pPr>
    </w:p>
    <w:p w:rsidR="004B5DDA" w:rsidRPr="00C20F64" w:rsidRDefault="004B5DDA" w:rsidP="004B5DDA">
      <w:pPr>
        <w:tabs>
          <w:tab w:val="left" w:pos="-288"/>
        </w:tabs>
        <w:ind w:right="-36"/>
        <w:jc w:val="both"/>
        <w:rPr>
          <w:rFonts w:ascii="Arial" w:hAnsi="Arial" w:cs="Arial"/>
          <w:sz w:val="24"/>
          <w:szCs w:val="24"/>
        </w:rPr>
      </w:pPr>
    </w:p>
    <w:p w:rsidR="004B5DDA" w:rsidRPr="00C20F64" w:rsidRDefault="004B5DDA" w:rsidP="004B5DDA">
      <w:pPr>
        <w:tabs>
          <w:tab w:val="left" w:pos="-288"/>
        </w:tabs>
        <w:ind w:right="-36"/>
        <w:jc w:val="both"/>
        <w:rPr>
          <w:rFonts w:ascii="Arial" w:hAnsi="Arial" w:cs="Arial"/>
          <w:sz w:val="24"/>
          <w:szCs w:val="24"/>
        </w:rPr>
      </w:pPr>
    </w:p>
    <w:p w:rsidR="004B5DDA" w:rsidRPr="00C20F64" w:rsidRDefault="004B5DDA" w:rsidP="004B5DDA">
      <w:pPr>
        <w:tabs>
          <w:tab w:val="left" w:pos="-288"/>
        </w:tabs>
        <w:ind w:right="-36"/>
        <w:jc w:val="both"/>
        <w:rPr>
          <w:rFonts w:ascii="Arial" w:hAnsi="Arial" w:cs="Arial"/>
          <w:sz w:val="24"/>
          <w:szCs w:val="24"/>
        </w:rPr>
      </w:pPr>
    </w:p>
    <w:tbl>
      <w:tblPr>
        <w:tblW w:w="0" w:type="auto"/>
        <w:jc w:val="center"/>
        <w:tblInd w:w="-1245" w:type="dxa"/>
        <w:tblLook w:val="01E0" w:firstRow="1" w:lastRow="1" w:firstColumn="1" w:lastColumn="1" w:noHBand="0" w:noVBand="0"/>
      </w:tblPr>
      <w:tblGrid>
        <w:gridCol w:w="5813"/>
        <w:gridCol w:w="2215"/>
      </w:tblGrid>
      <w:tr w:rsidR="004B5DDA" w:rsidRPr="00C20F64" w:rsidTr="00C93B6F">
        <w:trPr>
          <w:jc w:val="center"/>
        </w:trPr>
        <w:tc>
          <w:tcPr>
            <w:tcW w:w="5813" w:type="dxa"/>
          </w:tcPr>
          <w:p w:rsidR="004B5DDA" w:rsidRPr="00C20F64" w:rsidRDefault="004B5DDA" w:rsidP="00C93B6F">
            <w:pPr>
              <w:tabs>
                <w:tab w:val="left" w:pos="1821"/>
              </w:tabs>
              <w:rPr>
                <w:rFonts w:ascii="Arial" w:hAnsi="Arial" w:cs="Arial"/>
                <w:b/>
                <w:sz w:val="24"/>
                <w:szCs w:val="24"/>
                <w:u w:val="single"/>
              </w:rPr>
            </w:pPr>
            <w:r w:rsidRPr="00C20F64">
              <w:rPr>
                <w:rFonts w:ascii="Arial" w:hAnsi="Arial" w:cs="Arial"/>
                <w:sz w:val="24"/>
                <w:szCs w:val="24"/>
              </w:rPr>
              <w:tab/>
            </w:r>
            <w:r w:rsidRPr="00C20F64">
              <w:rPr>
                <w:rFonts w:ascii="Arial" w:hAnsi="Arial" w:cs="Arial"/>
                <w:b/>
                <w:sz w:val="24"/>
                <w:szCs w:val="24"/>
                <w:u w:val="single"/>
              </w:rPr>
              <w:t>Description</w:t>
            </w:r>
          </w:p>
        </w:tc>
        <w:tc>
          <w:tcPr>
            <w:tcW w:w="2215" w:type="dxa"/>
          </w:tcPr>
          <w:p w:rsidR="004B5DDA" w:rsidRPr="00C20F64" w:rsidRDefault="004B5DDA" w:rsidP="00C93B6F">
            <w:pPr>
              <w:jc w:val="center"/>
              <w:rPr>
                <w:rFonts w:ascii="Arial" w:hAnsi="Arial" w:cs="Arial"/>
                <w:b/>
                <w:sz w:val="24"/>
                <w:szCs w:val="24"/>
                <w:u w:val="single"/>
              </w:rPr>
            </w:pPr>
            <w:r w:rsidRPr="00C20F64">
              <w:rPr>
                <w:rFonts w:ascii="Arial" w:hAnsi="Arial" w:cs="Arial"/>
                <w:b/>
                <w:sz w:val="24"/>
                <w:szCs w:val="24"/>
                <w:u w:val="single"/>
              </w:rPr>
              <w:t>Amount</w:t>
            </w:r>
          </w:p>
        </w:tc>
      </w:tr>
      <w:tr w:rsidR="004B5DDA" w:rsidRPr="00C20F64" w:rsidTr="00C93B6F">
        <w:trPr>
          <w:jc w:val="center"/>
        </w:trPr>
        <w:tc>
          <w:tcPr>
            <w:tcW w:w="5813" w:type="dxa"/>
          </w:tcPr>
          <w:p w:rsidR="004B5DDA" w:rsidRPr="00C20F64" w:rsidRDefault="004B5DDA" w:rsidP="00C93B6F">
            <w:pPr>
              <w:jc w:val="both"/>
              <w:rPr>
                <w:rFonts w:ascii="Arial" w:hAnsi="Arial" w:cs="Arial"/>
                <w:sz w:val="24"/>
                <w:szCs w:val="24"/>
              </w:rPr>
            </w:pPr>
          </w:p>
        </w:tc>
        <w:tc>
          <w:tcPr>
            <w:tcW w:w="2215" w:type="dxa"/>
          </w:tcPr>
          <w:p w:rsidR="004B5DDA" w:rsidRPr="00C20F64" w:rsidRDefault="004B5DDA" w:rsidP="00C93B6F">
            <w:pPr>
              <w:rPr>
                <w:rFonts w:ascii="Arial" w:hAnsi="Arial" w:cs="Arial"/>
                <w:sz w:val="24"/>
                <w:szCs w:val="24"/>
                <w:u w:val="single"/>
              </w:rPr>
            </w:pP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r w:rsidRPr="00C20F64">
              <w:rPr>
                <w:rFonts w:ascii="Arial" w:hAnsi="Arial" w:cs="Arial"/>
                <w:sz w:val="24"/>
                <w:szCs w:val="24"/>
              </w:rPr>
              <w:t>Under Collection Balance At August 31, 200</w:t>
            </w:r>
            <w:r w:rsidR="00C86343" w:rsidRPr="00C20F64">
              <w:rPr>
                <w:rFonts w:ascii="Arial" w:hAnsi="Arial" w:cs="Arial"/>
                <w:sz w:val="24"/>
                <w:szCs w:val="24"/>
              </w:rPr>
              <w:t>8</w:t>
            </w:r>
          </w:p>
          <w:p w:rsidR="004B5DDA" w:rsidRPr="00C20F64" w:rsidRDefault="004B5DDA" w:rsidP="00C93B6F">
            <w:pPr>
              <w:rPr>
                <w:rFonts w:ascii="Arial" w:hAnsi="Arial" w:cs="Arial"/>
                <w:sz w:val="24"/>
                <w:szCs w:val="24"/>
              </w:rPr>
            </w:pPr>
          </w:p>
        </w:tc>
        <w:tc>
          <w:tcPr>
            <w:tcW w:w="2215" w:type="dxa"/>
          </w:tcPr>
          <w:p w:rsidR="004B5DDA" w:rsidRPr="00C20F64" w:rsidRDefault="004B5DDA" w:rsidP="00C93B6F">
            <w:pPr>
              <w:tabs>
                <w:tab w:val="decimal" w:pos="1603"/>
              </w:tabs>
              <w:ind w:right="36"/>
              <w:rPr>
                <w:rFonts w:ascii="Arial" w:hAnsi="Arial" w:cs="Arial"/>
                <w:sz w:val="24"/>
                <w:szCs w:val="24"/>
              </w:rPr>
            </w:pPr>
            <w:r w:rsidRPr="00C20F64">
              <w:rPr>
                <w:rFonts w:ascii="Arial" w:hAnsi="Arial" w:cs="Arial"/>
                <w:sz w:val="24"/>
                <w:szCs w:val="24"/>
              </w:rPr>
              <w:t>$ 1</w:t>
            </w:r>
            <w:r w:rsidR="00C86343" w:rsidRPr="00C20F64">
              <w:rPr>
                <w:rFonts w:ascii="Arial" w:hAnsi="Arial" w:cs="Arial"/>
                <w:sz w:val="24"/>
                <w:szCs w:val="24"/>
              </w:rPr>
              <w:t>8,270,180</w:t>
            </w:r>
          </w:p>
          <w:p w:rsidR="004B5DDA" w:rsidRPr="00C20F64" w:rsidRDefault="004B5DDA" w:rsidP="00C86343">
            <w:pPr>
              <w:tabs>
                <w:tab w:val="decimal" w:pos="1603"/>
              </w:tabs>
              <w:ind w:right="36"/>
              <w:rPr>
                <w:rFonts w:ascii="Arial" w:hAnsi="Arial" w:cs="Arial"/>
                <w:sz w:val="24"/>
                <w:szCs w:val="24"/>
              </w:rPr>
            </w:pP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p>
        </w:tc>
        <w:tc>
          <w:tcPr>
            <w:tcW w:w="2215" w:type="dxa"/>
          </w:tcPr>
          <w:p w:rsidR="004B5DDA" w:rsidRPr="00C20F64" w:rsidRDefault="004B5DDA" w:rsidP="00C93B6F">
            <w:pPr>
              <w:tabs>
                <w:tab w:val="decimal" w:pos="1603"/>
              </w:tabs>
              <w:ind w:right="36"/>
              <w:rPr>
                <w:rFonts w:ascii="Arial" w:hAnsi="Arial" w:cs="Arial"/>
                <w:sz w:val="24"/>
                <w:szCs w:val="24"/>
                <w:u w:val="single"/>
              </w:rPr>
            </w:pP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r w:rsidRPr="00C20F64">
              <w:rPr>
                <w:rFonts w:ascii="Arial" w:hAnsi="Arial" w:cs="Arial"/>
                <w:sz w:val="24"/>
                <w:szCs w:val="24"/>
              </w:rPr>
              <w:t>Universal Service</w:t>
            </w:r>
            <w:r w:rsidR="00BE2AD3">
              <w:rPr>
                <w:rFonts w:ascii="Arial" w:hAnsi="Arial" w:cs="Arial"/>
                <w:sz w:val="24"/>
                <w:szCs w:val="24"/>
              </w:rPr>
              <w:t xml:space="preserve"> </w:t>
            </w:r>
            <w:r w:rsidR="00894F26">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Energy Conservation Costs</w:t>
            </w:r>
          </w:p>
          <w:p w:rsidR="004B5DDA" w:rsidRPr="00C20F64" w:rsidRDefault="005018AD" w:rsidP="00C86343">
            <w:pPr>
              <w:rPr>
                <w:rFonts w:ascii="Arial" w:hAnsi="Arial" w:cs="Arial"/>
                <w:sz w:val="24"/>
                <w:szCs w:val="24"/>
              </w:rPr>
            </w:pPr>
            <w:r>
              <w:rPr>
                <w:rFonts w:ascii="Arial" w:hAnsi="Arial" w:cs="Arial"/>
                <w:sz w:val="24"/>
                <w:szCs w:val="24"/>
              </w:rPr>
              <w:t>(Note 1)</w:t>
            </w:r>
          </w:p>
        </w:tc>
        <w:tc>
          <w:tcPr>
            <w:tcW w:w="2215" w:type="dxa"/>
          </w:tcPr>
          <w:p w:rsidR="004B5DDA" w:rsidRPr="00C20F64" w:rsidRDefault="004B5DDA" w:rsidP="00C93B6F">
            <w:pPr>
              <w:tabs>
                <w:tab w:val="decimal" w:pos="1603"/>
              </w:tabs>
              <w:ind w:right="36"/>
              <w:rPr>
                <w:rFonts w:ascii="Arial" w:hAnsi="Arial" w:cs="Arial"/>
                <w:sz w:val="24"/>
                <w:szCs w:val="24"/>
                <w:u w:val="single"/>
              </w:rPr>
            </w:pPr>
          </w:p>
          <w:p w:rsidR="004B5DDA" w:rsidRPr="00C20F64" w:rsidRDefault="006F566D" w:rsidP="00C93B6F">
            <w:pPr>
              <w:tabs>
                <w:tab w:val="decimal" w:pos="1603"/>
              </w:tabs>
              <w:ind w:right="36"/>
              <w:rPr>
                <w:rFonts w:ascii="Arial" w:hAnsi="Arial" w:cs="Arial"/>
                <w:sz w:val="24"/>
                <w:szCs w:val="24"/>
                <w:u w:val="single"/>
              </w:rPr>
            </w:pPr>
            <w:r w:rsidRPr="00C20F64">
              <w:rPr>
                <w:rFonts w:ascii="Arial" w:hAnsi="Arial" w:cs="Arial"/>
                <w:sz w:val="24"/>
                <w:szCs w:val="24"/>
                <w:u w:val="single"/>
              </w:rPr>
              <w:t>124,924,430</w:t>
            </w: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p>
        </w:tc>
        <w:tc>
          <w:tcPr>
            <w:tcW w:w="2215" w:type="dxa"/>
          </w:tcPr>
          <w:p w:rsidR="004B5DDA" w:rsidRPr="00C20F64" w:rsidRDefault="004B5DDA" w:rsidP="00C93B6F">
            <w:pPr>
              <w:tabs>
                <w:tab w:val="decimal" w:pos="1603"/>
              </w:tabs>
              <w:ind w:right="36"/>
              <w:rPr>
                <w:rFonts w:ascii="Arial" w:hAnsi="Arial" w:cs="Arial"/>
                <w:sz w:val="24"/>
                <w:szCs w:val="24"/>
                <w:u w:val="single"/>
              </w:rPr>
            </w:pP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r w:rsidRPr="00C20F64">
              <w:rPr>
                <w:rFonts w:ascii="Arial" w:hAnsi="Arial" w:cs="Arial"/>
                <w:sz w:val="24"/>
                <w:szCs w:val="24"/>
              </w:rPr>
              <w:t>Total Recoverable Universal Service</w:t>
            </w:r>
            <w:r w:rsidR="00BE2AD3">
              <w:rPr>
                <w:rFonts w:ascii="Arial" w:hAnsi="Arial" w:cs="Arial"/>
                <w:sz w:val="24"/>
                <w:szCs w:val="24"/>
              </w:rPr>
              <w:t xml:space="preserve"> </w:t>
            </w:r>
            <w:r w:rsidR="00894F26">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 xml:space="preserve">Energy </w:t>
            </w:r>
          </w:p>
          <w:p w:rsidR="004B5DDA" w:rsidRPr="00C20F64" w:rsidRDefault="004B5DDA" w:rsidP="00752ECA">
            <w:pPr>
              <w:rPr>
                <w:rFonts w:ascii="Arial" w:hAnsi="Arial" w:cs="Arial"/>
                <w:sz w:val="24"/>
                <w:szCs w:val="24"/>
              </w:rPr>
            </w:pPr>
            <w:r w:rsidRPr="00C20F64">
              <w:rPr>
                <w:rFonts w:ascii="Arial" w:hAnsi="Arial" w:cs="Arial"/>
                <w:sz w:val="24"/>
                <w:szCs w:val="24"/>
              </w:rPr>
              <w:t>Conservation Costs For The Twelve</w:t>
            </w:r>
            <w:r w:rsidR="00207628" w:rsidRPr="00C20F64">
              <w:rPr>
                <w:rFonts w:ascii="Arial" w:hAnsi="Arial" w:cs="Arial"/>
                <w:sz w:val="24"/>
                <w:szCs w:val="24"/>
              </w:rPr>
              <w:t xml:space="preserve"> </w:t>
            </w:r>
            <w:r w:rsidRPr="00C20F64">
              <w:rPr>
                <w:rFonts w:ascii="Arial" w:hAnsi="Arial" w:cs="Arial"/>
                <w:sz w:val="24"/>
                <w:szCs w:val="24"/>
              </w:rPr>
              <w:t>Months Ended August 31, 200</w:t>
            </w:r>
            <w:r w:rsidR="00752ECA" w:rsidRPr="00C20F64">
              <w:rPr>
                <w:rFonts w:ascii="Arial" w:hAnsi="Arial" w:cs="Arial"/>
                <w:sz w:val="24"/>
                <w:szCs w:val="24"/>
              </w:rPr>
              <w:t>9</w:t>
            </w:r>
          </w:p>
        </w:tc>
        <w:tc>
          <w:tcPr>
            <w:tcW w:w="2215" w:type="dxa"/>
          </w:tcPr>
          <w:p w:rsidR="004B5DDA" w:rsidRPr="00C20F64" w:rsidRDefault="004B5DDA" w:rsidP="00C93B6F">
            <w:pPr>
              <w:tabs>
                <w:tab w:val="decimal" w:pos="1603"/>
              </w:tabs>
              <w:ind w:right="36"/>
              <w:rPr>
                <w:rFonts w:ascii="Arial" w:hAnsi="Arial" w:cs="Arial"/>
                <w:sz w:val="24"/>
                <w:szCs w:val="24"/>
              </w:rPr>
            </w:pPr>
          </w:p>
          <w:p w:rsidR="004B5DDA" w:rsidRPr="00C20F64" w:rsidRDefault="004B5DDA" w:rsidP="00C93B6F">
            <w:pPr>
              <w:tabs>
                <w:tab w:val="decimal" w:pos="1603"/>
              </w:tabs>
              <w:ind w:right="36"/>
              <w:rPr>
                <w:rFonts w:ascii="Arial" w:hAnsi="Arial" w:cs="Arial"/>
                <w:sz w:val="24"/>
                <w:szCs w:val="24"/>
              </w:rPr>
            </w:pPr>
          </w:p>
          <w:p w:rsidR="004B5DDA" w:rsidRPr="00C20F64" w:rsidRDefault="004B5DDA" w:rsidP="00C93B6F">
            <w:pPr>
              <w:tabs>
                <w:tab w:val="decimal" w:pos="1603"/>
              </w:tabs>
              <w:ind w:right="36"/>
              <w:rPr>
                <w:rFonts w:ascii="Arial" w:hAnsi="Arial" w:cs="Arial"/>
                <w:sz w:val="24"/>
                <w:szCs w:val="24"/>
              </w:rPr>
            </w:pPr>
            <w:r w:rsidRPr="00C20F64">
              <w:rPr>
                <w:rFonts w:ascii="Arial" w:hAnsi="Arial" w:cs="Arial"/>
                <w:sz w:val="24"/>
                <w:szCs w:val="24"/>
              </w:rPr>
              <w:t>$1</w:t>
            </w:r>
            <w:r w:rsidR="006F566D" w:rsidRPr="00C20F64">
              <w:rPr>
                <w:rFonts w:ascii="Arial" w:hAnsi="Arial" w:cs="Arial"/>
                <w:sz w:val="24"/>
                <w:szCs w:val="24"/>
              </w:rPr>
              <w:t>43,194,610</w:t>
            </w:r>
          </w:p>
          <w:p w:rsidR="004B5DDA" w:rsidRPr="00C20F64" w:rsidRDefault="004B5DDA" w:rsidP="00C93B6F">
            <w:pPr>
              <w:tabs>
                <w:tab w:val="decimal" w:pos="1603"/>
              </w:tabs>
              <w:ind w:right="36"/>
              <w:rPr>
                <w:rFonts w:ascii="Arial" w:hAnsi="Arial" w:cs="Arial"/>
                <w:sz w:val="24"/>
                <w:szCs w:val="24"/>
              </w:rPr>
            </w:pPr>
          </w:p>
        </w:tc>
      </w:tr>
      <w:tr w:rsidR="004B5DDA" w:rsidRPr="00C20F64" w:rsidTr="00C93B6F">
        <w:trPr>
          <w:jc w:val="center"/>
        </w:trPr>
        <w:tc>
          <w:tcPr>
            <w:tcW w:w="5813" w:type="dxa"/>
          </w:tcPr>
          <w:p w:rsidR="004B5DDA" w:rsidRPr="00C20F64" w:rsidRDefault="004B5DDA" w:rsidP="00C93B6F">
            <w:pPr>
              <w:tabs>
                <w:tab w:val="left" w:pos="726"/>
              </w:tabs>
              <w:rPr>
                <w:rFonts w:ascii="Arial" w:hAnsi="Arial" w:cs="Arial"/>
                <w:sz w:val="24"/>
                <w:szCs w:val="24"/>
              </w:rPr>
            </w:pPr>
            <w:r w:rsidRPr="00C20F64">
              <w:rPr>
                <w:rFonts w:ascii="Arial" w:hAnsi="Arial" w:cs="Arial"/>
                <w:sz w:val="24"/>
                <w:szCs w:val="24"/>
              </w:rPr>
              <w:t>Less:  Universal Service</w:t>
            </w:r>
            <w:r w:rsidR="00BE2AD3">
              <w:rPr>
                <w:rFonts w:ascii="Arial" w:hAnsi="Arial" w:cs="Arial"/>
                <w:sz w:val="24"/>
                <w:szCs w:val="24"/>
              </w:rPr>
              <w:t xml:space="preserve"> </w:t>
            </w:r>
            <w:r w:rsidR="00894F26">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Energy Conservation</w:t>
            </w:r>
          </w:p>
          <w:p w:rsidR="004B5DDA" w:rsidRPr="00C20F64" w:rsidRDefault="004B5DDA" w:rsidP="005018AD">
            <w:pPr>
              <w:tabs>
                <w:tab w:val="left" w:pos="726"/>
              </w:tabs>
              <w:rPr>
                <w:rFonts w:ascii="Arial" w:hAnsi="Arial" w:cs="Arial"/>
                <w:sz w:val="24"/>
                <w:szCs w:val="24"/>
              </w:rPr>
            </w:pPr>
            <w:r w:rsidRPr="00C20F64">
              <w:rPr>
                <w:rFonts w:ascii="Arial" w:hAnsi="Arial" w:cs="Arial"/>
                <w:sz w:val="24"/>
                <w:szCs w:val="24"/>
              </w:rPr>
              <w:t xml:space="preserve">           Cost Recoveries </w:t>
            </w:r>
            <w:r w:rsidR="005018AD">
              <w:rPr>
                <w:rFonts w:ascii="Arial" w:hAnsi="Arial" w:cs="Arial"/>
                <w:sz w:val="24"/>
                <w:szCs w:val="24"/>
              </w:rPr>
              <w:t>(Not</w:t>
            </w:r>
            <w:r w:rsidR="00416813">
              <w:rPr>
                <w:rFonts w:ascii="Arial" w:hAnsi="Arial" w:cs="Arial"/>
                <w:sz w:val="24"/>
                <w:szCs w:val="24"/>
              </w:rPr>
              <w:t>e 2)</w:t>
            </w:r>
          </w:p>
          <w:p w:rsidR="004B5DDA" w:rsidRPr="00C20F64" w:rsidRDefault="004B5DDA" w:rsidP="00C93B6F">
            <w:pPr>
              <w:tabs>
                <w:tab w:val="left" w:pos="726"/>
              </w:tabs>
              <w:rPr>
                <w:rFonts w:ascii="Arial" w:hAnsi="Arial" w:cs="Arial"/>
                <w:sz w:val="24"/>
                <w:szCs w:val="24"/>
              </w:rPr>
            </w:pPr>
          </w:p>
        </w:tc>
        <w:tc>
          <w:tcPr>
            <w:tcW w:w="2215" w:type="dxa"/>
          </w:tcPr>
          <w:p w:rsidR="004B5DDA" w:rsidRPr="00C20F64" w:rsidRDefault="004B5DDA" w:rsidP="00C93B6F">
            <w:pPr>
              <w:tabs>
                <w:tab w:val="left" w:pos="1459"/>
                <w:tab w:val="decimal" w:pos="1603"/>
              </w:tabs>
              <w:ind w:right="36"/>
              <w:rPr>
                <w:rFonts w:ascii="Arial" w:hAnsi="Arial" w:cs="Arial"/>
                <w:sz w:val="24"/>
                <w:szCs w:val="24"/>
                <w:u w:val="single"/>
              </w:rPr>
            </w:pPr>
          </w:p>
          <w:p w:rsidR="004B5DDA" w:rsidRPr="00C20F64" w:rsidRDefault="00752ECA" w:rsidP="00C93B6F">
            <w:pPr>
              <w:tabs>
                <w:tab w:val="decimal" w:pos="1603"/>
              </w:tabs>
              <w:ind w:right="36"/>
              <w:rPr>
                <w:rFonts w:ascii="Arial" w:hAnsi="Arial" w:cs="Arial"/>
                <w:sz w:val="24"/>
                <w:szCs w:val="24"/>
                <w:u w:val="single"/>
              </w:rPr>
            </w:pPr>
            <w:r w:rsidRPr="00C20F64">
              <w:rPr>
                <w:rFonts w:ascii="Arial" w:hAnsi="Arial" w:cs="Arial"/>
                <w:sz w:val="24"/>
                <w:szCs w:val="24"/>
                <w:u w:val="single"/>
              </w:rPr>
              <w:t>126,224,640</w:t>
            </w:r>
          </w:p>
        </w:tc>
      </w:tr>
      <w:tr w:rsidR="003F5511" w:rsidRPr="00C20F64" w:rsidTr="00E14488">
        <w:trPr>
          <w:trHeight w:val="80"/>
          <w:jc w:val="center"/>
        </w:trPr>
        <w:tc>
          <w:tcPr>
            <w:tcW w:w="5813" w:type="dxa"/>
          </w:tcPr>
          <w:p w:rsidR="003F5511" w:rsidRDefault="003F5511" w:rsidP="00AA2F82">
            <w:pPr>
              <w:rPr>
                <w:rFonts w:ascii="Arial" w:hAnsi="Arial" w:cs="Arial"/>
                <w:sz w:val="24"/>
                <w:szCs w:val="24"/>
              </w:rPr>
            </w:pPr>
            <w:r w:rsidRPr="00C20F64">
              <w:rPr>
                <w:rFonts w:ascii="Arial" w:hAnsi="Arial" w:cs="Arial"/>
                <w:sz w:val="24"/>
                <w:szCs w:val="24"/>
              </w:rPr>
              <w:t>Under Collection Balance At August 31, 2009</w:t>
            </w:r>
          </w:p>
          <w:p w:rsidR="003F5511" w:rsidRPr="00C20F64" w:rsidRDefault="003F5511" w:rsidP="00C93B6F">
            <w:pPr>
              <w:rPr>
                <w:rFonts w:ascii="Arial" w:hAnsi="Arial" w:cs="Arial"/>
                <w:sz w:val="24"/>
                <w:szCs w:val="24"/>
              </w:rPr>
            </w:pPr>
            <w:r>
              <w:rPr>
                <w:rFonts w:ascii="Arial" w:hAnsi="Arial" w:cs="Arial"/>
                <w:sz w:val="24"/>
                <w:szCs w:val="24"/>
              </w:rPr>
              <w:t>(Note 3)</w:t>
            </w:r>
          </w:p>
        </w:tc>
        <w:tc>
          <w:tcPr>
            <w:tcW w:w="2215" w:type="dxa"/>
          </w:tcPr>
          <w:p w:rsidR="003F5511" w:rsidRDefault="003F5511" w:rsidP="00AA2F82">
            <w:pPr>
              <w:tabs>
                <w:tab w:val="decimal" w:pos="1603"/>
              </w:tabs>
              <w:ind w:right="36"/>
              <w:rPr>
                <w:rFonts w:ascii="Arial" w:hAnsi="Arial" w:cs="Arial"/>
                <w:sz w:val="24"/>
                <w:szCs w:val="24"/>
              </w:rPr>
            </w:pPr>
          </w:p>
          <w:p w:rsidR="003F5511" w:rsidRPr="00C20F64" w:rsidRDefault="008820FB" w:rsidP="00C93B6F">
            <w:pPr>
              <w:tabs>
                <w:tab w:val="left" w:pos="1459"/>
                <w:tab w:val="decimal" w:pos="1603"/>
              </w:tabs>
              <w:ind w:right="36"/>
              <w:rPr>
                <w:rFonts w:ascii="Arial" w:hAnsi="Arial" w:cs="Arial"/>
                <w:sz w:val="24"/>
                <w:szCs w:val="24"/>
                <w:u w:val="single"/>
              </w:rPr>
            </w:pPr>
            <w:r>
              <w:rPr>
                <w:rFonts w:ascii="Arial" w:hAnsi="Arial" w:cs="Arial"/>
                <w:sz w:val="24"/>
                <w:szCs w:val="24"/>
              </w:rPr>
              <w:t xml:space="preserve">   </w:t>
            </w:r>
            <w:r w:rsidR="003F5511" w:rsidRPr="00C20F64">
              <w:rPr>
                <w:rFonts w:ascii="Arial" w:hAnsi="Arial" w:cs="Arial"/>
                <w:sz w:val="24"/>
                <w:szCs w:val="24"/>
              </w:rPr>
              <w:t>$</w:t>
            </w:r>
            <w:r w:rsidR="003F5511" w:rsidRPr="00C20F64">
              <w:rPr>
                <w:rFonts w:ascii="Arial" w:hAnsi="Arial" w:cs="Arial"/>
                <w:sz w:val="24"/>
                <w:szCs w:val="24"/>
                <w:u w:val="double"/>
              </w:rPr>
              <w:t xml:space="preserve"> 16,969,970</w:t>
            </w:r>
          </w:p>
        </w:tc>
      </w:tr>
      <w:tr w:rsidR="003F5511" w:rsidRPr="00C20F64" w:rsidTr="00C93B6F">
        <w:trPr>
          <w:jc w:val="center"/>
        </w:trPr>
        <w:tc>
          <w:tcPr>
            <w:tcW w:w="5813" w:type="dxa"/>
          </w:tcPr>
          <w:p w:rsidR="003F5511" w:rsidRPr="00C20F64" w:rsidRDefault="003F5511" w:rsidP="00752ECA">
            <w:pPr>
              <w:rPr>
                <w:rFonts w:ascii="Arial" w:hAnsi="Arial" w:cs="Arial"/>
                <w:sz w:val="24"/>
                <w:szCs w:val="24"/>
              </w:rPr>
            </w:pPr>
          </w:p>
        </w:tc>
        <w:tc>
          <w:tcPr>
            <w:tcW w:w="2215" w:type="dxa"/>
          </w:tcPr>
          <w:p w:rsidR="003F5511" w:rsidRPr="00C20F64" w:rsidRDefault="003F5511" w:rsidP="00752ECA">
            <w:pPr>
              <w:tabs>
                <w:tab w:val="decimal" w:pos="1603"/>
              </w:tabs>
              <w:ind w:right="36"/>
              <w:rPr>
                <w:rFonts w:ascii="Arial" w:hAnsi="Arial" w:cs="Arial"/>
                <w:sz w:val="24"/>
                <w:szCs w:val="24"/>
                <w:u w:val="double"/>
              </w:rPr>
            </w:pPr>
          </w:p>
        </w:tc>
      </w:tr>
    </w:tbl>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016CC" w:rsidRPr="00C20F64" w:rsidRDefault="008016CC"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016CC" w:rsidRPr="00C20F64" w:rsidRDefault="008016CC"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4B5DDA"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r w:rsidRPr="00C20F64">
        <w:rPr>
          <w:rFonts w:ascii="Arial" w:hAnsi="Arial" w:cs="Arial"/>
          <w:sz w:val="24"/>
          <w:szCs w:val="24"/>
        </w:rPr>
        <w:t>Notes to the Financial Statements are an integral part of this report.</w:t>
      </w:r>
    </w:p>
    <w:p w:rsidR="004B5DDA" w:rsidRPr="00C20F64" w:rsidRDefault="004B5DDA" w:rsidP="00591D89">
      <w:pPr>
        <w:tabs>
          <w:tab w:val="left" w:pos="0"/>
          <w:tab w:val="left" w:pos="1800"/>
          <w:tab w:val="decimal" w:pos="6300"/>
          <w:tab w:val="decimal" w:pos="8550"/>
          <w:tab w:val="decimal" w:pos="10350"/>
          <w:tab w:val="left" w:pos="10800"/>
        </w:tabs>
        <w:ind w:right="-144"/>
        <w:jc w:val="center"/>
        <w:rPr>
          <w:rFonts w:ascii="Arial" w:hAnsi="Arial" w:cs="Arial"/>
          <w:b/>
          <w:sz w:val="24"/>
          <w:szCs w:val="24"/>
          <w:u w:val="single"/>
        </w:rPr>
      </w:pPr>
    </w:p>
    <w:p w:rsidR="00591D89" w:rsidRPr="007A1DB0" w:rsidRDefault="00591D89" w:rsidP="00591D89">
      <w:pPr>
        <w:spacing w:line="360" w:lineRule="atLeast"/>
        <w:outlineLvl w:val="0"/>
        <w:rPr>
          <w:rFonts w:ascii="Arial" w:hAnsi="Arial" w:cs="Arial"/>
          <w:sz w:val="24"/>
          <w:szCs w:val="24"/>
          <w:highlight w:val="lightGray"/>
        </w:rPr>
        <w:sectPr w:rsidR="00591D89" w:rsidRPr="007A1DB0" w:rsidSect="001607D5">
          <w:headerReference w:type="even" r:id="rId16"/>
          <w:headerReference w:type="default" r:id="rId17"/>
          <w:footerReference w:type="default" r:id="rId18"/>
          <w:headerReference w:type="first" r:id="rId19"/>
          <w:pgSz w:w="12240" w:h="15840" w:code="1"/>
          <w:pgMar w:top="1440" w:right="1440" w:bottom="1152" w:left="1440" w:header="0" w:footer="720" w:gutter="0"/>
          <w:pgNumType w:start="2"/>
          <w:cols w:space="720"/>
          <w:noEndnote/>
        </w:sectPr>
      </w:pPr>
    </w:p>
    <w:p w:rsidR="00EC58EA" w:rsidRPr="001849D4" w:rsidRDefault="00EC58EA" w:rsidP="00591D89">
      <w:pPr>
        <w:spacing w:line="360" w:lineRule="atLeast"/>
        <w:jc w:val="center"/>
        <w:outlineLvl w:val="0"/>
        <w:rPr>
          <w:rFonts w:ascii="Arial" w:hAnsi="Arial" w:cs="Arial"/>
          <w:b/>
          <w:sz w:val="28"/>
          <w:szCs w:val="28"/>
        </w:rPr>
      </w:pPr>
      <w:smartTag w:uri="urn:schemas-microsoft-com:office:smarttags" w:element="City">
        <w:smartTag w:uri="urn:schemas-microsoft-com:office:smarttags" w:element="place">
          <w:r w:rsidRPr="001849D4">
            <w:rPr>
              <w:rFonts w:ascii="Arial" w:hAnsi="Arial" w:cs="Arial"/>
              <w:b/>
              <w:sz w:val="28"/>
              <w:szCs w:val="28"/>
              <w:u w:val="single"/>
            </w:rPr>
            <w:lastRenderedPageBreak/>
            <w:t>PHILADELPHIA</w:t>
          </w:r>
        </w:smartTag>
      </w:smartTag>
      <w:r w:rsidRPr="001849D4">
        <w:rPr>
          <w:rFonts w:ascii="Arial" w:hAnsi="Arial" w:cs="Arial"/>
          <w:b/>
          <w:sz w:val="28"/>
          <w:szCs w:val="28"/>
          <w:u w:val="single"/>
        </w:rPr>
        <w:t xml:space="preserve"> GAS WORKS</w:t>
      </w:r>
    </w:p>
    <w:p w:rsidR="00EC58EA" w:rsidRPr="007445B8" w:rsidRDefault="00EC58EA">
      <w:pPr>
        <w:rPr>
          <w:rFonts w:ascii="Arial" w:hAnsi="Arial" w:cs="Arial"/>
          <w:b/>
          <w:sz w:val="24"/>
          <w:szCs w:val="26"/>
          <w:u w:val="single"/>
        </w:rPr>
      </w:pPr>
    </w:p>
    <w:p w:rsidR="00EC58EA" w:rsidRPr="008D0BD6" w:rsidRDefault="00EC58EA">
      <w:pPr>
        <w:jc w:val="center"/>
        <w:rPr>
          <w:rFonts w:ascii="Arial" w:hAnsi="Arial" w:cs="Arial"/>
          <w:b/>
          <w:sz w:val="24"/>
          <w:szCs w:val="24"/>
          <w:u w:val="single"/>
        </w:rPr>
      </w:pPr>
      <w:r w:rsidRPr="008D0BD6">
        <w:rPr>
          <w:rFonts w:ascii="Arial" w:hAnsi="Arial" w:cs="Arial"/>
          <w:b/>
          <w:sz w:val="24"/>
          <w:szCs w:val="24"/>
          <w:u w:val="single"/>
        </w:rPr>
        <w:t xml:space="preserve">Notes </w:t>
      </w:r>
      <w:r w:rsidR="00795B0B" w:rsidRPr="008D0BD6">
        <w:rPr>
          <w:rFonts w:ascii="Arial" w:hAnsi="Arial" w:cs="Arial"/>
          <w:b/>
          <w:sz w:val="24"/>
          <w:szCs w:val="24"/>
          <w:u w:val="single"/>
        </w:rPr>
        <w:t>to</w:t>
      </w:r>
      <w:r w:rsidRPr="008D0BD6">
        <w:rPr>
          <w:rFonts w:ascii="Arial" w:hAnsi="Arial" w:cs="Arial"/>
          <w:b/>
          <w:sz w:val="24"/>
          <w:szCs w:val="24"/>
          <w:u w:val="single"/>
        </w:rPr>
        <w:t xml:space="preserve"> </w:t>
      </w:r>
      <w:r w:rsidR="00795B0B" w:rsidRPr="008D0BD6">
        <w:rPr>
          <w:rFonts w:ascii="Arial" w:hAnsi="Arial" w:cs="Arial"/>
          <w:b/>
          <w:sz w:val="24"/>
          <w:szCs w:val="24"/>
          <w:u w:val="single"/>
        </w:rPr>
        <w:t>the</w:t>
      </w:r>
      <w:r w:rsidRPr="008D0BD6">
        <w:rPr>
          <w:rFonts w:ascii="Arial" w:hAnsi="Arial" w:cs="Arial"/>
          <w:b/>
          <w:sz w:val="24"/>
          <w:szCs w:val="24"/>
          <w:u w:val="single"/>
        </w:rPr>
        <w:t xml:space="preserve"> Financial Statements</w:t>
      </w:r>
    </w:p>
    <w:p w:rsidR="00307C90" w:rsidRPr="008D0BD6" w:rsidRDefault="00307C90" w:rsidP="008B560F">
      <w:pPr>
        <w:rPr>
          <w:rFonts w:ascii="Arial" w:hAnsi="Arial" w:cs="Arial"/>
          <w:b/>
          <w:sz w:val="24"/>
          <w:szCs w:val="24"/>
          <w:u w:val="single"/>
        </w:rPr>
      </w:pPr>
    </w:p>
    <w:p w:rsidR="00307C90" w:rsidRPr="008D0BD6" w:rsidRDefault="00307C90" w:rsidP="008B560F">
      <w:pPr>
        <w:rPr>
          <w:rFonts w:ascii="Arial" w:hAnsi="Arial" w:cs="Arial"/>
          <w:sz w:val="24"/>
          <w:szCs w:val="24"/>
        </w:rPr>
      </w:pPr>
    </w:p>
    <w:p w:rsidR="00EC58EA" w:rsidRPr="008D0BD6" w:rsidRDefault="00EC58EA">
      <w:pPr>
        <w:tabs>
          <w:tab w:val="left" w:pos="-90"/>
          <w:tab w:val="left" w:pos="720"/>
          <w:tab w:val="left" w:pos="9720"/>
        </w:tabs>
        <w:spacing w:line="360" w:lineRule="atLeast"/>
        <w:rPr>
          <w:rFonts w:ascii="Arial" w:hAnsi="Arial" w:cs="Arial"/>
          <w:sz w:val="24"/>
          <w:szCs w:val="24"/>
          <w:highlight w:val="lightGray"/>
        </w:rPr>
      </w:pPr>
    </w:p>
    <w:p w:rsidR="00EC58EA" w:rsidRPr="008D0BD6" w:rsidRDefault="009C63F6">
      <w:pPr>
        <w:tabs>
          <w:tab w:val="left" w:pos="360"/>
          <w:tab w:val="left" w:pos="9720"/>
        </w:tabs>
        <w:rPr>
          <w:rFonts w:ascii="Arial" w:hAnsi="Arial" w:cs="Arial"/>
          <w:b/>
          <w:sz w:val="24"/>
          <w:szCs w:val="24"/>
          <w:u w:val="single"/>
        </w:rPr>
      </w:pPr>
      <w:r w:rsidRPr="008D0BD6">
        <w:rPr>
          <w:rFonts w:ascii="Arial" w:hAnsi="Arial" w:cs="Arial"/>
          <w:b/>
          <w:sz w:val="24"/>
          <w:szCs w:val="24"/>
          <w:u w:val="single"/>
        </w:rPr>
        <w:t>1</w:t>
      </w:r>
      <w:r w:rsidR="00EC58EA" w:rsidRPr="008D0BD6">
        <w:rPr>
          <w:rFonts w:ascii="Arial" w:hAnsi="Arial" w:cs="Arial"/>
          <w:b/>
          <w:sz w:val="24"/>
          <w:szCs w:val="24"/>
          <w:u w:val="single"/>
        </w:rPr>
        <w:t xml:space="preserve"> – Universal Service</w:t>
      </w:r>
      <w:r w:rsidR="00BE2AD3">
        <w:rPr>
          <w:rFonts w:ascii="Arial" w:hAnsi="Arial" w:cs="Arial"/>
          <w:b/>
          <w:sz w:val="24"/>
          <w:szCs w:val="24"/>
          <w:u w:val="single"/>
        </w:rPr>
        <w:t xml:space="preserve"> </w:t>
      </w:r>
      <w:r w:rsidR="00894F26">
        <w:rPr>
          <w:rFonts w:ascii="Arial" w:hAnsi="Arial" w:cs="Arial"/>
          <w:b/>
          <w:sz w:val="24"/>
          <w:szCs w:val="24"/>
          <w:u w:val="single"/>
        </w:rPr>
        <w:t>A</w:t>
      </w:r>
      <w:r w:rsidR="00BE2AD3">
        <w:rPr>
          <w:rFonts w:ascii="Arial" w:hAnsi="Arial" w:cs="Arial"/>
          <w:b/>
          <w:sz w:val="24"/>
          <w:szCs w:val="24"/>
          <w:u w:val="single"/>
        </w:rPr>
        <w:t xml:space="preserve">nd </w:t>
      </w:r>
      <w:r w:rsidR="00EC58EA" w:rsidRPr="008D0BD6">
        <w:rPr>
          <w:rFonts w:ascii="Arial" w:hAnsi="Arial" w:cs="Arial"/>
          <w:b/>
          <w:sz w:val="24"/>
          <w:szCs w:val="24"/>
          <w:u w:val="single"/>
        </w:rPr>
        <w:t xml:space="preserve">Energy Conservation </w:t>
      </w:r>
      <w:r w:rsidR="0037003C">
        <w:rPr>
          <w:rFonts w:ascii="Arial" w:hAnsi="Arial" w:cs="Arial"/>
          <w:b/>
          <w:sz w:val="24"/>
          <w:szCs w:val="24"/>
          <w:u w:val="single"/>
        </w:rPr>
        <w:t>Costs</w:t>
      </w:r>
    </w:p>
    <w:p w:rsidR="007A1DB0" w:rsidRPr="008D0BD6" w:rsidRDefault="007A1DB0">
      <w:pPr>
        <w:autoSpaceDE w:val="0"/>
        <w:autoSpaceDN w:val="0"/>
        <w:adjustRightInd w:val="0"/>
        <w:ind w:left="450"/>
        <w:rPr>
          <w:rFonts w:ascii="Arial" w:hAnsi="Arial" w:cs="Arial"/>
          <w:sz w:val="24"/>
          <w:szCs w:val="24"/>
        </w:rPr>
      </w:pPr>
    </w:p>
    <w:p w:rsidR="00EC58EA" w:rsidRPr="008D0BD6" w:rsidRDefault="0037003C">
      <w:pPr>
        <w:autoSpaceDE w:val="0"/>
        <w:autoSpaceDN w:val="0"/>
        <w:adjustRightInd w:val="0"/>
        <w:ind w:left="450"/>
        <w:rPr>
          <w:rFonts w:ascii="Arial" w:hAnsi="Arial" w:cs="Arial"/>
          <w:sz w:val="24"/>
          <w:szCs w:val="24"/>
        </w:rPr>
      </w:pPr>
      <w:r>
        <w:rPr>
          <w:rFonts w:ascii="Arial" w:hAnsi="Arial" w:cs="Arial"/>
          <w:sz w:val="24"/>
          <w:szCs w:val="24"/>
        </w:rPr>
        <w:t xml:space="preserve">Universal Service </w:t>
      </w:r>
      <w:r w:rsidR="00894F26">
        <w:rPr>
          <w:rFonts w:ascii="Arial" w:hAnsi="Arial" w:cs="Arial"/>
          <w:sz w:val="24"/>
          <w:szCs w:val="24"/>
        </w:rPr>
        <w:t>a</w:t>
      </w:r>
      <w:r>
        <w:rPr>
          <w:rFonts w:ascii="Arial" w:hAnsi="Arial" w:cs="Arial"/>
          <w:sz w:val="24"/>
          <w:szCs w:val="24"/>
        </w:rPr>
        <w:t xml:space="preserve">nd Energy Conservation Costs are the actual costs incurred </w:t>
      </w:r>
      <w:r w:rsidR="001C742F">
        <w:rPr>
          <w:rFonts w:ascii="Arial" w:hAnsi="Arial" w:cs="Arial"/>
          <w:sz w:val="24"/>
          <w:szCs w:val="24"/>
        </w:rPr>
        <w:t xml:space="preserve">by the Company </w:t>
      </w:r>
      <w:r>
        <w:rPr>
          <w:rFonts w:ascii="Arial" w:hAnsi="Arial" w:cs="Arial"/>
          <w:sz w:val="24"/>
          <w:szCs w:val="24"/>
        </w:rPr>
        <w:t xml:space="preserve">during the </w:t>
      </w:r>
      <w:r w:rsidR="00FC78A6">
        <w:rPr>
          <w:rFonts w:ascii="Arial" w:hAnsi="Arial" w:cs="Arial"/>
          <w:sz w:val="24"/>
          <w:szCs w:val="24"/>
        </w:rPr>
        <w:t>twelve</w:t>
      </w:r>
      <w:r>
        <w:rPr>
          <w:rFonts w:ascii="Arial" w:hAnsi="Arial" w:cs="Arial"/>
          <w:sz w:val="24"/>
          <w:szCs w:val="24"/>
        </w:rPr>
        <w:t xml:space="preserve"> </w:t>
      </w:r>
      <w:r w:rsidR="0085463D">
        <w:rPr>
          <w:rFonts w:ascii="Arial" w:hAnsi="Arial" w:cs="Arial"/>
          <w:sz w:val="24"/>
          <w:szCs w:val="24"/>
        </w:rPr>
        <w:t xml:space="preserve">month </w:t>
      </w:r>
      <w:r>
        <w:rPr>
          <w:rFonts w:ascii="Arial" w:hAnsi="Arial" w:cs="Arial"/>
          <w:sz w:val="24"/>
          <w:szCs w:val="24"/>
        </w:rPr>
        <w:t xml:space="preserve">period </w:t>
      </w:r>
      <w:r w:rsidR="001C742F">
        <w:rPr>
          <w:rFonts w:ascii="Arial" w:hAnsi="Arial" w:cs="Arial"/>
          <w:sz w:val="24"/>
          <w:szCs w:val="24"/>
        </w:rPr>
        <w:t>through the</w:t>
      </w:r>
      <w:r>
        <w:rPr>
          <w:rFonts w:ascii="Arial" w:hAnsi="Arial" w:cs="Arial"/>
          <w:sz w:val="24"/>
          <w:szCs w:val="24"/>
        </w:rPr>
        <w:t xml:space="preserve"> operati</w:t>
      </w:r>
      <w:r w:rsidR="001C742F">
        <w:rPr>
          <w:rFonts w:ascii="Arial" w:hAnsi="Arial" w:cs="Arial"/>
          <w:sz w:val="24"/>
          <w:szCs w:val="24"/>
        </w:rPr>
        <w:t>o</w:t>
      </w:r>
      <w:r>
        <w:rPr>
          <w:rFonts w:ascii="Arial" w:hAnsi="Arial" w:cs="Arial"/>
          <w:sz w:val="24"/>
          <w:szCs w:val="24"/>
        </w:rPr>
        <w:t>n</w:t>
      </w:r>
      <w:r w:rsidR="001C742F">
        <w:rPr>
          <w:rFonts w:ascii="Arial" w:hAnsi="Arial" w:cs="Arial"/>
          <w:sz w:val="24"/>
          <w:szCs w:val="24"/>
        </w:rPr>
        <w:t xml:space="preserve"> of</w:t>
      </w:r>
      <w:r>
        <w:rPr>
          <w:rFonts w:ascii="Arial" w:hAnsi="Arial" w:cs="Arial"/>
          <w:sz w:val="24"/>
          <w:szCs w:val="24"/>
        </w:rPr>
        <w:t xml:space="preserve"> the </w:t>
      </w:r>
      <w:r w:rsidR="00E530A4">
        <w:rPr>
          <w:rFonts w:ascii="Arial" w:hAnsi="Arial" w:cs="Arial"/>
          <w:sz w:val="24"/>
          <w:szCs w:val="24"/>
        </w:rPr>
        <w:t>U</w:t>
      </w:r>
      <w:r>
        <w:rPr>
          <w:rFonts w:ascii="Arial" w:hAnsi="Arial" w:cs="Arial"/>
          <w:sz w:val="24"/>
          <w:szCs w:val="24"/>
        </w:rPr>
        <w:t xml:space="preserve">niversal </w:t>
      </w:r>
      <w:r w:rsidR="00E530A4">
        <w:rPr>
          <w:rFonts w:ascii="Arial" w:hAnsi="Arial" w:cs="Arial"/>
          <w:sz w:val="24"/>
          <w:szCs w:val="24"/>
        </w:rPr>
        <w:t>S</w:t>
      </w:r>
      <w:r>
        <w:rPr>
          <w:rFonts w:ascii="Arial" w:hAnsi="Arial" w:cs="Arial"/>
          <w:sz w:val="24"/>
          <w:szCs w:val="24"/>
        </w:rPr>
        <w:t xml:space="preserve">ervice </w:t>
      </w:r>
      <w:r w:rsidR="00894F26">
        <w:rPr>
          <w:rFonts w:ascii="Arial" w:hAnsi="Arial" w:cs="Arial"/>
          <w:sz w:val="24"/>
          <w:szCs w:val="24"/>
        </w:rPr>
        <w:t>a</w:t>
      </w:r>
      <w:r>
        <w:rPr>
          <w:rFonts w:ascii="Arial" w:hAnsi="Arial" w:cs="Arial"/>
          <w:sz w:val="24"/>
          <w:szCs w:val="24"/>
        </w:rPr>
        <w:t xml:space="preserve">nd </w:t>
      </w:r>
      <w:r w:rsidR="00E530A4">
        <w:rPr>
          <w:rFonts w:ascii="Arial" w:hAnsi="Arial" w:cs="Arial"/>
          <w:sz w:val="24"/>
          <w:szCs w:val="24"/>
        </w:rPr>
        <w:t>E</w:t>
      </w:r>
      <w:r>
        <w:rPr>
          <w:rFonts w:ascii="Arial" w:hAnsi="Arial" w:cs="Arial"/>
          <w:sz w:val="24"/>
          <w:szCs w:val="24"/>
        </w:rPr>
        <w:t xml:space="preserve">nergy </w:t>
      </w:r>
      <w:r w:rsidR="00E530A4">
        <w:rPr>
          <w:rFonts w:ascii="Arial" w:hAnsi="Arial" w:cs="Arial"/>
          <w:sz w:val="24"/>
          <w:szCs w:val="24"/>
        </w:rPr>
        <w:t>C</w:t>
      </w:r>
      <w:r>
        <w:rPr>
          <w:rFonts w:ascii="Arial" w:hAnsi="Arial" w:cs="Arial"/>
          <w:sz w:val="24"/>
          <w:szCs w:val="24"/>
        </w:rPr>
        <w:t>onservation programs</w:t>
      </w:r>
      <w:r w:rsidR="00FA5C59">
        <w:rPr>
          <w:rFonts w:ascii="Arial" w:hAnsi="Arial" w:cs="Arial"/>
          <w:sz w:val="24"/>
          <w:szCs w:val="24"/>
        </w:rPr>
        <w:t xml:space="preserve"> that are recoverable through the</w:t>
      </w:r>
      <w:r w:rsidR="00FA5C59" w:rsidRPr="00FA5C59">
        <w:rPr>
          <w:rFonts w:ascii="Arial" w:hAnsi="Arial" w:cs="Arial"/>
          <w:sz w:val="24"/>
          <w:szCs w:val="24"/>
        </w:rPr>
        <w:t xml:space="preserve"> </w:t>
      </w:r>
      <w:r w:rsidR="00FA5C59">
        <w:rPr>
          <w:rFonts w:ascii="Arial" w:hAnsi="Arial" w:cs="Arial"/>
          <w:sz w:val="24"/>
          <w:szCs w:val="24"/>
        </w:rPr>
        <w:t xml:space="preserve">Universal Service </w:t>
      </w:r>
      <w:r w:rsidR="00894F26">
        <w:rPr>
          <w:rFonts w:ascii="Arial" w:hAnsi="Arial" w:cs="Arial"/>
          <w:sz w:val="24"/>
          <w:szCs w:val="24"/>
        </w:rPr>
        <w:t>a</w:t>
      </w:r>
      <w:r w:rsidR="00FA5C59">
        <w:rPr>
          <w:rFonts w:ascii="Arial" w:hAnsi="Arial" w:cs="Arial"/>
          <w:sz w:val="24"/>
          <w:szCs w:val="24"/>
        </w:rPr>
        <w:t>nd Energy Conservation Surcharge</w:t>
      </w:r>
      <w:r>
        <w:rPr>
          <w:rFonts w:ascii="Arial" w:hAnsi="Arial" w:cs="Arial"/>
          <w:sz w:val="24"/>
          <w:szCs w:val="24"/>
        </w:rPr>
        <w:t xml:space="preserve">.  </w:t>
      </w:r>
      <w:r w:rsidR="009B4583">
        <w:rPr>
          <w:rFonts w:ascii="Arial" w:hAnsi="Arial" w:cs="Arial"/>
          <w:sz w:val="24"/>
          <w:szCs w:val="24"/>
        </w:rPr>
        <w:t xml:space="preserve">The Universal Service </w:t>
      </w:r>
      <w:r w:rsidR="00894F26">
        <w:rPr>
          <w:rFonts w:ascii="Arial" w:hAnsi="Arial" w:cs="Arial"/>
          <w:sz w:val="24"/>
          <w:szCs w:val="24"/>
        </w:rPr>
        <w:t>a</w:t>
      </w:r>
      <w:r w:rsidR="009B4583">
        <w:rPr>
          <w:rFonts w:ascii="Arial" w:hAnsi="Arial" w:cs="Arial"/>
          <w:sz w:val="24"/>
          <w:szCs w:val="24"/>
        </w:rPr>
        <w:t xml:space="preserve">nd Energy Conservation Surcharge was created as part of Philadelphia Gas Work’s restructuring proceeding at Docket No. M-00021612.  </w:t>
      </w:r>
      <w:r w:rsidR="00EC58EA" w:rsidRPr="008D0BD6">
        <w:rPr>
          <w:rFonts w:ascii="Arial" w:hAnsi="Arial" w:cs="Arial"/>
          <w:sz w:val="24"/>
          <w:szCs w:val="24"/>
        </w:rPr>
        <w:t xml:space="preserve">The specific costs </w:t>
      </w:r>
      <w:r w:rsidR="001C742F">
        <w:rPr>
          <w:rFonts w:ascii="Arial" w:hAnsi="Arial" w:cs="Arial"/>
          <w:sz w:val="24"/>
          <w:szCs w:val="24"/>
        </w:rPr>
        <w:t xml:space="preserve">authorized to be </w:t>
      </w:r>
      <w:r w:rsidR="00EC58EA" w:rsidRPr="008D0BD6">
        <w:rPr>
          <w:rFonts w:ascii="Arial" w:hAnsi="Arial" w:cs="Arial"/>
          <w:sz w:val="24"/>
          <w:szCs w:val="24"/>
        </w:rPr>
        <w:t>recovered through this surcharge are as follows:</w:t>
      </w:r>
    </w:p>
    <w:p w:rsidR="00EC58EA" w:rsidRPr="008D0BD6" w:rsidRDefault="00EC58EA">
      <w:pPr>
        <w:autoSpaceDE w:val="0"/>
        <w:autoSpaceDN w:val="0"/>
        <w:adjustRightInd w:val="0"/>
        <w:ind w:left="450"/>
        <w:rPr>
          <w:rFonts w:ascii="Arial" w:hAnsi="Arial" w:cs="Arial"/>
          <w:sz w:val="24"/>
          <w:szCs w:val="24"/>
        </w:rPr>
      </w:pPr>
    </w:p>
    <w:p w:rsidR="00EC58EA" w:rsidRPr="008D0BD6" w:rsidRDefault="00EC58EA">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Discounts provided to customers pursuant to the Customer Responsibility Program (CRP).</w:t>
      </w:r>
    </w:p>
    <w:p w:rsidR="00E862C2" w:rsidRPr="008D0BD6" w:rsidRDefault="00EC58EA">
      <w:pPr>
        <w:numPr>
          <w:ilvl w:val="0"/>
          <w:numId w:val="2"/>
        </w:numPr>
        <w:tabs>
          <w:tab w:val="clear" w:pos="1530"/>
          <w:tab w:val="num" w:pos="1080"/>
        </w:tabs>
        <w:autoSpaceDE w:val="0"/>
        <w:autoSpaceDN w:val="0"/>
        <w:adjustRightInd w:val="0"/>
        <w:ind w:hanging="810"/>
        <w:rPr>
          <w:rFonts w:ascii="Arial" w:hAnsi="Arial" w:cs="Arial"/>
          <w:sz w:val="24"/>
          <w:szCs w:val="24"/>
        </w:rPr>
      </w:pPr>
      <w:r w:rsidRPr="008D0BD6">
        <w:rPr>
          <w:rFonts w:ascii="Arial" w:hAnsi="Arial" w:cs="Arial"/>
          <w:sz w:val="24"/>
          <w:szCs w:val="24"/>
        </w:rPr>
        <w:t>Discounts provided to senior citizens.</w:t>
      </w:r>
    </w:p>
    <w:p w:rsidR="00E9251D" w:rsidRPr="008D0BD6" w:rsidRDefault="00E9251D" w:rsidP="00E9251D">
      <w:pPr>
        <w:numPr>
          <w:ilvl w:val="0"/>
          <w:numId w:val="2"/>
        </w:numPr>
        <w:tabs>
          <w:tab w:val="clear" w:pos="1530"/>
          <w:tab w:val="num" w:pos="1080"/>
        </w:tabs>
        <w:autoSpaceDE w:val="0"/>
        <w:autoSpaceDN w:val="0"/>
        <w:adjustRightInd w:val="0"/>
        <w:ind w:hanging="810"/>
        <w:rPr>
          <w:rFonts w:ascii="Arial" w:hAnsi="Arial" w:cs="Arial"/>
          <w:sz w:val="24"/>
          <w:szCs w:val="24"/>
        </w:rPr>
      </w:pPr>
      <w:r w:rsidRPr="008D0BD6">
        <w:rPr>
          <w:rFonts w:ascii="Arial" w:hAnsi="Arial" w:cs="Arial"/>
          <w:sz w:val="24"/>
          <w:szCs w:val="24"/>
        </w:rPr>
        <w:t>Costs associated with the Conservation Works Program (CWP).</w:t>
      </w:r>
    </w:p>
    <w:p w:rsidR="00E9251D" w:rsidRPr="008D0BD6" w:rsidRDefault="00E9251D" w:rsidP="00E9251D">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Past due arrearages forgiven for customers entering the CRP/Customer Assistance Program on or after September 1, 2003.</w:t>
      </w:r>
    </w:p>
    <w:p w:rsidR="0018674E" w:rsidRPr="008D0BD6" w:rsidRDefault="0018674E" w:rsidP="0018674E">
      <w:pPr>
        <w:tabs>
          <w:tab w:val="left" w:pos="1170"/>
          <w:tab w:val="left" w:pos="1800"/>
          <w:tab w:val="left" w:pos="2520"/>
        </w:tabs>
        <w:autoSpaceDE w:val="0"/>
        <w:autoSpaceDN w:val="0"/>
        <w:adjustRightInd w:val="0"/>
        <w:ind w:left="1170" w:hanging="1170"/>
        <w:rPr>
          <w:rFonts w:ascii="Arial" w:hAnsi="Arial" w:cs="Arial"/>
          <w:sz w:val="24"/>
          <w:szCs w:val="24"/>
        </w:rPr>
      </w:pPr>
    </w:p>
    <w:p w:rsidR="00E01763" w:rsidRPr="008D0BD6" w:rsidRDefault="00E01763">
      <w:pPr>
        <w:autoSpaceDE w:val="0"/>
        <w:autoSpaceDN w:val="0"/>
        <w:adjustRightInd w:val="0"/>
        <w:ind w:left="450"/>
        <w:rPr>
          <w:rFonts w:ascii="Arial" w:hAnsi="Arial" w:cs="Arial"/>
          <w:sz w:val="24"/>
          <w:szCs w:val="24"/>
        </w:rPr>
      </w:pPr>
    </w:p>
    <w:p w:rsidR="003F5511" w:rsidRPr="00E14488" w:rsidRDefault="003F5511" w:rsidP="003F5511">
      <w:pPr>
        <w:tabs>
          <w:tab w:val="left" w:pos="360"/>
          <w:tab w:val="left" w:pos="9720"/>
        </w:tabs>
        <w:rPr>
          <w:rFonts w:ascii="Arial" w:hAnsi="Arial" w:cs="Arial"/>
          <w:sz w:val="24"/>
          <w:szCs w:val="24"/>
        </w:rPr>
      </w:pPr>
      <w:r>
        <w:rPr>
          <w:rFonts w:ascii="Arial" w:hAnsi="Arial" w:cs="Arial"/>
          <w:b/>
          <w:sz w:val="24"/>
          <w:szCs w:val="24"/>
          <w:u w:val="single"/>
        </w:rPr>
        <w:t>2</w:t>
      </w:r>
      <w:r w:rsidRPr="008D0BD6">
        <w:rPr>
          <w:rFonts w:ascii="Arial" w:hAnsi="Arial" w:cs="Arial"/>
          <w:b/>
          <w:sz w:val="24"/>
          <w:szCs w:val="24"/>
          <w:u w:val="single"/>
        </w:rPr>
        <w:t xml:space="preserve"> – Universal Service</w:t>
      </w:r>
      <w:r w:rsidR="00334B48">
        <w:rPr>
          <w:rFonts w:ascii="Arial" w:hAnsi="Arial" w:cs="Arial"/>
          <w:b/>
          <w:sz w:val="24"/>
          <w:szCs w:val="24"/>
          <w:u w:val="single"/>
        </w:rPr>
        <w:t xml:space="preserve"> </w:t>
      </w:r>
      <w:r w:rsidR="00894F26">
        <w:rPr>
          <w:rFonts w:ascii="Arial" w:hAnsi="Arial" w:cs="Arial"/>
          <w:b/>
          <w:sz w:val="24"/>
          <w:szCs w:val="24"/>
          <w:u w:val="single"/>
        </w:rPr>
        <w:t>A</w:t>
      </w:r>
      <w:r w:rsidR="00334B48">
        <w:rPr>
          <w:rFonts w:ascii="Arial" w:hAnsi="Arial" w:cs="Arial"/>
          <w:b/>
          <w:sz w:val="24"/>
          <w:szCs w:val="24"/>
          <w:u w:val="single"/>
        </w:rPr>
        <w:t>nd</w:t>
      </w:r>
      <w:r w:rsidRPr="008D0BD6">
        <w:rPr>
          <w:rFonts w:ascii="Arial" w:hAnsi="Arial" w:cs="Arial"/>
          <w:b/>
          <w:sz w:val="24"/>
          <w:szCs w:val="24"/>
          <w:u w:val="single"/>
        </w:rPr>
        <w:t xml:space="preserve"> Energy Conservation </w:t>
      </w:r>
      <w:r>
        <w:rPr>
          <w:rFonts w:ascii="Arial" w:hAnsi="Arial" w:cs="Arial"/>
          <w:b/>
          <w:sz w:val="24"/>
          <w:szCs w:val="24"/>
          <w:u w:val="single"/>
        </w:rPr>
        <w:t>Cost Recoveries</w:t>
      </w:r>
    </w:p>
    <w:p w:rsidR="00EC58EA" w:rsidRPr="008D0BD6" w:rsidRDefault="00EC58EA">
      <w:pPr>
        <w:autoSpaceDE w:val="0"/>
        <w:autoSpaceDN w:val="0"/>
        <w:adjustRightInd w:val="0"/>
        <w:rPr>
          <w:rFonts w:ascii="Arial" w:hAnsi="Arial" w:cs="Arial"/>
          <w:sz w:val="24"/>
          <w:szCs w:val="24"/>
        </w:rPr>
      </w:pPr>
    </w:p>
    <w:p w:rsidR="00FC78A6" w:rsidRPr="008D0BD6" w:rsidRDefault="003F5511" w:rsidP="00FC78A6">
      <w:pPr>
        <w:autoSpaceDE w:val="0"/>
        <w:autoSpaceDN w:val="0"/>
        <w:adjustRightInd w:val="0"/>
        <w:ind w:left="450"/>
        <w:rPr>
          <w:rFonts w:ascii="Arial" w:hAnsi="Arial" w:cs="Arial"/>
          <w:sz w:val="24"/>
          <w:szCs w:val="24"/>
        </w:rPr>
      </w:pPr>
      <w:r>
        <w:rPr>
          <w:rFonts w:ascii="Arial" w:hAnsi="Arial" w:cs="Arial"/>
          <w:sz w:val="24"/>
          <w:szCs w:val="24"/>
        </w:rPr>
        <w:t>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Pr>
          <w:rFonts w:ascii="Arial" w:hAnsi="Arial" w:cs="Arial"/>
          <w:sz w:val="24"/>
          <w:szCs w:val="24"/>
        </w:rPr>
        <w:t>Energy Conservation Cost Recoveries ar</w:t>
      </w:r>
      <w:r w:rsidR="00FC78A6">
        <w:rPr>
          <w:rFonts w:ascii="Arial" w:hAnsi="Arial" w:cs="Arial"/>
          <w:sz w:val="24"/>
          <w:szCs w:val="24"/>
        </w:rPr>
        <w:t xml:space="preserve">e derived by multiplying the surcharge rate times the applicable </w:t>
      </w:r>
      <w:r w:rsidR="00334B48">
        <w:rPr>
          <w:rFonts w:ascii="Arial" w:hAnsi="Arial" w:cs="Arial"/>
          <w:sz w:val="24"/>
          <w:szCs w:val="24"/>
        </w:rPr>
        <w:t>C</w:t>
      </w:r>
      <w:r w:rsidR="00FC78A6">
        <w:rPr>
          <w:rFonts w:ascii="Arial" w:hAnsi="Arial" w:cs="Arial"/>
          <w:sz w:val="24"/>
          <w:szCs w:val="24"/>
        </w:rPr>
        <w:t>CF</w:t>
      </w:r>
      <w:r w:rsidR="00334B48">
        <w:rPr>
          <w:rFonts w:ascii="Arial" w:hAnsi="Arial" w:cs="Arial"/>
          <w:sz w:val="24"/>
          <w:szCs w:val="24"/>
        </w:rPr>
        <w:t>s</w:t>
      </w:r>
      <w:r w:rsidR="00FC78A6">
        <w:rPr>
          <w:rFonts w:ascii="Arial" w:hAnsi="Arial" w:cs="Arial"/>
          <w:sz w:val="24"/>
          <w:szCs w:val="24"/>
        </w:rPr>
        <w:t xml:space="preserve"> </w:t>
      </w:r>
      <w:r w:rsidR="00334B48">
        <w:rPr>
          <w:rFonts w:ascii="Arial" w:hAnsi="Arial" w:cs="Arial"/>
          <w:sz w:val="24"/>
          <w:szCs w:val="24"/>
        </w:rPr>
        <w:t xml:space="preserve">of sales and transportation volumes </w:t>
      </w:r>
      <w:r w:rsidR="00FC78A6">
        <w:rPr>
          <w:rFonts w:ascii="Arial" w:hAnsi="Arial" w:cs="Arial"/>
          <w:sz w:val="24"/>
          <w:szCs w:val="24"/>
        </w:rPr>
        <w:t xml:space="preserve">billed during the twelve month period.  </w:t>
      </w:r>
      <w:r w:rsidR="00FC78A6" w:rsidRPr="008D0BD6">
        <w:rPr>
          <w:rFonts w:ascii="Arial" w:hAnsi="Arial" w:cs="Arial"/>
          <w:sz w:val="24"/>
          <w:szCs w:val="24"/>
        </w:rPr>
        <w:t xml:space="preserve">The computation of the surcharge is in accordance with the automatic adjustment procedures utilized under Section 1307(f) of the Public Utility Code and is filed and approved in conjunction with the Company’s annual PGC filing.  Following approval of the annual surcharge, the rate is then adjusted quarterly in accordance with Section 1307(f) quarterly adjustment procedures.  The surcharge is calculated by dividing the total costs approved for annual recovery by the estimated applicable </w:t>
      </w:r>
      <w:r w:rsidR="00334B48">
        <w:rPr>
          <w:rFonts w:ascii="Arial" w:hAnsi="Arial" w:cs="Arial"/>
          <w:sz w:val="24"/>
          <w:szCs w:val="24"/>
        </w:rPr>
        <w:t>C</w:t>
      </w:r>
      <w:r w:rsidR="00FC78A6" w:rsidRPr="008D0BD6">
        <w:rPr>
          <w:rFonts w:ascii="Arial" w:hAnsi="Arial" w:cs="Arial"/>
          <w:sz w:val="24"/>
          <w:szCs w:val="24"/>
        </w:rPr>
        <w:t xml:space="preserve">CFs of throughput and applied to all firm sales and transportation volumes.  </w:t>
      </w:r>
    </w:p>
    <w:p w:rsidR="00C122C6" w:rsidRPr="008D0BD6" w:rsidRDefault="00C122C6" w:rsidP="00C122C6">
      <w:pPr>
        <w:autoSpaceDE w:val="0"/>
        <w:autoSpaceDN w:val="0"/>
        <w:adjustRightInd w:val="0"/>
        <w:ind w:left="450"/>
        <w:rPr>
          <w:rFonts w:ascii="Arial" w:hAnsi="Arial" w:cs="Arial"/>
          <w:sz w:val="24"/>
          <w:szCs w:val="24"/>
        </w:rPr>
      </w:pPr>
    </w:p>
    <w:p w:rsidR="00065FC1" w:rsidRDefault="00065FC1" w:rsidP="00C122C6">
      <w:pPr>
        <w:autoSpaceDE w:val="0"/>
        <w:autoSpaceDN w:val="0"/>
        <w:adjustRightInd w:val="0"/>
        <w:ind w:left="450"/>
        <w:rPr>
          <w:rFonts w:ascii="Arial" w:hAnsi="Arial" w:cs="Arial"/>
          <w:sz w:val="24"/>
          <w:szCs w:val="24"/>
        </w:rPr>
        <w:sectPr w:rsidR="00065FC1" w:rsidSect="00D4609C">
          <w:headerReference w:type="even" r:id="rId20"/>
          <w:headerReference w:type="default" r:id="rId21"/>
          <w:headerReference w:type="first" r:id="rId22"/>
          <w:pgSz w:w="12240" w:h="15840" w:code="1"/>
          <w:pgMar w:top="1440" w:right="1440" w:bottom="1152" w:left="1440" w:header="0" w:footer="720" w:gutter="0"/>
          <w:pgNumType w:start="3"/>
          <w:cols w:space="720"/>
          <w:noEndnote/>
        </w:sectPr>
      </w:pPr>
    </w:p>
    <w:p w:rsidR="004C1D5F" w:rsidRPr="004C1D5F" w:rsidRDefault="004C1D5F" w:rsidP="004C1D5F">
      <w:pPr>
        <w:tabs>
          <w:tab w:val="left" w:pos="360"/>
          <w:tab w:val="left" w:pos="9720"/>
        </w:tabs>
        <w:jc w:val="center"/>
        <w:rPr>
          <w:rFonts w:ascii="Arial" w:hAnsi="Arial" w:cs="Arial"/>
          <w:b/>
          <w:sz w:val="28"/>
          <w:szCs w:val="28"/>
          <w:u w:val="single"/>
        </w:rPr>
      </w:pPr>
      <w:r w:rsidRPr="004C1D5F">
        <w:rPr>
          <w:rFonts w:ascii="Arial" w:hAnsi="Arial" w:cs="Arial"/>
          <w:b/>
          <w:sz w:val="28"/>
          <w:szCs w:val="28"/>
          <w:u w:val="single"/>
        </w:rPr>
        <w:lastRenderedPageBreak/>
        <w:t>PHILADELPHIA GAS WORKS</w:t>
      </w:r>
    </w:p>
    <w:p w:rsidR="004C1D5F" w:rsidRDefault="004C1D5F" w:rsidP="004C1D5F">
      <w:pPr>
        <w:tabs>
          <w:tab w:val="left" w:pos="360"/>
          <w:tab w:val="left" w:pos="9720"/>
        </w:tabs>
        <w:jc w:val="center"/>
        <w:rPr>
          <w:rFonts w:ascii="Arial" w:hAnsi="Arial" w:cs="Arial"/>
          <w:b/>
          <w:sz w:val="24"/>
          <w:szCs w:val="24"/>
          <w:u w:val="single"/>
        </w:rPr>
      </w:pPr>
    </w:p>
    <w:p w:rsidR="004C1D5F" w:rsidRPr="004C1D5F" w:rsidRDefault="004C1D5F" w:rsidP="004C1D5F">
      <w:pPr>
        <w:tabs>
          <w:tab w:val="left" w:pos="360"/>
          <w:tab w:val="left" w:pos="9720"/>
        </w:tabs>
        <w:jc w:val="center"/>
        <w:rPr>
          <w:rFonts w:ascii="Arial" w:hAnsi="Arial" w:cs="Arial"/>
          <w:b/>
          <w:sz w:val="26"/>
          <w:szCs w:val="26"/>
          <w:u w:val="single"/>
        </w:rPr>
      </w:pPr>
      <w:r w:rsidRPr="004C1D5F">
        <w:rPr>
          <w:rFonts w:ascii="Arial" w:hAnsi="Arial" w:cs="Arial"/>
          <w:b/>
          <w:sz w:val="26"/>
          <w:szCs w:val="26"/>
          <w:u w:val="single"/>
        </w:rPr>
        <w:t>Notes to the financial Statements (Continued)</w:t>
      </w:r>
    </w:p>
    <w:p w:rsidR="004C1D5F" w:rsidRDefault="004C1D5F" w:rsidP="004C1D5F">
      <w:pPr>
        <w:tabs>
          <w:tab w:val="left" w:pos="360"/>
          <w:tab w:val="left" w:pos="9720"/>
        </w:tabs>
        <w:rPr>
          <w:rFonts w:ascii="Arial" w:hAnsi="Arial" w:cs="Arial"/>
          <w:b/>
          <w:sz w:val="24"/>
          <w:szCs w:val="24"/>
          <w:u w:val="single"/>
        </w:rPr>
      </w:pPr>
    </w:p>
    <w:p w:rsidR="004C1D5F" w:rsidRDefault="004C1D5F" w:rsidP="004C1D5F">
      <w:pPr>
        <w:tabs>
          <w:tab w:val="left" w:pos="360"/>
          <w:tab w:val="left" w:pos="9720"/>
        </w:tabs>
        <w:rPr>
          <w:rFonts w:ascii="Arial" w:hAnsi="Arial" w:cs="Arial"/>
          <w:b/>
          <w:sz w:val="24"/>
          <w:szCs w:val="24"/>
          <w:u w:val="single"/>
        </w:rPr>
      </w:pPr>
    </w:p>
    <w:p w:rsidR="004C1D5F" w:rsidRPr="004C1D5F" w:rsidRDefault="004C1D5F" w:rsidP="004C1D5F">
      <w:pPr>
        <w:tabs>
          <w:tab w:val="left" w:pos="360"/>
          <w:tab w:val="left" w:pos="9720"/>
        </w:tabs>
        <w:rPr>
          <w:rFonts w:ascii="Arial" w:hAnsi="Arial" w:cs="Arial"/>
          <w:b/>
          <w:sz w:val="24"/>
          <w:szCs w:val="24"/>
          <w:u w:val="single"/>
        </w:rPr>
      </w:pPr>
    </w:p>
    <w:p w:rsidR="00FC78A6" w:rsidRDefault="00FC78A6" w:rsidP="00FC78A6">
      <w:pPr>
        <w:tabs>
          <w:tab w:val="left" w:pos="360"/>
          <w:tab w:val="left" w:pos="9720"/>
        </w:tabs>
        <w:rPr>
          <w:rFonts w:ascii="Arial" w:hAnsi="Arial" w:cs="Arial"/>
          <w:sz w:val="24"/>
          <w:szCs w:val="24"/>
        </w:rPr>
      </w:pPr>
      <w:r>
        <w:rPr>
          <w:rFonts w:ascii="Arial" w:hAnsi="Arial" w:cs="Arial"/>
          <w:b/>
          <w:sz w:val="24"/>
          <w:szCs w:val="24"/>
          <w:u w:val="single"/>
        </w:rPr>
        <w:t>3</w:t>
      </w:r>
      <w:r w:rsidRPr="008D0BD6">
        <w:rPr>
          <w:rFonts w:ascii="Arial" w:hAnsi="Arial" w:cs="Arial"/>
          <w:b/>
          <w:sz w:val="24"/>
          <w:szCs w:val="24"/>
          <w:u w:val="single"/>
        </w:rPr>
        <w:t xml:space="preserve"> – </w:t>
      </w:r>
      <w:r w:rsidR="005367D5">
        <w:rPr>
          <w:rFonts w:ascii="Arial" w:hAnsi="Arial" w:cs="Arial"/>
          <w:b/>
          <w:sz w:val="24"/>
          <w:szCs w:val="24"/>
          <w:u w:val="single"/>
        </w:rPr>
        <w:t xml:space="preserve">Under Collection Balance </w:t>
      </w:r>
      <w:proofErr w:type="gramStart"/>
      <w:r w:rsidR="005367D5">
        <w:rPr>
          <w:rFonts w:ascii="Arial" w:hAnsi="Arial" w:cs="Arial"/>
          <w:b/>
          <w:sz w:val="24"/>
          <w:szCs w:val="24"/>
          <w:u w:val="single"/>
        </w:rPr>
        <w:t>At</w:t>
      </w:r>
      <w:proofErr w:type="gramEnd"/>
      <w:r w:rsidR="005367D5">
        <w:rPr>
          <w:rFonts w:ascii="Arial" w:hAnsi="Arial" w:cs="Arial"/>
          <w:b/>
          <w:sz w:val="24"/>
          <w:szCs w:val="24"/>
          <w:u w:val="single"/>
        </w:rPr>
        <w:t xml:space="preserve"> August 31, 2009</w:t>
      </w:r>
    </w:p>
    <w:p w:rsidR="005367D5" w:rsidRDefault="005367D5" w:rsidP="00FC78A6">
      <w:pPr>
        <w:tabs>
          <w:tab w:val="left" w:pos="360"/>
          <w:tab w:val="left" w:pos="9720"/>
        </w:tabs>
        <w:rPr>
          <w:rFonts w:ascii="Arial" w:hAnsi="Arial" w:cs="Arial"/>
          <w:sz w:val="24"/>
          <w:szCs w:val="24"/>
        </w:rPr>
      </w:pPr>
    </w:p>
    <w:p w:rsidR="00D94B72" w:rsidRDefault="005367D5" w:rsidP="00E14488">
      <w:pPr>
        <w:tabs>
          <w:tab w:val="left" w:pos="360"/>
          <w:tab w:val="left" w:pos="9720"/>
        </w:tabs>
        <w:ind w:left="450"/>
        <w:rPr>
          <w:rFonts w:ascii="Arial" w:hAnsi="Arial" w:cs="Arial"/>
          <w:sz w:val="24"/>
          <w:szCs w:val="24"/>
        </w:rPr>
      </w:pPr>
      <w:r>
        <w:rPr>
          <w:rFonts w:ascii="Arial" w:hAnsi="Arial" w:cs="Arial"/>
          <w:sz w:val="24"/>
          <w:szCs w:val="24"/>
        </w:rPr>
        <w:t>The under collection balance is the net amount of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Pr>
          <w:rFonts w:ascii="Arial" w:hAnsi="Arial" w:cs="Arial"/>
          <w:sz w:val="24"/>
          <w:szCs w:val="24"/>
        </w:rPr>
        <w:t xml:space="preserve">Energy Conservation </w:t>
      </w:r>
      <w:r w:rsidR="00072B41">
        <w:rPr>
          <w:rFonts w:ascii="Arial" w:hAnsi="Arial" w:cs="Arial"/>
          <w:sz w:val="24"/>
          <w:szCs w:val="24"/>
        </w:rPr>
        <w:t xml:space="preserve">program </w:t>
      </w:r>
      <w:r>
        <w:rPr>
          <w:rFonts w:ascii="Arial" w:hAnsi="Arial" w:cs="Arial"/>
          <w:sz w:val="24"/>
          <w:szCs w:val="24"/>
        </w:rPr>
        <w:t xml:space="preserve">costs </w:t>
      </w:r>
      <w:r w:rsidR="00171416">
        <w:rPr>
          <w:rFonts w:ascii="Arial" w:hAnsi="Arial" w:cs="Arial"/>
          <w:sz w:val="24"/>
          <w:szCs w:val="24"/>
        </w:rPr>
        <w:t>that remains to be r</w:t>
      </w:r>
      <w:bookmarkStart w:id="0" w:name="_GoBack"/>
      <w:bookmarkEnd w:id="0"/>
      <w:r w:rsidR="00171416">
        <w:rPr>
          <w:rFonts w:ascii="Arial" w:hAnsi="Arial" w:cs="Arial"/>
          <w:sz w:val="24"/>
          <w:szCs w:val="24"/>
        </w:rPr>
        <w:t xml:space="preserve">ecovered from rate payers </w:t>
      </w:r>
      <w:r w:rsidR="00A1143A">
        <w:rPr>
          <w:rFonts w:ascii="Arial" w:hAnsi="Arial" w:cs="Arial"/>
          <w:sz w:val="24"/>
          <w:szCs w:val="24"/>
        </w:rPr>
        <w:t xml:space="preserve">through future rates </w:t>
      </w:r>
      <w:r w:rsidR="00171416">
        <w:rPr>
          <w:rFonts w:ascii="Arial" w:hAnsi="Arial" w:cs="Arial"/>
          <w:sz w:val="24"/>
          <w:szCs w:val="24"/>
        </w:rPr>
        <w:t>after taking into consideration the uncollected balance at August 31, 2008, the additional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00171416">
        <w:rPr>
          <w:rFonts w:ascii="Arial" w:hAnsi="Arial" w:cs="Arial"/>
          <w:sz w:val="24"/>
          <w:szCs w:val="24"/>
        </w:rPr>
        <w:t>Energy Conservation program costs incurred and the actual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00171416">
        <w:rPr>
          <w:rFonts w:ascii="Arial" w:hAnsi="Arial" w:cs="Arial"/>
          <w:sz w:val="24"/>
          <w:szCs w:val="24"/>
        </w:rPr>
        <w:t>Energy Conservation program costs recovered during the twelve month period</w:t>
      </w:r>
      <w:r w:rsidR="00072B41">
        <w:rPr>
          <w:rFonts w:ascii="Arial" w:hAnsi="Arial" w:cs="Arial"/>
          <w:sz w:val="24"/>
          <w:szCs w:val="24"/>
        </w:rPr>
        <w:t xml:space="preserve"> ended August 31, 2009.</w:t>
      </w:r>
      <w:r w:rsidR="00A1143A">
        <w:rPr>
          <w:rFonts w:ascii="Arial" w:hAnsi="Arial" w:cs="Arial"/>
          <w:sz w:val="24"/>
          <w:szCs w:val="24"/>
        </w:rPr>
        <w:t xml:space="preserve">  Over or under collections arise primarily for two reasons:</w:t>
      </w:r>
    </w:p>
    <w:p w:rsidR="009F2ED7" w:rsidRDefault="009F2ED7" w:rsidP="00E14488">
      <w:pPr>
        <w:tabs>
          <w:tab w:val="left" w:pos="360"/>
          <w:tab w:val="left" w:pos="9720"/>
        </w:tabs>
        <w:ind w:left="450"/>
        <w:rPr>
          <w:rFonts w:ascii="Arial" w:hAnsi="Arial" w:cs="Arial"/>
          <w:sz w:val="24"/>
          <w:szCs w:val="24"/>
        </w:rPr>
      </w:pPr>
    </w:p>
    <w:p w:rsidR="009F2ED7" w:rsidRPr="00E14488" w:rsidRDefault="00D94B72" w:rsidP="00E14488">
      <w:pPr>
        <w:pStyle w:val="ListParagraph"/>
        <w:numPr>
          <w:ilvl w:val="0"/>
          <w:numId w:val="4"/>
        </w:numPr>
        <w:tabs>
          <w:tab w:val="left" w:pos="360"/>
          <w:tab w:val="left" w:pos="9720"/>
        </w:tabs>
        <w:rPr>
          <w:rFonts w:ascii="Arial" w:hAnsi="Arial" w:cs="Arial"/>
          <w:sz w:val="24"/>
          <w:szCs w:val="24"/>
        </w:rPr>
      </w:pPr>
      <w:r w:rsidRPr="00E14488">
        <w:rPr>
          <w:rFonts w:ascii="Arial" w:hAnsi="Arial" w:cs="Arial"/>
          <w:sz w:val="24"/>
          <w:szCs w:val="24"/>
        </w:rPr>
        <w:t>Variations between the actual volumes billed to customers and estimated volumes used to determine the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 xml:space="preserve">Energy Conservation </w:t>
      </w:r>
      <w:r w:rsidR="00334B48">
        <w:rPr>
          <w:rFonts w:ascii="Arial" w:hAnsi="Arial" w:cs="Arial"/>
          <w:sz w:val="24"/>
          <w:szCs w:val="24"/>
        </w:rPr>
        <w:t>S</w:t>
      </w:r>
      <w:r w:rsidRPr="00E14488">
        <w:rPr>
          <w:rFonts w:ascii="Arial" w:hAnsi="Arial" w:cs="Arial"/>
          <w:sz w:val="24"/>
          <w:szCs w:val="24"/>
        </w:rPr>
        <w:t>urcharge rates.</w:t>
      </w:r>
    </w:p>
    <w:p w:rsidR="009F2ED7" w:rsidRDefault="009F2ED7" w:rsidP="00E14488">
      <w:pPr>
        <w:tabs>
          <w:tab w:val="left" w:pos="360"/>
          <w:tab w:val="left" w:pos="9720"/>
        </w:tabs>
        <w:ind w:left="450"/>
        <w:rPr>
          <w:rFonts w:ascii="Arial" w:hAnsi="Arial" w:cs="Arial"/>
          <w:sz w:val="24"/>
          <w:szCs w:val="24"/>
        </w:rPr>
      </w:pPr>
    </w:p>
    <w:p w:rsidR="009F2ED7" w:rsidRPr="00E14488" w:rsidRDefault="00D94B72" w:rsidP="00E14488">
      <w:pPr>
        <w:pStyle w:val="ListParagraph"/>
        <w:numPr>
          <w:ilvl w:val="0"/>
          <w:numId w:val="4"/>
        </w:numPr>
        <w:tabs>
          <w:tab w:val="left" w:pos="360"/>
          <w:tab w:val="left" w:pos="9720"/>
        </w:tabs>
        <w:rPr>
          <w:rFonts w:ascii="Arial" w:hAnsi="Arial" w:cs="Arial"/>
          <w:sz w:val="24"/>
          <w:szCs w:val="24"/>
        </w:rPr>
      </w:pPr>
      <w:r w:rsidRPr="00E14488">
        <w:rPr>
          <w:rFonts w:ascii="Arial" w:hAnsi="Arial" w:cs="Arial"/>
          <w:sz w:val="24"/>
          <w:szCs w:val="24"/>
        </w:rPr>
        <w:t>Variations between the actual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Energy Conservation costs and the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Energy Conservation cost projections used to determine the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 xml:space="preserve">Energy Conservation </w:t>
      </w:r>
      <w:r w:rsidR="00894F26">
        <w:rPr>
          <w:rFonts w:ascii="Arial" w:hAnsi="Arial" w:cs="Arial"/>
          <w:sz w:val="24"/>
          <w:szCs w:val="24"/>
        </w:rPr>
        <w:t>S</w:t>
      </w:r>
      <w:r w:rsidRPr="00E14488">
        <w:rPr>
          <w:rFonts w:ascii="Arial" w:hAnsi="Arial" w:cs="Arial"/>
          <w:sz w:val="24"/>
          <w:szCs w:val="24"/>
        </w:rPr>
        <w:t xml:space="preserve">urcharge rates. </w:t>
      </w:r>
    </w:p>
    <w:p w:rsidR="005367D5" w:rsidRPr="003F5511" w:rsidRDefault="005367D5" w:rsidP="00FC78A6">
      <w:pPr>
        <w:tabs>
          <w:tab w:val="left" w:pos="360"/>
          <w:tab w:val="left" w:pos="9720"/>
        </w:tabs>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8E210C" w:rsidRDefault="008E210C" w:rsidP="00507913">
      <w:pPr>
        <w:rPr>
          <w:rFonts w:ascii="Arial" w:hAnsi="Arial" w:cs="Arial"/>
          <w:sz w:val="36"/>
          <w:szCs w:val="36"/>
          <w:highlight w:val="lightGray"/>
        </w:rPr>
        <w:sectPr w:rsidR="008E210C" w:rsidSect="005F34A4">
          <w:pgSz w:w="12240" w:h="15840" w:code="1"/>
          <w:pgMar w:top="1440" w:right="1440" w:bottom="1152" w:left="1440" w:header="0" w:footer="720" w:gutter="0"/>
          <w:cols w:space="720"/>
          <w:noEndnote/>
        </w:sectPr>
      </w:pPr>
    </w:p>
    <w:p w:rsidR="00FC40C3" w:rsidRPr="00E365CC" w:rsidRDefault="00FC40C3" w:rsidP="00F0057B">
      <w:pPr>
        <w:tabs>
          <w:tab w:val="left" w:pos="540"/>
          <w:tab w:val="left" w:pos="1080"/>
          <w:tab w:val="left" w:pos="1800"/>
          <w:tab w:val="left" w:pos="2520"/>
        </w:tabs>
        <w:autoSpaceDE w:val="0"/>
        <w:autoSpaceDN w:val="0"/>
        <w:adjustRightInd w:val="0"/>
        <w:ind w:left="450"/>
        <w:rPr>
          <w:rFonts w:ascii="Arial" w:hAnsi="Arial" w:cs="Arial"/>
          <w:sz w:val="26"/>
          <w:szCs w:val="26"/>
          <w:highlight w:val="lightGray"/>
        </w:rPr>
      </w:pPr>
    </w:p>
    <w:p w:rsidR="002560FA" w:rsidRDefault="002560FA">
      <w:pPr>
        <w:jc w:val="center"/>
        <w:outlineLvl w:val="0"/>
        <w:rPr>
          <w:rFonts w:ascii="Arial" w:hAnsi="Arial" w:cs="Arial"/>
          <w:b/>
          <w:sz w:val="36"/>
          <w:szCs w:val="36"/>
        </w:rPr>
      </w:pPr>
      <w:r>
        <w:rPr>
          <w:rFonts w:ascii="Arial" w:hAnsi="Arial" w:cs="Arial"/>
          <w:b/>
          <w:sz w:val="36"/>
          <w:szCs w:val="36"/>
        </w:rPr>
        <w:t>BACKGROUND</w:t>
      </w:r>
    </w:p>
    <w:p w:rsidR="002560FA" w:rsidRDefault="002560FA">
      <w:pPr>
        <w:jc w:val="center"/>
        <w:outlineLvl w:val="0"/>
        <w:rPr>
          <w:rFonts w:ascii="Arial" w:hAnsi="Arial" w:cs="Arial"/>
          <w:b/>
          <w:sz w:val="36"/>
          <w:szCs w:val="36"/>
        </w:rPr>
      </w:pPr>
      <w:r>
        <w:rPr>
          <w:rFonts w:ascii="Arial" w:hAnsi="Arial" w:cs="Arial"/>
          <w:b/>
          <w:sz w:val="36"/>
          <w:szCs w:val="36"/>
        </w:rPr>
        <w:t>AND</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2A533A">
          <w:headerReference w:type="even" r:id="rId23"/>
          <w:headerReference w:type="default" r:id="rId24"/>
          <w:footerReference w:type="default" r:id="rId25"/>
          <w:headerReference w:type="first" r:id="rId26"/>
          <w:footerReference w:type="first" r:id="rId27"/>
          <w:pgSz w:w="12240" w:h="15840" w:code="1"/>
          <w:pgMar w:top="1440" w:right="1440" w:bottom="1152" w:left="1440" w:header="0" w:footer="720" w:gutter="0"/>
          <w:pgNumType w:start="0"/>
          <w:cols w:space="720"/>
          <w:vAlign w:val="center"/>
          <w:noEndnote/>
          <w:titlePg/>
          <w:docGrid w:linePitch="272"/>
        </w:sectPr>
      </w:pPr>
    </w:p>
    <w:p w:rsidR="00EC58EA" w:rsidRPr="00051545" w:rsidRDefault="00EC58EA">
      <w:pPr>
        <w:pStyle w:val="Heading4"/>
        <w:rPr>
          <w:rFonts w:ascii="Arial" w:hAnsi="Arial" w:cs="Arial"/>
          <w:b/>
          <w:sz w:val="28"/>
          <w:szCs w:val="28"/>
        </w:rPr>
      </w:pPr>
      <w:smartTag w:uri="urn:schemas-microsoft-com:office:smarttags" w:element="City">
        <w:smartTag w:uri="urn:schemas-microsoft-com:office:smarttags" w:element="place">
          <w:r w:rsidRPr="00051545">
            <w:rPr>
              <w:rFonts w:ascii="Arial" w:hAnsi="Arial" w:cs="Arial"/>
              <w:b/>
              <w:sz w:val="28"/>
              <w:szCs w:val="28"/>
            </w:rPr>
            <w:lastRenderedPageBreak/>
            <w:t>PHILADELPHIA</w:t>
          </w:r>
        </w:smartTag>
      </w:smartTag>
      <w:r w:rsidRPr="00051545">
        <w:rPr>
          <w:rFonts w:ascii="Arial" w:hAnsi="Arial" w:cs="Arial"/>
          <w:b/>
          <w:sz w:val="28"/>
          <w:szCs w:val="28"/>
        </w:rPr>
        <w:t xml:space="preserve"> GAS WORKS</w:t>
      </w:r>
    </w:p>
    <w:p w:rsidR="00EC58EA" w:rsidRPr="00051545" w:rsidRDefault="00EC58EA">
      <w:pPr>
        <w:rPr>
          <w:rFonts w:ascii="Arial" w:hAnsi="Arial" w:cs="Arial"/>
          <w:sz w:val="26"/>
          <w:szCs w:val="26"/>
        </w:rPr>
      </w:pPr>
    </w:p>
    <w:p w:rsidR="00EC58EA" w:rsidRPr="008D0BD6" w:rsidRDefault="00F40B1C">
      <w:pPr>
        <w:pStyle w:val="Heading4"/>
        <w:rPr>
          <w:rFonts w:ascii="Arial" w:hAnsi="Arial" w:cs="Arial"/>
          <w:b/>
          <w:szCs w:val="24"/>
        </w:rPr>
      </w:pPr>
      <w:r w:rsidRPr="008D0BD6">
        <w:rPr>
          <w:rFonts w:ascii="Arial" w:hAnsi="Arial" w:cs="Arial"/>
          <w:b/>
          <w:szCs w:val="24"/>
        </w:rPr>
        <w:t xml:space="preserve">Company </w:t>
      </w:r>
      <w:r w:rsidR="00EC58EA" w:rsidRPr="008D0BD6">
        <w:rPr>
          <w:rFonts w:ascii="Arial" w:hAnsi="Arial" w:cs="Arial"/>
          <w:b/>
          <w:szCs w:val="24"/>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t>This background section was developed substantially from data and documentation made available by Philadelphia Gas Works (PGW or Company) and is presented solely for informational purposes.</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t xml:space="preserve">PGW is owned by the City of Philadelphia (City) and is the largest municipally-owned gas utility in the nation.  PGW maintains a distribution system of 6,000 miles of gas mains and services, and provides gas service to approximately half a million residential, commercial and industrial customers in the City.  The City has provided for the </w:t>
      </w:r>
      <w:r w:rsidR="009E6EC6" w:rsidRPr="008D0BD6">
        <w:rPr>
          <w:rFonts w:ascii="Arial" w:hAnsi="Arial" w:cs="Arial"/>
          <w:sz w:val="24"/>
          <w:szCs w:val="24"/>
        </w:rPr>
        <w:t xml:space="preserve">management and </w:t>
      </w:r>
      <w:r w:rsidRPr="008D0BD6">
        <w:rPr>
          <w:rFonts w:ascii="Arial" w:hAnsi="Arial" w:cs="Arial"/>
          <w:sz w:val="24"/>
          <w:szCs w:val="24"/>
        </w:rPr>
        <w:t>oversight of PGW’s operations through a non-profit corporation, the Philadelphia Facilities Management Corporation</w:t>
      </w:r>
      <w:r w:rsidR="009E6EC6" w:rsidRPr="008D0BD6">
        <w:rPr>
          <w:rFonts w:ascii="Arial" w:hAnsi="Arial" w:cs="Arial"/>
          <w:sz w:val="24"/>
          <w:szCs w:val="24"/>
        </w:rPr>
        <w:t xml:space="preserve"> (PFMC)</w:t>
      </w:r>
      <w:r w:rsidRPr="008D0BD6">
        <w:rPr>
          <w:rFonts w:ascii="Arial" w:hAnsi="Arial" w:cs="Arial"/>
          <w:sz w:val="24"/>
          <w:szCs w:val="24"/>
        </w:rPr>
        <w:t xml:space="preserve">. </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EC58EA" w:rsidRPr="008D0BD6" w:rsidRDefault="00EC58EA">
      <w:pPr>
        <w:tabs>
          <w:tab w:val="left" w:pos="-1440"/>
          <w:tab w:val="left" w:pos="-720"/>
          <w:tab w:val="left" w:pos="864"/>
        </w:tabs>
        <w:suppressAutoHyphens/>
        <w:rPr>
          <w:rFonts w:ascii="Arial" w:hAnsi="Arial" w:cs="Arial"/>
          <w:sz w:val="24"/>
          <w:szCs w:val="24"/>
        </w:rPr>
      </w:pPr>
    </w:p>
    <w:p w:rsidR="00E44395" w:rsidRPr="00B03583" w:rsidRDefault="00EC58EA" w:rsidP="00B03583">
      <w:pPr>
        <w:tabs>
          <w:tab w:val="left" w:pos="-1440"/>
          <w:tab w:val="left" w:pos="-720"/>
          <w:tab w:val="left" w:pos="720"/>
          <w:tab w:val="left" w:pos="864"/>
        </w:tabs>
        <w:suppressAutoHyphens/>
        <w:rPr>
          <w:rFonts w:ascii="Arial" w:hAnsi="Arial" w:cs="Arial"/>
          <w:sz w:val="24"/>
          <w:szCs w:val="24"/>
        </w:rPr>
      </w:pPr>
      <w:r w:rsidRPr="008D0BD6">
        <w:rPr>
          <w:rFonts w:ascii="Arial" w:hAnsi="Arial" w:cs="Arial"/>
          <w:sz w:val="24"/>
          <w:szCs w:val="24"/>
        </w:rPr>
        <w:tab/>
      </w:r>
      <w:r w:rsidR="0037003C" w:rsidRPr="008D0BD6">
        <w:rPr>
          <w:rFonts w:ascii="Arial" w:hAnsi="Arial" w:cs="Arial"/>
          <w:sz w:val="24"/>
          <w:szCs w:val="24"/>
        </w:rPr>
        <w:t xml:space="preserve">As part of Philadelphia Gas Works’ (PGW or Company) restructuring proceeding (M-00021612), the Company was authorized to establish a Universal Service </w:t>
      </w:r>
      <w:r w:rsidR="00894F26">
        <w:rPr>
          <w:rFonts w:ascii="Arial" w:hAnsi="Arial" w:cs="Arial"/>
          <w:sz w:val="24"/>
          <w:szCs w:val="24"/>
        </w:rPr>
        <w:t>a</w:t>
      </w:r>
      <w:r w:rsidR="0037003C" w:rsidRPr="008D0BD6">
        <w:rPr>
          <w:rFonts w:ascii="Arial" w:hAnsi="Arial" w:cs="Arial"/>
          <w:sz w:val="24"/>
          <w:szCs w:val="24"/>
        </w:rPr>
        <w:t xml:space="preserve">nd Energy Conservation Surcharge, effective September 1, 2003.  This surcharge is designed to provide for the recovery of the Company’s universal service and energy conservation programs. </w:t>
      </w:r>
    </w:p>
    <w:p w:rsidR="00E44395" w:rsidRPr="00B03583" w:rsidRDefault="00E44395" w:rsidP="00E14488">
      <w:pPr>
        <w:rPr>
          <w:rFonts w:ascii="Arial" w:hAnsi="Arial" w:cs="Arial"/>
          <w:sz w:val="24"/>
          <w:szCs w:val="24"/>
        </w:rPr>
      </w:pPr>
    </w:p>
    <w:p w:rsidR="00E44395" w:rsidRPr="00E44395" w:rsidRDefault="00E44395" w:rsidP="00E14488">
      <w:pPr>
        <w:rPr>
          <w:rFonts w:ascii="Arial" w:hAnsi="Arial" w:cs="Arial"/>
          <w:sz w:val="24"/>
          <w:szCs w:val="24"/>
        </w:rPr>
      </w:pPr>
    </w:p>
    <w:p w:rsidR="00E44395" w:rsidRDefault="00E44395" w:rsidP="00E44395">
      <w:pPr>
        <w:rPr>
          <w:rFonts w:ascii="Arial" w:hAnsi="Arial" w:cs="Arial"/>
          <w:sz w:val="24"/>
          <w:szCs w:val="24"/>
        </w:rPr>
      </w:pPr>
    </w:p>
    <w:p w:rsidR="00115624" w:rsidRDefault="00E44395" w:rsidP="00E14488">
      <w:pPr>
        <w:tabs>
          <w:tab w:val="left" w:pos="2655"/>
        </w:tabs>
        <w:rPr>
          <w:rFonts w:ascii="Arial" w:hAnsi="Arial" w:cs="Arial"/>
          <w:sz w:val="24"/>
          <w:szCs w:val="24"/>
        </w:rPr>
      </w:pPr>
      <w:r>
        <w:rPr>
          <w:rFonts w:ascii="Arial" w:hAnsi="Arial" w:cs="Arial"/>
          <w:sz w:val="24"/>
          <w:szCs w:val="24"/>
        </w:rPr>
        <w:tab/>
      </w:r>
    </w:p>
    <w:p w:rsidR="00D16893" w:rsidRDefault="00D16893" w:rsidP="00FF3178">
      <w:pPr>
        <w:tabs>
          <w:tab w:val="left" w:pos="-1440"/>
          <w:tab w:val="left" w:pos="-720"/>
          <w:tab w:val="left" w:pos="720"/>
          <w:tab w:val="left" w:pos="864"/>
        </w:tabs>
        <w:suppressAutoHyphens/>
        <w:rPr>
          <w:rFonts w:ascii="Arial" w:hAnsi="Arial" w:cs="Arial"/>
          <w:b/>
          <w:sz w:val="28"/>
          <w:szCs w:val="28"/>
          <w:u w:val="single"/>
        </w:rPr>
      </w:pPr>
    </w:p>
    <w:p w:rsidR="00E9506C" w:rsidRDefault="00E9506C">
      <w:pPr>
        <w:rPr>
          <w:rFonts w:ascii="Arial" w:hAnsi="Arial" w:cs="Arial"/>
          <w:b/>
          <w:sz w:val="28"/>
          <w:szCs w:val="28"/>
          <w:u w:val="single"/>
        </w:rPr>
      </w:pPr>
      <w:r>
        <w:rPr>
          <w:rFonts w:ascii="Arial" w:hAnsi="Arial" w:cs="Arial"/>
          <w:b/>
          <w:sz w:val="28"/>
          <w:szCs w:val="28"/>
          <w:u w:val="single"/>
        </w:rPr>
        <w:br w:type="page"/>
      </w:r>
    </w:p>
    <w:p w:rsidR="0024348A" w:rsidRPr="00051545" w:rsidRDefault="0024348A" w:rsidP="0024348A">
      <w:pPr>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24348A" w:rsidRPr="00051545" w:rsidRDefault="0024348A" w:rsidP="0024348A">
      <w:pPr>
        <w:rPr>
          <w:rFonts w:ascii="Arial" w:hAnsi="Arial" w:cs="Arial"/>
          <w:b/>
          <w:sz w:val="26"/>
          <w:szCs w:val="26"/>
          <w:u w:val="single"/>
        </w:rPr>
      </w:pPr>
    </w:p>
    <w:p w:rsidR="0024348A" w:rsidRPr="008D0BD6" w:rsidRDefault="00EA26A5" w:rsidP="0024348A">
      <w:pPr>
        <w:ind w:left="1728" w:hanging="1728"/>
        <w:jc w:val="center"/>
        <w:rPr>
          <w:rFonts w:ascii="Arial" w:hAnsi="Arial" w:cs="Arial"/>
          <w:b/>
          <w:sz w:val="24"/>
          <w:szCs w:val="24"/>
          <w:u w:val="single"/>
        </w:rPr>
      </w:pPr>
      <w:r w:rsidRPr="008D0BD6">
        <w:rPr>
          <w:rFonts w:ascii="Arial" w:hAnsi="Arial" w:cs="Arial"/>
          <w:b/>
          <w:sz w:val="24"/>
          <w:szCs w:val="24"/>
          <w:u w:val="single"/>
        </w:rPr>
        <w:t xml:space="preserve">Current </w:t>
      </w:r>
      <w:r w:rsidR="0024348A" w:rsidRPr="008D0BD6">
        <w:rPr>
          <w:rFonts w:ascii="Arial" w:hAnsi="Arial" w:cs="Arial"/>
          <w:b/>
          <w:sz w:val="24"/>
          <w:szCs w:val="24"/>
          <w:u w:val="single"/>
        </w:rPr>
        <w:t>Audit Finding</w:t>
      </w:r>
    </w:p>
    <w:p w:rsidR="0024348A" w:rsidRPr="008D0BD6" w:rsidRDefault="0024348A" w:rsidP="0024348A">
      <w:pPr>
        <w:ind w:left="1728" w:hanging="1728"/>
        <w:rPr>
          <w:rFonts w:ascii="Arial" w:hAnsi="Arial" w:cs="Arial"/>
          <w:sz w:val="24"/>
          <w:szCs w:val="24"/>
        </w:rPr>
      </w:pPr>
    </w:p>
    <w:p w:rsidR="000C0AEA" w:rsidRPr="008D0BD6" w:rsidRDefault="000C0AEA" w:rsidP="0024348A">
      <w:pPr>
        <w:tabs>
          <w:tab w:val="left" w:pos="720"/>
        </w:tabs>
        <w:rPr>
          <w:rFonts w:ascii="Arial" w:hAnsi="Arial" w:cs="Arial"/>
          <w:sz w:val="24"/>
          <w:szCs w:val="24"/>
        </w:rPr>
      </w:pPr>
    </w:p>
    <w:p w:rsidR="0024348A" w:rsidRPr="008D0BD6" w:rsidRDefault="000C0AEA" w:rsidP="0024348A">
      <w:pPr>
        <w:tabs>
          <w:tab w:val="left" w:pos="720"/>
        </w:tabs>
        <w:rPr>
          <w:rFonts w:ascii="Arial" w:hAnsi="Arial" w:cs="Arial"/>
          <w:sz w:val="24"/>
          <w:szCs w:val="24"/>
        </w:rPr>
      </w:pPr>
      <w:r w:rsidRPr="008D0BD6">
        <w:rPr>
          <w:rFonts w:ascii="Arial" w:hAnsi="Arial" w:cs="Arial"/>
          <w:sz w:val="24"/>
          <w:szCs w:val="24"/>
        </w:rPr>
        <w:tab/>
      </w:r>
      <w:r w:rsidR="0024348A" w:rsidRPr="008D0BD6">
        <w:rPr>
          <w:rFonts w:ascii="Arial" w:hAnsi="Arial" w:cs="Arial"/>
          <w:sz w:val="24"/>
          <w:szCs w:val="24"/>
        </w:rPr>
        <w:t xml:space="preserve">Our audit of Philadelphia Gas Works </w:t>
      </w:r>
      <w:r w:rsidR="00B03583">
        <w:rPr>
          <w:rFonts w:ascii="Arial" w:hAnsi="Arial" w:cs="Arial"/>
          <w:sz w:val="24"/>
          <w:szCs w:val="24"/>
        </w:rPr>
        <w:t xml:space="preserve">Universal Service </w:t>
      </w:r>
      <w:r w:rsidR="00894F26">
        <w:rPr>
          <w:rFonts w:ascii="Arial" w:hAnsi="Arial" w:cs="Arial"/>
          <w:sz w:val="24"/>
          <w:szCs w:val="24"/>
        </w:rPr>
        <w:t>a</w:t>
      </w:r>
      <w:r w:rsidR="00B03583">
        <w:rPr>
          <w:rFonts w:ascii="Arial" w:hAnsi="Arial" w:cs="Arial"/>
          <w:sz w:val="24"/>
          <w:szCs w:val="24"/>
        </w:rPr>
        <w:t xml:space="preserve">nd Energy Conservation Surcharge </w:t>
      </w:r>
      <w:r w:rsidR="0024348A" w:rsidRPr="008D0BD6">
        <w:rPr>
          <w:rFonts w:ascii="Arial" w:hAnsi="Arial" w:cs="Arial"/>
          <w:sz w:val="24"/>
          <w:szCs w:val="24"/>
        </w:rPr>
        <w:t xml:space="preserve">for the </w:t>
      </w:r>
      <w:r w:rsidR="00A03514" w:rsidRPr="008D0BD6">
        <w:rPr>
          <w:rFonts w:ascii="Arial" w:hAnsi="Arial" w:cs="Arial"/>
          <w:sz w:val="24"/>
          <w:szCs w:val="24"/>
        </w:rPr>
        <w:t>Twelve Months</w:t>
      </w:r>
      <w:r w:rsidR="0024348A" w:rsidRPr="008D0BD6">
        <w:rPr>
          <w:rFonts w:ascii="Arial" w:hAnsi="Arial" w:cs="Arial"/>
          <w:sz w:val="24"/>
          <w:szCs w:val="24"/>
        </w:rPr>
        <w:t xml:space="preserve"> ended </w:t>
      </w:r>
      <w:r w:rsidR="00A03514" w:rsidRPr="008D0BD6">
        <w:rPr>
          <w:rFonts w:ascii="Arial" w:hAnsi="Arial" w:cs="Arial"/>
          <w:sz w:val="24"/>
          <w:szCs w:val="24"/>
        </w:rPr>
        <w:t>August</w:t>
      </w:r>
      <w:r w:rsidR="0024348A" w:rsidRPr="008D0BD6">
        <w:rPr>
          <w:rFonts w:ascii="Arial" w:hAnsi="Arial" w:cs="Arial"/>
          <w:sz w:val="24"/>
          <w:szCs w:val="24"/>
        </w:rPr>
        <w:t xml:space="preserve"> 31, 200</w:t>
      </w:r>
      <w:r w:rsidR="00A03514" w:rsidRPr="008D0BD6">
        <w:rPr>
          <w:rFonts w:ascii="Arial" w:hAnsi="Arial" w:cs="Arial"/>
          <w:sz w:val="24"/>
          <w:szCs w:val="24"/>
        </w:rPr>
        <w:t>9</w:t>
      </w:r>
      <w:r w:rsidR="0024348A" w:rsidRPr="008D0BD6">
        <w:rPr>
          <w:rFonts w:ascii="Arial" w:hAnsi="Arial" w:cs="Arial"/>
          <w:sz w:val="24"/>
          <w:szCs w:val="24"/>
        </w:rPr>
        <w:t xml:space="preserve"> </w:t>
      </w:r>
      <w:r w:rsidR="001C0FDE" w:rsidRPr="008D0BD6">
        <w:rPr>
          <w:rFonts w:ascii="Arial" w:hAnsi="Arial" w:cs="Arial"/>
          <w:sz w:val="24"/>
          <w:szCs w:val="24"/>
        </w:rPr>
        <w:t>disclosed the following finding</w:t>
      </w:r>
      <w:r w:rsidR="0024348A" w:rsidRPr="008D0BD6">
        <w:rPr>
          <w:rFonts w:ascii="Arial" w:hAnsi="Arial" w:cs="Arial"/>
          <w:sz w:val="24"/>
          <w:szCs w:val="24"/>
        </w:rPr>
        <w:t>:</w:t>
      </w:r>
    </w:p>
    <w:p w:rsidR="00545E73" w:rsidRPr="008D0BD6" w:rsidRDefault="00545E73" w:rsidP="0024348A">
      <w:pPr>
        <w:tabs>
          <w:tab w:val="left" w:pos="720"/>
        </w:tabs>
        <w:rPr>
          <w:rFonts w:ascii="Arial" w:hAnsi="Arial" w:cs="Arial"/>
          <w:sz w:val="24"/>
          <w:szCs w:val="24"/>
        </w:rPr>
      </w:pPr>
    </w:p>
    <w:p w:rsidR="00F30723" w:rsidRPr="008D0BD6" w:rsidRDefault="00F30723" w:rsidP="00E14488">
      <w:pPr>
        <w:tabs>
          <w:tab w:val="left" w:pos="1710"/>
        </w:tabs>
        <w:ind w:left="1170" w:hanging="1132"/>
        <w:rPr>
          <w:rFonts w:ascii="Arial" w:hAnsi="Arial" w:cs="Arial"/>
          <w:b/>
          <w:sz w:val="24"/>
          <w:szCs w:val="24"/>
          <w:u w:val="single"/>
        </w:rPr>
      </w:pPr>
      <w:r w:rsidRPr="008D0BD6">
        <w:rPr>
          <w:rFonts w:ascii="Arial" w:hAnsi="Arial" w:cs="Arial"/>
          <w:b/>
          <w:sz w:val="24"/>
          <w:szCs w:val="24"/>
          <w:u w:val="single"/>
        </w:rPr>
        <w:t xml:space="preserve">Finding – </w:t>
      </w:r>
      <w:r w:rsidR="0099013B" w:rsidRPr="008D0BD6">
        <w:rPr>
          <w:rFonts w:ascii="Arial" w:hAnsi="Arial" w:cs="Arial"/>
          <w:b/>
          <w:sz w:val="24"/>
          <w:szCs w:val="24"/>
          <w:u w:val="single"/>
        </w:rPr>
        <w:t>Administrative</w:t>
      </w:r>
      <w:r w:rsidR="00D35D46" w:rsidRPr="008D0BD6">
        <w:rPr>
          <w:rFonts w:ascii="Arial" w:hAnsi="Arial" w:cs="Arial"/>
          <w:b/>
          <w:sz w:val="24"/>
          <w:szCs w:val="24"/>
          <w:u w:val="single"/>
        </w:rPr>
        <w:t xml:space="preserve"> Labor</w:t>
      </w:r>
      <w:r w:rsidR="0099013B" w:rsidRPr="008D0BD6">
        <w:rPr>
          <w:rFonts w:ascii="Arial" w:hAnsi="Arial" w:cs="Arial"/>
          <w:b/>
          <w:sz w:val="24"/>
          <w:szCs w:val="24"/>
          <w:u w:val="single"/>
        </w:rPr>
        <w:t xml:space="preserve"> Costs </w:t>
      </w:r>
      <w:r w:rsidR="00B03583">
        <w:rPr>
          <w:rFonts w:ascii="Arial" w:hAnsi="Arial" w:cs="Arial"/>
          <w:b/>
          <w:sz w:val="24"/>
          <w:szCs w:val="24"/>
          <w:u w:val="single"/>
        </w:rPr>
        <w:t>Totaling</w:t>
      </w:r>
      <w:r w:rsidRPr="008D0BD6">
        <w:rPr>
          <w:rFonts w:ascii="Arial" w:hAnsi="Arial" w:cs="Arial"/>
          <w:b/>
          <w:sz w:val="24"/>
          <w:szCs w:val="24"/>
          <w:u w:val="single"/>
        </w:rPr>
        <w:t xml:space="preserve"> $</w:t>
      </w:r>
      <w:r w:rsidR="00CD2BC3" w:rsidRPr="008D0BD6">
        <w:rPr>
          <w:rFonts w:ascii="Arial" w:hAnsi="Arial" w:cs="Arial"/>
          <w:b/>
          <w:sz w:val="24"/>
          <w:szCs w:val="24"/>
          <w:u w:val="single"/>
        </w:rPr>
        <w:t>108,</w:t>
      </w:r>
      <w:r w:rsidR="00D35D46" w:rsidRPr="008D0BD6">
        <w:rPr>
          <w:rFonts w:ascii="Arial" w:hAnsi="Arial" w:cs="Arial"/>
          <w:b/>
          <w:sz w:val="24"/>
          <w:szCs w:val="24"/>
          <w:u w:val="single"/>
        </w:rPr>
        <w:t>787</w:t>
      </w:r>
      <w:r w:rsidRPr="008D0BD6">
        <w:rPr>
          <w:rFonts w:ascii="Arial" w:hAnsi="Arial" w:cs="Arial"/>
          <w:b/>
          <w:sz w:val="24"/>
          <w:szCs w:val="24"/>
          <w:u w:val="single"/>
        </w:rPr>
        <w:t xml:space="preserve"> </w:t>
      </w:r>
      <w:r w:rsidR="0058492D">
        <w:rPr>
          <w:rFonts w:ascii="Arial" w:hAnsi="Arial" w:cs="Arial"/>
          <w:b/>
          <w:sz w:val="24"/>
          <w:szCs w:val="24"/>
          <w:u w:val="single"/>
        </w:rPr>
        <w:t>W</w:t>
      </w:r>
      <w:r w:rsidR="0099013B" w:rsidRPr="008D0BD6">
        <w:rPr>
          <w:rFonts w:ascii="Arial" w:hAnsi="Arial" w:cs="Arial"/>
          <w:b/>
          <w:sz w:val="24"/>
          <w:szCs w:val="24"/>
          <w:u w:val="single"/>
        </w:rPr>
        <w:t xml:space="preserve">ere </w:t>
      </w:r>
      <w:r w:rsidR="0058492D">
        <w:rPr>
          <w:rFonts w:ascii="Arial" w:hAnsi="Arial" w:cs="Arial"/>
          <w:b/>
          <w:sz w:val="24"/>
          <w:szCs w:val="24"/>
          <w:u w:val="single"/>
        </w:rPr>
        <w:t>I</w:t>
      </w:r>
      <w:r w:rsidR="00A03514" w:rsidRPr="008D0BD6">
        <w:rPr>
          <w:rFonts w:ascii="Arial" w:hAnsi="Arial" w:cs="Arial"/>
          <w:b/>
          <w:sz w:val="24"/>
          <w:szCs w:val="24"/>
          <w:u w:val="single"/>
        </w:rPr>
        <w:t xml:space="preserve">ncluded </w:t>
      </w:r>
      <w:r w:rsidR="0058492D">
        <w:rPr>
          <w:rFonts w:ascii="Arial" w:hAnsi="Arial" w:cs="Arial"/>
          <w:b/>
          <w:sz w:val="24"/>
          <w:szCs w:val="24"/>
          <w:u w:val="single"/>
        </w:rPr>
        <w:t>I</w:t>
      </w:r>
      <w:r w:rsidR="00A03514" w:rsidRPr="008D0BD6">
        <w:rPr>
          <w:rFonts w:ascii="Arial" w:hAnsi="Arial" w:cs="Arial"/>
          <w:b/>
          <w:sz w:val="24"/>
          <w:szCs w:val="24"/>
          <w:u w:val="single"/>
        </w:rPr>
        <w:t xml:space="preserve">n </w:t>
      </w:r>
      <w:r w:rsidR="0058492D">
        <w:rPr>
          <w:rFonts w:ascii="Arial" w:hAnsi="Arial" w:cs="Arial"/>
          <w:b/>
          <w:sz w:val="24"/>
          <w:szCs w:val="24"/>
          <w:u w:val="single"/>
        </w:rPr>
        <w:t>T</w:t>
      </w:r>
      <w:r w:rsidR="00A03514" w:rsidRPr="008D0BD6">
        <w:rPr>
          <w:rFonts w:ascii="Arial" w:hAnsi="Arial" w:cs="Arial"/>
          <w:b/>
          <w:sz w:val="24"/>
          <w:szCs w:val="24"/>
          <w:u w:val="single"/>
        </w:rPr>
        <w:t xml:space="preserve">he </w:t>
      </w:r>
      <w:r w:rsidR="0058492D">
        <w:rPr>
          <w:rFonts w:ascii="Arial" w:hAnsi="Arial" w:cs="Arial"/>
          <w:b/>
          <w:sz w:val="24"/>
          <w:szCs w:val="24"/>
          <w:u w:val="single"/>
        </w:rPr>
        <w:t>C</w:t>
      </w:r>
      <w:r w:rsidR="00C5156F" w:rsidRPr="008D0BD6">
        <w:rPr>
          <w:rFonts w:ascii="Arial" w:hAnsi="Arial" w:cs="Arial"/>
          <w:b/>
          <w:sz w:val="24"/>
          <w:szCs w:val="24"/>
          <w:u w:val="single"/>
        </w:rPr>
        <w:t xml:space="preserve">osts </w:t>
      </w:r>
      <w:r w:rsidR="0058492D">
        <w:rPr>
          <w:rFonts w:ascii="Arial" w:hAnsi="Arial" w:cs="Arial"/>
          <w:b/>
          <w:sz w:val="24"/>
          <w:szCs w:val="24"/>
          <w:u w:val="single"/>
        </w:rPr>
        <w:t>T</w:t>
      </w:r>
      <w:r w:rsidR="00C5156F" w:rsidRPr="008D0BD6">
        <w:rPr>
          <w:rFonts w:ascii="Arial" w:hAnsi="Arial" w:cs="Arial"/>
          <w:b/>
          <w:sz w:val="24"/>
          <w:szCs w:val="24"/>
          <w:u w:val="single"/>
        </w:rPr>
        <w:t xml:space="preserve">hat </w:t>
      </w:r>
      <w:r w:rsidR="0058492D">
        <w:rPr>
          <w:rFonts w:ascii="Arial" w:hAnsi="Arial" w:cs="Arial"/>
          <w:b/>
          <w:sz w:val="24"/>
          <w:szCs w:val="24"/>
          <w:u w:val="single"/>
        </w:rPr>
        <w:t>W</w:t>
      </w:r>
      <w:r w:rsidR="00C206DE">
        <w:rPr>
          <w:rFonts w:ascii="Arial" w:hAnsi="Arial" w:cs="Arial"/>
          <w:b/>
          <w:sz w:val="24"/>
          <w:szCs w:val="24"/>
          <w:u w:val="single"/>
        </w:rPr>
        <w:t>ere</w:t>
      </w:r>
      <w:r w:rsidR="00C206DE" w:rsidRPr="008D0BD6">
        <w:rPr>
          <w:rFonts w:ascii="Arial" w:hAnsi="Arial" w:cs="Arial"/>
          <w:b/>
          <w:sz w:val="24"/>
          <w:szCs w:val="24"/>
          <w:u w:val="single"/>
        </w:rPr>
        <w:t xml:space="preserve"> </w:t>
      </w:r>
      <w:r w:rsidR="0058492D">
        <w:rPr>
          <w:rFonts w:ascii="Arial" w:hAnsi="Arial" w:cs="Arial"/>
          <w:b/>
          <w:sz w:val="24"/>
          <w:szCs w:val="24"/>
          <w:u w:val="single"/>
        </w:rPr>
        <w:t>R</w:t>
      </w:r>
      <w:r w:rsidR="00C5156F" w:rsidRPr="008D0BD6">
        <w:rPr>
          <w:rFonts w:ascii="Arial" w:hAnsi="Arial" w:cs="Arial"/>
          <w:b/>
          <w:sz w:val="24"/>
          <w:szCs w:val="24"/>
          <w:u w:val="single"/>
        </w:rPr>
        <w:t>ec</w:t>
      </w:r>
      <w:r w:rsidR="00A03514" w:rsidRPr="008D0BD6">
        <w:rPr>
          <w:rFonts w:ascii="Arial" w:hAnsi="Arial" w:cs="Arial"/>
          <w:b/>
          <w:sz w:val="24"/>
          <w:szCs w:val="24"/>
          <w:u w:val="single"/>
        </w:rPr>
        <w:t>over</w:t>
      </w:r>
      <w:r w:rsidR="00C206DE">
        <w:rPr>
          <w:rFonts w:ascii="Arial" w:hAnsi="Arial" w:cs="Arial"/>
          <w:b/>
          <w:sz w:val="24"/>
          <w:szCs w:val="24"/>
          <w:u w:val="single"/>
        </w:rPr>
        <w:t>ed</w:t>
      </w:r>
      <w:r w:rsidR="00A03514" w:rsidRPr="008D0BD6">
        <w:rPr>
          <w:rFonts w:ascii="Arial" w:hAnsi="Arial" w:cs="Arial"/>
          <w:b/>
          <w:sz w:val="24"/>
          <w:szCs w:val="24"/>
          <w:u w:val="single"/>
        </w:rPr>
        <w:t xml:space="preserve"> </w:t>
      </w:r>
      <w:r w:rsidR="0058492D">
        <w:rPr>
          <w:rFonts w:ascii="Arial" w:hAnsi="Arial" w:cs="Arial"/>
          <w:b/>
          <w:sz w:val="24"/>
          <w:szCs w:val="24"/>
          <w:u w:val="single"/>
        </w:rPr>
        <w:t>T</w:t>
      </w:r>
      <w:r w:rsidR="000710B1" w:rsidRPr="008D0BD6">
        <w:rPr>
          <w:rFonts w:ascii="Arial" w:hAnsi="Arial" w:cs="Arial"/>
          <w:b/>
          <w:sz w:val="24"/>
          <w:szCs w:val="24"/>
          <w:u w:val="single"/>
        </w:rPr>
        <w:t>hrough</w:t>
      </w:r>
      <w:r w:rsidR="00C5156F" w:rsidRPr="008D0BD6">
        <w:rPr>
          <w:rFonts w:ascii="Arial" w:hAnsi="Arial" w:cs="Arial"/>
          <w:b/>
          <w:sz w:val="24"/>
          <w:szCs w:val="24"/>
          <w:u w:val="single"/>
        </w:rPr>
        <w:t xml:space="preserve"> </w:t>
      </w:r>
      <w:r w:rsidR="0058492D">
        <w:rPr>
          <w:rFonts w:ascii="Arial" w:hAnsi="Arial" w:cs="Arial"/>
          <w:b/>
          <w:sz w:val="24"/>
          <w:szCs w:val="24"/>
          <w:u w:val="single"/>
        </w:rPr>
        <w:t>T</w:t>
      </w:r>
      <w:r w:rsidR="00C5156F" w:rsidRPr="008D0BD6">
        <w:rPr>
          <w:rFonts w:ascii="Arial" w:hAnsi="Arial" w:cs="Arial"/>
          <w:b/>
          <w:sz w:val="24"/>
          <w:szCs w:val="24"/>
          <w:u w:val="single"/>
        </w:rPr>
        <w:t xml:space="preserve">he </w:t>
      </w:r>
      <w:r w:rsidR="00A03514" w:rsidRPr="008D0BD6">
        <w:rPr>
          <w:rFonts w:ascii="Arial" w:hAnsi="Arial" w:cs="Arial"/>
          <w:b/>
          <w:sz w:val="24"/>
          <w:szCs w:val="24"/>
          <w:u w:val="single"/>
        </w:rPr>
        <w:t xml:space="preserve">Universal Service </w:t>
      </w:r>
      <w:r w:rsidR="0058492D">
        <w:rPr>
          <w:rFonts w:ascii="Arial" w:hAnsi="Arial" w:cs="Arial"/>
          <w:b/>
          <w:sz w:val="24"/>
          <w:szCs w:val="24"/>
          <w:u w:val="single"/>
        </w:rPr>
        <w:t>A</w:t>
      </w:r>
      <w:r w:rsidR="000710B1" w:rsidRPr="008D0BD6">
        <w:rPr>
          <w:rFonts w:ascii="Arial" w:hAnsi="Arial" w:cs="Arial"/>
          <w:b/>
          <w:sz w:val="24"/>
          <w:szCs w:val="24"/>
          <w:u w:val="single"/>
        </w:rPr>
        <w:t xml:space="preserve">nd Energy Conservation </w:t>
      </w:r>
      <w:r w:rsidR="00C5156F" w:rsidRPr="008D0BD6">
        <w:rPr>
          <w:rFonts w:ascii="Arial" w:hAnsi="Arial" w:cs="Arial"/>
          <w:b/>
          <w:sz w:val="24"/>
          <w:szCs w:val="24"/>
          <w:u w:val="single"/>
        </w:rPr>
        <w:t>Surcharge</w:t>
      </w:r>
      <w:r w:rsidRPr="008D0BD6">
        <w:rPr>
          <w:rFonts w:ascii="Arial" w:hAnsi="Arial" w:cs="Arial"/>
          <w:b/>
          <w:sz w:val="24"/>
          <w:szCs w:val="24"/>
          <w:u w:val="single"/>
        </w:rPr>
        <w:t>.</w:t>
      </w:r>
    </w:p>
    <w:p w:rsidR="00E8312D" w:rsidRPr="008D0BD6" w:rsidRDefault="00E8312D" w:rsidP="00F30723">
      <w:pPr>
        <w:tabs>
          <w:tab w:val="left" w:pos="1710"/>
        </w:tabs>
        <w:ind w:left="56" w:hanging="18"/>
        <w:rPr>
          <w:rFonts w:ascii="Arial" w:hAnsi="Arial" w:cs="Arial"/>
          <w:b/>
          <w:sz w:val="24"/>
          <w:szCs w:val="24"/>
          <w:u w:val="single"/>
        </w:rPr>
      </w:pPr>
    </w:p>
    <w:p w:rsidR="00F76D57" w:rsidRDefault="000C0AEA" w:rsidP="000C0AEA">
      <w:pPr>
        <w:tabs>
          <w:tab w:val="left" w:pos="720"/>
        </w:tabs>
        <w:ind w:left="56" w:hanging="18"/>
        <w:rPr>
          <w:rFonts w:ascii="Arial" w:hAnsi="Arial" w:cs="Arial"/>
          <w:sz w:val="24"/>
          <w:szCs w:val="24"/>
        </w:rPr>
      </w:pPr>
      <w:r w:rsidRPr="008D0BD6">
        <w:rPr>
          <w:rFonts w:ascii="Arial" w:hAnsi="Arial" w:cs="Arial"/>
          <w:sz w:val="24"/>
          <w:szCs w:val="24"/>
        </w:rPr>
        <w:tab/>
      </w:r>
      <w:r w:rsidRPr="008D0BD6">
        <w:rPr>
          <w:rFonts w:ascii="Arial" w:hAnsi="Arial" w:cs="Arial"/>
          <w:sz w:val="24"/>
          <w:szCs w:val="24"/>
        </w:rPr>
        <w:tab/>
      </w:r>
      <w:r w:rsidR="00C206DE">
        <w:rPr>
          <w:rFonts w:ascii="Arial" w:hAnsi="Arial" w:cs="Arial"/>
          <w:sz w:val="24"/>
          <w:szCs w:val="24"/>
        </w:rPr>
        <w:t xml:space="preserve">Philadelphia Gas Works (PGW) recovered $108,787 of administrative labor costs through the Universal Service </w:t>
      </w:r>
      <w:r w:rsidR="00894F26">
        <w:rPr>
          <w:rFonts w:ascii="Arial" w:hAnsi="Arial" w:cs="Arial"/>
          <w:sz w:val="24"/>
          <w:szCs w:val="24"/>
        </w:rPr>
        <w:t>a</w:t>
      </w:r>
      <w:r w:rsidR="00C206DE">
        <w:rPr>
          <w:rFonts w:ascii="Arial" w:hAnsi="Arial" w:cs="Arial"/>
          <w:sz w:val="24"/>
          <w:szCs w:val="24"/>
        </w:rPr>
        <w:t xml:space="preserve">nd Energy Conservation Surcharge during the twelve months ended August 31, 2009.  The administrative labor costs are related to the Conservation Works Program (CWP) and the Enhanced Low Income Retrofit Program (ELIRP) activities of PGW’s Universal Service Program.  The Universal Service </w:t>
      </w:r>
      <w:r w:rsidR="00894F26">
        <w:rPr>
          <w:rFonts w:ascii="Arial" w:hAnsi="Arial" w:cs="Arial"/>
          <w:sz w:val="24"/>
          <w:szCs w:val="24"/>
        </w:rPr>
        <w:t>a</w:t>
      </w:r>
      <w:r w:rsidR="00C206DE">
        <w:rPr>
          <w:rFonts w:ascii="Arial" w:hAnsi="Arial" w:cs="Arial"/>
          <w:sz w:val="24"/>
          <w:szCs w:val="24"/>
        </w:rPr>
        <w:t xml:space="preserve">nd Energy Conservation Surcharge Rider does not specifically provide for the recovery of administrative labor costs.   The Rider provides for the recovery of “the costs of” the CWP and the ELIRP.  </w:t>
      </w:r>
      <w:r w:rsidR="00F76D57">
        <w:rPr>
          <w:rFonts w:ascii="Arial" w:hAnsi="Arial" w:cs="Arial"/>
          <w:sz w:val="24"/>
          <w:szCs w:val="24"/>
        </w:rPr>
        <w:t>Normally, a</w:t>
      </w:r>
      <w:r w:rsidR="00C206DE">
        <w:rPr>
          <w:rFonts w:ascii="Arial" w:hAnsi="Arial" w:cs="Arial"/>
          <w:sz w:val="24"/>
          <w:szCs w:val="24"/>
        </w:rPr>
        <w:t>bsent the specific allowance for the recovery of administrative costs within an adjustment clause</w:t>
      </w:r>
      <w:r w:rsidR="00F76D57">
        <w:rPr>
          <w:rFonts w:ascii="Arial" w:hAnsi="Arial" w:cs="Arial"/>
          <w:sz w:val="24"/>
          <w:szCs w:val="24"/>
        </w:rPr>
        <w:t xml:space="preserve"> surcharge tariff rider, administrative costs are recovered through base rates.  Because the Universal Service </w:t>
      </w:r>
      <w:r w:rsidR="00894F26">
        <w:rPr>
          <w:rFonts w:ascii="Arial" w:hAnsi="Arial" w:cs="Arial"/>
          <w:sz w:val="24"/>
          <w:szCs w:val="24"/>
        </w:rPr>
        <w:t>a</w:t>
      </w:r>
      <w:r w:rsidR="00F76D57">
        <w:rPr>
          <w:rFonts w:ascii="Arial" w:hAnsi="Arial" w:cs="Arial"/>
          <w:sz w:val="24"/>
          <w:szCs w:val="24"/>
        </w:rPr>
        <w:t>nd Energy Conservation Surcharge Rider does not specifically provide for the recovery of the</w:t>
      </w:r>
      <w:r w:rsidR="00F76D57" w:rsidRPr="00F76D57">
        <w:rPr>
          <w:rFonts w:ascii="Arial" w:hAnsi="Arial" w:cs="Arial"/>
          <w:sz w:val="24"/>
          <w:szCs w:val="24"/>
        </w:rPr>
        <w:t xml:space="preserve"> </w:t>
      </w:r>
      <w:r w:rsidR="00F76D57">
        <w:rPr>
          <w:rFonts w:ascii="Arial" w:hAnsi="Arial" w:cs="Arial"/>
          <w:sz w:val="24"/>
          <w:szCs w:val="24"/>
        </w:rPr>
        <w:t>administrative labor costs, Staff believes that PGW may be recovering the administrative labor costs twice, once through the Surcharge and again through base rates.</w:t>
      </w:r>
    </w:p>
    <w:p w:rsidR="00F76D57" w:rsidRDefault="00F76D57" w:rsidP="000C0AEA">
      <w:pPr>
        <w:tabs>
          <w:tab w:val="left" w:pos="720"/>
        </w:tabs>
        <w:ind w:left="56" w:hanging="18"/>
        <w:rPr>
          <w:rFonts w:ascii="Arial" w:hAnsi="Arial" w:cs="Arial"/>
          <w:sz w:val="24"/>
          <w:szCs w:val="24"/>
        </w:rPr>
      </w:pPr>
    </w:p>
    <w:p w:rsidR="00D67623" w:rsidRPr="008D0BD6" w:rsidRDefault="00F76D57" w:rsidP="000C0AEA">
      <w:pPr>
        <w:tabs>
          <w:tab w:val="left" w:pos="720"/>
        </w:tabs>
        <w:ind w:left="56" w:hanging="18"/>
        <w:rPr>
          <w:rFonts w:ascii="Arial" w:hAnsi="Arial" w:cs="Arial"/>
          <w:b/>
          <w:sz w:val="24"/>
          <w:szCs w:val="24"/>
          <w:u w:val="single"/>
        </w:rPr>
      </w:pPr>
      <w:r>
        <w:rPr>
          <w:rFonts w:ascii="Arial" w:hAnsi="Arial" w:cs="Arial"/>
          <w:sz w:val="24"/>
          <w:szCs w:val="24"/>
        </w:rPr>
        <w:tab/>
      </w:r>
      <w:r>
        <w:rPr>
          <w:rFonts w:ascii="Arial" w:hAnsi="Arial" w:cs="Arial"/>
          <w:sz w:val="24"/>
          <w:szCs w:val="24"/>
        </w:rPr>
        <w:tab/>
        <w:t>PGW representatives state that the Company’s</w:t>
      </w:r>
      <w:r w:rsidR="00C82A75" w:rsidRPr="008D0BD6">
        <w:rPr>
          <w:rFonts w:ascii="Arial" w:hAnsi="Arial" w:cs="Arial"/>
          <w:sz w:val="24"/>
          <w:szCs w:val="24"/>
        </w:rPr>
        <w:t xml:space="preserve"> cash flow ratemaking method</w:t>
      </w:r>
      <w:r w:rsidR="00C64BA7" w:rsidRPr="008D0BD6">
        <w:rPr>
          <w:rFonts w:ascii="Arial" w:hAnsi="Arial" w:cs="Arial"/>
          <w:sz w:val="24"/>
          <w:szCs w:val="24"/>
        </w:rPr>
        <w:t>,</w:t>
      </w:r>
      <w:r w:rsidR="00975EB5" w:rsidRPr="008D0BD6">
        <w:rPr>
          <w:rFonts w:ascii="Arial" w:hAnsi="Arial" w:cs="Arial"/>
          <w:sz w:val="24"/>
          <w:szCs w:val="24"/>
        </w:rPr>
        <w:t xml:space="preserve"> which provides for revenue </w:t>
      </w:r>
      <w:r w:rsidR="00746443" w:rsidRPr="008D0BD6">
        <w:rPr>
          <w:rFonts w:ascii="Arial" w:hAnsi="Arial" w:cs="Arial"/>
          <w:sz w:val="24"/>
          <w:szCs w:val="24"/>
        </w:rPr>
        <w:t>from rates adequate to meet prudent operating expenses, depreciation allowances and debt service</w:t>
      </w:r>
      <w:r w:rsidR="00C64BA7" w:rsidRPr="008D0BD6">
        <w:rPr>
          <w:rFonts w:ascii="Arial" w:hAnsi="Arial" w:cs="Arial"/>
          <w:sz w:val="24"/>
          <w:szCs w:val="24"/>
        </w:rPr>
        <w:t xml:space="preserve">, does not </w:t>
      </w:r>
      <w:r w:rsidR="00464785" w:rsidRPr="008D0BD6">
        <w:rPr>
          <w:rFonts w:ascii="Arial" w:hAnsi="Arial" w:cs="Arial"/>
          <w:sz w:val="24"/>
          <w:szCs w:val="24"/>
        </w:rPr>
        <w:t xml:space="preserve">consider expenses </w:t>
      </w:r>
      <w:r w:rsidR="00C64BA7" w:rsidRPr="008D0BD6">
        <w:rPr>
          <w:rFonts w:ascii="Arial" w:hAnsi="Arial" w:cs="Arial"/>
          <w:sz w:val="24"/>
          <w:szCs w:val="24"/>
        </w:rPr>
        <w:t>on</w:t>
      </w:r>
      <w:r w:rsidR="00464785" w:rsidRPr="008D0BD6">
        <w:rPr>
          <w:rFonts w:ascii="Arial" w:hAnsi="Arial" w:cs="Arial"/>
          <w:sz w:val="24"/>
          <w:szCs w:val="24"/>
        </w:rPr>
        <w:t xml:space="preserve"> a “</w:t>
      </w:r>
      <w:r w:rsidR="00C64BA7" w:rsidRPr="008D0BD6">
        <w:rPr>
          <w:rFonts w:ascii="Arial" w:hAnsi="Arial" w:cs="Arial"/>
          <w:sz w:val="24"/>
          <w:szCs w:val="24"/>
        </w:rPr>
        <w:t>line-item</w:t>
      </w:r>
      <w:r w:rsidR="00464785" w:rsidRPr="008D0BD6">
        <w:rPr>
          <w:rFonts w:ascii="Arial" w:hAnsi="Arial" w:cs="Arial"/>
          <w:sz w:val="24"/>
          <w:szCs w:val="24"/>
        </w:rPr>
        <w:t>”</w:t>
      </w:r>
      <w:r w:rsidR="00C64BA7" w:rsidRPr="008D0BD6">
        <w:rPr>
          <w:rFonts w:ascii="Arial" w:hAnsi="Arial" w:cs="Arial"/>
          <w:sz w:val="24"/>
          <w:szCs w:val="24"/>
        </w:rPr>
        <w:t xml:space="preserve"> </w:t>
      </w:r>
      <w:r w:rsidR="00464785" w:rsidRPr="008D0BD6">
        <w:rPr>
          <w:rFonts w:ascii="Arial" w:hAnsi="Arial" w:cs="Arial"/>
          <w:sz w:val="24"/>
          <w:szCs w:val="24"/>
        </w:rPr>
        <w:t>basi</w:t>
      </w:r>
      <w:r w:rsidR="00C64BA7" w:rsidRPr="008D0BD6">
        <w:rPr>
          <w:rFonts w:ascii="Arial" w:hAnsi="Arial" w:cs="Arial"/>
          <w:sz w:val="24"/>
          <w:szCs w:val="24"/>
        </w:rPr>
        <w:t>s.</w:t>
      </w:r>
      <w:r w:rsidR="00464785" w:rsidRPr="008D0BD6">
        <w:rPr>
          <w:rFonts w:ascii="Arial" w:hAnsi="Arial" w:cs="Arial"/>
          <w:sz w:val="24"/>
          <w:szCs w:val="24"/>
        </w:rPr>
        <w:t xml:space="preserve"> Due to this me</w:t>
      </w:r>
      <w:r w:rsidR="0094256B" w:rsidRPr="008D0BD6">
        <w:rPr>
          <w:rFonts w:ascii="Arial" w:hAnsi="Arial" w:cs="Arial"/>
          <w:sz w:val="24"/>
          <w:szCs w:val="24"/>
        </w:rPr>
        <w:t xml:space="preserve">thod of ratemaking, PGW did not consider that the administrative labor expense was recovered </w:t>
      </w:r>
      <w:r w:rsidR="001C0FDE" w:rsidRPr="008D0BD6">
        <w:rPr>
          <w:rFonts w:ascii="Arial" w:hAnsi="Arial" w:cs="Arial"/>
          <w:sz w:val="24"/>
          <w:szCs w:val="24"/>
        </w:rPr>
        <w:t>through</w:t>
      </w:r>
      <w:r w:rsidR="0094256B" w:rsidRPr="008D0BD6">
        <w:rPr>
          <w:rFonts w:ascii="Arial" w:hAnsi="Arial" w:cs="Arial"/>
          <w:sz w:val="24"/>
          <w:szCs w:val="24"/>
        </w:rPr>
        <w:t xml:space="preserve"> both the base rates and the </w:t>
      </w:r>
      <w:r w:rsidR="00E44395">
        <w:rPr>
          <w:rFonts w:ascii="Arial" w:hAnsi="Arial" w:cs="Arial"/>
          <w:sz w:val="24"/>
          <w:szCs w:val="24"/>
        </w:rPr>
        <w:t xml:space="preserve">Universal Service </w:t>
      </w:r>
      <w:r w:rsidR="00894F26">
        <w:rPr>
          <w:rFonts w:ascii="Arial" w:hAnsi="Arial" w:cs="Arial"/>
          <w:sz w:val="24"/>
          <w:szCs w:val="24"/>
        </w:rPr>
        <w:t>a</w:t>
      </w:r>
      <w:r w:rsidR="00E44395">
        <w:rPr>
          <w:rFonts w:ascii="Arial" w:hAnsi="Arial" w:cs="Arial"/>
          <w:sz w:val="24"/>
          <w:szCs w:val="24"/>
        </w:rPr>
        <w:t>nd Energy Conservation Surcharge</w:t>
      </w:r>
      <w:r w:rsidR="00E44395" w:rsidRPr="008D0BD6" w:rsidDel="00E44395">
        <w:rPr>
          <w:rFonts w:ascii="Arial" w:hAnsi="Arial" w:cs="Arial"/>
          <w:sz w:val="24"/>
          <w:szCs w:val="24"/>
        </w:rPr>
        <w:t xml:space="preserve"> </w:t>
      </w:r>
      <w:r w:rsidR="001C0FDE" w:rsidRPr="008D0BD6">
        <w:rPr>
          <w:rFonts w:ascii="Arial" w:hAnsi="Arial" w:cs="Arial"/>
          <w:sz w:val="24"/>
          <w:szCs w:val="24"/>
        </w:rPr>
        <w:t>resulting in duplication of costs to ratepayers</w:t>
      </w:r>
      <w:r w:rsidR="0094256B" w:rsidRPr="008D0BD6">
        <w:rPr>
          <w:rFonts w:ascii="Arial" w:hAnsi="Arial" w:cs="Arial"/>
          <w:sz w:val="24"/>
          <w:szCs w:val="24"/>
        </w:rPr>
        <w:t>.</w:t>
      </w:r>
      <w:r w:rsidR="001F5DE4" w:rsidRPr="008D0BD6">
        <w:rPr>
          <w:rFonts w:ascii="Arial" w:hAnsi="Arial" w:cs="Arial"/>
          <w:sz w:val="24"/>
          <w:szCs w:val="24"/>
        </w:rPr>
        <w:t xml:space="preserve">  </w:t>
      </w:r>
    </w:p>
    <w:p w:rsidR="00693959" w:rsidRDefault="00693959" w:rsidP="00693959">
      <w:pPr>
        <w:rPr>
          <w:rFonts w:ascii="Arial" w:hAnsi="Arial" w:cs="Arial"/>
          <w:b/>
          <w:sz w:val="24"/>
          <w:szCs w:val="24"/>
          <w:u w:val="single"/>
        </w:rPr>
      </w:pPr>
    </w:p>
    <w:p w:rsidR="00693959" w:rsidRDefault="00693959" w:rsidP="00693959">
      <w:pPr>
        <w:rPr>
          <w:rFonts w:ascii="Arial" w:hAnsi="Arial" w:cs="Arial"/>
          <w:sz w:val="24"/>
          <w:szCs w:val="24"/>
        </w:rPr>
      </w:pPr>
      <w:r>
        <w:rPr>
          <w:rFonts w:ascii="Arial" w:hAnsi="Arial" w:cs="Arial"/>
          <w:b/>
          <w:sz w:val="24"/>
          <w:szCs w:val="24"/>
          <w:u w:val="single"/>
        </w:rPr>
        <w:t>RECOMMENDATION:</w:t>
      </w:r>
    </w:p>
    <w:p w:rsidR="00693959" w:rsidRDefault="00693959" w:rsidP="00693959">
      <w:pPr>
        <w:rPr>
          <w:rFonts w:ascii="Arial" w:hAnsi="Arial" w:cs="Arial"/>
          <w:sz w:val="24"/>
          <w:szCs w:val="24"/>
        </w:rPr>
      </w:pPr>
    </w:p>
    <w:p w:rsidR="00FB46E0" w:rsidRDefault="00693959" w:rsidP="00FB46E0">
      <w:pP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We recommend that PGW not be directed to make a refund of the $108,787 at this time.  We recommend that PGW clear</w:t>
      </w:r>
      <w:r w:rsidR="00FB46E0">
        <w:rPr>
          <w:rFonts w:ascii="Arial" w:hAnsi="Arial" w:cs="Arial"/>
          <w:sz w:val="24"/>
          <w:szCs w:val="24"/>
        </w:rPr>
        <w:t>l</w:t>
      </w:r>
      <w:r>
        <w:rPr>
          <w:rFonts w:ascii="Arial" w:hAnsi="Arial" w:cs="Arial"/>
          <w:sz w:val="24"/>
          <w:szCs w:val="24"/>
        </w:rPr>
        <w:t>y identify as a separate line item the administrative labor costs that</w:t>
      </w:r>
      <w:r w:rsidR="00FB46E0">
        <w:rPr>
          <w:rFonts w:ascii="Arial" w:hAnsi="Arial" w:cs="Arial"/>
          <w:sz w:val="24"/>
          <w:szCs w:val="24"/>
        </w:rPr>
        <w:t xml:space="preserve"> it proposes to recover through its Universal Service </w:t>
      </w:r>
      <w:r w:rsidR="00894F26">
        <w:rPr>
          <w:rFonts w:ascii="Arial" w:hAnsi="Arial" w:cs="Arial"/>
          <w:sz w:val="24"/>
          <w:szCs w:val="24"/>
        </w:rPr>
        <w:t>a</w:t>
      </w:r>
      <w:r w:rsidR="00FB46E0">
        <w:rPr>
          <w:rFonts w:ascii="Arial" w:hAnsi="Arial" w:cs="Arial"/>
          <w:sz w:val="24"/>
          <w:szCs w:val="24"/>
        </w:rPr>
        <w:t>nd Energy Conservation Surcharge, both projected and actual, in its next and all future 1307(</w:t>
      </w:r>
      <w:r w:rsidR="00BB6B18">
        <w:rPr>
          <w:rFonts w:ascii="Arial" w:hAnsi="Arial" w:cs="Arial"/>
          <w:sz w:val="24"/>
          <w:szCs w:val="24"/>
        </w:rPr>
        <w:t>f</w:t>
      </w:r>
      <w:r w:rsidR="00FB46E0">
        <w:rPr>
          <w:rFonts w:ascii="Arial" w:hAnsi="Arial" w:cs="Arial"/>
          <w:sz w:val="24"/>
          <w:szCs w:val="24"/>
        </w:rPr>
        <w:t>) filings.  This will provide parties to the proceedings the opportunity to participate in the determination of the recoverability of the prior administrative labor costs</w:t>
      </w:r>
      <w:r w:rsidR="00334B48">
        <w:rPr>
          <w:rFonts w:ascii="Arial" w:hAnsi="Arial" w:cs="Arial"/>
          <w:sz w:val="24"/>
          <w:szCs w:val="24"/>
        </w:rPr>
        <w:t xml:space="preserve"> recovered</w:t>
      </w:r>
      <w:r w:rsidR="00AB0834">
        <w:rPr>
          <w:rFonts w:ascii="Arial" w:hAnsi="Arial" w:cs="Arial"/>
          <w:sz w:val="24"/>
          <w:szCs w:val="24"/>
        </w:rPr>
        <w:t xml:space="preserve"> through the Universal Service </w:t>
      </w:r>
      <w:r w:rsidR="00894F26">
        <w:rPr>
          <w:rFonts w:ascii="Arial" w:hAnsi="Arial" w:cs="Arial"/>
          <w:sz w:val="24"/>
          <w:szCs w:val="24"/>
        </w:rPr>
        <w:t>a</w:t>
      </w:r>
      <w:r w:rsidR="00FB46E0">
        <w:rPr>
          <w:rFonts w:ascii="Arial" w:hAnsi="Arial" w:cs="Arial"/>
          <w:sz w:val="24"/>
          <w:szCs w:val="24"/>
        </w:rPr>
        <w:t xml:space="preserve">nd Energy Conservation Surcharge, as well </w:t>
      </w:r>
    </w:p>
    <w:p w:rsidR="00FB46E0" w:rsidRDefault="00FB46E0" w:rsidP="00FB46E0">
      <w:pPr>
        <w:rPr>
          <w:rFonts w:ascii="Arial" w:hAnsi="Arial" w:cs="Arial"/>
          <w:b/>
          <w:sz w:val="24"/>
          <w:szCs w:val="24"/>
          <w:u w:val="single"/>
        </w:rPr>
      </w:pPr>
    </w:p>
    <w:p w:rsidR="00FB46E0" w:rsidRDefault="00FB46E0" w:rsidP="00FB46E0">
      <w:pPr>
        <w:rPr>
          <w:rFonts w:ascii="Arial" w:hAnsi="Arial" w:cs="Arial"/>
          <w:b/>
          <w:sz w:val="24"/>
          <w:szCs w:val="24"/>
          <w:u w:val="single"/>
        </w:rPr>
      </w:pPr>
    </w:p>
    <w:p w:rsidR="00FB46E0" w:rsidRPr="00051545" w:rsidRDefault="00FB46E0" w:rsidP="00FB46E0">
      <w:pPr>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FB46E0" w:rsidRPr="00051545" w:rsidRDefault="00FB46E0" w:rsidP="00FB46E0">
      <w:pPr>
        <w:rPr>
          <w:rFonts w:ascii="Arial" w:hAnsi="Arial" w:cs="Arial"/>
          <w:b/>
          <w:sz w:val="26"/>
          <w:szCs w:val="26"/>
          <w:u w:val="single"/>
        </w:rPr>
      </w:pPr>
    </w:p>
    <w:p w:rsidR="00FB46E0" w:rsidRDefault="00FB46E0" w:rsidP="00FB46E0">
      <w:pPr>
        <w:ind w:left="1728" w:hanging="1728"/>
        <w:jc w:val="center"/>
        <w:rPr>
          <w:rFonts w:ascii="Arial" w:hAnsi="Arial" w:cs="Arial"/>
          <w:b/>
          <w:sz w:val="24"/>
          <w:szCs w:val="24"/>
          <w:u w:val="single"/>
        </w:rPr>
      </w:pPr>
      <w:r w:rsidRPr="008D0BD6">
        <w:rPr>
          <w:rFonts w:ascii="Arial" w:hAnsi="Arial" w:cs="Arial"/>
          <w:b/>
          <w:sz w:val="24"/>
          <w:szCs w:val="24"/>
          <w:u w:val="single"/>
        </w:rPr>
        <w:t>Current Audit Finding</w:t>
      </w:r>
      <w:r>
        <w:rPr>
          <w:rFonts w:ascii="Arial" w:hAnsi="Arial" w:cs="Arial"/>
          <w:b/>
          <w:sz w:val="24"/>
          <w:szCs w:val="24"/>
          <w:u w:val="single"/>
        </w:rPr>
        <w:t xml:space="preserve"> (Continued)</w:t>
      </w:r>
    </w:p>
    <w:p w:rsidR="00FB46E0" w:rsidRDefault="00FB46E0" w:rsidP="00FB46E0">
      <w:pPr>
        <w:ind w:left="1728" w:hanging="1728"/>
        <w:jc w:val="center"/>
        <w:rPr>
          <w:rFonts w:ascii="Arial" w:hAnsi="Arial" w:cs="Arial"/>
          <w:b/>
          <w:sz w:val="24"/>
          <w:szCs w:val="24"/>
          <w:u w:val="single"/>
        </w:rPr>
      </w:pPr>
    </w:p>
    <w:p w:rsidR="00FB46E0" w:rsidRPr="008D0BD6" w:rsidRDefault="00FB46E0" w:rsidP="00FB46E0">
      <w:pPr>
        <w:ind w:left="1728" w:hanging="1728"/>
        <w:jc w:val="center"/>
        <w:rPr>
          <w:rFonts w:ascii="Arial" w:hAnsi="Arial" w:cs="Arial"/>
          <w:b/>
          <w:sz w:val="24"/>
          <w:szCs w:val="24"/>
          <w:u w:val="single"/>
        </w:rPr>
      </w:pPr>
    </w:p>
    <w:p w:rsidR="00B03583" w:rsidRPr="008D0BD6" w:rsidRDefault="00334B48" w:rsidP="00FB46E0">
      <w:pPr>
        <w:rPr>
          <w:rFonts w:ascii="Arial" w:hAnsi="Arial" w:cs="Arial"/>
          <w:b/>
          <w:sz w:val="24"/>
          <w:szCs w:val="24"/>
          <w:u w:val="single"/>
        </w:rPr>
      </w:pPr>
      <w:r>
        <w:rPr>
          <w:rFonts w:ascii="Arial" w:hAnsi="Arial" w:cs="Arial"/>
          <w:sz w:val="24"/>
          <w:szCs w:val="24"/>
        </w:rPr>
        <w:t>as future recoverability</w:t>
      </w:r>
      <w:r w:rsidRPr="00334B48">
        <w:rPr>
          <w:rFonts w:ascii="Arial" w:hAnsi="Arial" w:cs="Arial"/>
          <w:sz w:val="24"/>
          <w:szCs w:val="24"/>
        </w:rPr>
        <w:t xml:space="preserve"> </w:t>
      </w:r>
      <w:r>
        <w:rPr>
          <w:rFonts w:ascii="Arial" w:hAnsi="Arial" w:cs="Arial"/>
          <w:sz w:val="24"/>
          <w:szCs w:val="24"/>
        </w:rPr>
        <w:t xml:space="preserve">of the costs going forward.  The audit report will also be provided to the Bureau of </w:t>
      </w:r>
      <w:r w:rsidR="00FB46E0">
        <w:rPr>
          <w:rFonts w:ascii="Arial" w:hAnsi="Arial" w:cs="Arial"/>
          <w:sz w:val="24"/>
          <w:szCs w:val="24"/>
        </w:rPr>
        <w:t>Investigation and Enforcement for whatever action they deem appropriate.</w:t>
      </w:r>
      <w:r w:rsidR="00FB46E0" w:rsidRPr="008D0BD6">
        <w:rPr>
          <w:rFonts w:ascii="Arial" w:hAnsi="Arial" w:cs="Arial"/>
          <w:b/>
          <w:sz w:val="24"/>
          <w:szCs w:val="24"/>
          <w:u w:val="single"/>
        </w:rPr>
        <w:t xml:space="preserve"> </w:t>
      </w:r>
    </w:p>
    <w:p w:rsidR="00B03583" w:rsidRPr="008D0BD6" w:rsidRDefault="00B03583" w:rsidP="00B03583">
      <w:pPr>
        <w:tabs>
          <w:tab w:val="left" w:pos="0"/>
          <w:tab w:val="left" w:pos="720"/>
        </w:tabs>
        <w:rPr>
          <w:rFonts w:ascii="Arial" w:hAnsi="Arial" w:cs="Arial"/>
          <w:sz w:val="24"/>
          <w:szCs w:val="24"/>
        </w:rPr>
      </w:pPr>
    </w:p>
    <w:p w:rsidR="000E4222" w:rsidRDefault="002828E8" w:rsidP="0024348A">
      <w:pPr>
        <w:tabs>
          <w:tab w:val="left" w:pos="0"/>
          <w:tab w:val="left" w:pos="720"/>
        </w:tabs>
        <w:rPr>
          <w:rFonts w:ascii="Arial" w:hAnsi="Arial" w:cs="Arial"/>
          <w:sz w:val="24"/>
          <w:szCs w:val="24"/>
        </w:rPr>
      </w:pPr>
      <w:r w:rsidRPr="008D0BD6">
        <w:rPr>
          <w:rFonts w:ascii="Arial" w:hAnsi="Arial" w:cs="Arial"/>
          <w:b/>
          <w:sz w:val="24"/>
          <w:szCs w:val="24"/>
        </w:rPr>
        <w:t>Company Response:</w:t>
      </w:r>
    </w:p>
    <w:p w:rsidR="000E4222" w:rsidRDefault="000E4222" w:rsidP="0024348A">
      <w:pPr>
        <w:tabs>
          <w:tab w:val="left" w:pos="0"/>
          <w:tab w:val="left" w:pos="720"/>
        </w:tabs>
        <w:rPr>
          <w:rFonts w:ascii="Arial" w:hAnsi="Arial" w:cs="Arial"/>
          <w:sz w:val="24"/>
          <w:szCs w:val="24"/>
        </w:rPr>
      </w:pPr>
    </w:p>
    <w:p w:rsidR="000E4222" w:rsidRPr="000E4222" w:rsidRDefault="000E4222" w:rsidP="0024348A">
      <w:pPr>
        <w:tabs>
          <w:tab w:val="left" w:pos="0"/>
          <w:tab w:val="left" w:pos="720"/>
        </w:tabs>
        <w:rPr>
          <w:rFonts w:ascii="Arial" w:hAnsi="Arial" w:cs="Arial"/>
          <w:sz w:val="24"/>
          <w:szCs w:val="24"/>
        </w:rPr>
      </w:pPr>
      <w:r>
        <w:rPr>
          <w:rFonts w:ascii="Arial" w:hAnsi="Arial" w:cs="Arial"/>
          <w:sz w:val="24"/>
          <w:szCs w:val="24"/>
        </w:rPr>
        <w:tab/>
        <w:t>The Company agrees with the recommendation and will reflect the</w:t>
      </w:r>
      <w:r w:rsidR="00BB6B18">
        <w:rPr>
          <w:rFonts w:ascii="Arial" w:hAnsi="Arial" w:cs="Arial"/>
          <w:sz w:val="24"/>
          <w:szCs w:val="24"/>
        </w:rPr>
        <w:t xml:space="preserve"> CWP and the</w:t>
      </w:r>
      <w:r>
        <w:rPr>
          <w:rFonts w:ascii="Arial" w:hAnsi="Arial" w:cs="Arial"/>
          <w:sz w:val="24"/>
          <w:szCs w:val="24"/>
        </w:rPr>
        <w:t xml:space="preserve"> ELIRP administrative costs as a separate line item in its next annual Universal Service </w:t>
      </w:r>
      <w:r w:rsidR="00894F26">
        <w:rPr>
          <w:rFonts w:ascii="Arial" w:hAnsi="Arial" w:cs="Arial"/>
          <w:sz w:val="24"/>
          <w:szCs w:val="24"/>
        </w:rPr>
        <w:t>a</w:t>
      </w:r>
      <w:r>
        <w:rPr>
          <w:rFonts w:ascii="Arial" w:hAnsi="Arial" w:cs="Arial"/>
          <w:sz w:val="24"/>
          <w:szCs w:val="24"/>
        </w:rPr>
        <w:t>nd Energy Conservation Surcharge filing.</w:t>
      </w:r>
    </w:p>
    <w:p w:rsidR="002828E8" w:rsidRPr="008D0BD6" w:rsidRDefault="002828E8" w:rsidP="0024348A">
      <w:pPr>
        <w:tabs>
          <w:tab w:val="left" w:pos="0"/>
          <w:tab w:val="left" w:pos="720"/>
        </w:tabs>
        <w:rPr>
          <w:rFonts w:ascii="Arial" w:hAnsi="Arial" w:cs="Arial"/>
          <w:b/>
          <w:sz w:val="24"/>
          <w:szCs w:val="24"/>
        </w:rPr>
      </w:pPr>
    </w:p>
    <w:p w:rsidR="0024348A" w:rsidRPr="008D0BD6" w:rsidRDefault="002828E8" w:rsidP="0024348A">
      <w:pPr>
        <w:tabs>
          <w:tab w:val="left" w:pos="0"/>
          <w:tab w:val="left" w:pos="720"/>
        </w:tabs>
        <w:rPr>
          <w:rFonts w:ascii="Arial" w:hAnsi="Arial" w:cs="Arial"/>
          <w:sz w:val="24"/>
          <w:szCs w:val="24"/>
        </w:rPr>
      </w:pPr>
      <w:r w:rsidRPr="008D0BD6">
        <w:rPr>
          <w:rFonts w:ascii="Arial" w:hAnsi="Arial" w:cs="Arial"/>
          <w:b/>
          <w:sz w:val="24"/>
          <w:szCs w:val="24"/>
        </w:rPr>
        <w:tab/>
      </w:r>
    </w:p>
    <w:p w:rsidR="00E9506C" w:rsidRDefault="00E9506C">
      <w:pPr>
        <w:rPr>
          <w:rFonts w:ascii="Arial" w:hAnsi="Arial" w:cs="Arial"/>
          <w:b/>
          <w:sz w:val="28"/>
          <w:szCs w:val="28"/>
          <w:u w:val="single"/>
        </w:rPr>
      </w:pPr>
      <w:r>
        <w:rPr>
          <w:rFonts w:ascii="Arial" w:hAnsi="Arial" w:cs="Arial"/>
          <w:b/>
          <w:sz w:val="28"/>
          <w:szCs w:val="28"/>
          <w:u w:val="single"/>
        </w:rPr>
        <w:br w:type="page"/>
      </w:r>
    </w:p>
    <w:p w:rsidR="00EC58EA" w:rsidRPr="00051545" w:rsidRDefault="00EC58EA" w:rsidP="00250D09">
      <w:pPr>
        <w:tabs>
          <w:tab w:val="left" w:pos="720"/>
        </w:tabs>
        <w:jc w:val="center"/>
        <w:rPr>
          <w:rFonts w:ascii="Arial" w:hAnsi="Arial" w:cs="Arial"/>
          <w:sz w:val="28"/>
          <w:szCs w:val="28"/>
        </w:rPr>
      </w:pPr>
      <w:r w:rsidRPr="00051545">
        <w:rPr>
          <w:rFonts w:ascii="Arial" w:hAnsi="Arial" w:cs="Arial"/>
          <w:b/>
          <w:sz w:val="28"/>
          <w:szCs w:val="28"/>
          <w:u w:val="single"/>
        </w:rPr>
        <w:lastRenderedPageBreak/>
        <w:t>ACKNOWLEDGEMENTS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us during the course of our examination.  The audit was conducted by </w:t>
      </w:r>
      <w:r w:rsidR="002D5DEB">
        <w:rPr>
          <w:rFonts w:ascii="Arial" w:hAnsi="Arial" w:cs="Arial"/>
          <w:sz w:val="24"/>
          <w:szCs w:val="24"/>
        </w:rPr>
        <w:t>Robert M. Keen CPA</w:t>
      </w:r>
      <w:r w:rsidRPr="00E32D70">
        <w:rPr>
          <w:rFonts w:ascii="Arial" w:hAnsi="Arial" w:cs="Arial"/>
          <w:sz w:val="24"/>
          <w:szCs w:val="24"/>
        </w:rPr>
        <w:t>, assisted by Dennis C. Grady</w:t>
      </w:r>
      <w:r w:rsidR="00CE62DB" w:rsidRPr="00E32D70">
        <w:rPr>
          <w:rFonts w:ascii="Arial" w:hAnsi="Arial" w:cs="Arial"/>
          <w:sz w:val="24"/>
          <w:szCs w:val="24"/>
        </w:rPr>
        <w:t xml:space="preserve">, and </w:t>
      </w:r>
      <w:r w:rsidR="002D5DEB">
        <w:rPr>
          <w:rFonts w:ascii="Arial" w:hAnsi="Arial" w:cs="Arial"/>
          <w:sz w:val="24"/>
          <w:szCs w:val="24"/>
        </w:rPr>
        <w:t>Katrina S. Johnson</w:t>
      </w:r>
      <w:r w:rsidRPr="00E32D70">
        <w:rPr>
          <w:rFonts w:ascii="Arial" w:hAnsi="Arial" w:cs="Arial"/>
          <w:sz w:val="24"/>
          <w:szCs w:val="24"/>
        </w:rPr>
        <w:t>.</w:t>
      </w:r>
    </w:p>
    <w:sectPr w:rsidR="00EC58EA" w:rsidRPr="00E32D70" w:rsidSect="00263F05">
      <w:headerReference w:type="even" r:id="rId28"/>
      <w:headerReference w:type="default" r:id="rId29"/>
      <w:headerReference w:type="first" r:id="rId30"/>
      <w:pgSz w:w="12240" w:h="15840" w:code="1"/>
      <w:pgMar w:top="1440" w:right="1440" w:bottom="1440" w:left="1440" w:header="0" w:footer="720"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E7" w:rsidRDefault="00DC13E7">
      <w:r>
        <w:separator/>
      </w:r>
    </w:p>
  </w:endnote>
  <w:endnote w:type="continuationSeparator" w:id="0">
    <w:p w:rsidR="00DC13E7" w:rsidRDefault="00DC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5A1" w:rsidRDefault="00AE35A1" w:rsidP="00AE35A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61657"/>
      <w:docPartObj>
        <w:docPartGallery w:val="Page Numbers (Bottom of Page)"/>
        <w:docPartUnique/>
      </w:docPartObj>
    </w:sdtPr>
    <w:sdtEndPr>
      <w:rPr>
        <w:rFonts w:ascii="Arial" w:hAnsi="Arial" w:cs="Arial"/>
        <w:sz w:val="24"/>
        <w:szCs w:val="24"/>
      </w:rPr>
    </w:sdtEndPr>
    <w:sdtContent>
      <w:p w:rsidR="001607D5" w:rsidRPr="00E14488" w:rsidRDefault="001607D5">
        <w:pPr>
          <w:pStyle w:val="Footer"/>
          <w:jc w:val="center"/>
          <w:rPr>
            <w:rFonts w:ascii="Arial" w:hAnsi="Arial" w:cs="Arial"/>
            <w:sz w:val="24"/>
            <w:szCs w:val="24"/>
          </w:rPr>
        </w:pPr>
        <w:r w:rsidRPr="00E14488">
          <w:rPr>
            <w:rFonts w:ascii="Arial" w:hAnsi="Arial" w:cs="Arial"/>
            <w:sz w:val="24"/>
            <w:szCs w:val="24"/>
          </w:rPr>
          <w:fldChar w:fldCharType="begin"/>
        </w:r>
        <w:r w:rsidRPr="00E14488">
          <w:rPr>
            <w:rFonts w:ascii="Arial" w:hAnsi="Arial" w:cs="Arial"/>
            <w:sz w:val="24"/>
            <w:szCs w:val="24"/>
          </w:rPr>
          <w:instrText xml:space="preserve"> PAGE   \* MERGEFORMAT </w:instrText>
        </w:r>
        <w:r w:rsidRPr="00E14488">
          <w:rPr>
            <w:rFonts w:ascii="Arial" w:hAnsi="Arial" w:cs="Arial"/>
            <w:sz w:val="24"/>
            <w:szCs w:val="24"/>
          </w:rPr>
          <w:fldChar w:fldCharType="separate"/>
        </w:r>
        <w:r w:rsidR="004C1D5F">
          <w:rPr>
            <w:rFonts w:ascii="Arial" w:hAnsi="Arial" w:cs="Arial"/>
            <w:noProof/>
            <w:sz w:val="24"/>
            <w:szCs w:val="24"/>
          </w:rPr>
          <w:t>4</w:t>
        </w:r>
        <w:r w:rsidRPr="00E14488">
          <w:rPr>
            <w:rFonts w:ascii="Arial" w:hAnsi="Arial" w:cs="Arial"/>
            <w:sz w:val="24"/>
            <w:szCs w:val="24"/>
          </w:rPr>
          <w:fldChar w:fldCharType="end"/>
        </w:r>
      </w:p>
    </w:sdtContent>
  </w:sdt>
  <w:p w:rsidR="00C86343" w:rsidRPr="00E14488" w:rsidRDefault="00C86343" w:rsidP="00E14488">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64903"/>
      <w:docPartObj>
        <w:docPartGallery w:val="Page Numbers (Bottom of Page)"/>
        <w:docPartUnique/>
      </w:docPartObj>
    </w:sdtPr>
    <w:sdtEndPr>
      <w:rPr>
        <w:rFonts w:ascii="Arial" w:hAnsi="Arial" w:cs="Arial"/>
        <w:noProof/>
        <w:sz w:val="24"/>
        <w:szCs w:val="24"/>
      </w:rPr>
    </w:sdtEndPr>
    <w:sdtContent>
      <w:p w:rsidR="002A533A" w:rsidRPr="005D2141" w:rsidRDefault="002A533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4C1D5F">
          <w:rPr>
            <w:rFonts w:ascii="Arial" w:hAnsi="Arial" w:cs="Arial"/>
            <w:noProof/>
            <w:sz w:val="24"/>
            <w:szCs w:val="24"/>
          </w:rPr>
          <w:t>8</w:t>
        </w:r>
        <w:r w:rsidRPr="005D2141">
          <w:rPr>
            <w:rFonts w:ascii="Arial" w:hAnsi="Arial" w:cs="Arial"/>
            <w:noProof/>
            <w:sz w:val="24"/>
            <w:szCs w:val="24"/>
          </w:rPr>
          <w:fldChar w:fldCharType="end"/>
        </w:r>
      </w:p>
    </w:sdtContent>
  </w:sdt>
  <w:p w:rsidR="007F026A" w:rsidRPr="00263F05" w:rsidRDefault="007F026A" w:rsidP="00263F0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14" w:rsidRPr="00284A91" w:rsidRDefault="00907014" w:rsidP="00284A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E7" w:rsidRDefault="00DC13E7">
      <w:r>
        <w:rPr>
          <w:sz w:val="24"/>
        </w:rPr>
        <w:separator/>
      </w:r>
    </w:p>
  </w:footnote>
  <w:footnote w:type="continuationSeparator" w:id="0">
    <w:p w:rsidR="00DC13E7" w:rsidRDefault="00DC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907014" w:rsidRDefault="00C86343" w:rsidP="0090701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5FA2"/>
    <w:rsid w:val="00026C48"/>
    <w:rsid w:val="00051545"/>
    <w:rsid w:val="000532DA"/>
    <w:rsid w:val="00057A59"/>
    <w:rsid w:val="00062389"/>
    <w:rsid w:val="0006368F"/>
    <w:rsid w:val="00065FC1"/>
    <w:rsid w:val="00067375"/>
    <w:rsid w:val="000710B1"/>
    <w:rsid w:val="000712BC"/>
    <w:rsid w:val="00071ED0"/>
    <w:rsid w:val="000725E8"/>
    <w:rsid w:val="00072B41"/>
    <w:rsid w:val="00083CAB"/>
    <w:rsid w:val="00094E55"/>
    <w:rsid w:val="00095AE2"/>
    <w:rsid w:val="000A01C5"/>
    <w:rsid w:val="000A44C8"/>
    <w:rsid w:val="000A55CF"/>
    <w:rsid w:val="000A6A45"/>
    <w:rsid w:val="000B2FFF"/>
    <w:rsid w:val="000B49E7"/>
    <w:rsid w:val="000C0AEA"/>
    <w:rsid w:val="000C2895"/>
    <w:rsid w:val="000E3DF2"/>
    <w:rsid w:val="000E4222"/>
    <w:rsid w:val="000E6C1C"/>
    <w:rsid w:val="000F4ADE"/>
    <w:rsid w:val="000F634D"/>
    <w:rsid w:val="000F7853"/>
    <w:rsid w:val="00102368"/>
    <w:rsid w:val="00107B06"/>
    <w:rsid w:val="00115624"/>
    <w:rsid w:val="001160F6"/>
    <w:rsid w:val="00127F65"/>
    <w:rsid w:val="00133F0E"/>
    <w:rsid w:val="00134BEB"/>
    <w:rsid w:val="00135F4E"/>
    <w:rsid w:val="0014208D"/>
    <w:rsid w:val="00153537"/>
    <w:rsid w:val="001607D5"/>
    <w:rsid w:val="0016795A"/>
    <w:rsid w:val="00170780"/>
    <w:rsid w:val="00171416"/>
    <w:rsid w:val="00171631"/>
    <w:rsid w:val="00171F95"/>
    <w:rsid w:val="00172C33"/>
    <w:rsid w:val="00180B59"/>
    <w:rsid w:val="00181737"/>
    <w:rsid w:val="00183D20"/>
    <w:rsid w:val="001849D4"/>
    <w:rsid w:val="0018653D"/>
    <w:rsid w:val="001866A8"/>
    <w:rsid w:val="0018674E"/>
    <w:rsid w:val="00191D62"/>
    <w:rsid w:val="00193303"/>
    <w:rsid w:val="001A278B"/>
    <w:rsid w:val="001A59C0"/>
    <w:rsid w:val="001B39E8"/>
    <w:rsid w:val="001B5F87"/>
    <w:rsid w:val="001B6BD3"/>
    <w:rsid w:val="001C0358"/>
    <w:rsid w:val="001C0FDE"/>
    <w:rsid w:val="001C742F"/>
    <w:rsid w:val="001D1C1B"/>
    <w:rsid w:val="001D4C6C"/>
    <w:rsid w:val="001F5DE4"/>
    <w:rsid w:val="00206E69"/>
    <w:rsid w:val="00207628"/>
    <w:rsid w:val="002111B5"/>
    <w:rsid w:val="00212CA5"/>
    <w:rsid w:val="002130B0"/>
    <w:rsid w:val="00220DDF"/>
    <w:rsid w:val="002225EB"/>
    <w:rsid w:val="00222A8E"/>
    <w:rsid w:val="002269C6"/>
    <w:rsid w:val="00226EB2"/>
    <w:rsid w:val="0023542C"/>
    <w:rsid w:val="00236ED8"/>
    <w:rsid w:val="0024348A"/>
    <w:rsid w:val="00250D09"/>
    <w:rsid w:val="0025277C"/>
    <w:rsid w:val="00253A91"/>
    <w:rsid w:val="002560FA"/>
    <w:rsid w:val="002627D0"/>
    <w:rsid w:val="00263F05"/>
    <w:rsid w:val="00266297"/>
    <w:rsid w:val="00266671"/>
    <w:rsid w:val="00270F72"/>
    <w:rsid w:val="00274E4B"/>
    <w:rsid w:val="00276042"/>
    <w:rsid w:val="002774E4"/>
    <w:rsid w:val="002817DE"/>
    <w:rsid w:val="002828E8"/>
    <w:rsid w:val="00284A91"/>
    <w:rsid w:val="0028653E"/>
    <w:rsid w:val="00290DDE"/>
    <w:rsid w:val="00297C11"/>
    <w:rsid w:val="002A533A"/>
    <w:rsid w:val="002A6835"/>
    <w:rsid w:val="002C2982"/>
    <w:rsid w:val="002C5E34"/>
    <w:rsid w:val="002C7920"/>
    <w:rsid w:val="002D5DEB"/>
    <w:rsid w:val="002F270D"/>
    <w:rsid w:val="002F32AD"/>
    <w:rsid w:val="002F7950"/>
    <w:rsid w:val="00303FBF"/>
    <w:rsid w:val="00307C90"/>
    <w:rsid w:val="00312758"/>
    <w:rsid w:val="00315A4E"/>
    <w:rsid w:val="00320203"/>
    <w:rsid w:val="00326A88"/>
    <w:rsid w:val="00327E7A"/>
    <w:rsid w:val="0033091F"/>
    <w:rsid w:val="003316B7"/>
    <w:rsid w:val="00334404"/>
    <w:rsid w:val="00334B48"/>
    <w:rsid w:val="00340ED4"/>
    <w:rsid w:val="003532DE"/>
    <w:rsid w:val="00356B91"/>
    <w:rsid w:val="00367F28"/>
    <w:rsid w:val="0037003C"/>
    <w:rsid w:val="003710D5"/>
    <w:rsid w:val="00371DDC"/>
    <w:rsid w:val="00373D2A"/>
    <w:rsid w:val="00374FB6"/>
    <w:rsid w:val="00376DD6"/>
    <w:rsid w:val="00380DEF"/>
    <w:rsid w:val="00382903"/>
    <w:rsid w:val="003858C7"/>
    <w:rsid w:val="00391485"/>
    <w:rsid w:val="0039211D"/>
    <w:rsid w:val="00392BBB"/>
    <w:rsid w:val="003976B0"/>
    <w:rsid w:val="003A2BEF"/>
    <w:rsid w:val="003B1E65"/>
    <w:rsid w:val="003C0BB7"/>
    <w:rsid w:val="003C4552"/>
    <w:rsid w:val="003C54A7"/>
    <w:rsid w:val="003D43E3"/>
    <w:rsid w:val="003E29DF"/>
    <w:rsid w:val="003F495A"/>
    <w:rsid w:val="003F5511"/>
    <w:rsid w:val="00400894"/>
    <w:rsid w:val="004017BA"/>
    <w:rsid w:val="004021F0"/>
    <w:rsid w:val="00405669"/>
    <w:rsid w:val="00407B80"/>
    <w:rsid w:val="0041125E"/>
    <w:rsid w:val="00411B9D"/>
    <w:rsid w:val="00416813"/>
    <w:rsid w:val="004227E7"/>
    <w:rsid w:val="00424006"/>
    <w:rsid w:val="0042485D"/>
    <w:rsid w:val="0042580B"/>
    <w:rsid w:val="00426EB2"/>
    <w:rsid w:val="00436990"/>
    <w:rsid w:val="0044633C"/>
    <w:rsid w:val="00454826"/>
    <w:rsid w:val="0045486B"/>
    <w:rsid w:val="00454CCE"/>
    <w:rsid w:val="00464785"/>
    <w:rsid w:val="004648D9"/>
    <w:rsid w:val="00464EF5"/>
    <w:rsid w:val="0047343E"/>
    <w:rsid w:val="0048234E"/>
    <w:rsid w:val="004849E5"/>
    <w:rsid w:val="00491BF0"/>
    <w:rsid w:val="00492D5F"/>
    <w:rsid w:val="0049713D"/>
    <w:rsid w:val="004B5DDA"/>
    <w:rsid w:val="004C0E81"/>
    <w:rsid w:val="004C1D5F"/>
    <w:rsid w:val="004C4343"/>
    <w:rsid w:val="004C5477"/>
    <w:rsid w:val="004E1453"/>
    <w:rsid w:val="004E31D3"/>
    <w:rsid w:val="004E3A19"/>
    <w:rsid w:val="004E3EBA"/>
    <w:rsid w:val="004F0C6B"/>
    <w:rsid w:val="004F2DA6"/>
    <w:rsid w:val="005018AD"/>
    <w:rsid w:val="0050371C"/>
    <w:rsid w:val="00507913"/>
    <w:rsid w:val="005137DA"/>
    <w:rsid w:val="00522C2C"/>
    <w:rsid w:val="00534447"/>
    <w:rsid w:val="005367D5"/>
    <w:rsid w:val="00540945"/>
    <w:rsid w:val="00545E73"/>
    <w:rsid w:val="00551057"/>
    <w:rsid w:val="00551E63"/>
    <w:rsid w:val="005528AB"/>
    <w:rsid w:val="0055766F"/>
    <w:rsid w:val="00565D6E"/>
    <w:rsid w:val="00573E3C"/>
    <w:rsid w:val="00577D8D"/>
    <w:rsid w:val="00581625"/>
    <w:rsid w:val="00582AEC"/>
    <w:rsid w:val="0058492D"/>
    <w:rsid w:val="00590ABA"/>
    <w:rsid w:val="00591D89"/>
    <w:rsid w:val="0059597A"/>
    <w:rsid w:val="00595D6C"/>
    <w:rsid w:val="005A25FD"/>
    <w:rsid w:val="005A4DB0"/>
    <w:rsid w:val="005A5B75"/>
    <w:rsid w:val="005B25B7"/>
    <w:rsid w:val="005B6D2B"/>
    <w:rsid w:val="005C2241"/>
    <w:rsid w:val="005C4A0A"/>
    <w:rsid w:val="005D2141"/>
    <w:rsid w:val="005D3B56"/>
    <w:rsid w:val="005D564B"/>
    <w:rsid w:val="005F34A4"/>
    <w:rsid w:val="005F4E5C"/>
    <w:rsid w:val="00601992"/>
    <w:rsid w:val="00604FFF"/>
    <w:rsid w:val="00605422"/>
    <w:rsid w:val="00614171"/>
    <w:rsid w:val="006141E6"/>
    <w:rsid w:val="00625757"/>
    <w:rsid w:val="00665D8C"/>
    <w:rsid w:val="00665E24"/>
    <w:rsid w:val="006752A3"/>
    <w:rsid w:val="00675CC5"/>
    <w:rsid w:val="00680899"/>
    <w:rsid w:val="00687FA3"/>
    <w:rsid w:val="00693959"/>
    <w:rsid w:val="006951CC"/>
    <w:rsid w:val="00695746"/>
    <w:rsid w:val="00697026"/>
    <w:rsid w:val="006978C6"/>
    <w:rsid w:val="006A1920"/>
    <w:rsid w:val="006A3349"/>
    <w:rsid w:val="006A6AD0"/>
    <w:rsid w:val="006C2D70"/>
    <w:rsid w:val="006C4AC8"/>
    <w:rsid w:val="006C740F"/>
    <w:rsid w:val="006C7425"/>
    <w:rsid w:val="006D20E2"/>
    <w:rsid w:val="006D5702"/>
    <w:rsid w:val="006E58D2"/>
    <w:rsid w:val="006E7147"/>
    <w:rsid w:val="006F314C"/>
    <w:rsid w:val="006F3299"/>
    <w:rsid w:val="006F566D"/>
    <w:rsid w:val="006F7320"/>
    <w:rsid w:val="00703DC7"/>
    <w:rsid w:val="00707305"/>
    <w:rsid w:val="0072072A"/>
    <w:rsid w:val="0073324A"/>
    <w:rsid w:val="007445B8"/>
    <w:rsid w:val="00745DE1"/>
    <w:rsid w:val="00746443"/>
    <w:rsid w:val="00752ECA"/>
    <w:rsid w:val="00755600"/>
    <w:rsid w:val="007621ED"/>
    <w:rsid w:val="00766003"/>
    <w:rsid w:val="00766447"/>
    <w:rsid w:val="0076760B"/>
    <w:rsid w:val="00770840"/>
    <w:rsid w:val="007708E8"/>
    <w:rsid w:val="0077232C"/>
    <w:rsid w:val="00781CE3"/>
    <w:rsid w:val="007906E6"/>
    <w:rsid w:val="00795B0B"/>
    <w:rsid w:val="007A14D7"/>
    <w:rsid w:val="007A1DB0"/>
    <w:rsid w:val="007A3806"/>
    <w:rsid w:val="007A6B2A"/>
    <w:rsid w:val="007A793D"/>
    <w:rsid w:val="007A7FB4"/>
    <w:rsid w:val="007B1895"/>
    <w:rsid w:val="007C5F5D"/>
    <w:rsid w:val="007C71D9"/>
    <w:rsid w:val="007D5B2E"/>
    <w:rsid w:val="007E3B7B"/>
    <w:rsid w:val="007E3C85"/>
    <w:rsid w:val="007E7D51"/>
    <w:rsid w:val="007F026A"/>
    <w:rsid w:val="007F22F9"/>
    <w:rsid w:val="007F242D"/>
    <w:rsid w:val="007F7E13"/>
    <w:rsid w:val="00800B17"/>
    <w:rsid w:val="008016CC"/>
    <w:rsid w:val="008123E9"/>
    <w:rsid w:val="00815394"/>
    <w:rsid w:val="00822271"/>
    <w:rsid w:val="008241C6"/>
    <w:rsid w:val="0082666F"/>
    <w:rsid w:val="00827A4B"/>
    <w:rsid w:val="00827B39"/>
    <w:rsid w:val="00827E0A"/>
    <w:rsid w:val="00833633"/>
    <w:rsid w:val="0083596D"/>
    <w:rsid w:val="00850BDB"/>
    <w:rsid w:val="00851274"/>
    <w:rsid w:val="0085463D"/>
    <w:rsid w:val="008575A6"/>
    <w:rsid w:val="0086087D"/>
    <w:rsid w:val="0086109A"/>
    <w:rsid w:val="00861AAA"/>
    <w:rsid w:val="00861B71"/>
    <w:rsid w:val="00864D21"/>
    <w:rsid w:val="00873575"/>
    <w:rsid w:val="0087405A"/>
    <w:rsid w:val="00875368"/>
    <w:rsid w:val="008820FB"/>
    <w:rsid w:val="00894F26"/>
    <w:rsid w:val="008A4AA6"/>
    <w:rsid w:val="008A66CA"/>
    <w:rsid w:val="008B560F"/>
    <w:rsid w:val="008B6262"/>
    <w:rsid w:val="008C2021"/>
    <w:rsid w:val="008D0BD6"/>
    <w:rsid w:val="008D4B3B"/>
    <w:rsid w:val="008E05DB"/>
    <w:rsid w:val="008E210C"/>
    <w:rsid w:val="008F2B79"/>
    <w:rsid w:val="008F5081"/>
    <w:rsid w:val="0090453B"/>
    <w:rsid w:val="00907014"/>
    <w:rsid w:val="0091029F"/>
    <w:rsid w:val="0091170D"/>
    <w:rsid w:val="0091182B"/>
    <w:rsid w:val="0091221E"/>
    <w:rsid w:val="00922AC9"/>
    <w:rsid w:val="00924014"/>
    <w:rsid w:val="00926FF0"/>
    <w:rsid w:val="00933B61"/>
    <w:rsid w:val="0094256B"/>
    <w:rsid w:val="00942B5B"/>
    <w:rsid w:val="00943161"/>
    <w:rsid w:val="00960994"/>
    <w:rsid w:val="009668B4"/>
    <w:rsid w:val="00967A16"/>
    <w:rsid w:val="00975EB5"/>
    <w:rsid w:val="00976A67"/>
    <w:rsid w:val="00977514"/>
    <w:rsid w:val="00981A3D"/>
    <w:rsid w:val="00984081"/>
    <w:rsid w:val="0099013B"/>
    <w:rsid w:val="0099094B"/>
    <w:rsid w:val="00993693"/>
    <w:rsid w:val="00993777"/>
    <w:rsid w:val="009938BE"/>
    <w:rsid w:val="0099713F"/>
    <w:rsid w:val="009B10D5"/>
    <w:rsid w:val="009B4583"/>
    <w:rsid w:val="009B4689"/>
    <w:rsid w:val="009B4985"/>
    <w:rsid w:val="009B54DF"/>
    <w:rsid w:val="009C63F6"/>
    <w:rsid w:val="009D76EB"/>
    <w:rsid w:val="009E095A"/>
    <w:rsid w:val="009E0ABF"/>
    <w:rsid w:val="009E6EC6"/>
    <w:rsid w:val="009F1BF8"/>
    <w:rsid w:val="009F2ED7"/>
    <w:rsid w:val="009F6A59"/>
    <w:rsid w:val="00A03514"/>
    <w:rsid w:val="00A04024"/>
    <w:rsid w:val="00A0425B"/>
    <w:rsid w:val="00A05740"/>
    <w:rsid w:val="00A1143A"/>
    <w:rsid w:val="00A210E4"/>
    <w:rsid w:val="00A222A3"/>
    <w:rsid w:val="00A22C97"/>
    <w:rsid w:val="00A252DD"/>
    <w:rsid w:val="00A30CD0"/>
    <w:rsid w:val="00A334FB"/>
    <w:rsid w:val="00A355F6"/>
    <w:rsid w:val="00A46209"/>
    <w:rsid w:val="00A46E6E"/>
    <w:rsid w:val="00A62A84"/>
    <w:rsid w:val="00A75A66"/>
    <w:rsid w:val="00A846B4"/>
    <w:rsid w:val="00A86A65"/>
    <w:rsid w:val="00A908FD"/>
    <w:rsid w:val="00A936C0"/>
    <w:rsid w:val="00A96122"/>
    <w:rsid w:val="00AA6885"/>
    <w:rsid w:val="00AB0834"/>
    <w:rsid w:val="00AB1510"/>
    <w:rsid w:val="00AB5D84"/>
    <w:rsid w:val="00AB66FB"/>
    <w:rsid w:val="00AC7515"/>
    <w:rsid w:val="00AD113F"/>
    <w:rsid w:val="00AE1737"/>
    <w:rsid w:val="00AE35A1"/>
    <w:rsid w:val="00AF26A9"/>
    <w:rsid w:val="00AF7525"/>
    <w:rsid w:val="00B03583"/>
    <w:rsid w:val="00B21319"/>
    <w:rsid w:val="00B30F62"/>
    <w:rsid w:val="00B67006"/>
    <w:rsid w:val="00B70FD9"/>
    <w:rsid w:val="00B72436"/>
    <w:rsid w:val="00B75B88"/>
    <w:rsid w:val="00B906D6"/>
    <w:rsid w:val="00B907FB"/>
    <w:rsid w:val="00BA30B5"/>
    <w:rsid w:val="00BB6B18"/>
    <w:rsid w:val="00BD5B29"/>
    <w:rsid w:val="00BE2AD3"/>
    <w:rsid w:val="00BE6D81"/>
    <w:rsid w:val="00BE75C1"/>
    <w:rsid w:val="00C02B50"/>
    <w:rsid w:val="00C04224"/>
    <w:rsid w:val="00C122C6"/>
    <w:rsid w:val="00C15209"/>
    <w:rsid w:val="00C16F88"/>
    <w:rsid w:val="00C206DE"/>
    <w:rsid w:val="00C20F64"/>
    <w:rsid w:val="00C3173E"/>
    <w:rsid w:val="00C32AF1"/>
    <w:rsid w:val="00C33087"/>
    <w:rsid w:val="00C3432B"/>
    <w:rsid w:val="00C373FC"/>
    <w:rsid w:val="00C41B6C"/>
    <w:rsid w:val="00C41D73"/>
    <w:rsid w:val="00C45142"/>
    <w:rsid w:val="00C46B82"/>
    <w:rsid w:val="00C5156F"/>
    <w:rsid w:val="00C525EA"/>
    <w:rsid w:val="00C55F1E"/>
    <w:rsid w:val="00C64BA7"/>
    <w:rsid w:val="00C664D4"/>
    <w:rsid w:val="00C73B37"/>
    <w:rsid w:val="00C82A75"/>
    <w:rsid w:val="00C8604A"/>
    <w:rsid w:val="00C86343"/>
    <w:rsid w:val="00C93B6F"/>
    <w:rsid w:val="00C96BF5"/>
    <w:rsid w:val="00C97E71"/>
    <w:rsid w:val="00CA0DFC"/>
    <w:rsid w:val="00CA7729"/>
    <w:rsid w:val="00CB2881"/>
    <w:rsid w:val="00CB5930"/>
    <w:rsid w:val="00CB7D1C"/>
    <w:rsid w:val="00CC1D98"/>
    <w:rsid w:val="00CC1FE4"/>
    <w:rsid w:val="00CC617A"/>
    <w:rsid w:val="00CD2BC3"/>
    <w:rsid w:val="00CD7144"/>
    <w:rsid w:val="00CD7D73"/>
    <w:rsid w:val="00CE3214"/>
    <w:rsid w:val="00CE4C3C"/>
    <w:rsid w:val="00CE62DB"/>
    <w:rsid w:val="00CF3B16"/>
    <w:rsid w:val="00D01A41"/>
    <w:rsid w:val="00D0219E"/>
    <w:rsid w:val="00D04417"/>
    <w:rsid w:val="00D16893"/>
    <w:rsid w:val="00D175E4"/>
    <w:rsid w:val="00D2106E"/>
    <w:rsid w:val="00D21CDB"/>
    <w:rsid w:val="00D23B70"/>
    <w:rsid w:val="00D30409"/>
    <w:rsid w:val="00D35D46"/>
    <w:rsid w:val="00D40213"/>
    <w:rsid w:val="00D41A80"/>
    <w:rsid w:val="00D430AA"/>
    <w:rsid w:val="00D448C9"/>
    <w:rsid w:val="00D4609C"/>
    <w:rsid w:val="00D512D9"/>
    <w:rsid w:val="00D541E0"/>
    <w:rsid w:val="00D561C6"/>
    <w:rsid w:val="00D60292"/>
    <w:rsid w:val="00D63589"/>
    <w:rsid w:val="00D67623"/>
    <w:rsid w:val="00D712C2"/>
    <w:rsid w:val="00D733DA"/>
    <w:rsid w:val="00D747CF"/>
    <w:rsid w:val="00D74E9D"/>
    <w:rsid w:val="00D76201"/>
    <w:rsid w:val="00D94B72"/>
    <w:rsid w:val="00DB24B8"/>
    <w:rsid w:val="00DC1274"/>
    <w:rsid w:val="00DC13E7"/>
    <w:rsid w:val="00DC1BAC"/>
    <w:rsid w:val="00DC2DE4"/>
    <w:rsid w:val="00DC59C5"/>
    <w:rsid w:val="00DD4A28"/>
    <w:rsid w:val="00DD653E"/>
    <w:rsid w:val="00DE16CC"/>
    <w:rsid w:val="00DE410B"/>
    <w:rsid w:val="00DF04C7"/>
    <w:rsid w:val="00DF5868"/>
    <w:rsid w:val="00E01763"/>
    <w:rsid w:val="00E0563F"/>
    <w:rsid w:val="00E074AF"/>
    <w:rsid w:val="00E07E7F"/>
    <w:rsid w:val="00E14488"/>
    <w:rsid w:val="00E16219"/>
    <w:rsid w:val="00E227CA"/>
    <w:rsid w:val="00E23F7B"/>
    <w:rsid w:val="00E32D70"/>
    <w:rsid w:val="00E365CC"/>
    <w:rsid w:val="00E42928"/>
    <w:rsid w:val="00E43408"/>
    <w:rsid w:val="00E44395"/>
    <w:rsid w:val="00E51A1B"/>
    <w:rsid w:val="00E530A4"/>
    <w:rsid w:val="00E578CA"/>
    <w:rsid w:val="00E60F07"/>
    <w:rsid w:val="00E637C8"/>
    <w:rsid w:val="00E641A8"/>
    <w:rsid w:val="00E73E5A"/>
    <w:rsid w:val="00E80D6F"/>
    <w:rsid w:val="00E8312D"/>
    <w:rsid w:val="00E83A9A"/>
    <w:rsid w:val="00E862C2"/>
    <w:rsid w:val="00E916BA"/>
    <w:rsid w:val="00E9251D"/>
    <w:rsid w:val="00E9506C"/>
    <w:rsid w:val="00E97630"/>
    <w:rsid w:val="00EA26A5"/>
    <w:rsid w:val="00EA4852"/>
    <w:rsid w:val="00EB18D8"/>
    <w:rsid w:val="00EB1D65"/>
    <w:rsid w:val="00EC4A03"/>
    <w:rsid w:val="00EC58EA"/>
    <w:rsid w:val="00ED1514"/>
    <w:rsid w:val="00ED471F"/>
    <w:rsid w:val="00ED4B18"/>
    <w:rsid w:val="00EE3FBC"/>
    <w:rsid w:val="00EF7B88"/>
    <w:rsid w:val="00F0057B"/>
    <w:rsid w:val="00F1331A"/>
    <w:rsid w:val="00F208ED"/>
    <w:rsid w:val="00F21F2B"/>
    <w:rsid w:val="00F2552C"/>
    <w:rsid w:val="00F30723"/>
    <w:rsid w:val="00F320BC"/>
    <w:rsid w:val="00F40B1C"/>
    <w:rsid w:val="00F46EF1"/>
    <w:rsid w:val="00F52119"/>
    <w:rsid w:val="00F64CB4"/>
    <w:rsid w:val="00F67C2D"/>
    <w:rsid w:val="00F73D95"/>
    <w:rsid w:val="00F76D57"/>
    <w:rsid w:val="00F86D79"/>
    <w:rsid w:val="00F873B5"/>
    <w:rsid w:val="00F87A3B"/>
    <w:rsid w:val="00F97DC8"/>
    <w:rsid w:val="00FA0641"/>
    <w:rsid w:val="00FA1003"/>
    <w:rsid w:val="00FA3FA7"/>
    <w:rsid w:val="00FA5C59"/>
    <w:rsid w:val="00FA6CFA"/>
    <w:rsid w:val="00FB40B2"/>
    <w:rsid w:val="00FB46E0"/>
    <w:rsid w:val="00FC1A45"/>
    <w:rsid w:val="00FC40C3"/>
    <w:rsid w:val="00FC600A"/>
    <w:rsid w:val="00FC6399"/>
    <w:rsid w:val="00FC78A6"/>
    <w:rsid w:val="00FD6F3F"/>
    <w:rsid w:val="00FE7050"/>
    <w:rsid w:val="00FE755E"/>
    <w:rsid w:val="00FF3178"/>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8739-B27C-4488-8D7A-040D5CBC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Wilcox, Jenna</cp:lastModifiedBy>
  <cp:revision>3</cp:revision>
  <cp:lastPrinted>2012-01-24T19:49:00Z</cp:lastPrinted>
  <dcterms:created xsi:type="dcterms:W3CDTF">2012-01-25T15:52:00Z</dcterms:created>
  <dcterms:modified xsi:type="dcterms:W3CDTF">2012-02-02T20:25:00Z</dcterms:modified>
</cp:coreProperties>
</file>