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7C38BA">
        <w:rPr>
          <w:sz w:val="26"/>
          <w:szCs w:val="26"/>
        </w:rPr>
        <w:t>February 16, 2012</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7A4D34" w:rsidRDefault="009304FE" w:rsidP="009304FE">
      <w:pPr>
        <w:rPr>
          <w:sz w:val="26"/>
          <w:szCs w:val="26"/>
        </w:rPr>
      </w:pPr>
      <w:r>
        <w:rPr>
          <w:sz w:val="26"/>
          <w:szCs w:val="26"/>
        </w:rPr>
        <w:tab/>
      </w:r>
      <w:r w:rsidR="00F26978" w:rsidRPr="007A4D34">
        <w:rPr>
          <w:sz w:val="26"/>
          <w:szCs w:val="26"/>
        </w:rPr>
        <w:t xml:space="preserve">Robert F. </w:t>
      </w:r>
      <w:proofErr w:type="spellStart"/>
      <w:r w:rsidR="00F26978" w:rsidRPr="007A4D34">
        <w:rPr>
          <w:sz w:val="26"/>
          <w:szCs w:val="26"/>
        </w:rPr>
        <w:t>Powelson</w:t>
      </w:r>
      <w:proofErr w:type="spellEnd"/>
      <w:r w:rsidRPr="007A4D34">
        <w:rPr>
          <w:sz w:val="26"/>
          <w:szCs w:val="26"/>
        </w:rPr>
        <w:t>, Chairman</w:t>
      </w:r>
    </w:p>
    <w:p w:rsidR="009304FE" w:rsidRPr="007A4D34" w:rsidRDefault="009304FE" w:rsidP="009304FE">
      <w:pPr>
        <w:rPr>
          <w:sz w:val="26"/>
          <w:szCs w:val="26"/>
        </w:rPr>
      </w:pPr>
      <w:r w:rsidRPr="007A4D34">
        <w:rPr>
          <w:sz w:val="26"/>
          <w:szCs w:val="26"/>
        </w:rPr>
        <w:tab/>
        <w:t>J</w:t>
      </w:r>
      <w:r w:rsidR="00F26978" w:rsidRPr="007A4D34">
        <w:rPr>
          <w:sz w:val="26"/>
          <w:szCs w:val="26"/>
        </w:rPr>
        <w:t>ohn F. Coleman, Jr.,</w:t>
      </w:r>
      <w:r w:rsidRPr="007A4D34">
        <w:rPr>
          <w:sz w:val="26"/>
          <w:szCs w:val="26"/>
        </w:rPr>
        <w:t xml:space="preserve"> Vice Chairman</w:t>
      </w:r>
    </w:p>
    <w:p w:rsidR="009304FE" w:rsidRPr="007A4D34" w:rsidRDefault="001C7F88" w:rsidP="009304FE">
      <w:pPr>
        <w:rPr>
          <w:sz w:val="26"/>
          <w:szCs w:val="26"/>
        </w:rPr>
      </w:pPr>
      <w:r w:rsidRPr="007A4D34">
        <w:rPr>
          <w:sz w:val="26"/>
          <w:szCs w:val="26"/>
        </w:rPr>
        <w:tab/>
      </w:r>
      <w:r w:rsidR="009304FE" w:rsidRPr="007A4D34">
        <w:rPr>
          <w:sz w:val="26"/>
          <w:szCs w:val="26"/>
        </w:rPr>
        <w:t>Wayne E. Gardner</w:t>
      </w:r>
    </w:p>
    <w:p w:rsidR="009304FE" w:rsidRPr="007A4D34" w:rsidRDefault="009304FE" w:rsidP="009304FE">
      <w:pPr>
        <w:rPr>
          <w:sz w:val="26"/>
          <w:szCs w:val="26"/>
        </w:rPr>
      </w:pPr>
      <w:r w:rsidRPr="007A4D34">
        <w:rPr>
          <w:sz w:val="26"/>
          <w:szCs w:val="26"/>
        </w:rPr>
        <w:tab/>
      </w:r>
      <w:r w:rsidR="00F26978" w:rsidRPr="007A4D34">
        <w:rPr>
          <w:sz w:val="26"/>
          <w:szCs w:val="26"/>
        </w:rPr>
        <w:t xml:space="preserve">James H. </w:t>
      </w:r>
      <w:proofErr w:type="spellStart"/>
      <w:r w:rsidR="00F26978" w:rsidRPr="007A4D34">
        <w:rPr>
          <w:sz w:val="26"/>
          <w:szCs w:val="26"/>
        </w:rPr>
        <w:t>Cawley</w:t>
      </w:r>
      <w:proofErr w:type="spellEnd"/>
      <w:r w:rsidR="00F26978" w:rsidRPr="007A4D34">
        <w:rPr>
          <w:sz w:val="26"/>
          <w:szCs w:val="26"/>
        </w:rPr>
        <w:t xml:space="preserve"> </w:t>
      </w:r>
    </w:p>
    <w:p w:rsidR="00F26978" w:rsidRPr="007A4D34" w:rsidRDefault="000D53A6" w:rsidP="00F26978">
      <w:pPr>
        <w:rPr>
          <w:sz w:val="26"/>
        </w:rPr>
      </w:pPr>
      <w:r w:rsidRPr="007A4D34">
        <w:rPr>
          <w:sz w:val="26"/>
        </w:rPr>
        <w:tab/>
      </w:r>
      <w:r w:rsidR="007A4D34" w:rsidRPr="007A4D34">
        <w:rPr>
          <w:sz w:val="26"/>
        </w:rPr>
        <w:t xml:space="preserve">Pamela A. Witmer </w:t>
      </w:r>
    </w:p>
    <w:p w:rsidR="00275261" w:rsidRDefault="00275261" w:rsidP="009304FE">
      <w:pPr>
        <w:tabs>
          <w:tab w:val="left" w:pos="-720"/>
          <w:tab w:val="left" w:pos="0"/>
        </w:tabs>
        <w:suppressAutoHyphens/>
        <w:rPr>
          <w:sz w:val="26"/>
          <w:szCs w:val="26"/>
        </w:rPr>
      </w:pPr>
    </w:p>
    <w:p w:rsidR="000D53A6" w:rsidRDefault="000D53A6" w:rsidP="009304FE">
      <w:pPr>
        <w:tabs>
          <w:tab w:val="left" w:pos="-720"/>
          <w:tab w:val="left" w:pos="0"/>
        </w:tabs>
        <w:suppressAutoHyphens/>
        <w:rPr>
          <w:sz w:val="26"/>
          <w:szCs w:val="26"/>
        </w:rPr>
      </w:pPr>
    </w:p>
    <w:p w:rsidR="00BC321A" w:rsidRDefault="007C38BA" w:rsidP="009304FE">
      <w:pPr>
        <w:tabs>
          <w:tab w:val="left" w:pos="-720"/>
          <w:tab w:val="left" w:pos="0"/>
        </w:tabs>
        <w:suppressAutoHyphens/>
        <w:rPr>
          <w:sz w:val="26"/>
          <w:szCs w:val="26"/>
        </w:rPr>
      </w:pPr>
      <w:r>
        <w:rPr>
          <w:sz w:val="26"/>
          <w:szCs w:val="26"/>
        </w:rPr>
        <w:t>Donna Sue Parsons</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C-2010-21</w:t>
      </w:r>
      <w:r>
        <w:rPr>
          <w:sz w:val="26"/>
          <w:szCs w:val="26"/>
        </w:rPr>
        <w:t>77252</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7C38BA" w:rsidP="009304FE">
      <w:pPr>
        <w:tabs>
          <w:tab w:val="left" w:pos="-720"/>
          <w:tab w:val="left" w:pos="0"/>
        </w:tabs>
        <w:suppressAutoHyphens/>
        <w:rPr>
          <w:sz w:val="26"/>
          <w:szCs w:val="26"/>
        </w:rPr>
      </w:pPr>
      <w:r>
        <w:rPr>
          <w:sz w:val="26"/>
          <w:szCs w:val="26"/>
        </w:rPr>
        <w:t>West Penn Power</w:t>
      </w:r>
      <w:r w:rsidR="00275261">
        <w:rPr>
          <w:sz w:val="26"/>
          <w:szCs w:val="26"/>
        </w:rPr>
        <w:t xml:space="preserve"> Company </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4A1200">
        <w:rPr>
          <w:sz w:val="26"/>
          <w:szCs w:val="26"/>
        </w:rPr>
        <w:t xml:space="preserve">filed by </w:t>
      </w:r>
      <w:r w:rsidR="007C38BA">
        <w:rPr>
          <w:sz w:val="26"/>
          <w:szCs w:val="26"/>
        </w:rPr>
        <w:t>Donna Sue Parsons</w:t>
      </w:r>
      <w:r w:rsidR="004A1200">
        <w:rPr>
          <w:sz w:val="26"/>
          <w:szCs w:val="26"/>
        </w:rPr>
        <w:t xml:space="preserve"> </w:t>
      </w:r>
      <w:r w:rsidR="007C38BA">
        <w:rPr>
          <w:sz w:val="26"/>
          <w:szCs w:val="26"/>
        </w:rPr>
        <w:t>(</w:t>
      </w:r>
      <w:r w:rsidR="00B73E69">
        <w:rPr>
          <w:sz w:val="26"/>
          <w:szCs w:val="26"/>
        </w:rPr>
        <w:t xml:space="preserve">Complainant), </w:t>
      </w:r>
      <w:r w:rsidR="004A1200">
        <w:rPr>
          <w:sz w:val="26"/>
          <w:szCs w:val="26"/>
        </w:rPr>
        <w:t xml:space="preserve">on </w:t>
      </w:r>
      <w:r w:rsidR="003A4EEB">
        <w:rPr>
          <w:sz w:val="26"/>
          <w:szCs w:val="26"/>
        </w:rPr>
        <w:t>August 15, 2011</w:t>
      </w:r>
      <w:r w:rsidR="004949E6">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2652DF">
        <w:rPr>
          <w:sz w:val="26"/>
          <w:szCs w:val="26"/>
        </w:rPr>
        <w:t xml:space="preserve"> </w:t>
      </w:r>
      <w:r w:rsidR="007C38BA">
        <w:rPr>
          <w:sz w:val="26"/>
          <w:szCs w:val="26"/>
        </w:rPr>
        <w:t>John H. Corbett, Jr.</w:t>
      </w:r>
      <w:r w:rsidR="009304FE" w:rsidRPr="00585188">
        <w:rPr>
          <w:sz w:val="26"/>
          <w:szCs w:val="26"/>
        </w:rPr>
        <w:t>, issued</w:t>
      </w:r>
      <w:r w:rsidR="00E61A27">
        <w:rPr>
          <w:sz w:val="26"/>
          <w:szCs w:val="26"/>
        </w:rPr>
        <w:t xml:space="preserve"> </w:t>
      </w:r>
      <w:r w:rsidR="007C68BA">
        <w:rPr>
          <w:sz w:val="26"/>
          <w:szCs w:val="26"/>
        </w:rPr>
        <w:t xml:space="preserve">on </w:t>
      </w:r>
      <w:r w:rsidR="007C38BA">
        <w:rPr>
          <w:sz w:val="26"/>
          <w:szCs w:val="26"/>
        </w:rPr>
        <w:t>July 26,</w:t>
      </w:r>
      <w:r w:rsidR="004949E6">
        <w:rPr>
          <w:sz w:val="26"/>
          <w:szCs w:val="26"/>
        </w:rPr>
        <w:t xml:space="preserve"> 2011.  </w:t>
      </w:r>
      <w:r w:rsidR="007C38BA">
        <w:rPr>
          <w:sz w:val="26"/>
          <w:szCs w:val="26"/>
        </w:rPr>
        <w:t xml:space="preserve">West Penn Power Company (West Penn) filed </w:t>
      </w:r>
      <w:r w:rsidR="00C2713B">
        <w:rPr>
          <w:sz w:val="26"/>
          <w:szCs w:val="26"/>
        </w:rPr>
        <w:t xml:space="preserve">Replies to Exceptions </w:t>
      </w:r>
      <w:r w:rsidR="007C38BA">
        <w:rPr>
          <w:sz w:val="26"/>
          <w:szCs w:val="26"/>
        </w:rPr>
        <w:t xml:space="preserve">on </w:t>
      </w:r>
      <w:r w:rsidR="003A4EEB">
        <w:rPr>
          <w:sz w:val="26"/>
          <w:szCs w:val="26"/>
        </w:rPr>
        <w:t>August 26,</w:t>
      </w:r>
      <w:r w:rsidR="009F6096">
        <w:rPr>
          <w:sz w:val="26"/>
          <w:szCs w:val="26"/>
        </w:rPr>
        <w:t xml:space="preserve"> </w:t>
      </w:r>
      <w:r w:rsidR="003A4EEB">
        <w:rPr>
          <w:sz w:val="26"/>
          <w:szCs w:val="26"/>
        </w:rPr>
        <w:t>2011</w:t>
      </w:r>
      <w:r w:rsidR="007C38BA">
        <w:rPr>
          <w:sz w:val="26"/>
          <w:szCs w:val="26"/>
        </w:rPr>
        <w:t>.</w:t>
      </w:r>
      <w:r w:rsidR="00C2713B">
        <w:rPr>
          <w:sz w:val="26"/>
          <w:szCs w:val="26"/>
        </w:rPr>
        <w:t xml:space="preserve"> </w:t>
      </w:r>
      <w:r w:rsidR="00966051">
        <w:rPr>
          <w:sz w:val="26"/>
          <w:szCs w:val="26"/>
        </w:rPr>
        <w:t xml:space="preserve"> For the reasons stated below, we</w:t>
      </w:r>
      <w:r w:rsidR="00300C9D">
        <w:rPr>
          <w:sz w:val="26"/>
          <w:szCs w:val="26"/>
        </w:rPr>
        <w:t xml:space="preserve"> </w:t>
      </w:r>
      <w:r w:rsidR="004949E6">
        <w:rPr>
          <w:sz w:val="26"/>
          <w:szCs w:val="26"/>
        </w:rPr>
        <w:t>de</w:t>
      </w:r>
      <w:r w:rsidR="00A6624D">
        <w:rPr>
          <w:sz w:val="26"/>
          <w:szCs w:val="26"/>
        </w:rPr>
        <w:t>ny the Exceptions</w:t>
      </w:r>
      <w:r w:rsidR="00A6624D" w:rsidRPr="00A6624D">
        <w:rPr>
          <w:sz w:val="26"/>
          <w:szCs w:val="26"/>
        </w:rPr>
        <w:t xml:space="preserve"> </w:t>
      </w:r>
      <w:r w:rsidR="00300C9D" w:rsidRPr="00A6624D">
        <w:rPr>
          <w:sz w:val="26"/>
          <w:szCs w:val="26"/>
        </w:rPr>
        <w:t xml:space="preserve">and </w:t>
      </w:r>
      <w:r w:rsidR="007C38BA">
        <w:rPr>
          <w:sz w:val="26"/>
          <w:szCs w:val="26"/>
        </w:rPr>
        <w:t>adopt</w:t>
      </w:r>
      <w:r w:rsidR="00300C9D" w:rsidRPr="00A6624D">
        <w:rPr>
          <w:sz w:val="26"/>
          <w:szCs w:val="26"/>
        </w:rPr>
        <w:t xml:space="preserve"> the </w:t>
      </w:r>
      <w:r w:rsidR="006A4113" w:rsidRPr="00A6624D">
        <w:rPr>
          <w:sz w:val="26"/>
          <w:szCs w:val="26"/>
        </w:rPr>
        <w:t xml:space="preserve">ALJ’s </w:t>
      </w:r>
      <w:r w:rsidR="00300C9D" w:rsidRPr="00A6624D">
        <w:rPr>
          <w:sz w:val="26"/>
          <w:szCs w:val="26"/>
        </w:rPr>
        <w:t>Initial Decision</w:t>
      </w:r>
      <w:r w:rsidR="004949E6">
        <w:rPr>
          <w:sz w:val="26"/>
          <w:szCs w:val="26"/>
        </w:rPr>
        <w:t>.</w:t>
      </w:r>
      <w:r w:rsidR="00814192">
        <w:rPr>
          <w:sz w:val="26"/>
          <w:szCs w:val="26"/>
        </w:rPr>
        <w:t xml:space="preserve">   </w:t>
      </w:r>
      <w:r w:rsidR="00A6624D">
        <w:rPr>
          <w:sz w:val="26"/>
          <w:szCs w:val="26"/>
        </w:rPr>
        <w:t xml:space="preserve">  </w:t>
      </w:r>
      <w:r w:rsidR="00874DEF" w:rsidRPr="00A6624D">
        <w:rPr>
          <w:sz w:val="26"/>
          <w:szCs w:val="26"/>
        </w:rPr>
        <w:t xml:space="preserve">  </w:t>
      </w:r>
    </w:p>
    <w:p w:rsidR="007C38BA" w:rsidRDefault="007C38BA" w:rsidP="0019214E">
      <w:pPr>
        <w:spacing w:line="360" w:lineRule="auto"/>
        <w:rPr>
          <w:sz w:val="26"/>
          <w:szCs w:val="26"/>
        </w:rPr>
      </w:pPr>
    </w:p>
    <w:p w:rsidR="007C38BA" w:rsidRPr="00A6624D" w:rsidRDefault="007C38BA" w:rsidP="0019214E">
      <w:pPr>
        <w:spacing w:line="360" w:lineRule="auto"/>
        <w:rPr>
          <w:sz w:val="26"/>
          <w:szCs w:val="26"/>
        </w:rPr>
      </w:pPr>
    </w:p>
    <w:p w:rsidR="00966051" w:rsidRDefault="00966051" w:rsidP="0019214E">
      <w:pPr>
        <w:spacing w:line="360" w:lineRule="auto"/>
        <w:rPr>
          <w:sz w:val="26"/>
          <w:szCs w:val="26"/>
        </w:rPr>
      </w:pPr>
    </w:p>
    <w:p w:rsidR="009304FE" w:rsidRPr="00CA1972" w:rsidRDefault="00F55BED" w:rsidP="00F55BED">
      <w:pPr>
        <w:spacing w:line="360" w:lineRule="auto"/>
        <w:jc w:val="center"/>
        <w:rPr>
          <w:caps/>
          <w:sz w:val="26"/>
          <w:szCs w:val="26"/>
        </w:rPr>
      </w:pPr>
      <w:r w:rsidRPr="00CA1972">
        <w:rPr>
          <w:b/>
          <w:sz w:val="26"/>
          <w:szCs w:val="26"/>
        </w:rPr>
        <w:lastRenderedPageBreak/>
        <w:t>History of the Proceeding</w:t>
      </w:r>
    </w:p>
    <w:p w:rsidR="00527A20" w:rsidRDefault="00527A20" w:rsidP="002D5216">
      <w:pPr>
        <w:spacing w:line="360" w:lineRule="auto"/>
        <w:rPr>
          <w:sz w:val="26"/>
          <w:szCs w:val="26"/>
        </w:rPr>
      </w:pPr>
    </w:p>
    <w:p w:rsidR="00C267EF" w:rsidRDefault="00DF312F" w:rsidP="004533D3">
      <w:pPr>
        <w:spacing w:line="360" w:lineRule="auto"/>
        <w:ind w:firstLine="1440"/>
        <w:rPr>
          <w:sz w:val="26"/>
          <w:szCs w:val="26"/>
        </w:rPr>
      </w:pPr>
      <w:r>
        <w:rPr>
          <w:sz w:val="26"/>
          <w:szCs w:val="26"/>
        </w:rPr>
        <w:t xml:space="preserve">On </w:t>
      </w:r>
      <w:r w:rsidR="003A4EEB">
        <w:rPr>
          <w:sz w:val="26"/>
          <w:szCs w:val="26"/>
        </w:rPr>
        <w:t>May 7, 2010</w:t>
      </w:r>
      <w:r>
        <w:rPr>
          <w:sz w:val="26"/>
          <w:szCs w:val="26"/>
        </w:rPr>
        <w:t xml:space="preserve">, </w:t>
      </w:r>
      <w:r w:rsidR="003A4EEB">
        <w:rPr>
          <w:sz w:val="26"/>
          <w:szCs w:val="26"/>
        </w:rPr>
        <w:t>the Complainant</w:t>
      </w:r>
      <w:r w:rsidR="00AC259C">
        <w:rPr>
          <w:sz w:val="26"/>
          <w:szCs w:val="26"/>
        </w:rPr>
        <w:t xml:space="preserve"> </w:t>
      </w:r>
      <w:r>
        <w:rPr>
          <w:sz w:val="26"/>
          <w:szCs w:val="26"/>
        </w:rPr>
        <w:t>filed a Formal Complaint</w:t>
      </w:r>
      <w:r w:rsidR="00564473">
        <w:rPr>
          <w:sz w:val="26"/>
          <w:szCs w:val="26"/>
        </w:rPr>
        <w:t xml:space="preserve"> (Complaint) </w:t>
      </w:r>
      <w:r w:rsidR="0099563B">
        <w:rPr>
          <w:sz w:val="26"/>
          <w:szCs w:val="26"/>
        </w:rPr>
        <w:t xml:space="preserve">disputing certain bills she received for residential electric service.  More specifically, she </w:t>
      </w:r>
      <w:r w:rsidR="00564473">
        <w:rPr>
          <w:kern w:val="24"/>
          <w:sz w:val="26"/>
        </w:rPr>
        <w:t xml:space="preserve">alleged the following:  (1) </w:t>
      </w:r>
      <w:r w:rsidR="009F6096">
        <w:rPr>
          <w:kern w:val="24"/>
          <w:sz w:val="26"/>
        </w:rPr>
        <w:t>she</w:t>
      </w:r>
      <w:r w:rsidR="00564473">
        <w:rPr>
          <w:kern w:val="24"/>
          <w:sz w:val="26"/>
        </w:rPr>
        <w:t xml:space="preserve"> was not properly credited for payments made; (2) West Penn engaged in collection action after </w:t>
      </w:r>
      <w:r w:rsidR="009F6096">
        <w:rPr>
          <w:kern w:val="24"/>
          <w:sz w:val="26"/>
        </w:rPr>
        <w:t>she</w:t>
      </w:r>
      <w:r w:rsidR="00564473">
        <w:rPr>
          <w:kern w:val="24"/>
          <w:sz w:val="26"/>
        </w:rPr>
        <w:t xml:space="preserve"> made the payments; and (3) </w:t>
      </w:r>
      <w:r w:rsidR="009F6096">
        <w:rPr>
          <w:kern w:val="24"/>
          <w:sz w:val="26"/>
        </w:rPr>
        <w:t>she</w:t>
      </w:r>
      <w:r w:rsidR="00564473">
        <w:rPr>
          <w:kern w:val="24"/>
          <w:sz w:val="26"/>
        </w:rPr>
        <w:t xml:space="preserve"> was improperly charged a security deposit.  </w:t>
      </w:r>
    </w:p>
    <w:p w:rsidR="008E1C92" w:rsidRDefault="008E1C92" w:rsidP="002723CB">
      <w:pPr>
        <w:spacing w:line="360" w:lineRule="auto"/>
        <w:ind w:firstLine="1440"/>
        <w:rPr>
          <w:sz w:val="26"/>
          <w:szCs w:val="26"/>
        </w:rPr>
      </w:pPr>
    </w:p>
    <w:p w:rsidR="002F28A9" w:rsidRDefault="00C267EF" w:rsidP="002723CB">
      <w:pPr>
        <w:spacing w:line="360" w:lineRule="auto"/>
        <w:ind w:firstLine="1440"/>
        <w:rPr>
          <w:sz w:val="26"/>
          <w:szCs w:val="26"/>
        </w:rPr>
      </w:pPr>
      <w:r>
        <w:rPr>
          <w:sz w:val="26"/>
          <w:szCs w:val="26"/>
        </w:rPr>
        <w:t>On Ju</w:t>
      </w:r>
      <w:r w:rsidR="00564473">
        <w:rPr>
          <w:sz w:val="26"/>
          <w:szCs w:val="26"/>
        </w:rPr>
        <w:t xml:space="preserve">ne </w:t>
      </w:r>
      <w:r>
        <w:rPr>
          <w:sz w:val="26"/>
          <w:szCs w:val="26"/>
        </w:rPr>
        <w:t xml:space="preserve">9, 2010, </w:t>
      </w:r>
      <w:r w:rsidR="00564473">
        <w:rPr>
          <w:sz w:val="26"/>
          <w:szCs w:val="26"/>
        </w:rPr>
        <w:t>West Penn</w:t>
      </w:r>
      <w:r>
        <w:rPr>
          <w:sz w:val="26"/>
          <w:szCs w:val="26"/>
        </w:rPr>
        <w:t xml:space="preserve"> filed an Answer to the Complaint</w:t>
      </w:r>
      <w:r w:rsidR="00870EC1">
        <w:rPr>
          <w:sz w:val="26"/>
          <w:szCs w:val="26"/>
        </w:rPr>
        <w:t xml:space="preserve"> (Answer)</w:t>
      </w:r>
      <w:r>
        <w:rPr>
          <w:sz w:val="26"/>
          <w:szCs w:val="26"/>
        </w:rPr>
        <w:t xml:space="preserve"> </w:t>
      </w:r>
      <w:r w:rsidR="00E7420F">
        <w:rPr>
          <w:sz w:val="26"/>
          <w:szCs w:val="26"/>
        </w:rPr>
        <w:t xml:space="preserve">in which it denied </w:t>
      </w:r>
      <w:r w:rsidR="00564473">
        <w:rPr>
          <w:sz w:val="26"/>
          <w:szCs w:val="26"/>
        </w:rPr>
        <w:t>the allegations</w:t>
      </w:r>
      <w:r w:rsidR="00E7420F">
        <w:rPr>
          <w:sz w:val="26"/>
          <w:szCs w:val="26"/>
        </w:rPr>
        <w:t xml:space="preserve"> </w:t>
      </w:r>
      <w:r w:rsidR="002E5443">
        <w:rPr>
          <w:sz w:val="26"/>
          <w:szCs w:val="26"/>
        </w:rPr>
        <w:t>and requested that the Complaint be dismissed</w:t>
      </w:r>
      <w:r w:rsidR="00E7420F">
        <w:rPr>
          <w:sz w:val="26"/>
          <w:szCs w:val="26"/>
        </w:rPr>
        <w:t xml:space="preserve">.  </w:t>
      </w:r>
      <w:r w:rsidR="00564473">
        <w:rPr>
          <w:sz w:val="26"/>
          <w:szCs w:val="26"/>
        </w:rPr>
        <w:t xml:space="preserve">West Penn </w:t>
      </w:r>
      <w:r w:rsidR="00C66AA8">
        <w:rPr>
          <w:sz w:val="26"/>
          <w:szCs w:val="26"/>
        </w:rPr>
        <w:t>indicated that the</w:t>
      </w:r>
      <w:r w:rsidR="00EA6785">
        <w:rPr>
          <w:sz w:val="26"/>
          <w:szCs w:val="26"/>
        </w:rPr>
        <w:t xml:space="preserve"> </w:t>
      </w:r>
      <w:r w:rsidR="00772087">
        <w:rPr>
          <w:sz w:val="26"/>
          <w:szCs w:val="26"/>
        </w:rPr>
        <w:t>Complain</w:t>
      </w:r>
      <w:r w:rsidR="00564473">
        <w:rPr>
          <w:sz w:val="26"/>
          <w:szCs w:val="26"/>
        </w:rPr>
        <w:t>an</w:t>
      </w:r>
      <w:r w:rsidR="00772087">
        <w:rPr>
          <w:sz w:val="26"/>
          <w:szCs w:val="26"/>
        </w:rPr>
        <w:t xml:space="preserve">t </w:t>
      </w:r>
      <w:r w:rsidR="00564473">
        <w:rPr>
          <w:sz w:val="26"/>
          <w:szCs w:val="26"/>
        </w:rPr>
        <w:t xml:space="preserve">made four payments in April 2010, part of which was applied to the existing security deposit balance, and the rest to the arrearage.  </w:t>
      </w:r>
      <w:r w:rsidR="00D25B73">
        <w:rPr>
          <w:sz w:val="26"/>
          <w:szCs w:val="26"/>
        </w:rPr>
        <w:t xml:space="preserve">At that time, the security deposit had been paid in full.  </w:t>
      </w:r>
      <w:r w:rsidR="00960E02">
        <w:rPr>
          <w:sz w:val="26"/>
          <w:szCs w:val="26"/>
        </w:rPr>
        <w:t xml:space="preserve">Answer at 1.  </w:t>
      </w:r>
    </w:p>
    <w:p w:rsidR="00113400" w:rsidRDefault="00113400" w:rsidP="005527CF">
      <w:pPr>
        <w:spacing w:line="360" w:lineRule="auto"/>
        <w:ind w:firstLine="1440"/>
        <w:rPr>
          <w:sz w:val="26"/>
          <w:szCs w:val="26"/>
        </w:rPr>
      </w:pPr>
    </w:p>
    <w:p w:rsidR="00F74904" w:rsidRDefault="00113400" w:rsidP="005527CF">
      <w:pPr>
        <w:spacing w:line="360" w:lineRule="auto"/>
        <w:ind w:firstLine="1440"/>
        <w:rPr>
          <w:sz w:val="26"/>
          <w:szCs w:val="26"/>
        </w:rPr>
      </w:pPr>
      <w:r>
        <w:rPr>
          <w:sz w:val="26"/>
          <w:szCs w:val="26"/>
        </w:rPr>
        <w:t xml:space="preserve">The </w:t>
      </w:r>
      <w:r w:rsidR="00D25B73">
        <w:rPr>
          <w:sz w:val="26"/>
          <w:szCs w:val="26"/>
        </w:rPr>
        <w:t>Telephonic</w:t>
      </w:r>
      <w:r>
        <w:rPr>
          <w:sz w:val="26"/>
          <w:szCs w:val="26"/>
        </w:rPr>
        <w:t xml:space="preserve"> Hearing in this matter was held on </w:t>
      </w:r>
      <w:r w:rsidR="00D25B73">
        <w:rPr>
          <w:sz w:val="26"/>
          <w:szCs w:val="26"/>
        </w:rPr>
        <w:t>April 7</w:t>
      </w:r>
      <w:r>
        <w:rPr>
          <w:sz w:val="26"/>
          <w:szCs w:val="26"/>
        </w:rPr>
        <w:t xml:space="preserve">, 2011.  </w:t>
      </w:r>
      <w:r w:rsidR="000F4618">
        <w:rPr>
          <w:sz w:val="26"/>
          <w:szCs w:val="26"/>
        </w:rPr>
        <w:t xml:space="preserve">             </w:t>
      </w:r>
      <w:r w:rsidR="00D25B73">
        <w:rPr>
          <w:sz w:val="26"/>
          <w:szCs w:val="26"/>
        </w:rPr>
        <w:t xml:space="preserve">The Complainant appeared </w:t>
      </w:r>
      <w:r w:rsidR="00D25B73">
        <w:rPr>
          <w:i/>
          <w:sz w:val="26"/>
          <w:szCs w:val="26"/>
        </w:rPr>
        <w:t>pro se</w:t>
      </w:r>
      <w:r w:rsidR="001732C2">
        <w:rPr>
          <w:i/>
          <w:sz w:val="26"/>
          <w:szCs w:val="26"/>
        </w:rPr>
        <w:t>,</w:t>
      </w:r>
      <w:r w:rsidR="001732C2">
        <w:rPr>
          <w:sz w:val="26"/>
          <w:szCs w:val="26"/>
        </w:rPr>
        <w:t xml:space="preserve"> testified </w:t>
      </w:r>
      <w:r w:rsidR="00136287">
        <w:rPr>
          <w:sz w:val="26"/>
          <w:szCs w:val="26"/>
        </w:rPr>
        <w:t>o</w:t>
      </w:r>
      <w:r w:rsidR="001732C2">
        <w:rPr>
          <w:sz w:val="26"/>
          <w:szCs w:val="26"/>
        </w:rPr>
        <w:t xml:space="preserve">n her own behalf and </w:t>
      </w:r>
      <w:r w:rsidR="00D25B73">
        <w:rPr>
          <w:sz w:val="26"/>
          <w:szCs w:val="26"/>
        </w:rPr>
        <w:t>introduced five exhibits.  West Penn was represented by counsel</w:t>
      </w:r>
      <w:r w:rsidR="00851CAE">
        <w:rPr>
          <w:sz w:val="26"/>
          <w:szCs w:val="26"/>
        </w:rPr>
        <w:t xml:space="preserve"> and presented the testimony of one witness.  West Penn introduced two exhibits.</w:t>
      </w:r>
    </w:p>
    <w:p w:rsidR="00D25B73" w:rsidRDefault="00D25B73" w:rsidP="005527CF">
      <w:pPr>
        <w:spacing w:line="360" w:lineRule="auto"/>
        <w:ind w:firstLine="1440"/>
        <w:rPr>
          <w:sz w:val="26"/>
          <w:szCs w:val="26"/>
        </w:rPr>
      </w:pPr>
    </w:p>
    <w:p w:rsidR="00D24BF8" w:rsidRDefault="006E7A92" w:rsidP="00D24BF8">
      <w:pPr>
        <w:spacing w:line="360" w:lineRule="auto"/>
        <w:ind w:firstLine="1440"/>
        <w:rPr>
          <w:sz w:val="26"/>
          <w:szCs w:val="26"/>
        </w:rPr>
      </w:pPr>
      <w:r>
        <w:rPr>
          <w:sz w:val="26"/>
          <w:szCs w:val="26"/>
        </w:rPr>
        <w:t xml:space="preserve">In the Initial Decision, issued </w:t>
      </w:r>
      <w:r w:rsidR="00851CAE">
        <w:rPr>
          <w:sz w:val="26"/>
          <w:szCs w:val="26"/>
        </w:rPr>
        <w:t>July 26, 2011</w:t>
      </w:r>
      <w:r>
        <w:rPr>
          <w:sz w:val="26"/>
          <w:szCs w:val="26"/>
        </w:rPr>
        <w:t xml:space="preserve">, the ALJ </w:t>
      </w:r>
      <w:r w:rsidR="00851CAE">
        <w:rPr>
          <w:sz w:val="26"/>
          <w:szCs w:val="26"/>
        </w:rPr>
        <w:t>concluded that the Complainant failed to meet her burden of proving any of he</w:t>
      </w:r>
      <w:r w:rsidR="00136287">
        <w:rPr>
          <w:sz w:val="26"/>
          <w:szCs w:val="26"/>
        </w:rPr>
        <w:t>r claims against West Penn.  I.</w:t>
      </w:r>
      <w:r w:rsidR="00851CAE">
        <w:rPr>
          <w:sz w:val="26"/>
          <w:szCs w:val="26"/>
        </w:rPr>
        <w:t xml:space="preserve">D. at 16.  </w:t>
      </w:r>
      <w:r w:rsidR="006402BA">
        <w:rPr>
          <w:sz w:val="26"/>
          <w:szCs w:val="26"/>
        </w:rPr>
        <w:t xml:space="preserve">As previously noted, </w:t>
      </w:r>
      <w:r w:rsidR="00851CAE">
        <w:rPr>
          <w:sz w:val="26"/>
          <w:szCs w:val="26"/>
        </w:rPr>
        <w:t>the Complainant</w:t>
      </w:r>
      <w:r w:rsidR="006402BA">
        <w:rPr>
          <w:sz w:val="26"/>
          <w:szCs w:val="26"/>
        </w:rPr>
        <w:t xml:space="preserve"> filed Exceptions on </w:t>
      </w:r>
      <w:r w:rsidR="00851CAE">
        <w:rPr>
          <w:sz w:val="26"/>
          <w:szCs w:val="26"/>
        </w:rPr>
        <w:t>August 15</w:t>
      </w:r>
      <w:r w:rsidR="006402BA">
        <w:rPr>
          <w:sz w:val="26"/>
          <w:szCs w:val="26"/>
        </w:rPr>
        <w:t>, 201</w:t>
      </w:r>
      <w:r w:rsidR="00D24BF8">
        <w:rPr>
          <w:sz w:val="26"/>
          <w:szCs w:val="26"/>
        </w:rPr>
        <w:t>1</w:t>
      </w:r>
      <w:r w:rsidR="006402BA">
        <w:rPr>
          <w:sz w:val="26"/>
          <w:szCs w:val="26"/>
        </w:rPr>
        <w:t>.</w:t>
      </w:r>
      <w:r w:rsidR="00D24BF8">
        <w:rPr>
          <w:sz w:val="26"/>
          <w:szCs w:val="26"/>
        </w:rPr>
        <w:t xml:space="preserve">  </w:t>
      </w:r>
      <w:r w:rsidR="00851CAE">
        <w:rPr>
          <w:sz w:val="26"/>
          <w:szCs w:val="26"/>
        </w:rPr>
        <w:t>West Penn filed</w:t>
      </w:r>
      <w:r w:rsidR="00D24BF8">
        <w:rPr>
          <w:sz w:val="26"/>
          <w:szCs w:val="26"/>
        </w:rPr>
        <w:t xml:space="preserve"> Replies to Exceptions </w:t>
      </w:r>
      <w:r w:rsidR="00851CAE">
        <w:rPr>
          <w:sz w:val="26"/>
          <w:szCs w:val="26"/>
        </w:rPr>
        <w:t>on August 26, 2011</w:t>
      </w:r>
      <w:r w:rsidR="00D24BF8">
        <w:rPr>
          <w:sz w:val="26"/>
          <w:szCs w:val="26"/>
        </w:rPr>
        <w:t>.</w:t>
      </w:r>
    </w:p>
    <w:p w:rsidR="00D24BF8" w:rsidRDefault="00D24BF8" w:rsidP="00D24BF8">
      <w:pPr>
        <w:spacing w:line="360" w:lineRule="auto"/>
        <w:ind w:firstLine="1440"/>
        <w:rPr>
          <w:sz w:val="26"/>
          <w:szCs w:val="26"/>
        </w:rPr>
      </w:pPr>
    </w:p>
    <w:p w:rsidR="001A1AD3" w:rsidRDefault="004419DA" w:rsidP="00D24BF8">
      <w:pPr>
        <w:spacing w:line="360" w:lineRule="auto"/>
        <w:jc w:val="center"/>
        <w:rPr>
          <w:b/>
          <w:sz w:val="26"/>
          <w:szCs w:val="26"/>
        </w:rPr>
      </w:pPr>
      <w:r>
        <w:rPr>
          <w:b/>
          <w:sz w:val="26"/>
          <w:szCs w:val="26"/>
        </w:rPr>
        <w:t>Discussion</w:t>
      </w:r>
    </w:p>
    <w:p w:rsidR="00C64788" w:rsidRDefault="00C64788" w:rsidP="00D24BF8">
      <w:pPr>
        <w:spacing w:line="360" w:lineRule="auto"/>
        <w:jc w:val="center"/>
        <w:rPr>
          <w:b/>
          <w:sz w:val="26"/>
          <w:szCs w:val="26"/>
        </w:rPr>
      </w:pPr>
    </w:p>
    <w:p w:rsidR="00C64788" w:rsidRDefault="00C64788" w:rsidP="00C64788">
      <w:pPr>
        <w:spacing w:line="360" w:lineRule="auto"/>
        <w:ind w:firstLine="1440"/>
        <w:rPr>
          <w:sz w:val="26"/>
        </w:rPr>
      </w:pPr>
      <w:r w:rsidRPr="00515BBE">
        <w:rPr>
          <w:sz w:val="26"/>
          <w:szCs w:val="26"/>
        </w:rPr>
        <w:t xml:space="preserve">As the proponent of a rule or order, the Complainant in this proceeding bears the burden of proof pursuant to Section 332(a) of the </w:t>
      </w:r>
      <w:r w:rsidR="00136287">
        <w:rPr>
          <w:sz w:val="26"/>
          <w:szCs w:val="26"/>
        </w:rPr>
        <w:t xml:space="preserve">Public Utility </w:t>
      </w:r>
      <w:r w:rsidRPr="00515BBE">
        <w:rPr>
          <w:sz w:val="26"/>
          <w:szCs w:val="26"/>
        </w:rPr>
        <w:t>Code</w:t>
      </w:r>
      <w:r w:rsidR="00136287">
        <w:rPr>
          <w:sz w:val="26"/>
          <w:szCs w:val="26"/>
        </w:rPr>
        <w:t xml:space="preserve"> (Code)</w:t>
      </w:r>
      <w:r w:rsidRPr="00515BBE">
        <w:rPr>
          <w:sz w:val="26"/>
          <w:szCs w:val="26"/>
        </w:rPr>
        <w:t xml:space="preserve">.  66 </w:t>
      </w:r>
      <w:smartTag w:uri="urn:schemas-microsoft-com:office:smarttags" w:element="place">
        <w:smartTag w:uri="urn:schemas-microsoft-com:office:smarttags" w:element="State">
          <w:r w:rsidRPr="00515BBE">
            <w:rPr>
              <w:sz w:val="26"/>
              <w:szCs w:val="26"/>
            </w:rPr>
            <w:t>Pa.</w:t>
          </w:r>
        </w:smartTag>
      </w:smartTag>
      <w:r w:rsidRPr="00515BBE">
        <w:rPr>
          <w:sz w:val="26"/>
          <w:szCs w:val="26"/>
        </w:rPr>
        <w:t xml:space="preserve"> C.S. § 332(a).  To establish a sufficient case and satisfy the burden of proof, the </w:t>
      </w:r>
      <w:r w:rsidRPr="00515BBE">
        <w:rPr>
          <w:sz w:val="26"/>
          <w:szCs w:val="26"/>
        </w:rPr>
        <w:lastRenderedPageBreak/>
        <w:t xml:space="preserve">Complainant must show that the Company is responsible or accountable for the problem described in the Complaint.  </w:t>
      </w:r>
      <w:r w:rsidRPr="00515BBE">
        <w:rPr>
          <w:i/>
          <w:sz w:val="26"/>
          <w:szCs w:val="26"/>
        </w:rPr>
        <w:t>Patterson v. The Bell Telephone Company of Pennsylvania</w:t>
      </w:r>
      <w:r w:rsidRPr="00515BBE">
        <w:rPr>
          <w:sz w:val="26"/>
          <w:szCs w:val="26"/>
        </w:rPr>
        <w:t xml:space="preserve">, 72 Pa. P.U.C. 196 (1990).  Such a showing must be by a preponderance of the evidence.  </w:t>
      </w:r>
      <w:r w:rsidRPr="00515BBE">
        <w:rPr>
          <w:i/>
          <w:iCs/>
          <w:sz w:val="26"/>
          <w:szCs w:val="26"/>
        </w:rPr>
        <w:t xml:space="preserve">Samuel J. </w:t>
      </w:r>
      <w:proofErr w:type="spellStart"/>
      <w:r w:rsidRPr="00515BBE">
        <w:rPr>
          <w:i/>
          <w:iCs/>
          <w:sz w:val="26"/>
          <w:szCs w:val="26"/>
        </w:rPr>
        <w:t>Lansberry</w:t>
      </w:r>
      <w:proofErr w:type="spellEnd"/>
      <w:r w:rsidRPr="00515BBE">
        <w:rPr>
          <w:i/>
          <w:iCs/>
          <w:sz w:val="26"/>
          <w:szCs w:val="26"/>
        </w:rPr>
        <w:t xml:space="preserve">, Inc. v. </w:t>
      </w:r>
      <w:smartTag w:uri="urn:schemas-microsoft-com:office:smarttags" w:element="State">
        <w:r w:rsidRPr="00515BBE">
          <w:rPr>
            <w:i/>
            <w:iCs/>
            <w:sz w:val="26"/>
            <w:szCs w:val="26"/>
          </w:rPr>
          <w:t>Pa.</w:t>
        </w:r>
      </w:smartTag>
      <w:r w:rsidRPr="00515BBE">
        <w:rPr>
          <w:i/>
          <w:iCs/>
          <w:sz w:val="26"/>
          <w:szCs w:val="26"/>
        </w:rPr>
        <w:t xml:space="preserve"> PUC</w:t>
      </w:r>
      <w:r w:rsidRPr="00515BBE">
        <w:rPr>
          <w:sz w:val="26"/>
          <w:szCs w:val="26"/>
        </w:rPr>
        <w:t xml:space="preserve">, 578 A.2d 600 (Pa. </w:t>
      </w:r>
      <w:proofErr w:type="spellStart"/>
      <w:r w:rsidRPr="00515BBE">
        <w:rPr>
          <w:sz w:val="26"/>
          <w:szCs w:val="26"/>
        </w:rPr>
        <w:t>Cmwlth</w:t>
      </w:r>
      <w:proofErr w:type="spellEnd"/>
      <w:r w:rsidRPr="00515BBE">
        <w:rPr>
          <w:sz w:val="26"/>
          <w:szCs w:val="26"/>
        </w:rPr>
        <w:t xml:space="preserve">. 1990), </w:t>
      </w:r>
      <w:proofErr w:type="spellStart"/>
      <w:r w:rsidRPr="00515BBE">
        <w:rPr>
          <w:i/>
          <w:sz w:val="26"/>
          <w:szCs w:val="26"/>
        </w:rPr>
        <w:t>alloc</w:t>
      </w:r>
      <w:proofErr w:type="spellEnd"/>
      <w:r w:rsidRPr="00515BBE">
        <w:rPr>
          <w:i/>
          <w:sz w:val="26"/>
          <w:szCs w:val="26"/>
        </w:rPr>
        <w:t>. denied,</w:t>
      </w:r>
      <w:r w:rsidRPr="00515BBE">
        <w:rPr>
          <w:sz w:val="26"/>
          <w:szCs w:val="26"/>
        </w:rPr>
        <w:t xml:space="preserve"> 529 Pa. 654, 602 A.2d 863 (1992).  That is, the Complainant’s evidence must be more convincing, by even the smallest amount, than that presented by the Company.  </w:t>
      </w:r>
      <w:r w:rsidRPr="00515BBE">
        <w:rPr>
          <w:i/>
          <w:sz w:val="26"/>
          <w:szCs w:val="26"/>
        </w:rPr>
        <w:t>Se-Ling Hosiery, Inc. v. Margulies</w:t>
      </w:r>
      <w:r w:rsidRPr="00515BBE">
        <w:rPr>
          <w:sz w:val="26"/>
          <w:szCs w:val="26"/>
        </w:rPr>
        <w:t xml:space="preserve">, 364 </w:t>
      </w:r>
      <w:smartTag w:uri="urn:schemas-microsoft-com:office:smarttags" w:element="place">
        <w:smartTag w:uri="urn:schemas-microsoft-com:office:smarttags" w:element="State">
          <w:r w:rsidRPr="00515BBE">
            <w:rPr>
              <w:sz w:val="26"/>
              <w:szCs w:val="26"/>
            </w:rPr>
            <w:t>Pa.</w:t>
          </w:r>
        </w:smartTag>
      </w:smartTag>
      <w:r w:rsidRPr="00515BBE">
        <w:rPr>
          <w:sz w:val="26"/>
          <w:szCs w:val="26"/>
        </w:rPr>
        <w:t xml:space="preserve"> 45, 70 A.2d 854 (1950).  Additionally, this Commission’s </w:t>
      </w:r>
      <w:r w:rsidRPr="00515BBE">
        <w:rPr>
          <w:sz w:val="26"/>
        </w:rPr>
        <w:t xml:space="preserve">decision must be supported by substantial evidence in the record.  More is required than a mere trace of evidence or a suspicion of the existence of a fact sought to be established.  </w:t>
      </w:r>
      <w:r w:rsidRPr="00515BBE">
        <w:rPr>
          <w:i/>
          <w:sz w:val="26"/>
        </w:rPr>
        <w:t xml:space="preserve">Norfolk &amp; Western Ry. Co. v. </w:t>
      </w:r>
      <w:smartTag w:uri="urn:schemas-microsoft-com:office:smarttags" w:element="State">
        <w:r w:rsidRPr="00515BBE">
          <w:rPr>
            <w:i/>
            <w:sz w:val="26"/>
          </w:rPr>
          <w:t>Pa.</w:t>
        </w:r>
      </w:smartTag>
      <w:r w:rsidRPr="00515BBE">
        <w:rPr>
          <w:i/>
          <w:sz w:val="26"/>
        </w:rPr>
        <w:t xml:space="preserve"> PUC, </w:t>
      </w:r>
      <w:r w:rsidRPr="00515BBE">
        <w:rPr>
          <w:sz w:val="26"/>
        </w:rPr>
        <w:t xml:space="preserve">489 </w:t>
      </w:r>
      <w:smartTag w:uri="urn:schemas-microsoft-com:office:smarttags" w:element="place">
        <w:smartTag w:uri="urn:schemas-microsoft-com:office:smarttags" w:element="State">
          <w:r w:rsidRPr="00515BBE">
            <w:rPr>
              <w:sz w:val="26"/>
            </w:rPr>
            <w:t>Pa.</w:t>
          </w:r>
        </w:smartTag>
      </w:smartTag>
      <w:r w:rsidRPr="00515BBE">
        <w:rPr>
          <w:sz w:val="26"/>
        </w:rPr>
        <w:t xml:space="preserve"> 109, 413 A.2d 1037 (1980).</w:t>
      </w:r>
    </w:p>
    <w:p w:rsidR="0099563B" w:rsidRDefault="0099563B" w:rsidP="00C64788">
      <w:pPr>
        <w:spacing w:line="360" w:lineRule="auto"/>
        <w:ind w:firstLine="1440"/>
        <w:rPr>
          <w:sz w:val="26"/>
        </w:rPr>
      </w:pPr>
    </w:p>
    <w:p w:rsidR="0099563B" w:rsidRPr="0099563B" w:rsidRDefault="0099563B" w:rsidP="0099563B">
      <w:pPr>
        <w:tabs>
          <w:tab w:val="left" w:pos="204"/>
        </w:tabs>
        <w:spacing w:line="360" w:lineRule="auto"/>
        <w:rPr>
          <w:rFonts w:ascii="Times New (W1)" w:hAnsi="Times New (W1)"/>
          <w:sz w:val="26"/>
          <w:szCs w:val="26"/>
        </w:rPr>
      </w:pPr>
      <w:r>
        <w:rPr>
          <w:sz w:val="26"/>
        </w:rPr>
        <w:tab/>
      </w:r>
      <w:r>
        <w:rPr>
          <w:sz w:val="26"/>
        </w:rPr>
        <w:tab/>
      </w:r>
      <w:r>
        <w:rPr>
          <w:sz w:val="26"/>
        </w:rPr>
        <w:tab/>
      </w:r>
      <w:r w:rsidRPr="0099563B">
        <w:rPr>
          <w:sz w:val="26"/>
        </w:rPr>
        <w:t xml:space="preserve">While the burden of persuasion may </w:t>
      </w:r>
      <w:r w:rsidRPr="0099563B">
        <w:rPr>
          <w:rStyle w:val="term1"/>
          <w:b w:val="0"/>
          <w:bCs w:val="0"/>
          <w:sz w:val="26"/>
        </w:rPr>
        <w:t>shift</w:t>
      </w:r>
      <w:r w:rsidRPr="0099563B">
        <w:rPr>
          <w:sz w:val="26"/>
        </w:rPr>
        <w:t xml:space="preserve"> back and forth during a proceeding, the </w:t>
      </w:r>
      <w:r w:rsidRPr="0099563B">
        <w:rPr>
          <w:rStyle w:val="term1"/>
          <w:b w:val="0"/>
          <w:bCs w:val="0"/>
          <w:sz w:val="26"/>
        </w:rPr>
        <w:t>burden of proof</w:t>
      </w:r>
      <w:r w:rsidRPr="0099563B">
        <w:rPr>
          <w:sz w:val="26"/>
        </w:rPr>
        <w:t xml:space="preserve"> never </w:t>
      </w:r>
      <w:r w:rsidRPr="0099563B">
        <w:rPr>
          <w:rStyle w:val="term1"/>
          <w:b w:val="0"/>
          <w:bCs w:val="0"/>
          <w:sz w:val="26"/>
        </w:rPr>
        <w:t>shifts. The burden of proof</w:t>
      </w:r>
      <w:r w:rsidRPr="0099563B">
        <w:rPr>
          <w:sz w:val="26"/>
        </w:rPr>
        <w:t xml:space="preserve"> always remains on the party seeking affirmative relief from the Commission.  </w:t>
      </w:r>
      <w:proofErr w:type="spellStart"/>
      <w:r w:rsidRPr="0099563B">
        <w:rPr>
          <w:i/>
          <w:iCs/>
          <w:sz w:val="26"/>
        </w:rPr>
        <w:t>Milkie</w:t>
      </w:r>
      <w:proofErr w:type="spellEnd"/>
      <w:r w:rsidRPr="0099563B">
        <w:rPr>
          <w:i/>
          <w:iCs/>
          <w:sz w:val="26"/>
        </w:rPr>
        <w:t xml:space="preserve"> v. Pennsylvania Public Utility Commission,</w:t>
      </w:r>
      <w:r w:rsidRPr="0099563B">
        <w:rPr>
          <w:iCs/>
          <w:sz w:val="26"/>
        </w:rPr>
        <w:t xml:space="preserve"> 768 A.2d 1217 (Pa. </w:t>
      </w:r>
      <w:proofErr w:type="spellStart"/>
      <w:r w:rsidRPr="0099563B">
        <w:rPr>
          <w:iCs/>
          <w:sz w:val="26"/>
        </w:rPr>
        <w:t>Cmwlth</w:t>
      </w:r>
      <w:proofErr w:type="spellEnd"/>
      <w:r w:rsidRPr="0099563B">
        <w:rPr>
          <w:iCs/>
          <w:sz w:val="26"/>
        </w:rPr>
        <w:t xml:space="preserve">. 2001).  </w:t>
      </w:r>
      <w:r w:rsidRPr="0099563B">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99563B">
        <w:rPr>
          <w:rFonts w:ascii="Times New (W1)" w:hAnsi="Times New (W1)"/>
          <w:i/>
          <w:sz w:val="26"/>
          <w:szCs w:val="26"/>
        </w:rPr>
        <w:t xml:space="preserve">Feinstein v. Philadelphia Suburban Water Company, </w:t>
      </w:r>
      <w:r w:rsidRPr="0099563B">
        <w:rPr>
          <w:rFonts w:ascii="Times New (W1)" w:hAnsi="Times New (W1)"/>
          <w:sz w:val="26"/>
          <w:szCs w:val="26"/>
        </w:rPr>
        <w:t>50 Pa. P.U.C. 300 (1976), or that the utility has violated either its duty under the Public Utility Code or the orders or regulations of the Commission.  66 Pa. C.S. § 701.</w:t>
      </w:r>
    </w:p>
    <w:p w:rsidR="0099563B" w:rsidRPr="00515BBE" w:rsidRDefault="0099563B" w:rsidP="00C64788">
      <w:pPr>
        <w:spacing w:line="360" w:lineRule="auto"/>
        <w:ind w:firstLine="1440"/>
        <w:rPr>
          <w:i/>
          <w:sz w:val="26"/>
        </w:rPr>
      </w:pPr>
    </w:p>
    <w:p w:rsidR="0027458E" w:rsidRDefault="003440BD" w:rsidP="003440BD">
      <w:pPr>
        <w:spacing w:line="360" w:lineRule="auto"/>
        <w:ind w:firstLine="1440"/>
        <w:rPr>
          <w:sz w:val="26"/>
          <w:szCs w:val="26"/>
        </w:rPr>
      </w:pPr>
      <w:r w:rsidRPr="002E740E">
        <w:rPr>
          <w:sz w:val="26"/>
          <w:szCs w:val="26"/>
        </w:rPr>
        <w:t xml:space="preserve">ALJ </w:t>
      </w:r>
      <w:r w:rsidR="00C72244">
        <w:rPr>
          <w:sz w:val="26"/>
          <w:szCs w:val="26"/>
        </w:rPr>
        <w:t>Corbett</w:t>
      </w:r>
      <w:r w:rsidR="000B0240">
        <w:rPr>
          <w:sz w:val="26"/>
          <w:szCs w:val="26"/>
        </w:rPr>
        <w:t xml:space="preserve"> </w:t>
      </w:r>
      <w:r w:rsidRPr="002E740E">
        <w:rPr>
          <w:sz w:val="26"/>
          <w:szCs w:val="26"/>
        </w:rPr>
        <w:t xml:space="preserve">made </w:t>
      </w:r>
      <w:r w:rsidR="00C72244">
        <w:rPr>
          <w:sz w:val="26"/>
          <w:szCs w:val="26"/>
        </w:rPr>
        <w:t xml:space="preserve">thirty-seven </w:t>
      </w:r>
      <w:r>
        <w:rPr>
          <w:sz w:val="26"/>
          <w:szCs w:val="26"/>
        </w:rPr>
        <w:t>Findings of Fact</w:t>
      </w:r>
      <w:r w:rsidRPr="002E740E">
        <w:rPr>
          <w:sz w:val="26"/>
          <w:szCs w:val="26"/>
        </w:rPr>
        <w:t xml:space="preserve"> and </w:t>
      </w:r>
      <w:r w:rsidR="00301FE4">
        <w:rPr>
          <w:sz w:val="26"/>
          <w:szCs w:val="26"/>
        </w:rPr>
        <w:t xml:space="preserve">reached </w:t>
      </w:r>
      <w:r w:rsidR="00C72244">
        <w:rPr>
          <w:sz w:val="26"/>
          <w:szCs w:val="26"/>
        </w:rPr>
        <w:t>three</w:t>
      </w:r>
      <w:r w:rsidRPr="002E740E">
        <w:rPr>
          <w:sz w:val="26"/>
          <w:szCs w:val="26"/>
        </w:rPr>
        <w:t xml:space="preserve"> Conclusions of Law</w:t>
      </w:r>
      <w:r>
        <w:rPr>
          <w:sz w:val="26"/>
          <w:szCs w:val="26"/>
        </w:rPr>
        <w:t xml:space="preserve">.  </w:t>
      </w:r>
      <w:r w:rsidRPr="002E740E">
        <w:rPr>
          <w:sz w:val="26"/>
          <w:szCs w:val="26"/>
        </w:rPr>
        <w:t xml:space="preserve">I.D. at </w:t>
      </w:r>
      <w:r w:rsidR="00C72244">
        <w:rPr>
          <w:sz w:val="26"/>
          <w:szCs w:val="26"/>
        </w:rPr>
        <w:t>2</w:t>
      </w:r>
      <w:r>
        <w:rPr>
          <w:sz w:val="26"/>
          <w:szCs w:val="26"/>
        </w:rPr>
        <w:t>-</w:t>
      </w:r>
      <w:r w:rsidR="00C72244">
        <w:rPr>
          <w:sz w:val="26"/>
          <w:szCs w:val="26"/>
        </w:rPr>
        <w:t>7</w:t>
      </w:r>
      <w:r>
        <w:rPr>
          <w:sz w:val="26"/>
          <w:szCs w:val="26"/>
        </w:rPr>
        <w:t xml:space="preserve">, </w:t>
      </w:r>
      <w:r w:rsidR="00C72244">
        <w:rPr>
          <w:sz w:val="26"/>
          <w:szCs w:val="26"/>
        </w:rPr>
        <w:t>1</w:t>
      </w:r>
      <w:r w:rsidR="00924470">
        <w:rPr>
          <w:sz w:val="26"/>
          <w:szCs w:val="26"/>
        </w:rPr>
        <w:t>6</w:t>
      </w:r>
      <w:r>
        <w:rPr>
          <w:sz w:val="26"/>
          <w:szCs w:val="26"/>
        </w:rPr>
        <w:t xml:space="preserve">.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3440BD">
      <w:pPr>
        <w:spacing w:line="360" w:lineRule="auto"/>
        <w:ind w:firstLine="1440"/>
        <w:rPr>
          <w:sz w:val="26"/>
          <w:szCs w:val="26"/>
        </w:rPr>
      </w:pPr>
      <w:r w:rsidRPr="002E740E">
        <w:rPr>
          <w:sz w:val="26"/>
          <w:szCs w:val="26"/>
        </w:rPr>
        <w:t xml:space="preserve"> </w:t>
      </w:r>
    </w:p>
    <w:p w:rsidR="00747E7A" w:rsidRDefault="003440BD" w:rsidP="003440BD">
      <w:pPr>
        <w:spacing w:line="360" w:lineRule="auto"/>
        <w:rPr>
          <w:sz w:val="26"/>
          <w:szCs w:val="26"/>
        </w:rPr>
      </w:pPr>
      <w:r w:rsidRPr="004A753B">
        <w:rPr>
          <w:sz w:val="26"/>
          <w:szCs w:val="26"/>
        </w:rPr>
        <w:tab/>
      </w:r>
      <w:r w:rsidRPr="004A753B">
        <w:rPr>
          <w:sz w:val="26"/>
          <w:szCs w:val="26"/>
        </w:rPr>
        <w:tab/>
      </w:r>
      <w:r w:rsidR="005F3CA8">
        <w:rPr>
          <w:sz w:val="26"/>
          <w:szCs w:val="26"/>
        </w:rPr>
        <w:t>W</w:t>
      </w:r>
      <w:r w:rsidRPr="004A753B">
        <w:rPr>
          <w:sz w:val="26"/>
          <w:szCs w:val="26"/>
        </w:rPr>
        <w:t xml:space="preserve">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w:t>
      </w:r>
      <w:r w:rsidRPr="004A753B">
        <w:rPr>
          <w:sz w:val="26"/>
          <w:szCs w:val="26"/>
        </w:rPr>
        <w:lastRenderedPageBreak/>
        <w:t xml:space="preserve">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w:t>
      </w:r>
    </w:p>
    <w:p w:rsidR="003440BD" w:rsidRDefault="003440BD" w:rsidP="003440BD">
      <w:pPr>
        <w:spacing w:line="360" w:lineRule="auto"/>
        <w:rPr>
          <w:i/>
          <w:sz w:val="26"/>
          <w:szCs w:val="26"/>
        </w:rPr>
      </w:pPr>
      <w:r w:rsidRPr="004A753B">
        <w:rPr>
          <w:sz w:val="26"/>
          <w:szCs w:val="26"/>
        </w:rPr>
        <w:t xml:space="preserve">(Pa. </w:t>
      </w:r>
      <w:proofErr w:type="spellStart"/>
      <w:r w:rsidRPr="004A753B">
        <w:rPr>
          <w:sz w:val="26"/>
          <w:szCs w:val="26"/>
        </w:rPr>
        <w:t>Cmwlth</w:t>
      </w:r>
      <w:proofErr w:type="spellEnd"/>
      <w:r w:rsidRPr="004A753B">
        <w:rPr>
          <w:sz w:val="26"/>
          <w:szCs w:val="26"/>
        </w:rPr>
        <w:t xml:space="preserve">.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xml:space="preserve">, 485 A.2d 1217 (Pa. </w:t>
      </w:r>
      <w:proofErr w:type="spellStart"/>
      <w:r w:rsidRPr="004A753B">
        <w:rPr>
          <w:sz w:val="26"/>
          <w:szCs w:val="26"/>
        </w:rPr>
        <w:t>Cmwlth</w:t>
      </w:r>
      <w:proofErr w:type="spellEnd"/>
      <w:r w:rsidRPr="004A753B">
        <w:rPr>
          <w:sz w:val="26"/>
          <w:szCs w:val="26"/>
        </w:rPr>
        <w:t>. 1984</w:t>
      </w:r>
      <w:r>
        <w:rPr>
          <w:sz w:val="26"/>
          <w:szCs w:val="26"/>
        </w:rPr>
        <w:t>).</w:t>
      </w:r>
      <w:r w:rsidR="00C96027" w:rsidRPr="00C96027">
        <w:rPr>
          <w:i/>
          <w:sz w:val="26"/>
          <w:szCs w:val="26"/>
        </w:rPr>
        <w:t xml:space="preserve"> </w:t>
      </w:r>
    </w:p>
    <w:p w:rsidR="008C6196" w:rsidRDefault="008C6196" w:rsidP="003440BD">
      <w:pPr>
        <w:spacing w:line="360" w:lineRule="auto"/>
        <w:rPr>
          <w:i/>
          <w:sz w:val="26"/>
          <w:szCs w:val="26"/>
        </w:rPr>
      </w:pPr>
    </w:p>
    <w:p w:rsidR="008C6196" w:rsidRPr="008C6196" w:rsidRDefault="00441274" w:rsidP="00441274">
      <w:pPr>
        <w:spacing w:line="360" w:lineRule="auto"/>
        <w:ind w:firstLine="1440"/>
        <w:rPr>
          <w:rFonts w:eastAsia="MS Mincho"/>
          <w:sz w:val="26"/>
        </w:rPr>
      </w:pPr>
      <w:r>
        <w:rPr>
          <w:rFonts w:eastAsia="MS Mincho"/>
          <w:sz w:val="26"/>
        </w:rPr>
        <w:t>S</w:t>
      </w:r>
      <w:r w:rsidR="008C6196" w:rsidRPr="008C6196">
        <w:rPr>
          <w:rFonts w:eastAsia="MS Mincho"/>
          <w:sz w:val="26"/>
        </w:rPr>
        <w:t>ection 1404(a) of the Code, 66 Pa. C.S. §</w:t>
      </w:r>
      <w:r w:rsidR="00136287">
        <w:rPr>
          <w:rFonts w:eastAsia="MS Mincho"/>
          <w:sz w:val="26"/>
        </w:rPr>
        <w:t xml:space="preserve"> </w:t>
      </w:r>
      <w:r w:rsidR="008C6196" w:rsidRPr="008C6196">
        <w:rPr>
          <w:rFonts w:eastAsia="MS Mincho"/>
          <w:sz w:val="26"/>
        </w:rPr>
        <w:t>1404(a), limits the authority of the Commission to review the appropriateness of a public utility imposing a security deposit on a customer’s account.  Section 1404(a) states in pertinent part:</w:t>
      </w:r>
    </w:p>
    <w:p w:rsidR="008C6196" w:rsidRPr="008C6196" w:rsidRDefault="008C6196" w:rsidP="008C6196">
      <w:pPr>
        <w:spacing w:line="360" w:lineRule="auto"/>
        <w:rPr>
          <w:rFonts w:eastAsia="MS Mincho"/>
          <w:sz w:val="26"/>
        </w:rPr>
      </w:pPr>
    </w:p>
    <w:p w:rsidR="008C6196" w:rsidRPr="008C6196" w:rsidRDefault="008C6196" w:rsidP="008C6196">
      <w:pPr>
        <w:ind w:left="1440" w:right="1440" w:firstLine="720"/>
        <w:rPr>
          <w:rFonts w:eastAsia="MS Mincho"/>
          <w:sz w:val="26"/>
        </w:rPr>
      </w:pPr>
      <w:r w:rsidRPr="008C6196">
        <w:rPr>
          <w:rFonts w:eastAsia="MS Mincho"/>
          <w:sz w:val="26"/>
        </w:rPr>
        <w:t>(a)  General rule.  In addition to the right to collect a deposit under any commission regulation or order, the commission shall not prohibit a public utility, prior to or as a condition of providing utility service, from requiring a cash deposit in an amount that is equal to one-sixth of the applicant’s estimated annual bill, at the time the public utility determines a deposit is required, from the following:</w:t>
      </w:r>
    </w:p>
    <w:p w:rsidR="008C6196" w:rsidRPr="008C6196" w:rsidRDefault="008C6196" w:rsidP="008C6196">
      <w:pPr>
        <w:ind w:right="1440"/>
        <w:rPr>
          <w:rFonts w:eastAsia="MS Mincho"/>
          <w:sz w:val="26"/>
        </w:rPr>
      </w:pPr>
    </w:p>
    <w:p w:rsidR="008C6196" w:rsidRPr="008C6196" w:rsidRDefault="008C6196" w:rsidP="008C6196">
      <w:pPr>
        <w:ind w:right="1440"/>
        <w:rPr>
          <w:rFonts w:eastAsia="MS Mincho"/>
          <w:sz w:val="26"/>
        </w:rPr>
      </w:pPr>
    </w:p>
    <w:p w:rsidR="008C6196" w:rsidRPr="008C6196" w:rsidRDefault="008C6196" w:rsidP="008C6196">
      <w:pPr>
        <w:ind w:left="1440" w:right="1440"/>
        <w:jc w:val="center"/>
        <w:rPr>
          <w:rFonts w:eastAsia="MS Mincho"/>
          <w:sz w:val="26"/>
        </w:rPr>
      </w:pPr>
      <w:r w:rsidRPr="008C6196">
        <w:rPr>
          <w:rFonts w:eastAsia="MS Mincho"/>
          <w:sz w:val="26"/>
        </w:rPr>
        <w:t>*</w:t>
      </w:r>
      <w:r w:rsidRPr="008C6196">
        <w:rPr>
          <w:rFonts w:eastAsia="MS Mincho"/>
          <w:sz w:val="26"/>
        </w:rPr>
        <w:tab/>
        <w:t>*</w:t>
      </w:r>
      <w:r w:rsidRPr="008C6196">
        <w:rPr>
          <w:rFonts w:eastAsia="MS Mincho"/>
          <w:sz w:val="26"/>
        </w:rPr>
        <w:tab/>
        <w:t>*</w:t>
      </w:r>
    </w:p>
    <w:p w:rsidR="008C6196" w:rsidRPr="008C6196" w:rsidRDefault="008C6196" w:rsidP="008C6196">
      <w:pPr>
        <w:ind w:left="1440" w:right="1440"/>
        <w:rPr>
          <w:rFonts w:eastAsia="MS Mincho"/>
          <w:sz w:val="26"/>
        </w:rPr>
      </w:pPr>
    </w:p>
    <w:p w:rsidR="008C6196" w:rsidRPr="008C6196" w:rsidRDefault="008C6196" w:rsidP="008C6196">
      <w:pPr>
        <w:ind w:left="1440" w:right="1440"/>
        <w:rPr>
          <w:rFonts w:eastAsia="MS Mincho"/>
          <w:sz w:val="26"/>
        </w:rPr>
      </w:pPr>
      <w:r w:rsidRPr="008C6196">
        <w:rPr>
          <w:rFonts w:eastAsia="MS Mincho"/>
          <w:sz w:val="26"/>
        </w:rPr>
        <w:tab/>
      </w:r>
      <w:r w:rsidRPr="008C6196">
        <w:rPr>
          <w:rFonts w:eastAsia="MS Mincho"/>
          <w:sz w:val="26"/>
        </w:rPr>
        <w:tab/>
        <w:t>(3)  A customer who fails to comply with a material term or condition of a settlement or payment agreement.</w:t>
      </w:r>
    </w:p>
    <w:p w:rsidR="008C6196" w:rsidRPr="008C6196" w:rsidRDefault="008C6196" w:rsidP="003440BD">
      <w:pPr>
        <w:spacing w:line="360" w:lineRule="auto"/>
        <w:rPr>
          <w:sz w:val="26"/>
          <w:szCs w:val="26"/>
        </w:rPr>
      </w:pPr>
    </w:p>
    <w:p w:rsidR="00C64788" w:rsidRPr="0099563B" w:rsidRDefault="00C64788" w:rsidP="003440BD">
      <w:pPr>
        <w:spacing w:line="360" w:lineRule="auto"/>
        <w:rPr>
          <w:sz w:val="26"/>
          <w:szCs w:val="26"/>
        </w:rPr>
      </w:pPr>
    </w:p>
    <w:p w:rsidR="00C64788" w:rsidRDefault="00441274" w:rsidP="00870EC1">
      <w:pPr>
        <w:spacing w:line="360" w:lineRule="auto"/>
        <w:ind w:firstLine="1440"/>
        <w:rPr>
          <w:rFonts w:eastAsia="MS Mincho"/>
          <w:sz w:val="26"/>
        </w:rPr>
      </w:pPr>
      <w:r>
        <w:rPr>
          <w:rFonts w:eastAsia="MS Mincho"/>
          <w:sz w:val="26"/>
        </w:rPr>
        <w:t>B</w:t>
      </w:r>
      <w:r w:rsidRPr="008C6196">
        <w:rPr>
          <w:rFonts w:eastAsia="MS Mincho"/>
          <w:sz w:val="26"/>
        </w:rPr>
        <w:t>etween May 24, 2002</w:t>
      </w:r>
      <w:r w:rsidR="00870EC1">
        <w:rPr>
          <w:rFonts w:eastAsia="MS Mincho"/>
          <w:sz w:val="26"/>
        </w:rPr>
        <w:t>,</w:t>
      </w:r>
      <w:r w:rsidRPr="008C6196">
        <w:rPr>
          <w:rFonts w:eastAsia="MS Mincho"/>
          <w:sz w:val="26"/>
        </w:rPr>
        <w:t xml:space="preserve"> and May 4, 2009</w:t>
      </w:r>
      <w:r>
        <w:rPr>
          <w:rFonts w:eastAsia="MS Mincho"/>
          <w:sz w:val="26"/>
        </w:rPr>
        <w:t>, t</w:t>
      </w:r>
      <w:r w:rsidR="008C6196" w:rsidRPr="008C6196">
        <w:rPr>
          <w:rFonts w:eastAsia="MS Mincho"/>
          <w:sz w:val="26"/>
        </w:rPr>
        <w:t>he Complainant entered into five separate payment plans in West Penn</w:t>
      </w:r>
      <w:r>
        <w:rPr>
          <w:rFonts w:eastAsia="MS Mincho"/>
          <w:sz w:val="26"/>
        </w:rPr>
        <w:t>’</w:t>
      </w:r>
      <w:r w:rsidR="008C6196" w:rsidRPr="008C6196">
        <w:rPr>
          <w:rFonts w:eastAsia="MS Mincho"/>
          <w:sz w:val="26"/>
        </w:rPr>
        <w:t xml:space="preserve">s </w:t>
      </w:r>
      <w:r w:rsidR="008C6196">
        <w:rPr>
          <w:rFonts w:eastAsia="MS Mincho"/>
          <w:sz w:val="26"/>
        </w:rPr>
        <w:t>Low Income Payment and Usage Reduction Program (</w:t>
      </w:r>
      <w:r w:rsidR="008C6196" w:rsidRPr="008C6196">
        <w:rPr>
          <w:rFonts w:eastAsia="MS Mincho"/>
          <w:sz w:val="26"/>
        </w:rPr>
        <w:t>LIPURP</w:t>
      </w:r>
      <w:r w:rsidR="008C6196">
        <w:rPr>
          <w:rFonts w:eastAsia="MS Mincho"/>
          <w:sz w:val="26"/>
        </w:rPr>
        <w:t>)</w:t>
      </w:r>
      <w:r>
        <w:rPr>
          <w:rFonts w:eastAsia="MS Mincho"/>
          <w:sz w:val="26"/>
        </w:rPr>
        <w:t xml:space="preserve">.  </w:t>
      </w:r>
      <w:r w:rsidR="008C6196">
        <w:rPr>
          <w:rFonts w:eastAsia="MS Mincho"/>
          <w:sz w:val="26"/>
        </w:rPr>
        <w:t xml:space="preserve">Tr. at </w:t>
      </w:r>
      <w:r w:rsidR="008C6196" w:rsidRPr="008C6196">
        <w:rPr>
          <w:rFonts w:eastAsia="MS Mincho"/>
          <w:sz w:val="26"/>
        </w:rPr>
        <w:t>43-45</w:t>
      </w:r>
      <w:r w:rsidR="008C6196">
        <w:rPr>
          <w:rFonts w:eastAsia="MS Mincho"/>
          <w:sz w:val="26"/>
        </w:rPr>
        <w:t xml:space="preserve">; West Penn </w:t>
      </w:r>
      <w:proofErr w:type="spellStart"/>
      <w:r w:rsidR="008C6196" w:rsidRPr="008C6196">
        <w:rPr>
          <w:rFonts w:eastAsia="MS Mincho"/>
          <w:sz w:val="26"/>
        </w:rPr>
        <w:t>Exh</w:t>
      </w:r>
      <w:proofErr w:type="spellEnd"/>
      <w:r w:rsidR="008C6196" w:rsidRPr="008C6196">
        <w:rPr>
          <w:rFonts w:eastAsia="MS Mincho"/>
          <w:sz w:val="26"/>
        </w:rPr>
        <w:t xml:space="preserve">. 1.  When she was reinstated in the LIPURP plan on May 4, 2009, </w:t>
      </w:r>
      <w:r w:rsidR="008C6196">
        <w:rPr>
          <w:rFonts w:eastAsia="MS Mincho"/>
          <w:sz w:val="26"/>
        </w:rPr>
        <w:t xml:space="preserve">the Complainant was to make payments of $130.00 and $5.00 toward the arrearage each month on a balance due of $337.42.  Tr. at </w:t>
      </w:r>
      <w:r w:rsidR="008C6196" w:rsidRPr="008C6196">
        <w:rPr>
          <w:rFonts w:eastAsia="MS Mincho"/>
          <w:sz w:val="26"/>
        </w:rPr>
        <w:t xml:space="preserve">44; </w:t>
      </w:r>
      <w:r w:rsidR="008C6196">
        <w:rPr>
          <w:rFonts w:eastAsia="MS Mincho"/>
          <w:sz w:val="26"/>
        </w:rPr>
        <w:t>West Penn</w:t>
      </w:r>
      <w:r w:rsidR="008C6196" w:rsidRPr="008C6196">
        <w:rPr>
          <w:rFonts w:eastAsia="MS Mincho"/>
          <w:sz w:val="26"/>
        </w:rPr>
        <w:t xml:space="preserve"> </w:t>
      </w:r>
      <w:proofErr w:type="spellStart"/>
      <w:r w:rsidR="008C6196" w:rsidRPr="008C6196">
        <w:rPr>
          <w:rFonts w:eastAsia="MS Mincho"/>
          <w:sz w:val="26"/>
        </w:rPr>
        <w:t>Exh</w:t>
      </w:r>
      <w:proofErr w:type="spellEnd"/>
      <w:r w:rsidR="008C6196" w:rsidRPr="008C6196">
        <w:rPr>
          <w:rFonts w:eastAsia="MS Mincho"/>
          <w:sz w:val="26"/>
        </w:rPr>
        <w:t>. 1.  When West Penn deducted the first installment of a security deposit</w:t>
      </w:r>
      <w:r w:rsidR="00870EC1">
        <w:rPr>
          <w:rFonts w:eastAsia="MS Mincho"/>
          <w:sz w:val="26"/>
        </w:rPr>
        <w:t>, in the amount of $59.00,</w:t>
      </w:r>
      <w:r w:rsidR="008C6196" w:rsidRPr="008C6196">
        <w:rPr>
          <w:rFonts w:eastAsia="MS Mincho"/>
          <w:sz w:val="26"/>
        </w:rPr>
        <w:t xml:space="preserve"> on October 5, 2009, th</w:t>
      </w:r>
      <w:r w:rsidR="00136287">
        <w:rPr>
          <w:rFonts w:eastAsia="MS Mincho"/>
          <w:sz w:val="26"/>
        </w:rPr>
        <w:t>e</w:t>
      </w:r>
      <w:r w:rsidR="008C6196" w:rsidRPr="008C6196">
        <w:rPr>
          <w:rFonts w:eastAsia="MS Mincho"/>
          <w:sz w:val="26"/>
        </w:rPr>
        <w:t xml:space="preserve"> account was in arrears $470.82, thus indicating that </w:t>
      </w:r>
      <w:r w:rsidR="00136287">
        <w:rPr>
          <w:rFonts w:eastAsia="MS Mincho"/>
          <w:sz w:val="26"/>
        </w:rPr>
        <w:t xml:space="preserve">the </w:t>
      </w:r>
      <w:r w:rsidR="008C6196" w:rsidRPr="008C6196">
        <w:rPr>
          <w:rFonts w:eastAsia="MS Mincho"/>
          <w:sz w:val="26"/>
        </w:rPr>
        <w:t>Complainant had breached the latest payment plan</w:t>
      </w:r>
      <w:r w:rsidR="008C6196">
        <w:rPr>
          <w:rFonts w:eastAsia="MS Mincho"/>
          <w:sz w:val="26"/>
        </w:rPr>
        <w:t xml:space="preserve">.  West Penn </w:t>
      </w:r>
      <w:proofErr w:type="spellStart"/>
      <w:r w:rsidR="008C6196" w:rsidRPr="008C6196">
        <w:rPr>
          <w:rFonts w:eastAsia="MS Mincho"/>
          <w:sz w:val="26"/>
        </w:rPr>
        <w:t>Exh</w:t>
      </w:r>
      <w:proofErr w:type="spellEnd"/>
      <w:r w:rsidR="008C6196" w:rsidRPr="008C6196">
        <w:rPr>
          <w:rFonts w:eastAsia="MS Mincho"/>
          <w:sz w:val="26"/>
        </w:rPr>
        <w:t xml:space="preserve">. 2.  </w:t>
      </w:r>
      <w:r w:rsidR="008C6196" w:rsidRPr="008C6196">
        <w:rPr>
          <w:rFonts w:eastAsia="MS Mincho"/>
          <w:sz w:val="26"/>
        </w:rPr>
        <w:lastRenderedPageBreak/>
        <w:t>Accordingly, the Commission has no authority to review the propriety of West Penn demanding a security deposit on this account in exchange for continuing to provide service.  66 Pa. C.S. §</w:t>
      </w:r>
      <w:r w:rsidR="00D52586">
        <w:rPr>
          <w:rFonts w:eastAsia="MS Mincho"/>
          <w:sz w:val="26"/>
        </w:rPr>
        <w:t xml:space="preserve"> </w:t>
      </w:r>
      <w:r w:rsidR="008C6196" w:rsidRPr="008C6196">
        <w:rPr>
          <w:rFonts w:eastAsia="MS Mincho"/>
          <w:sz w:val="26"/>
        </w:rPr>
        <w:t>1404(a)(3).</w:t>
      </w:r>
      <w:r w:rsidR="008C6196" w:rsidRPr="008C6196">
        <w:rPr>
          <w:rFonts w:eastAsia="MS Mincho"/>
          <w:sz w:val="26"/>
          <w:vertAlign w:val="superscript"/>
        </w:rPr>
        <w:footnoteReference w:id="1"/>
      </w:r>
      <w:r w:rsidR="008C6196" w:rsidRPr="008C6196">
        <w:rPr>
          <w:rFonts w:eastAsia="MS Mincho"/>
          <w:sz w:val="26"/>
        </w:rPr>
        <w:t xml:space="preserve">  </w:t>
      </w:r>
    </w:p>
    <w:p w:rsidR="008C6196" w:rsidRDefault="008C6196" w:rsidP="008C6196">
      <w:pPr>
        <w:spacing w:line="360" w:lineRule="auto"/>
        <w:ind w:firstLine="1440"/>
        <w:rPr>
          <w:rFonts w:eastAsia="MS Mincho"/>
          <w:sz w:val="26"/>
        </w:rPr>
      </w:pPr>
    </w:p>
    <w:p w:rsidR="00AF351B" w:rsidRPr="00AF351B" w:rsidRDefault="0099563B" w:rsidP="00AF351B">
      <w:pPr>
        <w:spacing w:line="360" w:lineRule="auto"/>
        <w:ind w:firstLine="1440"/>
        <w:rPr>
          <w:rFonts w:ascii="Times New (W1)" w:hAnsi="Times New (W1)"/>
          <w:bCs/>
          <w:sz w:val="26"/>
        </w:rPr>
      </w:pPr>
      <w:r>
        <w:rPr>
          <w:rFonts w:eastAsia="MS Mincho"/>
          <w:sz w:val="26"/>
        </w:rPr>
        <w:t xml:space="preserve">During the hearing the Complainant stated that </w:t>
      </w:r>
      <w:r w:rsidR="00650409">
        <w:rPr>
          <w:rFonts w:eastAsia="MS Mincho"/>
          <w:sz w:val="26"/>
        </w:rPr>
        <w:t xml:space="preserve">she </w:t>
      </w:r>
      <w:r>
        <w:rPr>
          <w:rFonts w:eastAsia="MS Mincho"/>
          <w:sz w:val="26"/>
        </w:rPr>
        <w:t>believed that her electrical usage was calculated too high.</w:t>
      </w:r>
      <w:r w:rsidR="00422EF7">
        <w:rPr>
          <w:rFonts w:eastAsia="MS Mincho"/>
          <w:sz w:val="26"/>
        </w:rPr>
        <w:t xml:space="preserve">  </w:t>
      </w:r>
      <w:r w:rsidRPr="00621E47">
        <w:rPr>
          <w:rFonts w:ascii="Times New (W1)" w:hAnsi="Times New (W1)"/>
          <w:bCs/>
          <w:sz w:val="26"/>
        </w:rPr>
        <w:t xml:space="preserve">We note that high bill complaints are governed by the “Waldron Rule.”  When </w:t>
      </w:r>
      <w:r w:rsidR="00D52586">
        <w:rPr>
          <w:rFonts w:ascii="Times New (W1)" w:hAnsi="Times New (W1)"/>
          <w:bCs/>
          <w:sz w:val="26"/>
        </w:rPr>
        <w:t>a c</w:t>
      </w:r>
      <w:r w:rsidRPr="00621E47">
        <w:rPr>
          <w:rFonts w:ascii="Times New (W1)" w:hAnsi="Times New (W1)"/>
          <w:bCs/>
          <w:sz w:val="26"/>
        </w:rPr>
        <w:t>omplain</w:t>
      </w:r>
      <w:r w:rsidR="00FF6296">
        <w:rPr>
          <w:rFonts w:ascii="Times New (W1)" w:hAnsi="Times New (W1)"/>
          <w:bCs/>
          <w:sz w:val="26"/>
        </w:rPr>
        <w:t>an</w:t>
      </w:r>
      <w:r w:rsidRPr="00621E47">
        <w:rPr>
          <w:rFonts w:ascii="Times New (W1)" w:hAnsi="Times New (W1)"/>
          <w:bCs/>
          <w:sz w:val="26"/>
        </w:rPr>
        <w:t xml:space="preserve">t alleges a high-billing dispute, a </w:t>
      </w:r>
      <w:r w:rsidR="00D52586">
        <w:rPr>
          <w:rFonts w:ascii="Times New (W1)" w:hAnsi="Times New (W1)"/>
          <w:bCs/>
          <w:sz w:val="26"/>
        </w:rPr>
        <w:t>c</w:t>
      </w:r>
      <w:r w:rsidRPr="00621E47">
        <w:rPr>
          <w:rFonts w:ascii="Times New (W1)" w:hAnsi="Times New (W1)"/>
          <w:bCs/>
          <w:sz w:val="26"/>
        </w:rPr>
        <w:t xml:space="preserve">omplainant’s initial burden of production is governed by </w:t>
      </w:r>
      <w:r w:rsidRPr="00621E47">
        <w:rPr>
          <w:rFonts w:ascii="Times New (W1)" w:hAnsi="Times New (W1)"/>
          <w:bCs/>
          <w:i/>
          <w:iCs/>
          <w:sz w:val="26"/>
        </w:rPr>
        <w:t>Waldron v. Philadelphia Electric Company</w:t>
      </w:r>
      <w:r w:rsidRPr="00621E47">
        <w:rPr>
          <w:rFonts w:ascii="Times New (W1)" w:hAnsi="Times New (W1)"/>
          <w:bCs/>
          <w:iCs/>
          <w:sz w:val="26"/>
        </w:rPr>
        <w:t xml:space="preserve">, </w:t>
      </w:r>
      <w:r w:rsidRPr="00621E47">
        <w:rPr>
          <w:rFonts w:ascii="Times New (W1)" w:hAnsi="Times New (W1)"/>
          <w:bCs/>
          <w:sz w:val="26"/>
        </w:rPr>
        <w:t>54 Pa. P</w:t>
      </w:r>
      <w:r w:rsidR="00D52586">
        <w:rPr>
          <w:rFonts w:ascii="Times New (W1)" w:hAnsi="Times New (W1)"/>
          <w:bCs/>
          <w:sz w:val="26"/>
        </w:rPr>
        <w:t>.</w:t>
      </w:r>
      <w:r w:rsidRPr="00621E47">
        <w:rPr>
          <w:rFonts w:ascii="Times New (W1)" w:hAnsi="Times New (W1)"/>
          <w:bCs/>
          <w:sz w:val="26"/>
        </w:rPr>
        <w:t>U</w:t>
      </w:r>
      <w:r w:rsidR="00D52586">
        <w:rPr>
          <w:rFonts w:ascii="Times New (W1)" w:hAnsi="Times New (W1)"/>
          <w:bCs/>
          <w:sz w:val="26"/>
        </w:rPr>
        <w:t>.</w:t>
      </w:r>
      <w:r w:rsidRPr="00621E47">
        <w:rPr>
          <w:rFonts w:ascii="Times New (W1)" w:hAnsi="Times New (W1)"/>
          <w:bCs/>
          <w:sz w:val="26"/>
        </w:rPr>
        <w:t>C</w:t>
      </w:r>
      <w:r w:rsidR="00D52586">
        <w:rPr>
          <w:rFonts w:ascii="Times New (W1)" w:hAnsi="Times New (W1)"/>
          <w:bCs/>
          <w:sz w:val="26"/>
        </w:rPr>
        <w:t>.</w:t>
      </w:r>
      <w:r w:rsidRPr="00621E47">
        <w:rPr>
          <w:rFonts w:ascii="Times New (W1)" w:hAnsi="Times New (W1)"/>
          <w:bCs/>
          <w:sz w:val="26"/>
        </w:rPr>
        <w:t xml:space="preserve"> 98 (1980) (</w:t>
      </w:r>
      <w:r w:rsidRPr="00621E47">
        <w:rPr>
          <w:rFonts w:ascii="Times New (W1)" w:hAnsi="Times New (W1)"/>
          <w:bCs/>
          <w:i/>
          <w:sz w:val="26"/>
        </w:rPr>
        <w:t>Waldron</w:t>
      </w:r>
      <w:r w:rsidRPr="00621E47">
        <w:rPr>
          <w:rFonts w:ascii="Times New (W1)" w:hAnsi="Times New (W1)"/>
          <w:bCs/>
          <w:sz w:val="26"/>
        </w:rPr>
        <w:t xml:space="preserve">).  </w:t>
      </w:r>
      <w:r w:rsidR="00AF351B">
        <w:rPr>
          <w:rFonts w:ascii="Times New (W1)" w:hAnsi="Times New (W1)"/>
          <w:bCs/>
          <w:sz w:val="26"/>
        </w:rPr>
        <w:t xml:space="preserve"> </w:t>
      </w:r>
      <w:r w:rsidR="00AF351B" w:rsidRPr="00AF351B">
        <w:rPr>
          <w:rFonts w:ascii="Times New (W1)" w:hAnsi="Times New (W1)"/>
          <w:bCs/>
          <w:sz w:val="26"/>
        </w:rPr>
        <w:t xml:space="preserve">In </w:t>
      </w:r>
      <w:r w:rsidR="00AF351B" w:rsidRPr="00AF351B">
        <w:rPr>
          <w:rFonts w:ascii="Times New (W1)" w:hAnsi="Times New (W1)"/>
          <w:bCs/>
          <w:i/>
          <w:sz w:val="26"/>
        </w:rPr>
        <w:t>Waldron</w:t>
      </w:r>
      <w:r w:rsidR="00AA36B5">
        <w:rPr>
          <w:rFonts w:ascii="Times New (W1)" w:hAnsi="Times New (W1)"/>
          <w:bCs/>
          <w:i/>
          <w:sz w:val="26"/>
        </w:rPr>
        <w:t>,</w:t>
      </w:r>
      <w:r w:rsidR="00AF351B" w:rsidRPr="00AF351B">
        <w:rPr>
          <w:rFonts w:ascii="Times New (W1)" w:hAnsi="Times New (W1)"/>
          <w:bCs/>
          <w:i/>
          <w:sz w:val="26"/>
        </w:rPr>
        <w:t xml:space="preserve"> </w:t>
      </w:r>
      <w:r w:rsidR="00AF351B" w:rsidRPr="00AF351B">
        <w:rPr>
          <w:rFonts w:ascii="Times New (W1)" w:hAnsi="Times New (W1)"/>
          <w:bCs/>
          <w:sz w:val="26"/>
        </w:rPr>
        <w:t xml:space="preserve">the Commission adopted the Michigan Public Service Commission’s (PSC’s) policy annunciated in </w:t>
      </w:r>
      <w:proofErr w:type="spellStart"/>
      <w:r w:rsidR="00AF351B" w:rsidRPr="00AF351B">
        <w:rPr>
          <w:rFonts w:ascii="Times New (W1)" w:hAnsi="Times New (W1)"/>
          <w:bCs/>
          <w:i/>
          <w:sz w:val="26"/>
        </w:rPr>
        <w:t>Hallifax</w:t>
      </w:r>
      <w:proofErr w:type="spellEnd"/>
      <w:r w:rsidR="00AF351B" w:rsidRPr="00AF351B">
        <w:rPr>
          <w:rFonts w:ascii="Times New (W1)" w:hAnsi="Times New (W1)"/>
          <w:bCs/>
          <w:i/>
          <w:sz w:val="26"/>
        </w:rPr>
        <w:t xml:space="preserve"> v. O &amp; </w:t>
      </w:r>
      <w:proofErr w:type="gramStart"/>
      <w:r w:rsidR="00AF351B" w:rsidRPr="00AF351B">
        <w:rPr>
          <w:rFonts w:ascii="Times New (W1)" w:hAnsi="Times New (W1)"/>
          <w:bCs/>
          <w:i/>
          <w:sz w:val="26"/>
        </w:rPr>
        <w:t>A</w:t>
      </w:r>
      <w:proofErr w:type="gramEnd"/>
      <w:r w:rsidR="00AF351B" w:rsidRPr="00AF351B">
        <w:rPr>
          <w:rFonts w:ascii="Times New (W1)" w:hAnsi="Times New (W1)"/>
          <w:bCs/>
          <w:i/>
          <w:sz w:val="26"/>
        </w:rPr>
        <w:t xml:space="preserve"> Electric Co-Op</w:t>
      </w:r>
      <w:r w:rsidR="00AF351B" w:rsidRPr="00AF351B">
        <w:rPr>
          <w:rFonts w:ascii="Times New (W1)" w:hAnsi="Times New (W1)"/>
          <w:bCs/>
          <w:sz w:val="26"/>
        </w:rPr>
        <w:t xml:space="preserve">, Case No. </w:t>
      </w:r>
      <w:proofErr w:type="gramStart"/>
      <w:r w:rsidR="00AF351B" w:rsidRPr="00AF351B">
        <w:rPr>
          <w:rFonts w:ascii="Times New (W1)" w:hAnsi="Times New (W1)"/>
          <w:bCs/>
          <w:sz w:val="26"/>
        </w:rPr>
        <w:t>U-5825, May 1979, which stated that, while the accuracy of the meter is an important factor in resolving billing disputes, it is not the sole criterion.</w:t>
      </w:r>
      <w:proofErr w:type="gramEnd"/>
      <w:r w:rsidR="00AF351B" w:rsidRPr="00AF351B">
        <w:rPr>
          <w:rFonts w:ascii="Times New (W1)" w:hAnsi="Times New (W1)"/>
          <w:bCs/>
          <w:sz w:val="26"/>
        </w:rPr>
        <w:t xml:space="preserve">  The Michigan PSC stated that it w</w:t>
      </w:r>
      <w:r w:rsidR="00AA36B5">
        <w:rPr>
          <w:rFonts w:ascii="Times New (W1)" w:hAnsi="Times New (W1)"/>
          <w:bCs/>
          <w:sz w:val="26"/>
        </w:rPr>
        <w:t>ould</w:t>
      </w:r>
      <w:r w:rsidR="00AF351B" w:rsidRPr="00AF351B">
        <w:rPr>
          <w:rFonts w:ascii="Times New (W1)" w:hAnsi="Times New (W1)"/>
          <w:bCs/>
          <w:sz w:val="26"/>
        </w:rPr>
        <w:t xml:space="preserve"> also consider the following factors: </w:t>
      </w:r>
      <w:r w:rsidR="0093099D">
        <w:rPr>
          <w:rFonts w:ascii="Times New (W1)" w:hAnsi="Times New (W1)"/>
          <w:bCs/>
          <w:sz w:val="26"/>
        </w:rPr>
        <w:t xml:space="preserve"> </w:t>
      </w:r>
      <w:r w:rsidR="00AF351B" w:rsidRPr="00AF351B">
        <w:rPr>
          <w:rFonts w:ascii="Times New (W1)" w:hAnsi="Times New (W1)"/>
          <w:bCs/>
          <w:sz w:val="26"/>
        </w:rPr>
        <w:t>the billing history of the complainant; any change in the number of occupants residing at the household; the potential for energy utilization; and any other relevant facts or circumstances that are brought to light during the complaint proceeding.</w:t>
      </w:r>
      <w:r w:rsidR="00AF351B" w:rsidRPr="00AF351B" w:rsidDel="000555B3">
        <w:rPr>
          <w:rFonts w:ascii="Times New (W1)" w:hAnsi="Times New (W1)"/>
          <w:bCs/>
          <w:sz w:val="26"/>
          <w:vertAlign w:val="superscript"/>
        </w:rPr>
        <w:t xml:space="preserve"> </w:t>
      </w:r>
      <w:r w:rsidR="00AF351B" w:rsidRPr="00AF351B">
        <w:rPr>
          <w:rFonts w:ascii="Times New (W1)" w:hAnsi="Times New (W1)"/>
          <w:bCs/>
          <w:sz w:val="26"/>
        </w:rPr>
        <w:t xml:space="preserve">  </w:t>
      </w:r>
      <w:proofErr w:type="gramStart"/>
      <w:r w:rsidR="00AF351B" w:rsidRPr="00AF351B">
        <w:rPr>
          <w:rFonts w:ascii="Times New (W1)" w:hAnsi="Times New (W1)"/>
          <w:bCs/>
          <w:i/>
          <w:sz w:val="26"/>
        </w:rPr>
        <w:t>Waldron</w:t>
      </w:r>
      <w:r w:rsidR="00AF351B" w:rsidRPr="00AF351B">
        <w:rPr>
          <w:rFonts w:ascii="Times New (W1)" w:hAnsi="Times New (W1)"/>
          <w:bCs/>
          <w:sz w:val="26"/>
        </w:rPr>
        <w:t xml:space="preserve"> at 100.</w:t>
      </w:r>
      <w:proofErr w:type="gramEnd"/>
    </w:p>
    <w:p w:rsidR="00AF351B" w:rsidRDefault="00AF351B" w:rsidP="0099563B">
      <w:pPr>
        <w:spacing w:line="360" w:lineRule="auto"/>
        <w:ind w:firstLine="1440"/>
        <w:rPr>
          <w:rFonts w:ascii="Times New (W1)" w:hAnsi="Times New (W1)"/>
          <w:bCs/>
          <w:sz w:val="26"/>
        </w:rPr>
      </w:pPr>
    </w:p>
    <w:p w:rsidR="00AF351B" w:rsidRPr="00AF351B" w:rsidRDefault="0099563B" w:rsidP="00AF351B">
      <w:pPr>
        <w:spacing w:line="360" w:lineRule="auto"/>
        <w:ind w:firstLine="1440"/>
        <w:rPr>
          <w:rFonts w:ascii="Times New (W1)" w:hAnsi="Times New (W1)"/>
          <w:bCs/>
          <w:iCs/>
          <w:sz w:val="26"/>
        </w:rPr>
      </w:pPr>
      <w:r w:rsidRPr="00621E47">
        <w:rPr>
          <w:rFonts w:ascii="Times New (W1)" w:hAnsi="Times New (W1)"/>
          <w:bCs/>
          <w:sz w:val="26"/>
        </w:rPr>
        <w:t xml:space="preserve">In </w:t>
      </w:r>
      <w:r w:rsidRPr="00621E47">
        <w:rPr>
          <w:rFonts w:ascii="Times New (W1)" w:hAnsi="Times New (W1)"/>
          <w:bCs/>
          <w:i/>
          <w:iCs/>
          <w:sz w:val="26"/>
        </w:rPr>
        <w:t>Waldron</w:t>
      </w:r>
      <w:r w:rsidRPr="00621E47">
        <w:rPr>
          <w:rFonts w:ascii="Times New (W1)" w:hAnsi="Times New (W1)"/>
          <w:bCs/>
          <w:iCs/>
          <w:sz w:val="26"/>
        </w:rPr>
        <w:t>,</w:t>
      </w:r>
      <w:r w:rsidRPr="00621E47">
        <w:rPr>
          <w:rFonts w:ascii="Times New (W1)" w:hAnsi="Times New (W1)"/>
          <w:bCs/>
          <w:i/>
          <w:iCs/>
          <w:sz w:val="26"/>
        </w:rPr>
        <w:t xml:space="preserve"> </w:t>
      </w:r>
      <w:r w:rsidRPr="00621E47">
        <w:rPr>
          <w:rFonts w:ascii="Times New (W1)" w:hAnsi="Times New (W1)"/>
          <w:bCs/>
          <w:sz w:val="26"/>
        </w:rPr>
        <w:t xml:space="preserve">the Commission concluded that a </w:t>
      </w:r>
      <w:r w:rsidR="0093099D">
        <w:rPr>
          <w:rFonts w:ascii="Times New (W1)" w:hAnsi="Times New (W1)"/>
          <w:bCs/>
          <w:sz w:val="26"/>
        </w:rPr>
        <w:t>c</w:t>
      </w:r>
      <w:r w:rsidRPr="00621E47">
        <w:rPr>
          <w:rFonts w:ascii="Times New (W1)" w:hAnsi="Times New (W1)"/>
          <w:bCs/>
          <w:sz w:val="26"/>
        </w:rPr>
        <w:t xml:space="preserve">omplainant may establish </w:t>
      </w:r>
      <w:r w:rsidRPr="00621E47">
        <w:rPr>
          <w:rFonts w:ascii="Times New (W1)" w:hAnsi="Times New (W1)"/>
          <w:bCs/>
          <w:iCs/>
          <w:sz w:val="26"/>
        </w:rPr>
        <w:t>a</w:t>
      </w:r>
      <w:r w:rsidRPr="00621E47">
        <w:rPr>
          <w:rFonts w:ascii="Times New (W1)" w:hAnsi="Times New (W1)"/>
          <w:bCs/>
          <w:i/>
          <w:iCs/>
          <w:sz w:val="26"/>
        </w:rPr>
        <w:t xml:space="preserve"> prima facie </w:t>
      </w:r>
      <w:r w:rsidRPr="00621E47">
        <w:rPr>
          <w:rFonts w:ascii="Times New (W1)" w:hAnsi="Times New (W1)"/>
          <w:bCs/>
          <w:sz w:val="26"/>
        </w:rPr>
        <w:t xml:space="preserve">case, </w:t>
      </w:r>
      <w:r w:rsidRPr="00621E47">
        <w:rPr>
          <w:rFonts w:ascii="Times New (W1)" w:hAnsi="Times New (W1)"/>
          <w:bCs/>
          <w:i/>
          <w:sz w:val="26"/>
        </w:rPr>
        <w:t>i.e.</w:t>
      </w:r>
      <w:r w:rsidRPr="00621E47">
        <w:rPr>
          <w:rFonts w:ascii="Times New (W1)" w:hAnsi="Times New (W1)"/>
          <w:bCs/>
          <w:sz w:val="26"/>
        </w:rPr>
        <w:t xml:space="preserve">, satisfy the initial burden of production, by showing that: (1) the number of occupants of the household has not changed; (2) the potential for energy utilization is low; and (3) the prior billing history shows no previous abnormalities.  Upon the submission of such evidence, the burden of going forward with evidence shifts to the utility.  If a utility fails to rebut such evidence, then a </w:t>
      </w:r>
      <w:r w:rsidR="0093099D">
        <w:rPr>
          <w:rFonts w:ascii="Times New (W1)" w:hAnsi="Times New (W1)"/>
          <w:bCs/>
          <w:sz w:val="26"/>
        </w:rPr>
        <w:t>c</w:t>
      </w:r>
      <w:r w:rsidRPr="00621E47">
        <w:rPr>
          <w:rFonts w:ascii="Times New (W1)" w:hAnsi="Times New (W1)"/>
          <w:bCs/>
          <w:sz w:val="26"/>
        </w:rPr>
        <w:t xml:space="preserve">omplainant would prevail.  If the utility has placed into the record evidence to rebut a </w:t>
      </w:r>
      <w:r w:rsidR="0093099D">
        <w:rPr>
          <w:rFonts w:ascii="Times New (W1)" w:hAnsi="Times New (W1)"/>
          <w:bCs/>
          <w:sz w:val="26"/>
        </w:rPr>
        <w:t>c</w:t>
      </w:r>
      <w:r w:rsidRPr="00621E47">
        <w:rPr>
          <w:rFonts w:ascii="Times New (W1)" w:hAnsi="Times New (W1)"/>
          <w:bCs/>
          <w:sz w:val="26"/>
        </w:rPr>
        <w:t xml:space="preserve">omplainant’s </w:t>
      </w:r>
      <w:r w:rsidRPr="00621E47">
        <w:rPr>
          <w:rFonts w:ascii="Times New (W1)" w:hAnsi="Times New (W1)"/>
          <w:bCs/>
          <w:i/>
          <w:sz w:val="26"/>
        </w:rPr>
        <w:t>prima facie</w:t>
      </w:r>
      <w:r w:rsidRPr="00621E47">
        <w:rPr>
          <w:rFonts w:ascii="Times New (W1)" w:hAnsi="Times New (W1)"/>
          <w:bCs/>
          <w:sz w:val="26"/>
        </w:rPr>
        <w:t xml:space="preserve"> </w:t>
      </w:r>
      <w:r w:rsidRPr="00621E47">
        <w:rPr>
          <w:rFonts w:ascii="Times New (W1)" w:hAnsi="Times New (W1)"/>
          <w:bCs/>
          <w:sz w:val="26"/>
        </w:rPr>
        <w:lastRenderedPageBreak/>
        <w:t xml:space="preserve">case, the burden of going forward with the evidence shifts back to the </w:t>
      </w:r>
      <w:r w:rsidR="0093099D">
        <w:rPr>
          <w:rFonts w:ascii="Times New (W1)" w:hAnsi="Times New (W1)"/>
          <w:bCs/>
          <w:sz w:val="26"/>
        </w:rPr>
        <w:t>c</w:t>
      </w:r>
      <w:r w:rsidRPr="00621E47">
        <w:rPr>
          <w:rFonts w:ascii="Times New (W1)" w:hAnsi="Times New (W1)"/>
          <w:bCs/>
          <w:sz w:val="26"/>
        </w:rPr>
        <w:t xml:space="preserve">omplainant.  In order to satisfy the burden of proof, a </w:t>
      </w:r>
      <w:r w:rsidR="0093099D">
        <w:rPr>
          <w:rFonts w:ascii="Times New (W1)" w:hAnsi="Times New (W1)"/>
          <w:bCs/>
          <w:sz w:val="26"/>
        </w:rPr>
        <w:t>c</w:t>
      </w:r>
      <w:r w:rsidRPr="00621E47">
        <w:rPr>
          <w:rFonts w:ascii="Times New (W1)" w:hAnsi="Times New (W1)"/>
          <w:bCs/>
          <w:sz w:val="26"/>
        </w:rPr>
        <w:t xml:space="preserve">omplainant must rebut the utility’s evidence by a preponderance of the evidence.  Although the burden of going forward with the evidence may shift from one party to another during a proceeding, the burden of proof never shifts.  It always remains on the </w:t>
      </w:r>
      <w:r w:rsidR="0093099D">
        <w:rPr>
          <w:rFonts w:ascii="Times New (W1)" w:hAnsi="Times New (W1)"/>
          <w:bCs/>
          <w:sz w:val="26"/>
        </w:rPr>
        <w:t>c</w:t>
      </w:r>
      <w:r w:rsidRPr="00621E47">
        <w:rPr>
          <w:rFonts w:ascii="Times New (W1)" w:hAnsi="Times New (W1)"/>
          <w:bCs/>
          <w:sz w:val="26"/>
        </w:rPr>
        <w:t xml:space="preserve">omplainant.  </w:t>
      </w:r>
      <w:proofErr w:type="spellStart"/>
      <w:proofErr w:type="gramStart"/>
      <w:r w:rsidRPr="00621E47">
        <w:rPr>
          <w:rFonts w:ascii="Times New (W1)" w:hAnsi="Times New (W1)"/>
          <w:bCs/>
          <w:i/>
          <w:iCs/>
          <w:sz w:val="26"/>
        </w:rPr>
        <w:t>Replogle</w:t>
      </w:r>
      <w:proofErr w:type="spellEnd"/>
      <w:r w:rsidRPr="00621E47">
        <w:rPr>
          <w:rFonts w:ascii="Times New (W1)" w:hAnsi="Times New (W1)"/>
          <w:bCs/>
          <w:i/>
          <w:iCs/>
          <w:sz w:val="26"/>
        </w:rPr>
        <w:t xml:space="preserve"> v. Pennsylvania Electric Company</w:t>
      </w:r>
      <w:r w:rsidRPr="00621E47">
        <w:rPr>
          <w:rFonts w:ascii="Times New (W1)" w:hAnsi="Times New (W1)"/>
          <w:bCs/>
          <w:iCs/>
          <w:sz w:val="26"/>
        </w:rPr>
        <w:t>,</w:t>
      </w:r>
      <w:r w:rsidRPr="00621E47">
        <w:rPr>
          <w:rFonts w:ascii="Times New (W1)" w:hAnsi="Times New (W1)"/>
          <w:bCs/>
          <w:i/>
          <w:iCs/>
          <w:sz w:val="26"/>
        </w:rPr>
        <w:t xml:space="preserve"> </w:t>
      </w:r>
      <w:r w:rsidRPr="00621E47">
        <w:rPr>
          <w:rFonts w:ascii="Times New (W1)" w:hAnsi="Times New (W1)"/>
          <w:bCs/>
          <w:sz w:val="26"/>
        </w:rPr>
        <w:t>54 Pa. P</w:t>
      </w:r>
      <w:r w:rsidR="00D52586">
        <w:rPr>
          <w:rFonts w:ascii="Times New (W1)" w:hAnsi="Times New (W1)"/>
          <w:bCs/>
          <w:sz w:val="26"/>
        </w:rPr>
        <w:t>.</w:t>
      </w:r>
      <w:r w:rsidRPr="00621E47">
        <w:rPr>
          <w:rFonts w:ascii="Times New (W1)" w:hAnsi="Times New (W1)"/>
          <w:bCs/>
          <w:sz w:val="26"/>
        </w:rPr>
        <w:t>U</w:t>
      </w:r>
      <w:r w:rsidR="00D52586">
        <w:rPr>
          <w:rFonts w:ascii="Times New (W1)" w:hAnsi="Times New (W1)"/>
          <w:bCs/>
          <w:sz w:val="26"/>
        </w:rPr>
        <w:t>.</w:t>
      </w:r>
      <w:r w:rsidRPr="00621E47">
        <w:rPr>
          <w:rFonts w:ascii="Times New (W1)" w:hAnsi="Times New (W1)"/>
          <w:bCs/>
          <w:sz w:val="26"/>
        </w:rPr>
        <w:t>C</w:t>
      </w:r>
      <w:r w:rsidR="00D52586">
        <w:rPr>
          <w:rFonts w:ascii="Times New (W1)" w:hAnsi="Times New (W1)"/>
          <w:bCs/>
          <w:sz w:val="26"/>
        </w:rPr>
        <w:t>.</w:t>
      </w:r>
      <w:r w:rsidRPr="00621E47">
        <w:rPr>
          <w:rFonts w:ascii="Times New (W1)" w:hAnsi="Times New (W1)"/>
          <w:bCs/>
          <w:sz w:val="26"/>
        </w:rPr>
        <w:t xml:space="preserve"> 528 (1980)</w:t>
      </w:r>
      <w:r w:rsidR="00D52586">
        <w:rPr>
          <w:rFonts w:ascii="Times New (W1)" w:hAnsi="Times New (W1)"/>
          <w:bCs/>
          <w:sz w:val="26"/>
        </w:rPr>
        <w:t xml:space="preserve">; </w:t>
      </w:r>
      <w:r w:rsidRPr="00621E47">
        <w:rPr>
          <w:rFonts w:ascii="Times New (W1)" w:hAnsi="Times New (W1)"/>
          <w:bCs/>
          <w:i/>
          <w:iCs/>
          <w:sz w:val="26"/>
        </w:rPr>
        <w:t>Waldron</w:t>
      </w:r>
      <w:r w:rsidRPr="00621E47">
        <w:rPr>
          <w:rFonts w:ascii="Times New (W1)" w:hAnsi="Times New (W1)"/>
          <w:bCs/>
          <w:iCs/>
          <w:sz w:val="26"/>
        </w:rPr>
        <w:t>.</w:t>
      </w:r>
      <w:proofErr w:type="gramEnd"/>
      <w:r w:rsidR="00AA36B5">
        <w:rPr>
          <w:rFonts w:ascii="Times New (W1)" w:hAnsi="Times New (W1)"/>
          <w:bCs/>
          <w:iCs/>
          <w:sz w:val="26"/>
        </w:rPr>
        <w:t xml:space="preserve">  We further clarified </w:t>
      </w:r>
      <w:r w:rsidR="00AA36B5">
        <w:rPr>
          <w:rFonts w:ascii="Times New (W1)" w:hAnsi="Times New (W1)"/>
          <w:bCs/>
          <w:i/>
          <w:iCs/>
          <w:sz w:val="26"/>
        </w:rPr>
        <w:t>Waldron</w:t>
      </w:r>
      <w:r w:rsidR="00AA36B5">
        <w:rPr>
          <w:rFonts w:ascii="Times New (W1)" w:hAnsi="Times New (W1)"/>
          <w:bCs/>
          <w:iCs/>
          <w:sz w:val="26"/>
        </w:rPr>
        <w:t xml:space="preserve"> in </w:t>
      </w:r>
      <w:r w:rsidR="00AA36B5">
        <w:rPr>
          <w:rFonts w:ascii="Times New (W1)" w:hAnsi="Times New (W1)"/>
          <w:bCs/>
          <w:i/>
          <w:iCs/>
          <w:sz w:val="26"/>
        </w:rPr>
        <w:t xml:space="preserve">Bennett v. The Peoples Natural Gas Company, LLC, </w:t>
      </w:r>
      <w:r w:rsidR="00AA36B5">
        <w:rPr>
          <w:rFonts w:ascii="Times New (W1)" w:hAnsi="Times New (W1)"/>
          <w:bCs/>
          <w:iCs/>
          <w:sz w:val="26"/>
        </w:rPr>
        <w:t xml:space="preserve">Docket No. C-2009-2122979 (Order entered October 13, 2010), wherein we stated that </w:t>
      </w:r>
      <w:r w:rsidR="00AF351B" w:rsidRPr="00AF351B">
        <w:rPr>
          <w:rFonts w:ascii="Times New (W1)" w:hAnsi="Times New (W1)"/>
          <w:bCs/>
          <w:iCs/>
          <w:sz w:val="26"/>
        </w:rPr>
        <w:t xml:space="preserve">a complainant in a high bill case has the opportunity to present any other relevant evidence which, if sufficient to establish a </w:t>
      </w:r>
      <w:r w:rsidR="00AF351B" w:rsidRPr="00AF351B">
        <w:rPr>
          <w:rFonts w:ascii="Times New (W1)" w:hAnsi="Times New (W1)"/>
          <w:bCs/>
          <w:i/>
          <w:iCs/>
          <w:sz w:val="26"/>
        </w:rPr>
        <w:t xml:space="preserve">prima facie </w:t>
      </w:r>
      <w:r w:rsidR="00AF351B" w:rsidRPr="00AF351B">
        <w:rPr>
          <w:rFonts w:ascii="Times New (W1)" w:hAnsi="Times New (W1)"/>
          <w:bCs/>
          <w:iCs/>
          <w:sz w:val="26"/>
        </w:rPr>
        <w:t xml:space="preserve">case, can be used to sustain the burden of proof.  There is no specific requirement as to what particular facts the complainant must offer.  This will likely vary from case to case.  In </w:t>
      </w:r>
      <w:r w:rsidR="00AF351B" w:rsidRPr="00AF351B">
        <w:rPr>
          <w:rFonts w:ascii="Times New (W1)" w:hAnsi="Times New (W1)"/>
          <w:bCs/>
          <w:i/>
          <w:iCs/>
          <w:sz w:val="26"/>
        </w:rPr>
        <w:t>Waldron</w:t>
      </w:r>
      <w:r w:rsidR="00AF351B" w:rsidRPr="00AF351B">
        <w:rPr>
          <w:rFonts w:ascii="Times New (W1)" w:hAnsi="Times New (W1)"/>
          <w:bCs/>
          <w:iCs/>
          <w:sz w:val="26"/>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00AF351B" w:rsidRPr="00AF351B">
        <w:rPr>
          <w:rFonts w:ascii="Times New (W1)" w:hAnsi="Times New (W1)"/>
          <w:bCs/>
          <w:i/>
          <w:iCs/>
          <w:sz w:val="26"/>
        </w:rPr>
        <w:t xml:space="preserve">Waldron </w:t>
      </w:r>
      <w:r w:rsidR="00AF351B" w:rsidRPr="00AF351B">
        <w:rPr>
          <w:rFonts w:ascii="Times New (W1)" w:hAnsi="Times New (W1)"/>
          <w:bCs/>
          <w:iCs/>
          <w:sz w:val="26"/>
        </w:rPr>
        <w:t xml:space="preserve">reasoning that, had the record been properly developed, those facts may have established a </w:t>
      </w:r>
      <w:r w:rsidR="00AF351B" w:rsidRPr="00AF351B">
        <w:rPr>
          <w:rFonts w:ascii="Times New (W1)" w:hAnsi="Times New (W1)"/>
          <w:bCs/>
          <w:i/>
          <w:iCs/>
          <w:sz w:val="26"/>
        </w:rPr>
        <w:t>prima facie</w:t>
      </w:r>
      <w:r w:rsidR="00AF351B" w:rsidRPr="00AF351B">
        <w:rPr>
          <w:rFonts w:ascii="Times New (W1)" w:hAnsi="Times New (W1)"/>
          <w:bCs/>
          <w:iCs/>
          <w:sz w:val="26"/>
        </w:rPr>
        <w:t xml:space="preserve"> high bill case and then the Company would have had to introduce evidence to overcome the </w:t>
      </w:r>
      <w:r w:rsidR="00AF351B" w:rsidRPr="00AF351B">
        <w:rPr>
          <w:rFonts w:ascii="Times New (W1)" w:hAnsi="Times New (W1)"/>
          <w:bCs/>
          <w:i/>
          <w:iCs/>
          <w:sz w:val="26"/>
        </w:rPr>
        <w:t>prima facie</w:t>
      </w:r>
      <w:r w:rsidR="00AF351B" w:rsidRPr="00AF351B">
        <w:rPr>
          <w:rFonts w:ascii="Times New (W1)" w:hAnsi="Times New (W1)"/>
          <w:bCs/>
          <w:iCs/>
          <w:sz w:val="26"/>
        </w:rPr>
        <w:t xml:space="preserve"> case.  </w:t>
      </w:r>
      <w:proofErr w:type="gramStart"/>
      <w:r w:rsidR="00AF351B" w:rsidRPr="00AF351B">
        <w:rPr>
          <w:rFonts w:ascii="Times New (W1)" w:hAnsi="Times New (W1)"/>
          <w:bCs/>
          <w:i/>
          <w:iCs/>
          <w:sz w:val="26"/>
        </w:rPr>
        <w:t>Waldron</w:t>
      </w:r>
      <w:r w:rsidR="00AF351B" w:rsidRPr="00AF351B">
        <w:rPr>
          <w:rFonts w:ascii="Times New (W1)" w:hAnsi="Times New (W1)"/>
          <w:bCs/>
          <w:iCs/>
          <w:sz w:val="26"/>
        </w:rPr>
        <w:t xml:space="preserve"> at 101.</w:t>
      </w:r>
      <w:proofErr w:type="gramEnd"/>
      <w:r w:rsidR="00AF351B" w:rsidRPr="00AF351B">
        <w:rPr>
          <w:rFonts w:ascii="Times New (W1)" w:hAnsi="Times New (W1)"/>
          <w:bCs/>
          <w:iCs/>
          <w:sz w:val="26"/>
        </w:rPr>
        <w:t xml:space="preserve">  Therefore, to establish a </w:t>
      </w:r>
      <w:r w:rsidR="00AF351B" w:rsidRPr="00AF351B">
        <w:rPr>
          <w:rFonts w:ascii="Times New (W1)" w:hAnsi="Times New (W1)"/>
          <w:bCs/>
          <w:i/>
          <w:iCs/>
          <w:sz w:val="26"/>
        </w:rPr>
        <w:t xml:space="preserve">prima facie </w:t>
      </w:r>
      <w:r w:rsidR="00AF351B" w:rsidRPr="00AF351B">
        <w:rPr>
          <w:rFonts w:ascii="Times New (W1)" w:hAnsi="Times New (W1)"/>
          <w:bCs/>
          <w:iCs/>
          <w:sz w:val="26"/>
        </w:rPr>
        <w:t xml:space="preserve">case under </w:t>
      </w:r>
      <w:r w:rsidR="00AF351B" w:rsidRPr="00AF351B">
        <w:rPr>
          <w:rFonts w:ascii="Times New (W1)" w:hAnsi="Times New (W1)"/>
          <w:bCs/>
          <w:i/>
          <w:iCs/>
          <w:sz w:val="26"/>
        </w:rPr>
        <w:t>Waldron</w:t>
      </w:r>
      <w:r w:rsidR="00AF351B" w:rsidRPr="00AF351B">
        <w:rPr>
          <w:rFonts w:ascii="Times New (W1)" w:hAnsi="Times New (W1)"/>
          <w:bCs/>
          <w:iCs/>
          <w:sz w:val="26"/>
        </w:rPr>
        <w:t xml:space="preserve">, a complainant must show the disputed bill was abnormally high when compared to prior usage patterns and that his or her pattern of usage has not changed or must provide other relevant evidence showing that the disputed bill is unreasonably high. </w:t>
      </w:r>
    </w:p>
    <w:p w:rsidR="00AF351B" w:rsidRPr="00AF351B" w:rsidRDefault="00AF351B" w:rsidP="00AF351B">
      <w:pPr>
        <w:spacing w:line="360" w:lineRule="auto"/>
        <w:ind w:firstLine="1440"/>
        <w:rPr>
          <w:rFonts w:ascii="Times New (W1)" w:hAnsi="Times New (W1)"/>
          <w:bCs/>
          <w:iCs/>
          <w:sz w:val="26"/>
        </w:rPr>
      </w:pPr>
    </w:p>
    <w:p w:rsidR="00AF351B" w:rsidRPr="00AF351B" w:rsidRDefault="00AF351B" w:rsidP="00AF351B">
      <w:pPr>
        <w:spacing w:line="360" w:lineRule="auto"/>
        <w:ind w:firstLine="1440"/>
        <w:rPr>
          <w:rFonts w:ascii="Times New (W1)" w:hAnsi="Times New (W1)"/>
          <w:bCs/>
          <w:iCs/>
          <w:sz w:val="26"/>
        </w:rPr>
      </w:pPr>
      <w:r w:rsidRPr="00AF351B">
        <w:rPr>
          <w:rFonts w:ascii="Times New (W1)" w:hAnsi="Times New (W1)"/>
          <w:bCs/>
          <w:iCs/>
          <w:sz w:val="26"/>
        </w:rPr>
        <w:t xml:space="preserve">By way of further restatement and clarification, and as set forth in </w:t>
      </w:r>
      <w:r w:rsidRPr="00AF351B">
        <w:rPr>
          <w:rFonts w:ascii="Times New (W1)" w:hAnsi="Times New (W1)"/>
          <w:bCs/>
          <w:i/>
          <w:iCs/>
          <w:sz w:val="26"/>
        </w:rPr>
        <w:t>Waldron,</w:t>
      </w:r>
      <w:r w:rsidRPr="00AF351B">
        <w:rPr>
          <w:rFonts w:ascii="Times New (W1)" w:hAnsi="Times New (W1)"/>
          <w:bCs/>
          <w:iCs/>
          <w:sz w:val="26"/>
        </w:rPr>
        <w:t xml:space="preserve"> evidence proffered by a utility relating to the accuracy of a meter test alone, in response to a high bill complaint, is not conclusive evidence and would not, by itself, require a finding against a complainant and in favor of a company.  </w:t>
      </w:r>
      <w:r w:rsidRPr="00AF351B">
        <w:rPr>
          <w:rFonts w:ascii="Times New (W1)" w:hAnsi="Times New (W1)"/>
          <w:bCs/>
          <w:i/>
          <w:iCs/>
          <w:sz w:val="26"/>
        </w:rPr>
        <w:t>Id.</w:t>
      </w:r>
      <w:r w:rsidRPr="00AF351B">
        <w:rPr>
          <w:rFonts w:ascii="Times New (W1)" w:hAnsi="Times New (W1)"/>
          <w:bCs/>
          <w:iCs/>
          <w:sz w:val="26"/>
        </w:rPr>
        <w:t xml:space="preserve">  In other words, evidence of a meter test showing that the meter worked within the acceptable degree of accuracy can </w:t>
      </w:r>
      <w:r w:rsidRPr="00AF351B">
        <w:rPr>
          <w:rFonts w:ascii="Times New (W1)" w:hAnsi="Times New (W1)"/>
          <w:bCs/>
          <w:iCs/>
          <w:sz w:val="26"/>
        </w:rPr>
        <w:lastRenderedPageBreak/>
        <w:t>be overcome with circumstantial evidence that otherwise indicates that a bill was too high.</w:t>
      </w:r>
    </w:p>
    <w:p w:rsidR="00AF351B" w:rsidRDefault="00AF351B" w:rsidP="0099563B">
      <w:pPr>
        <w:spacing w:line="360" w:lineRule="auto"/>
        <w:ind w:firstLine="1440"/>
        <w:rPr>
          <w:rFonts w:ascii="Times New (W1)" w:hAnsi="Times New (W1)"/>
          <w:bCs/>
          <w:iCs/>
          <w:sz w:val="26"/>
        </w:rPr>
      </w:pPr>
    </w:p>
    <w:p w:rsidR="00422EF7" w:rsidRDefault="008905D4" w:rsidP="00422EF7">
      <w:pPr>
        <w:spacing w:line="360" w:lineRule="auto"/>
        <w:ind w:firstLine="1440"/>
        <w:rPr>
          <w:rFonts w:ascii="Times New (W1)" w:hAnsi="Times New (W1)"/>
          <w:bCs/>
          <w:iCs/>
          <w:sz w:val="26"/>
        </w:rPr>
      </w:pPr>
      <w:r>
        <w:rPr>
          <w:rFonts w:ascii="Times New (W1)" w:hAnsi="Times New (W1)"/>
          <w:bCs/>
          <w:iCs/>
          <w:sz w:val="26"/>
        </w:rPr>
        <w:t>In this case, t</w:t>
      </w:r>
      <w:r w:rsidR="00422EF7">
        <w:rPr>
          <w:rFonts w:ascii="Times New (W1)" w:hAnsi="Times New (W1)"/>
          <w:bCs/>
          <w:iCs/>
          <w:sz w:val="26"/>
        </w:rPr>
        <w:t xml:space="preserve">he Complainant lives with her 23-year-old daughter in a two-story frame house with a basement that was built in 1888.  </w:t>
      </w:r>
      <w:r w:rsidR="00422EF7" w:rsidRPr="00422EF7">
        <w:rPr>
          <w:rFonts w:ascii="Times New (W1)" w:hAnsi="Times New (W1)"/>
          <w:bCs/>
          <w:iCs/>
          <w:sz w:val="26"/>
        </w:rPr>
        <w:t>A living room, kitchen and bathroom occupy the first floor.  Three bedrooms are on the second floor</w:t>
      </w:r>
      <w:r w:rsidR="00422EF7">
        <w:rPr>
          <w:rFonts w:ascii="Times New (W1)" w:hAnsi="Times New (W1)"/>
          <w:bCs/>
          <w:iCs/>
          <w:sz w:val="26"/>
        </w:rPr>
        <w:t xml:space="preserve">.  Tr. at </w:t>
      </w:r>
      <w:r w:rsidR="00422EF7" w:rsidRPr="00422EF7">
        <w:rPr>
          <w:rFonts w:ascii="Times New (W1)" w:hAnsi="Times New (W1)"/>
          <w:bCs/>
          <w:iCs/>
          <w:sz w:val="26"/>
        </w:rPr>
        <w:t xml:space="preserve">29-30, 34.  For electrical appliances, </w:t>
      </w:r>
      <w:r w:rsidR="00422EF7">
        <w:rPr>
          <w:rFonts w:ascii="Times New (W1)" w:hAnsi="Times New (W1)"/>
          <w:bCs/>
          <w:iCs/>
          <w:sz w:val="26"/>
        </w:rPr>
        <w:t xml:space="preserve">the </w:t>
      </w:r>
      <w:r w:rsidR="00422EF7" w:rsidRPr="00422EF7">
        <w:rPr>
          <w:rFonts w:ascii="Times New (W1)" w:hAnsi="Times New (W1)"/>
          <w:bCs/>
          <w:iCs/>
          <w:sz w:val="26"/>
        </w:rPr>
        <w:t>Complainant has a refrigerator, kitchen stove, microwave oven, television, satellite dish, laptop computer, clothes washer and dryer, and room air-conditioner.  She uses a forced air furnace that burns fuel oil, but it has an electric fan to circulate the heat</w:t>
      </w:r>
      <w:r w:rsidR="00422EF7">
        <w:rPr>
          <w:rFonts w:ascii="Times New (W1)" w:hAnsi="Times New (W1)"/>
          <w:bCs/>
          <w:iCs/>
          <w:sz w:val="26"/>
        </w:rPr>
        <w:t xml:space="preserve">.  </w:t>
      </w:r>
      <w:r w:rsidR="00422EF7" w:rsidRPr="00422EF7">
        <w:rPr>
          <w:rFonts w:ascii="Times New (W1)" w:hAnsi="Times New (W1)"/>
          <w:bCs/>
          <w:iCs/>
          <w:sz w:val="26"/>
        </w:rPr>
        <w:t>T</w:t>
      </w:r>
      <w:r w:rsidR="00422EF7">
        <w:rPr>
          <w:rFonts w:ascii="Times New (W1)" w:hAnsi="Times New (W1)"/>
          <w:bCs/>
          <w:iCs/>
          <w:sz w:val="26"/>
        </w:rPr>
        <w:t>r</w:t>
      </w:r>
      <w:r w:rsidR="00422EF7" w:rsidRPr="00422EF7">
        <w:rPr>
          <w:rFonts w:ascii="Times New (W1)" w:hAnsi="Times New (W1)"/>
          <w:bCs/>
          <w:iCs/>
          <w:sz w:val="26"/>
        </w:rPr>
        <w:t>.</w:t>
      </w:r>
      <w:r w:rsidR="00422EF7">
        <w:rPr>
          <w:rFonts w:ascii="Times New (W1)" w:hAnsi="Times New (W1)"/>
          <w:bCs/>
          <w:iCs/>
          <w:sz w:val="26"/>
        </w:rPr>
        <w:t xml:space="preserve"> at</w:t>
      </w:r>
      <w:r w:rsidR="00422EF7" w:rsidRPr="00422EF7">
        <w:rPr>
          <w:rFonts w:ascii="Times New (W1)" w:hAnsi="Times New (W1)"/>
          <w:bCs/>
          <w:iCs/>
          <w:sz w:val="26"/>
        </w:rPr>
        <w:t xml:space="preserve"> 30-33, 35.  In the winter, </w:t>
      </w:r>
      <w:r w:rsidR="00650409">
        <w:rPr>
          <w:rFonts w:ascii="Times New (W1)" w:hAnsi="Times New (W1)"/>
          <w:bCs/>
          <w:iCs/>
          <w:sz w:val="26"/>
        </w:rPr>
        <w:t xml:space="preserve">the </w:t>
      </w:r>
      <w:r w:rsidR="00422EF7" w:rsidRPr="00422EF7">
        <w:rPr>
          <w:rFonts w:ascii="Times New (W1)" w:hAnsi="Times New (W1)"/>
          <w:bCs/>
          <w:iCs/>
          <w:sz w:val="26"/>
        </w:rPr>
        <w:t xml:space="preserve">Complainant </w:t>
      </w:r>
      <w:r w:rsidR="002455F1">
        <w:rPr>
          <w:rFonts w:ascii="Times New (W1)" w:hAnsi="Times New (W1)"/>
          <w:bCs/>
          <w:iCs/>
          <w:sz w:val="26"/>
        </w:rPr>
        <w:t xml:space="preserve">stated that she </w:t>
      </w:r>
      <w:r w:rsidR="00422EF7" w:rsidRPr="00422EF7">
        <w:rPr>
          <w:rFonts w:ascii="Times New (W1)" w:hAnsi="Times New (W1)"/>
          <w:bCs/>
          <w:iCs/>
          <w:sz w:val="26"/>
        </w:rPr>
        <w:t>maintains the th</w:t>
      </w:r>
      <w:r w:rsidR="00422EF7">
        <w:rPr>
          <w:rFonts w:ascii="Times New (W1)" w:hAnsi="Times New (W1)"/>
          <w:bCs/>
          <w:iCs/>
          <w:sz w:val="26"/>
        </w:rPr>
        <w:t xml:space="preserve">ermostat for the furnace at 68°.  Tr. at </w:t>
      </w:r>
      <w:r w:rsidR="00422EF7" w:rsidRPr="00422EF7">
        <w:rPr>
          <w:rFonts w:ascii="Times New (W1)" w:hAnsi="Times New (W1)"/>
          <w:bCs/>
          <w:iCs/>
          <w:sz w:val="26"/>
        </w:rPr>
        <w:t xml:space="preserve">34.  </w:t>
      </w:r>
      <w:r w:rsidR="00650409">
        <w:rPr>
          <w:rFonts w:ascii="Times New (W1)" w:hAnsi="Times New (W1)"/>
          <w:bCs/>
          <w:iCs/>
          <w:sz w:val="26"/>
        </w:rPr>
        <w:t xml:space="preserve">The </w:t>
      </w:r>
      <w:r w:rsidR="00422EF7" w:rsidRPr="00422EF7">
        <w:rPr>
          <w:rFonts w:ascii="Times New (W1)" w:hAnsi="Times New (W1)"/>
          <w:bCs/>
          <w:iCs/>
          <w:sz w:val="26"/>
        </w:rPr>
        <w:t>Complainant denies the house is cold or drafty in the winter and insists it is well insulated</w:t>
      </w:r>
      <w:r w:rsidR="00422EF7">
        <w:rPr>
          <w:rFonts w:ascii="Times New (W1)" w:hAnsi="Times New (W1)"/>
          <w:bCs/>
          <w:iCs/>
          <w:sz w:val="26"/>
        </w:rPr>
        <w:t xml:space="preserve">.  </w:t>
      </w:r>
      <w:r w:rsidR="00422EF7" w:rsidRPr="00422EF7">
        <w:rPr>
          <w:rFonts w:ascii="Times New (W1)" w:hAnsi="Times New (W1)"/>
          <w:bCs/>
          <w:iCs/>
          <w:sz w:val="26"/>
        </w:rPr>
        <w:t>T</w:t>
      </w:r>
      <w:r w:rsidR="00422EF7">
        <w:rPr>
          <w:rFonts w:ascii="Times New (W1)" w:hAnsi="Times New (W1)"/>
          <w:bCs/>
          <w:iCs/>
          <w:sz w:val="26"/>
        </w:rPr>
        <w:t>r</w:t>
      </w:r>
      <w:r w:rsidR="00422EF7" w:rsidRPr="00422EF7">
        <w:rPr>
          <w:rFonts w:ascii="Times New (W1)" w:hAnsi="Times New (W1)"/>
          <w:bCs/>
          <w:iCs/>
          <w:sz w:val="26"/>
        </w:rPr>
        <w:t>.</w:t>
      </w:r>
      <w:r w:rsidR="00422EF7">
        <w:rPr>
          <w:rFonts w:ascii="Times New (W1)" w:hAnsi="Times New (W1)"/>
          <w:bCs/>
          <w:iCs/>
          <w:sz w:val="26"/>
        </w:rPr>
        <w:t xml:space="preserve"> at</w:t>
      </w:r>
      <w:r w:rsidR="00422EF7" w:rsidRPr="00422EF7">
        <w:rPr>
          <w:rFonts w:ascii="Times New (W1)" w:hAnsi="Times New (W1)"/>
          <w:bCs/>
          <w:iCs/>
          <w:sz w:val="26"/>
        </w:rPr>
        <w:t> 34-35.</w:t>
      </w:r>
    </w:p>
    <w:p w:rsidR="00650409" w:rsidRDefault="00650409" w:rsidP="00422EF7">
      <w:pPr>
        <w:spacing w:line="360" w:lineRule="auto"/>
        <w:ind w:firstLine="1440"/>
        <w:rPr>
          <w:rFonts w:ascii="Times New (W1)" w:hAnsi="Times New (W1)"/>
          <w:bCs/>
          <w:iCs/>
          <w:sz w:val="26"/>
        </w:rPr>
      </w:pPr>
    </w:p>
    <w:p w:rsidR="00650409" w:rsidRDefault="00650409" w:rsidP="00422EF7">
      <w:pPr>
        <w:spacing w:line="360" w:lineRule="auto"/>
        <w:ind w:firstLine="1440"/>
        <w:rPr>
          <w:rFonts w:ascii="Times New (W1)" w:hAnsi="Times New (W1)"/>
          <w:bCs/>
          <w:iCs/>
          <w:sz w:val="26"/>
        </w:rPr>
      </w:pPr>
      <w:r>
        <w:rPr>
          <w:rFonts w:ascii="Times New (W1)" w:hAnsi="Times New (W1)"/>
          <w:bCs/>
          <w:iCs/>
          <w:sz w:val="26"/>
        </w:rPr>
        <w:t xml:space="preserve">A review of the Complainant’s Account Statement for usage from </w:t>
      </w:r>
    </w:p>
    <w:p w:rsidR="00650409" w:rsidRDefault="00650409" w:rsidP="00650409">
      <w:pPr>
        <w:spacing w:line="360" w:lineRule="auto"/>
        <w:rPr>
          <w:rFonts w:ascii="Times New (W1)" w:hAnsi="Times New (W1)"/>
          <w:bCs/>
          <w:iCs/>
          <w:sz w:val="26"/>
        </w:rPr>
      </w:pPr>
      <w:r>
        <w:rPr>
          <w:rFonts w:ascii="Times New (W1)" w:hAnsi="Times New (W1)"/>
          <w:bCs/>
          <w:iCs/>
          <w:sz w:val="26"/>
        </w:rPr>
        <w:t xml:space="preserve">May 18, 2009 through February 16, 2011, does not show any instance of unusually high bills occurring.  On the contrary, the Complainant’s monthly electric bills are relatively consistent with seasonal changes in the weather and comparable from year to year.  </w:t>
      </w:r>
    </w:p>
    <w:p w:rsidR="00650409" w:rsidRDefault="00650409" w:rsidP="00650409">
      <w:pPr>
        <w:spacing w:line="360" w:lineRule="auto"/>
        <w:rPr>
          <w:rFonts w:ascii="Times New (W1)" w:hAnsi="Times New (W1)"/>
          <w:bCs/>
          <w:iCs/>
          <w:sz w:val="26"/>
        </w:rPr>
      </w:pPr>
      <w:r>
        <w:rPr>
          <w:rFonts w:ascii="Times New (W1)" w:hAnsi="Times New (W1)"/>
          <w:bCs/>
          <w:iCs/>
          <w:sz w:val="26"/>
        </w:rPr>
        <w:t xml:space="preserve">Tr. at 49-52; West Penn </w:t>
      </w:r>
      <w:proofErr w:type="spellStart"/>
      <w:r>
        <w:rPr>
          <w:rFonts w:ascii="Times New (W1)" w:hAnsi="Times New (W1)"/>
          <w:bCs/>
          <w:iCs/>
          <w:sz w:val="26"/>
        </w:rPr>
        <w:t>Exh</w:t>
      </w:r>
      <w:proofErr w:type="spellEnd"/>
      <w:r>
        <w:rPr>
          <w:rFonts w:ascii="Times New (W1)" w:hAnsi="Times New (W1)"/>
          <w:bCs/>
          <w:iCs/>
          <w:sz w:val="26"/>
        </w:rPr>
        <w:t>. 2.</w:t>
      </w:r>
    </w:p>
    <w:p w:rsidR="00422EF7" w:rsidRDefault="00422EF7" w:rsidP="00422EF7">
      <w:pPr>
        <w:spacing w:line="360" w:lineRule="auto"/>
        <w:ind w:firstLine="1440"/>
        <w:rPr>
          <w:rFonts w:ascii="Times New (W1)" w:hAnsi="Times New (W1)"/>
          <w:bCs/>
          <w:iCs/>
          <w:sz w:val="26"/>
        </w:rPr>
      </w:pPr>
    </w:p>
    <w:p w:rsidR="0099563B" w:rsidRDefault="008905D4" w:rsidP="0099563B">
      <w:pPr>
        <w:spacing w:line="360" w:lineRule="auto"/>
        <w:ind w:firstLine="1440"/>
        <w:rPr>
          <w:rFonts w:ascii="Times New (W1)" w:hAnsi="Times New (W1)"/>
          <w:bCs/>
          <w:sz w:val="26"/>
        </w:rPr>
      </w:pPr>
      <w:r>
        <w:rPr>
          <w:rFonts w:ascii="Times New (W1)" w:hAnsi="Times New (W1)"/>
          <w:bCs/>
          <w:sz w:val="26"/>
        </w:rPr>
        <w:t>W</w:t>
      </w:r>
      <w:r w:rsidR="0099563B">
        <w:rPr>
          <w:rFonts w:ascii="Times New (W1)" w:hAnsi="Times New (W1)"/>
          <w:bCs/>
          <w:sz w:val="26"/>
        </w:rPr>
        <w:t>e agree with the ALJ that the Complainant</w:t>
      </w:r>
      <w:r w:rsidR="0099563B" w:rsidRPr="001075AC">
        <w:rPr>
          <w:rFonts w:ascii="Times New (W1)" w:hAnsi="Times New (W1)"/>
          <w:bCs/>
          <w:sz w:val="26"/>
        </w:rPr>
        <w:t xml:space="preserve"> </w:t>
      </w:r>
      <w:r>
        <w:rPr>
          <w:rFonts w:ascii="Times New (W1)" w:hAnsi="Times New (W1)"/>
          <w:bCs/>
          <w:sz w:val="26"/>
        </w:rPr>
        <w:t xml:space="preserve">failed </w:t>
      </w:r>
      <w:r w:rsidR="00636988">
        <w:rPr>
          <w:rFonts w:ascii="Times New (W1)" w:hAnsi="Times New (W1)"/>
          <w:bCs/>
          <w:sz w:val="26"/>
        </w:rPr>
        <w:t>to meet her burden of proof and</w:t>
      </w:r>
      <w:r w:rsidR="001D663B">
        <w:rPr>
          <w:rFonts w:ascii="Times New (W1)" w:hAnsi="Times New (W1)"/>
          <w:bCs/>
          <w:sz w:val="26"/>
        </w:rPr>
        <w:t xml:space="preserve"> thus, did </w:t>
      </w:r>
      <w:r w:rsidR="0099563B" w:rsidRPr="001075AC">
        <w:rPr>
          <w:rFonts w:ascii="Times New (W1)" w:hAnsi="Times New (W1)"/>
          <w:bCs/>
          <w:sz w:val="26"/>
        </w:rPr>
        <w:t xml:space="preserve">not established a </w:t>
      </w:r>
      <w:r w:rsidR="0099563B" w:rsidRPr="001075AC">
        <w:rPr>
          <w:rFonts w:ascii="Times New (W1)" w:hAnsi="Times New (W1)"/>
          <w:bCs/>
          <w:i/>
          <w:sz w:val="26"/>
        </w:rPr>
        <w:t>prima facie</w:t>
      </w:r>
      <w:r w:rsidR="0099563B" w:rsidRPr="001075AC">
        <w:rPr>
          <w:rFonts w:ascii="Times New (W1)" w:hAnsi="Times New (W1)"/>
          <w:bCs/>
          <w:sz w:val="26"/>
        </w:rPr>
        <w:t xml:space="preserve"> case </w:t>
      </w:r>
      <w:r w:rsidR="001D663B">
        <w:rPr>
          <w:rFonts w:ascii="Times New (W1)" w:hAnsi="Times New (W1)"/>
          <w:bCs/>
          <w:sz w:val="26"/>
        </w:rPr>
        <w:t xml:space="preserve">by presenting facts or circumstances envisioned under </w:t>
      </w:r>
      <w:r w:rsidR="001D663B">
        <w:rPr>
          <w:rFonts w:ascii="Times New (W1)" w:hAnsi="Times New (W1)"/>
          <w:bCs/>
          <w:i/>
          <w:sz w:val="26"/>
        </w:rPr>
        <w:t xml:space="preserve">Waldron </w:t>
      </w:r>
      <w:r w:rsidR="001D663B">
        <w:rPr>
          <w:rFonts w:ascii="Times New (W1)" w:hAnsi="Times New (W1)"/>
          <w:bCs/>
          <w:sz w:val="26"/>
        </w:rPr>
        <w:t xml:space="preserve">.  </w:t>
      </w:r>
      <w:r w:rsidR="0099563B" w:rsidRPr="001075AC">
        <w:rPr>
          <w:rFonts w:ascii="Times New (W1)" w:hAnsi="Times New (W1)"/>
          <w:bCs/>
          <w:sz w:val="26"/>
        </w:rPr>
        <w:t xml:space="preserve">While </w:t>
      </w:r>
      <w:r w:rsidR="0099563B">
        <w:rPr>
          <w:rFonts w:ascii="Times New (W1)" w:hAnsi="Times New (W1)"/>
          <w:bCs/>
          <w:sz w:val="26"/>
        </w:rPr>
        <w:t>the Complainant</w:t>
      </w:r>
      <w:r w:rsidR="0099563B" w:rsidRPr="001075AC">
        <w:rPr>
          <w:rFonts w:ascii="Times New (W1)" w:hAnsi="Times New (W1)"/>
          <w:bCs/>
          <w:sz w:val="26"/>
        </w:rPr>
        <w:t xml:space="preserve"> established the first criterion in </w:t>
      </w:r>
      <w:r w:rsidR="0099563B">
        <w:rPr>
          <w:rFonts w:ascii="Times New (W1)" w:hAnsi="Times New (W1)"/>
          <w:bCs/>
          <w:i/>
          <w:sz w:val="26"/>
        </w:rPr>
        <w:t>Waldron</w:t>
      </w:r>
      <w:r w:rsidR="0099563B" w:rsidRPr="002823D3">
        <w:rPr>
          <w:rFonts w:ascii="Times New (W1)" w:hAnsi="Times New (W1)"/>
          <w:bCs/>
          <w:i/>
          <w:sz w:val="26"/>
        </w:rPr>
        <w:t xml:space="preserve">, </w:t>
      </w:r>
      <w:r w:rsidR="0099563B" w:rsidRPr="001075AC">
        <w:rPr>
          <w:rFonts w:ascii="Times New (W1)" w:hAnsi="Times New (W1)"/>
          <w:bCs/>
          <w:i/>
          <w:sz w:val="26"/>
        </w:rPr>
        <w:t>supra</w:t>
      </w:r>
      <w:r w:rsidR="0099563B" w:rsidRPr="001075AC">
        <w:rPr>
          <w:rFonts w:ascii="Times New (W1)" w:hAnsi="Times New (W1)"/>
          <w:bCs/>
          <w:sz w:val="26"/>
        </w:rPr>
        <w:t>, which is that the number of occupants did not change, she failed to establish that her potential for energy utilization was low, or at least lower than would justify her average electric bills during the disputed period.</w:t>
      </w:r>
      <w:r w:rsidR="0099563B">
        <w:rPr>
          <w:rFonts w:ascii="Times New (W1)" w:hAnsi="Times New (W1)"/>
          <w:bCs/>
          <w:sz w:val="26"/>
        </w:rPr>
        <w:t xml:space="preserve">  </w:t>
      </w:r>
      <w:r w:rsidR="00A6772D">
        <w:rPr>
          <w:rFonts w:ascii="Times New (W1)" w:hAnsi="Times New (W1)"/>
          <w:bCs/>
          <w:sz w:val="26"/>
        </w:rPr>
        <w:t>Also, t</w:t>
      </w:r>
      <w:r w:rsidR="0099563B">
        <w:rPr>
          <w:rFonts w:ascii="Times New (W1)" w:hAnsi="Times New (W1)"/>
          <w:bCs/>
          <w:sz w:val="26"/>
        </w:rPr>
        <w:t xml:space="preserve">he Complainant was unable </w:t>
      </w:r>
      <w:r w:rsidR="0099563B" w:rsidRPr="001075AC">
        <w:rPr>
          <w:rFonts w:ascii="Times New (W1)" w:hAnsi="Times New (W1)"/>
          <w:bCs/>
          <w:sz w:val="26"/>
        </w:rPr>
        <w:t xml:space="preserve">to establish the third criterion, which is that her prior billing history at </w:t>
      </w:r>
      <w:r w:rsidR="0099563B">
        <w:rPr>
          <w:rFonts w:ascii="Times New (W1)" w:hAnsi="Times New (W1)"/>
          <w:bCs/>
          <w:sz w:val="26"/>
        </w:rPr>
        <w:t xml:space="preserve">the residence </w:t>
      </w:r>
      <w:r w:rsidR="0099563B" w:rsidRPr="001075AC">
        <w:rPr>
          <w:rFonts w:ascii="Times New (W1)" w:hAnsi="Times New (W1)"/>
          <w:bCs/>
          <w:sz w:val="26"/>
        </w:rPr>
        <w:t>showed no previous abnormalities.</w:t>
      </w:r>
      <w:r w:rsidR="00A6772D">
        <w:rPr>
          <w:rFonts w:ascii="Times New (W1)" w:hAnsi="Times New (W1)"/>
          <w:bCs/>
          <w:sz w:val="26"/>
        </w:rPr>
        <w:t xml:space="preserve">  </w:t>
      </w:r>
      <w:r w:rsidR="001D663B">
        <w:rPr>
          <w:rFonts w:ascii="Times New (W1)" w:hAnsi="Times New (W1)"/>
          <w:bCs/>
          <w:sz w:val="26"/>
        </w:rPr>
        <w:t xml:space="preserve">The Complainant did not produce any circumstantial evidence in support of her claim.  </w:t>
      </w:r>
      <w:r w:rsidR="00A6772D">
        <w:rPr>
          <w:rFonts w:ascii="Times New (W1)" w:hAnsi="Times New (W1)"/>
          <w:bCs/>
          <w:sz w:val="26"/>
        </w:rPr>
        <w:t>T</w:t>
      </w:r>
      <w:r w:rsidR="0099563B">
        <w:rPr>
          <w:rFonts w:ascii="Times New (W1)" w:hAnsi="Times New (W1)"/>
          <w:bCs/>
          <w:sz w:val="26"/>
        </w:rPr>
        <w:t xml:space="preserve">he </w:t>
      </w:r>
      <w:r w:rsidR="0099563B" w:rsidRPr="001075AC">
        <w:rPr>
          <w:rFonts w:ascii="Times New (W1)" w:hAnsi="Times New (W1)"/>
          <w:bCs/>
          <w:sz w:val="26"/>
        </w:rPr>
        <w:t xml:space="preserve">Complainant’s entire </w:t>
      </w:r>
      <w:r w:rsidR="00A6772D">
        <w:rPr>
          <w:rFonts w:ascii="Times New (W1)" w:hAnsi="Times New (W1)"/>
          <w:bCs/>
          <w:sz w:val="26"/>
        </w:rPr>
        <w:t>argument</w:t>
      </w:r>
      <w:r w:rsidR="0099563B" w:rsidRPr="001075AC">
        <w:rPr>
          <w:rFonts w:ascii="Times New (W1)" w:hAnsi="Times New (W1)"/>
          <w:bCs/>
          <w:sz w:val="26"/>
        </w:rPr>
        <w:t xml:space="preserve"> was </w:t>
      </w:r>
      <w:r w:rsidR="0099563B" w:rsidRPr="001075AC">
        <w:rPr>
          <w:rFonts w:ascii="Times New (W1)" w:hAnsi="Times New (W1)"/>
          <w:bCs/>
          <w:sz w:val="26"/>
        </w:rPr>
        <w:lastRenderedPageBreak/>
        <w:t xml:space="preserve">based upon </w:t>
      </w:r>
      <w:r w:rsidR="0099563B">
        <w:rPr>
          <w:rFonts w:ascii="Times New (W1)" w:hAnsi="Times New (W1)"/>
          <w:bCs/>
          <w:sz w:val="26"/>
        </w:rPr>
        <w:t xml:space="preserve">a </w:t>
      </w:r>
      <w:r w:rsidR="0099563B" w:rsidRPr="001075AC">
        <w:rPr>
          <w:rFonts w:ascii="Times New (W1)" w:hAnsi="Times New (W1)"/>
          <w:bCs/>
          <w:sz w:val="26"/>
        </w:rPr>
        <w:t>subjective assessment as to what the bill should be rather than objective evidence of low usage.</w:t>
      </w:r>
    </w:p>
    <w:p w:rsidR="0099563B" w:rsidRDefault="0099563B" w:rsidP="0099563B">
      <w:pPr>
        <w:spacing w:line="360" w:lineRule="auto"/>
        <w:ind w:firstLine="1440"/>
        <w:rPr>
          <w:rFonts w:ascii="Times New (W1)" w:hAnsi="Times New (W1)"/>
          <w:bCs/>
          <w:sz w:val="26"/>
        </w:rPr>
      </w:pPr>
    </w:p>
    <w:p w:rsidR="00F762FB" w:rsidRDefault="00EE45B9" w:rsidP="008C6196">
      <w:pPr>
        <w:spacing w:line="360" w:lineRule="auto"/>
        <w:ind w:firstLine="1440"/>
        <w:rPr>
          <w:rFonts w:eastAsia="MS Mincho"/>
          <w:sz w:val="26"/>
        </w:rPr>
      </w:pPr>
      <w:r>
        <w:rPr>
          <w:rFonts w:eastAsia="MS Mincho"/>
          <w:sz w:val="26"/>
        </w:rPr>
        <w:t xml:space="preserve">The Complainant further alleged that West Penn failed to give her proper credit for the bills she paid.  Tr. at 18, 22-23, 35-37.  In particular, the Complainant focused on </w:t>
      </w:r>
      <w:r w:rsidR="00F762FB">
        <w:rPr>
          <w:rFonts w:eastAsia="MS Mincho"/>
          <w:sz w:val="26"/>
        </w:rPr>
        <w:t>payments she made in April 2010.  S</w:t>
      </w:r>
      <w:r>
        <w:rPr>
          <w:rFonts w:eastAsia="MS Mincho"/>
          <w:sz w:val="26"/>
        </w:rPr>
        <w:t>he believed</w:t>
      </w:r>
      <w:r w:rsidR="00F762FB">
        <w:rPr>
          <w:rFonts w:eastAsia="MS Mincho"/>
          <w:sz w:val="26"/>
        </w:rPr>
        <w:t xml:space="preserve"> these payments</w:t>
      </w:r>
      <w:r>
        <w:rPr>
          <w:rFonts w:eastAsia="MS Mincho"/>
          <w:sz w:val="26"/>
        </w:rPr>
        <w:t xml:space="preserve"> brought her</w:t>
      </w:r>
      <w:r w:rsidR="00F762FB">
        <w:rPr>
          <w:rFonts w:eastAsia="MS Mincho"/>
          <w:sz w:val="26"/>
        </w:rPr>
        <w:t xml:space="preserve"> account i</w:t>
      </w:r>
      <w:r>
        <w:rPr>
          <w:rFonts w:eastAsia="MS Mincho"/>
          <w:sz w:val="26"/>
        </w:rPr>
        <w:t xml:space="preserve">nto </w:t>
      </w:r>
      <w:r w:rsidR="00F762FB">
        <w:rPr>
          <w:rFonts w:eastAsia="MS Mincho"/>
          <w:sz w:val="26"/>
        </w:rPr>
        <w:t>a</w:t>
      </w:r>
      <w:r>
        <w:rPr>
          <w:rFonts w:eastAsia="MS Mincho"/>
          <w:sz w:val="26"/>
        </w:rPr>
        <w:t xml:space="preserve"> paid</w:t>
      </w:r>
      <w:r w:rsidR="00C068FB">
        <w:rPr>
          <w:rFonts w:eastAsia="MS Mincho"/>
          <w:sz w:val="26"/>
        </w:rPr>
        <w:t>-</w:t>
      </w:r>
      <w:r>
        <w:rPr>
          <w:rFonts w:eastAsia="MS Mincho"/>
          <w:sz w:val="26"/>
        </w:rPr>
        <w:t>in</w:t>
      </w:r>
      <w:r w:rsidR="00C068FB">
        <w:rPr>
          <w:rFonts w:eastAsia="MS Mincho"/>
          <w:sz w:val="26"/>
        </w:rPr>
        <w:t>-</w:t>
      </w:r>
      <w:r>
        <w:rPr>
          <w:rFonts w:eastAsia="MS Mincho"/>
          <w:sz w:val="26"/>
        </w:rPr>
        <w:t>full status.</w:t>
      </w:r>
      <w:r w:rsidR="00F762FB">
        <w:rPr>
          <w:rFonts w:eastAsia="MS Mincho"/>
          <w:sz w:val="26"/>
        </w:rPr>
        <w:t xml:space="preserve">  </w:t>
      </w:r>
    </w:p>
    <w:p w:rsidR="00636988" w:rsidRDefault="00636988" w:rsidP="008C6196">
      <w:pPr>
        <w:spacing w:line="360" w:lineRule="auto"/>
        <w:ind w:firstLine="1440"/>
        <w:rPr>
          <w:rFonts w:eastAsia="MS Mincho"/>
          <w:sz w:val="26"/>
        </w:rPr>
      </w:pPr>
    </w:p>
    <w:p w:rsidR="0099563B" w:rsidRDefault="00F762FB" w:rsidP="008C6196">
      <w:pPr>
        <w:spacing w:line="360" w:lineRule="auto"/>
        <w:ind w:firstLine="1440"/>
        <w:rPr>
          <w:rFonts w:eastAsia="MS Mincho"/>
          <w:sz w:val="26"/>
        </w:rPr>
      </w:pPr>
      <w:r>
        <w:rPr>
          <w:rFonts w:eastAsia="MS Mincho"/>
          <w:sz w:val="26"/>
        </w:rPr>
        <w:t xml:space="preserve">In April 2010, the Complainant made four payments to West Penn, which altogether totaled $996.12.  These payments were made in response to a termination notice the Complainant received on March 26, 2010.   The termination notice was issued on a past due amount of $1,195.86.  This amount included a past due account balance of $1,077.86, plus the final installment of a security deposit of $118.00.  Tr. at 55-56.  </w:t>
      </w:r>
    </w:p>
    <w:p w:rsidR="00F762FB" w:rsidRDefault="00F762FB" w:rsidP="008C6196">
      <w:pPr>
        <w:spacing w:line="360" w:lineRule="auto"/>
        <w:ind w:firstLine="1440"/>
        <w:rPr>
          <w:rFonts w:eastAsia="MS Mincho"/>
          <w:sz w:val="26"/>
        </w:rPr>
      </w:pPr>
    </w:p>
    <w:p w:rsidR="00F762FB" w:rsidRDefault="00F762FB" w:rsidP="00F762FB">
      <w:pPr>
        <w:spacing w:line="360" w:lineRule="auto"/>
        <w:ind w:firstLine="1440"/>
        <w:contextualSpacing/>
        <w:rPr>
          <w:rFonts w:eastAsia="MS Mincho"/>
          <w:sz w:val="26"/>
        </w:rPr>
      </w:pPr>
      <w:r w:rsidRPr="00F762FB">
        <w:rPr>
          <w:rFonts w:eastAsia="MS Mincho"/>
          <w:sz w:val="26"/>
        </w:rPr>
        <w:t xml:space="preserve">On April 5, 2010, </w:t>
      </w:r>
      <w:r>
        <w:rPr>
          <w:rFonts w:eastAsia="MS Mincho"/>
          <w:sz w:val="26"/>
        </w:rPr>
        <w:t xml:space="preserve">the Complainant spoke with </w:t>
      </w:r>
      <w:r w:rsidRPr="00F762FB">
        <w:rPr>
          <w:rFonts w:eastAsia="MS Mincho"/>
          <w:sz w:val="26"/>
        </w:rPr>
        <w:t>a West Penn representative about the pending termination</w:t>
      </w:r>
      <w:r w:rsidR="002455F1">
        <w:rPr>
          <w:rFonts w:eastAsia="MS Mincho"/>
          <w:sz w:val="26"/>
        </w:rPr>
        <w:t>,</w:t>
      </w:r>
      <w:r w:rsidRPr="00F762FB">
        <w:rPr>
          <w:rFonts w:eastAsia="MS Mincho"/>
          <w:sz w:val="26"/>
        </w:rPr>
        <w:t xml:space="preserve"> and </w:t>
      </w:r>
      <w:r>
        <w:rPr>
          <w:rFonts w:eastAsia="MS Mincho"/>
          <w:sz w:val="26"/>
        </w:rPr>
        <w:t xml:space="preserve">the </w:t>
      </w:r>
      <w:r w:rsidRPr="00F762FB">
        <w:rPr>
          <w:rFonts w:eastAsia="MS Mincho"/>
          <w:sz w:val="26"/>
        </w:rPr>
        <w:t>Complainant stated that she would be unable to pay the full requested amount.  West Penn issued a dispute rights letter to</w:t>
      </w:r>
      <w:r>
        <w:rPr>
          <w:rFonts w:eastAsia="MS Mincho"/>
          <w:sz w:val="26"/>
        </w:rPr>
        <w:t xml:space="preserve"> the</w:t>
      </w:r>
      <w:r w:rsidRPr="00F762FB">
        <w:rPr>
          <w:rFonts w:eastAsia="MS Mincho"/>
          <w:sz w:val="26"/>
        </w:rPr>
        <w:t xml:space="preserve"> Complainant</w:t>
      </w:r>
      <w:r w:rsidR="002455F1">
        <w:rPr>
          <w:rFonts w:eastAsia="MS Mincho"/>
          <w:sz w:val="26"/>
        </w:rPr>
        <w:t>,</w:t>
      </w:r>
      <w:r w:rsidRPr="00F762FB">
        <w:rPr>
          <w:rFonts w:eastAsia="MS Mincho"/>
          <w:sz w:val="26"/>
        </w:rPr>
        <w:t xml:space="preserve"> extending the due date to April 19, 2010</w:t>
      </w:r>
      <w:r>
        <w:rPr>
          <w:rFonts w:eastAsia="MS Mincho"/>
          <w:sz w:val="26"/>
        </w:rPr>
        <w:t>,</w:t>
      </w:r>
      <w:r w:rsidRPr="00F762FB">
        <w:rPr>
          <w:rFonts w:eastAsia="MS Mincho"/>
          <w:sz w:val="26"/>
        </w:rPr>
        <w:t xml:space="preserve"> on </w:t>
      </w:r>
      <w:r w:rsidR="002455F1">
        <w:rPr>
          <w:rFonts w:eastAsia="MS Mincho"/>
          <w:sz w:val="26"/>
        </w:rPr>
        <w:t>the</w:t>
      </w:r>
      <w:r w:rsidRPr="00F762FB">
        <w:rPr>
          <w:rFonts w:eastAsia="MS Mincho"/>
          <w:sz w:val="26"/>
        </w:rPr>
        <w:t xml:space="preserve"> past due balance of $1,077.86</w:t>
      </w:r>
      <w:r w:rsidR="00C068FB">
        <w:rPr>
          <w:rFonts w:eastAsia="MS Mincho"/>
          <w:sz w:val="26"/>
        </w:rPr>
        <w:t xml:space="preserve">.  </w:t>
      </w:r>
      <w:r w:rsidRPr="00F762FB">
        <w:rPr>
          <w:rFonts w:eastAsia="MS Mincho"/>
          <w:sz w:val="26"/>
        </w:rPr>
        <w:t>T</w:t>
      </w:r>
      <w:r>
        <w:rPr>
          <w:rFonts w:eastAsia="MS Mincho"/>
          <w:sz w:val="26"/>
        </w:rPr>
        <w:t>r</w:t>
      </w:r>
      <w:r w:rsidRPr="00F762FB">
        <w:rPr>
          <w:rFonts w:eastAsia="MS Mincho"/>
          <w:sz w:val="26"/>
        </w:rPr>
        <w:t>.</w:t>
      </w:r>
      <w:r>
        <w:rPr>
          <w:rFonts w:eastAsia="MS Mincho"/>
          <w:sz w:val="26"/>
        </w:rPr>
        <w:t xml:space="preserve"> at</w:t>
      </w:r>
      <w:r w:rsidRPr="00F762FB">
        <w:rPr>
          <w:rFonts w:eastAsia="MS Mincho"/>
          <w:sz w:val="26"/>
        </w:rPr>
        <w:t> 56.</w:t>
      </w:r>
    </w:p>
    <w:p w:rsidR="00F762FB" w:rsidRDefault="00F762FB" w:rsidP="00F762FB">
      <w:pPr>
        <w:spacing w:line="360" w:lineRule="auto"/>
        <w:ind w:firstLine="1440"/>
        <w:contextualSpacing/>
        <w:rPr>
          <w:rFonts w:eastAsia="MS Mincho"/>
          <w:sz w:val="26"/>
        </w:rPr>
      </w:pPr>
    </w:p>
    <w:p w:rsidR="00F762FB" w:rsidRDefault="00F762FB" w:rsidP="00F762FB">
      <w:pPr>
        <w:spacing w:line="360" w:lineRule="auto"/>
        <w:ind w:firstLine="1440"/>
        <w:contextualSpacing/>
        <w:rPr>
          <w:rFonts w:eastAsia="MS Mincho"/>
          <w:sz w:val="26"/>
        </w:rPr>
      </w:pPr>
      <w:r>
        <w:rPr>
          <w:rFonts w:eastAsia="MS Mincho"/>
          <w:sz w:val="26"/>
        </w:rPr>
        <w:t>On April 7, 2010, West Penn received a payment of $275.00</w:t>
      </w:r>
      <w:r w:rsidR="005C793B">
        <w:rPr>
          <w:rFonts w:eastAsia="MS Mincho"/>
          <w:sz w:val="26"/>
        </w:rPr>
        <w:t xml:space="preserve"> from the Complainant.  West Penn applied $118.00 of that amount to the final installment of the </w:t>
      </w:r>
      <w:r w:rsidR="005C793B" w:rsidRPr="005C793B">
        <w:rPr>
          <w:rFonts w:eastAsia="MS Mincho"/>
        </w:rPr>
        <w:t xml:space="preserve"> </w:t>
      </w:r>
      <w:r w:rsidR="005C793B" w:rsidRPr="005C793B">
        <w:rPr>
          <w:rFonts w:eastAsia="MS Mincho"/>
          <w:sz w:val="26"/>
        </w:rPr>
        <w:t>security deposit</w:t>
      </w:r>
      <w:r w:rsidR="005C793B" w:rsidRPr="005C793B">
        <w:rPr>
          <w:rFonts w:eastAsia="MS Mincho"/>
          <w:sz w:val="26"/>
          <w:vertAlign w:val="superscript"/>
        </w:rPr>
        <w:footnoteReference w:id="2"/>
      </w:r>
      <w:r w:rsidR="005C793B" w:rsidRPr="005C793B">
        <w:rPr>
          <w:rFonts w:eastAsia="MS Mincho"/>
          <w:sz w:val="26"/>
        </w:rPr>
        <w:t xml:space="preserve"> and credited the remainder to reduce the account balance to $1,051.66.  </w:t>
      </w:r>
      <w:r w:rsidR="005C793B">
        <w:rPr>
          <w:rFonts w:eastAsia="MS Mincho"/>
          <w:sz w:val="26"/>
        </w:rPr>
        <w:t xml:space="preserve">On April 16, 2010, the Complainant paid $220.00, which reduced her balance to $831.66.  On April 19, 2010, the Complainant made two payments, one for $421.12 and the other </w:t>
      </w:r>
      <w:r w:rsidR="005C793B">
        <w:rPr>
          <w:rFonts w:eastAsia="MS Mincho"/>
          <w:sz w:val="26"/>
        </w:rPr>
        <w:lastRenderedPageBreak/>
        <w:t>for $80.00, reducing the account balance to $330.54.  Due to a banking code error, the $80.00 payment was not credited to her account.  The Complainant repaid</w:t>
      </w:r>
      <w:r w:rsidR="00C068FB">
        <w:rPr>
          <w:rFonts w:eastAsia="MS Mincho"/>
          <w:sz w:val="26"/>
        </w:rPr>
        <w:t xml:space="preserve">, and was credited for, </w:t>
      </w:r>
      <w:r w:rsidR="005C793B">
        <w:rPr>
          <w:rFonts w:eastAsia="MS Mincho"/>
          <w:sz w:val="26"/>
        </w:rPr>
        <w:t>th</w:t>
      </w:r>
      <w:r w:rsidR="00C068FB">
        <w:rPr>
          <w:rFonts w:eastAsia="MS Mincho"/>
          <w:sz w:val="26"/>
        </w:rPr>
        <w:t>e</w:t>
      </w:r>
      <w:r w:rsidR="002455F1">
        <w:rPr>
          <w:rFonts w:eastAsia="MS Mincho"/>
          <w:sz w:val="26"/>
        </w:rPr>
        <w:t xml:space="preserve"> $80.00</w:t>
      </w:r>
      <w:r w:rsidR="005C793B">
        <w:rPr>
          <w:rFonts w:eastAsia="MS Mincho"/>
          <w:sz w:val="26"/>
        </w:rPr>
        <w:t xml:space="preserve"> amount on May 4, 2010.   Tr. at 52-54; West Penn </w:t>
      </w:r>
      <w:proofErr w:type="spellStart"/>
      <w:r w:rsidR="005C793B">
        <w:rPr>
          <w:rFonts w:eastAsia="MS Mincho"/>
          <w:sz w:val="26"/>
        </w:rPr>
        <w:t>Exh</w:t>
      </w:r>
      <w:proofErr w:type="spellEnd"/>
      <w:r w:rsidR="005C793B">
        <w:rPr>
          <w:rFonts w:eastAsia="MS Mincho"/>
          <w:sz w:val="26"/>
        </w:rPr>
        <w:t>. 2.</w:t>
      </w:r>
    </w:p>
    <w:p w:rsidR="00E52689" w:rsidRDefault="00E52689" w:rsidP="00F762FB">
      <w:pPr>
        <w:spacing w:line="360" w:lineRule="auto"/>
        <w:ind w:firstLine="1440"/>
        <w:contextualSpacing/>
        <w:rPr>
          <w:rFonts w:eastAsia="MS Mincho"/>
          <w:sz w:val="26"/>
        </w:rPr>
      </w:pPr>
    </w:p>
    <w:p w:rsidR="00E52689" w:rsidRDefault="00415C89" w:rsidP="00F762FB">
      <w:pPr>
        <w:spacing w:line="360" w:lineRule="auto"/>
        <w:ind w:firstLine="1440"/>
        <w:contextualSpacing/>
        <w:rPr>
          <w:rFonts w:eastAsia="MS Mincho"/>
          <w:sz w:val="26"/>
        </w:rPr>
      </w:pPr>
      <w:r>
        <w:rPr>
          <w:rFonts w:eastAsia="MS Mincho"/>
          <w:sz w:val="26"/>
        </w:rPr>
        <w:t xml:space="preserve">On April 19, 2010, a termination notice was delivered to the Complainant.  This termination notice was issued because West Penn had not yet posted the two payments the Complainant made on this date.  </w:t>
      </w:r>
      <w:r w:rsidR="00E52689">
        <w:rPr>
          <w:rFonts w:eastAsia="MS Mincho"/>
          <w:sz w:val="26"/>
        </w:rPr>
        <w:t>On April 27, 2010, the Complainant received another termination notice.  No action was taken on this notice since the Complainant filed a Complaint with the Commission on May 7, 2010.</w:t>
      </w:r>
    </w:p>
    <w:p w:rsidR="00AA67DB" w:rsidRDefault="00AA67DB" w:rsidP="00F762FB">
      <w:pPr>
        <w:spacing w:line="360" w:lineRule="auto"/>
        <w:ind w:firstLine="1440"/>
        <w:contextualSpacing/>
        <w:rPr>
          <w:rFonts w:eastAsia="MS Mincho"/>
          <w:sz w:val="26"/>
        </w:rPr>
      </w:pPr>
    </w:p>
    <w:p w:rsidR="00E52689" w:rsidRDefault="00E52689" w:rsidP="00F762FB">
      <w:pPr>
        <w:spacing w:line="360" w:lineRule="auto"/>
        <w:ind w:firstLine="1440"/>
        <w:contextualSpacing/>
        <w:rPr>
          <w:rFonts w:eastAsia="MS Mincho"/>
          <w:sz w:val="26"/>
        </w:rPr>
      </w:pPr>
      <w:r>
        <w:rPr>
          <w:rFonts w:eastAsia="MS Mincho"/>
          <w:sz w:val="26"/>
        </w:rPr>
        <w:t xml:space="preserve">When West Penn received notice of the Complaint, it placed a hold on the disputed amount of $593.90.  On June 17, 2010, the Complainant had an account balance of $734.44 ($140.54 + the disputed amount of $593.90).  </w:t>
      </w:r>
      <w:r w:rsidR="00CA277D">
        <w:rPr>
          <w:rFonts w:eastAsia="MS Mincho"/>
          <w:sz w:val="26"/>
        </w:rPr>
        <w:t>On August 13,</w:t>
      </w:r>
      <w:r w:rsidR="00B0017C">
        <w:rPr>
          <w:rFonts w:eastAsia="MS Mincho"/>
          <w:sz w:val="26"/>
        </w:rPr>
        <w:t xml:space="preserve"> </w:t>
      </w:r>
      <w:r w:rsidR="00CA277D">
        <w:rPr>
          <w:rFonts w:eastAsia="MS Mincho"/>
          <w:sz w:val="26"/>
        </w:rPr>
        <w:t>2010</w:t>
      </w:r>
      <w:r>
        <w:rPr>
          <w:rFonts w:eastAsia="MS Mincho"/>
          <w:sz w:val="26"/>
        </w:rPr>
        <w:t xml:space="preserve">, West Penn issued a termination notice on the undisputed past due balance of $140.54.  </w:t>
      </w:r>
      <w:r w:rsidR="00CA277D">
        <w:rPr>
          <w:rFonts w:eastAsia="MS Mincho"/>
          <w:sz w:val="26"/>
        </w:rPr>
        <w:t xml:space="preserve">Complainant </w:t>
      </w:r>
      <w:proofErr w:type="spellStart"/>
      <w:r w:rsidR="00CA277D">
        <w:rPr>
          <w:rFonts w:eastAsia="MS Mincho"/>
          <w:sz w:val="26"/>
        </w:rPr>
        <w:t>Exh</w:t>
      </w:r>
      <w:proofErr w:type="spellEnd"/>
      <w:r w:rsidR="00CA277D">
        <w:rPr>
          <w:rFonts w:eastAsia="MS Mincho"/>
          <w:sz w:val="26"/>
        </w:rPr>
        <w:t xml:space="preserve">. 1; West Penn </w:t>
      </w:r>
      <w:proofErr w:type="spellStart"/>
      <w:r w:rsidR="00CA277D">
        <w:rPr>
          <w:rFonts w:eastAsia="MS Mincho"/>
          <w:sz w:val="26"/>
        </w:rPr>
        <w:t>Exh</w:t>
      </w:r>
      <w:proofErr w:type="spellEnd"/>
      <w:r w:rsidR="00CA277D">
        <w:rPr>
          <w:rFonts w:eastAsia="MS Mincho"/>
          <w:sz w:val="26"/>
        </w:rPr>
        <w:t xml:space="preserve">. 2.  On August 16, 2010, the Complainant paid West Penn $140.54.  Tr. at 15-16; West Penn </w:t>
      </w:r>
      <w:proofErr w:type="spellStart"/>
      <w:r w:rsidR="00CA277D">
        <w:rPr>
          <w:rFonts w:eastAsia="MS Mincho"/>
          <w:sz w:val="26"/>
        </w:rPr>
        <w:t>Exh</w:t>
      </w:r>
      <w:proofErr w:type="spellEnd"/>
      <w:r w:rsidR="00CA277D">
        <w:rPr>
          <w:rFonts w:eastAsia="MS Mincho"/>
          <w:sz w:val="26"/>
        </w:rPr>
        <w:t>. 2.  That was the last payment made on the account prior to the hearing</w:t>
      </w:r>
      <w:r w:rsidR="00B0017C">
        <w:rPr>
          <w:rFonts w:eastAsia="MS Mincho"/>
          <w:sz w:val="26"/>
        </w:rPr>
        <w:t xml:space="preserve"> which was held on April 7, 2011</w:t>
      </w:r>
      <w:r w:rsidR="00CA277D">
        <w:rPr>
          <w:rFonts w:eastAsia="MS Mincho"/>
          <w:sz w:val="26"/>
        </w:rPr>
        <w:t xml:space="preserve">.  As of March 13, 2011, the balance owed on the account was $1,507.76.  Tr. at 63; West Penn </w:t>
      </w:r>
      <w:proofErr w:type="spellStart"/>
      <w:r w:rsidR="00CA277D">
        <w:rPr>
          <w:rFonts w:eastAsia="MS Mincho"/>
          <w:sz w:val="26"/>
        </w:rPr>
        <w:t>Exh</w:t>
      </w:r>
      <w:proofErr w:type="spellEnd"/>
      <w:r w:rsidR="00CA277D">
        <w:rPr>
          <w:rFonts w:eastAsia="MS Mincho"/>
          <w:sz w:val="26"/>
        </w:rPr>
        <w:t>. 2.</w:t>
      </w:r>
    </w:p>
    <w:p w:rsidR="00CA277D" w:rsidRDefault="00CA277D" w:rsidP="00F762FB">
      <w:pPr>
        <w:spacing w:line="360" w:lineRule="auto"/>
        <w:ind w:firstLine="1440"/>
        <w:contextualSpacing/>
        <w:rPr>
          <w:rFonts w:eastAsia="MS Mincho"/>
          <w:sz w:val="26"/>
        </w:rPr>
      </w:pPr>
    </w:p>
    <w:p w:rsidR="00CA277D" w:rsidRDefault="00CA277D" w:rsidP="00F762FB">
      <w:pPr>
        <w:spacing w:line="360" w:lineRule="auto"/>
        <w:ind w:firstLine="1440"/>
        <w:contextualSpacing/>
        <w:rPr>
          <w:rFonts w:eastAsia="MS Mincho"/>
          <w:sz w:val="26"/>
        </w:rPr>
      </w:pPr>
      <w:r>
        <w:rPr>
          <w:rFonts w:eastAsia="MS Mincho"/>
          <w:sz w:val="26"/>
        </w:rPr>
        <w:t>The ALJ noted that the Complainant would have been apprised of the amount owed on this account by following her monthly bills.  We have reviewed the record, and concluded that West Penn properly credited a</w:t>
      </w:r>
      <w:r w:rsidR="00160AD0">
        <w:rPr>
          <w:rFonts w:eastAsia="MS Mincho"/>
          <w:sz w:val="26"/>
        </w:rPr>
        <w:t>ll payments made on her account.  We therefore agree with the ALJ</w:t>
      </w:r>
      <w:r w:rsidR="00415C89">
        <w:rPr>
          <w:rFonts w:eastAsia="MS Mincho"/>
          <w:sz w:val="26"/>
        </w:rPr>
        <w:t>,</w:t>
      </w:r>
      <w:r w:rsidR="00160AD0">
        <w:rPr>
          <w:rFonts w:eastAsia="MS Mincho"/>
          <w:sz w:val="26"/>
        </w:rPr>
        <w:t xml:space="preserve"> and find that the Complainant’s allegation of not being properly credited for payments lack merit.</w:t>
      </w:r>
    </w:p>
    <w:p w:rsidR="00415C89" w:rsidRDefault="00415C89" w:rsidP="00F762FB">
      <w:pPr>
        <w:spacing w:line="360" w:lineRule="auto"/>
        <w:ind w:firstLine="1440"/>
        <w:contextualSpacing/>
        <w:rPr>
          <w:rFonts w:eastAsia="MS Mincho"/>
          <w:sz w:val="26"/>
        </w:rPr>
      </w:pPr>
    </w:p>
    <w:p w:rsidR="00415C89" w:rsidRDefault="00415C89" w:rsidP="00F762FB">
      <w:pPr>
        <w:spacing w:line="360" w:lineRule="auto"/>
        <w:ind w:firstLine="1440"/>
        <w:contextualSpacing/>
        <w:rPr>
          <w:rFonts w:eastAsia="MS Mincho"/>
          <w:sz w:val="26"/>
        </w:rPr>
      </w:pPr>
      <w:r>
        <w:rPr>
          <w:rFonts w:eastAsia="MS Mincho"/>
          <w:sz w:val="26"/>
        </w:rPr>
        <w:t>Finally, the Complainant alleged that West Penn engaged in collection action after she made payments on her account.  As shown above, West Penn issued termination notices on April 19</w:t>
      </w:r>
      <w:r w:rsidR="00133A54">
        <w:rPr>
          <w:rFonts w:eastAsia="MS Mincho"/>
          <w:sz w:val="26"/>
        </w:rPr>
        <w:t xml:space="preserve">, 2010, April 27, 2010 and August 13, 2010.  In all </w:t>
      </w:r>
      <w:r w:rsidR="00133A54">
        <w:rPr>
          <w:rFonts w:eastAsia="MS Mincho"/>
          <w:sz w:val="26"/>
        </w:rPr>
        <w:lastRenderedPageBreak/>
        <w:t>instances, the account was in arrears status when West Penn undertook these actions, and therefore nothing improper occurred with these collection actions.</w:t>
      </w:r>
    </w:p>
    <w:p w:rsidR="00903728" w:rsidRDefault="00903728" w:rsidP="00F762FB">
      <w:pPr>
        <w:spacing w:line="360" w:lineRule="auto"/>
        <w:ind w:firstLine="1440"/>
        <w:contextualSpacing/>
        <w:rPr>
          <w:rFonts w:eastAsia="MS Mincho"/>
          <w:sz w:val="26"/>
        </w:rPr>
      </w:pPr>
    </w:p>
    <w:p w:rsidR="00903728" w:rsidRDefault="00903728" w:rsidP="00903728">
      <w:pPr>
        <w:spacing w:line="360" w:lineRule="auto"/>
        <w:ind w:firstLine="1440"/>
        <w:rPr>
          <w:rFonts w:ascii="Times New (W1)" w:hAnsi="Times New (W1)"/>
          <w:color w:val="000000"/>
          <w:sz w:val="26"/>
          <w:szCs w:val="26"/>
        </w:rPr>
      </w:pPr>
      <w:r w:rsidRPr="00903728">
        <w:rPr>
          <w:rFonts w:ascii="Times New (W1)" w:hAnsi="Times New (W1)"/>
          <w:color w:val="000000"/>
          <w:sz w:val="26"/>
          <w:szCs w:val="26"/>
        </w:rPr>
        <w:t>The Complainant’s Exceptions provide no basis for modifying the ALJ’s Initial Decision.  In her Exceptions, the Complainant restates the same arguments that were raised in her Complaint</w:t>
      </w:r>
      <w:r>
        <w:rPr>
          <w:rFonts w:ascii="Times New (W1)" w:hAnsi="Times New (W1)"/>
          <w:color w:val="000000"/>
          <w:sz w:val="26"/>
          <w:szCs w:val="26"/>
        </w:rPr>
        <w:t xml:space="preserve">. </w:t>
      </w:r>
      <w:r w:rsidRPr="00903728">
        <w:rPr>
          <w:rFonts w:ascii="Times New (W1)" w:hAnsi="Times New (W1)"/>
          <w:color w:val="000000"/>
          <w:sz w:val="26"/>
          <w:szCs w:val="26"/>
        </w:rPr>
        <w:t xml:space="preserve"> The Complainant reiterates that </w:t>
      </w:r>
      <w:r>
        <w:rPr>
          <w:rFonts w:ascii="Times New (W1)" w:hAnsi="Times New (W1)"/>
          <w:color w:val="000000"/>
          <w:sz w:val="26"/>
          <w:szCs w:val="26"/>
        </w:rPr>
        <w:t xml:space="preserve">she believes she had paid the full amount due on her account as of April 19, 2010, and that West Penn erred in the way they handled the situation.  </w:t>
      </w:r>
      <w:r w:rsidRPr="00903728">
        <w:rPr>
          <w:rFonts w:ascii="Times New (W1)" w:hAnsi="Times New (W1)"/>
          <w:color w:val="000000"/>
          <w:sz w:val="26"/>
          <w:szCs w:val="26"/>
        </w:rPr>
        <w:t xml:space="preserve">Exc. at 1.  </w:t>
      </w:r>
    </w:p>
    <w:p w:rsidR="00971AA0" w:rsidRDefault="00971AA0" w:rsidP="00903728">
      <w:pPr>
        <w:spacing w:line="360" w:lineRule="auto"/>
        <w:ind w:firstLine="1440"/>
        <w:rPr>
          <w:rFonts w:ascii="Times New (W1)" w:hAnsi="Times New (W1)"/>
          <w:color w:val="000000"/>
          <w:sz w:val="26"/>
          <w:szCs w:val="26"/>
        </w:rPr>
      </w:pPr>
    </w:p>
    <w:p w:rsidR="00971AA0" w:rsidRDefault="00971AA0" w:rsidP="00903728">
      <w:pPr>
        <w:spacing w:line="360" w:lineRule="auto"/>
        <w:ind w:firstLine="1440"/>
        <w:rPr>
          <w:rFonts w:ascii="Times New (W1)" w:hAnsi="Times New (W1)"/>
          <w:color w:val="000000"/>
          <w:sz w:val="26"/>
          <w:szCs w:val="26"/>
        </w:rPr>
      </w:pPr>
      <w:r>
        <w:rPr>
          <w:rFonts w:ascii="Times New (W1)" w:hAnsi="Times New (W1)"/>
          <w:color w:val="000000"/>
          <w:sz w:val="26"/>
          <w:szCs w:val="26"/>
        </w:rPr>
        <w:t>In West Penn’s Reply Exceptions, it points out that all transactions are clearly shown on its Exhibit No. 2, and that even though the Complainant paid almost $1,000.00 in April 2010, she did not fully cure her arrearage.  R. Exc. at 2.</w:t>
      </w:r>
    </w:p>
    <w:p w:rsidR="00971AA0" w:rsidRPr="00903728" w:rsidRDefault="00971AA0" w:rsidP="00903728">
      <w:pPr>
        <w:spacing w:line="360" w:lineRule="auto"/>
        <w:ind w:firstLine="1440"/>
        <w:rPr>
          <w:color w:val="000000"/>
          <w:szCs w:val="26"/>
        </w:rPr>
      </w:pPr>
    </w:p>
    <w:p w:rsidR="00903728" w:rsidRDefault="00903728" w:rsidP="00903728">
      <w:pPr>
        <w:spacing w:line="360" w:lineRule="auto"/>
        <w:ind w:firstLine="1440"/>
        <w:rPr>
          <w:sz w:val="26"/>
          <w:szCs w:val="26"/>
        </w:rPr>
      </w:pPr>
      <w:r w:rsidRPr="00903728">
        <w:rPr>
          <w:rFonts w:ascii="Times New (W1)" w:hAnsi="Times New (W1)"/>
          <w:color w:val="000000"/>
          <w:sz w:val="26"/>
          <w:szCs w:val="26"/>
        </w:rPr>
        <w:t>Upon review and consideration of the record evidence, we shall deny the Complainant’s Exceptions.  We conclude that the Complainant has failed to carry her burden of proving that</w:t>
      </w:r>
      <w:r>
        <w:rPr>
          <w:rFonts w:ascii="Times New (W1)" w:hAnsi="Times New (W1)"/>
          <w:color w:val="000000"/>
          <w:sz w:val="26"/>
          <w:szCs w:val="26"/>
        </w:rPr>
        <w:t xml:space="preserve">: </w:t>
      </w:r>
      <w:r w:rsidRPr="00903728">
        <w:rPr>
          <w:kern w:val="24"/>
          <w:sz w:val="26"/>
        </w:rPr>
        <w:t xml:space="preserve"> </w:t>
      </w:r>
      <w:r>
        <w:rPr>
          <w:kern w:val="24"/>
          <w:sz w:val="26"/>
        </w:rPr>
        <w:t xml:space="preserve">(1) </w:t>
      </w:r>
      <w:r w:rsidR="002060E6">
        <w:rPr>
          <w:kern w:val="24"/>
          <w:sz w:val="26"/>
        </w:rPr>
        <w:t xml:space="preserve">she was </w:t>
      </w:r>
      <w:r>
        <w:rPr>
          <w:kern w:val="24"/>
          <w:sz w:val="26"/>
        </w:rPr>
        <w:t xml:space="preserve">not properly credited for payments made; (2) West Penn </w:t>
      </w:r>
      <w:r w:rsidR="002060E6">
        <w:rPr>
          <w:kern w:val="24"/>
          <w:sz w:val="26"/>
        </w:rPr>
        <w:t xml:space="preserve">improperly </w:t>
      </w:r>
      <w:r>
        <w:rPr>
          <w:kern w:val="24"/>
          <w:sz w:val="26"/>
        </w:rPr>
        <w:t xml:space="preserve">engaged in collection action after </w:t>
      </w:r>
      <w:r w:rsidR="002060E6">
        <w:rPr>
          <w:kern w:val="24"/>
          <w:sz w:val="26"/>
        </w:rPr>
        <w:t>she</w:t>
      </w:r>
      <w:r>
        <w:rPr>
          <w:kern w:val="24"/>
          <w:sz w:val="26"/>
        </w:rPr>
        <w:t xml:space="preserve"> made the payments; and (3) </w:t>
      </w:r>
      <w:r w:rsidR="002060E6">
        <w:rPr>
          <w:kern w:val="24"/>
          <w:sz w:val="26"/>
        </w:rPr>
        <w:t xml:space="preserve">she </w:t>
      </w:r>
      <w:r>
        <w:rPr>
          <w:kern w:val="24"/>
          <w:sz w:val="26"/>
        </w:rPr>
        <w:t xml:space="preserve">was improperly charged a security deposit.  </w:t>
      </w:r>
    </w:p>
    <w:p w:rsidR="00903728" w:rsidRDefault="00903728" w:rsidP="00903728">
      <w:pPr>
        <w:spacing w:line="360" w:lineRule="auto"/>
        <w:rPr>
          <w:rFonts w:ascii="Times New (W1)" w:hAnsi="Times New (W1)"/>
          <w:color w:val="000000"/>
          <w:sz w:val="26"/>
          <w:szCs w:val="26"/>
        </w:rPr>
      </w:pPr>
    </w:p>
    <w:p w:rsidR="00956972" w:rsidRPr="00956972" w:rsidRDefault="002060E6" w:rsidP="00543297">
      <w:pPr>
        <w:spacing w:line="360" w:lineRule="auto"/>
        <w:jc w:val="center"/>
        <w:rPr>
          <w:b/>
          <w:sz w:val="26"/>
          <w:szCs w:val="26"/>
        </w:rPr>
      </w:pPr>
      <w:r>
        <w:rPr>
          <w:b/>
          <w:sz w:val="26"/>
          <w:szCs w:val="26"/>
        </w:rPr>
        <w:t>C</w:t>
      </w:r>
      <w:r w:rsidR="00956972">
        <w:rPr>
          <w:b/>
          <w:sz w:val="26"/>
          <w:szCs w:val="26"/>
        </w:rPr>
        <w:t>onclusion</w:t>
      </w:r>
    </w:p>
    <w:p w:rsidR="00E37683" w:rsidRDefault="00E37683" w:rsidP="007E3501">
      <w:pPr>
        <w:spacing w:line="360" w:lineRule="auto"/>
        <w:rPr>
          <w:sz w:val="26"/>
          <w:szCs w:val="26"/>
        </w:rPr>
      </w:pPr>
    </w:p>
    <w:p w:rsidR="00ED0EE2" w:rsidRDefault="006C56A5" w:rsidP="00435294">
      <w:pPr>
        <w:spacing w:line="360" w:lineRule="auto"/>
        <w:rPr>
          <w:sz w:val="26"/>
          <w:szCs w:val="26"/>
        </w:rPr>
      </w:pPr>
      <w:r>
        <w:rPr>
          <w:sz w:val="26"/>
          <w:szCs w:val="26"/>
        </w:rPr>
        <w:tab/>
      </w:r>
      <w:r>
        <w:rPr>
          <w:sz w:val="26"/>
          <w:szCs w:val="26"/>
        </w:rPr>
        <w:tab/>
      </w:r>
      <w:r w:rsidR="00971AA0">
        <w:rPr>
          <w:sz w:val="26"/>
          <w:szCs w:val="26"/>
        </w:rPr>
        <w:t>Based on the above discussion</w:t>
      </w:r>
      <w:r w:rsidR="00FD497B">
        <w:rPr>
          <w:sz w:val="26"/>
          <w:szCs w:val="26"/>
        </w:rPr>
        <w:t>, w</w:t>
      </w:r>
      <w:r w:rsidR="00B265B1">
        <w:rPr>
          <w:sz w:val="26"/>
          <w:szCs w:val="26"/>
        </w:rPr>
        <w:t xml:space="preserve">e </w:t>
      </w:r>
      <w:r w:rsidR="00502D50">
        <w:rPr>
          <w:sz w:val="26"/>
          <w:szCs w:val="26"/>
        </w:rPr>
        <w:t>shall</w:t>
      </w:r>
      <w:r w:rsidR="0019318F">
        <w:rPr>
          <w:sz w:val="26"/>
          <w:szCs w:val="26"/>
        </w:rPr>
        <w:t xml:space="preserve"> </w:t>
      </w:r>
      <w:r w:rsidR="00C8601D">
        <w:rPr>
          <w:sz w:val="26"/>
          <w:szCs w:val="26"/>
        </w:rPr>
        <w:t xml:space="preserve">deny </w:t>
      </w:r>
      <w:r w:rsidR="00971AA0">
        <w:rPr>
          <w:sz w:val="26"/>
          <w:szCs w:val="26"/>
        </w:rPr>
        <w:t>the Complainant’s</w:t>
      </w:r>
      <w:r w:rsidR="00B84653">
        <w:rPr>
          <w:sz w:val="26"/>
          <w:szCs w:val="26"/>
        </w:rPr>
        <w:t xml:space="preserve"> </w:t>
      </w:r>
      <w:r w:rsidR="0019318F">
        <w:rPr>
          <w:sz w:val="26"/>
          <w:szCs w:val="26"/>
        </w:rPr>
        <w:t xml:space="preserve"> Exceptions</w:t>
      </w:r>
      <w:r w:rsidR="002F39A8">
        <w:rPr>
          <w:sz w:val="26"/>
          <w:szCs w:val="26"/>
        </w:rPr>
        <w:t xml:space="preserve"> </w:t>
      </w:r>
      <w:r w:rsidR="0019318F">
        <w:rPr>
          <w:sz w:val="26"/>
          <w:szCs w:val="26"/>
        </w:rPr>
        <w:t xml:space="preserve">and </w:t>
      </w:r>
      <w:r w:rsidR="00971AA0">
        <w:rPr>
          <w:sz w:val="26"/>
          <w:szCs w:val="26"/>
        </w:rPr>
        <w:t>adopt</w:t>
      </w:r>
      <w:r w:rsidR="00DE3207">
        <w:rPr>
          <w:sz w:val="26"/>
          <w:szCs w:val="26"/>
        </w:rPr>
        <w:t xml:space="preserve"> the ALJ’s Initial Decision</w:t>
      </w:r>
      <w:r w:rsidR="00971AA0">
        <w:rPr>
          <w:sz w:val="26"/>
          <w:szCs w:val="26"/>
        </w:rPr>
        <w:t>, which dismisses the Complaint</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ED0EE2" w:rsidRDefault="00ED0EE2" w:rsidP="00435294">
      <w:pPr>
        <w:spacing w:line="360" w:lineRule="auto"/>
        <w:rPr>
          <w:sz w:val="26"/>
          <w:szCs w:val="26"/>
        </w:rPr>
      </w:pPr>
    </w:p>
    <w:p w:rsidR="001A1AD3" w:rsidRDefault="001A1AD3" w:rsidP="00ED0EE2">
      <w:pPr>
        <w:spacing w:line="360" w:lineRule="auto"/>
        <w:ind w:left="720" w:firstLine="720"/>
        <w:rPr>
          <w:b/>
          <w:sz w:val="26"/>
          <w:szCs w:val="26"/>
        </w:rPr>
      </w:pPr>
      <w:r w:rsidRPr="000D6043">
        <w:rPr>
          <w:b/>
          <w:sz w:val="26"/>
          <w:szCs w:val="26"/>
        </w:rPr>
        <w:t>IT IS ORDERED:</w:t>
      </w:r>
    </w:p>
    <w:p w:rsidR="00ED0EE2" w:rsidRDefault="00ED0EE2" w:rsidP="001A1AD3">
      <w:pPr>
        <w:spacing w:line="360" w:lineRule="auto"/>
        <w:rPr>
          <w:sz w:val="26"/>
          <w:szCs w:val="26"/>
        </w:rPr>
      </w:pPr>
    </w:p>
    <w:p w:rsidR="001A1AD3" w:rsidRDefault="001A1AD3" w:rsidP="001A1AD3">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971AA0">
        <w:rPr>
          <w:sz w:val="26"/>
          <w:szCs w:val="26"/>
        </w:rPr>
        <w:t xml:space="preserve">Donna Sue Parsons to the Initial Decision of Administrative Law Judge John H. Corbett, Jr. </w:t>
      </w:r>
      <w:r w:rsidR="007F15AC">
        <w:rPr>
          <w:sz w:val="26"/>
          <w:szCs w:val="26"/>
        </w:rPr>
        <w:t>a</w:t>
      </w:r>
      <w:r w:rsidR="00D556A2">
        <w:rPr>
          <w:sz w:val="26"/>
          <w:szCs w:val="26"/>
        </w:rPr>
        <w:t xml:space="preserve">re </w:t>
      </w:r>
      <w:r w:rsidR="002F39A8">
        <w:rPr>
          <w:sz w:val="26"/>
          <w:szCs w:val="26"/>
        </w:rPr>
        <w:t>denied</w:t>
      </w:r>
      <w:r w:rsidR="00B265B1">
        <w:rPr>
          <w:sz w:val="26"/>
          <w:szCs w:val="26"/>
        </w:rPr>
        <w:t>.</w:t>
      </w:r>
      <w:r w:rsidR="007F15AC">
        <w:rPr>
          <w:sz w:val="26"/>
          <w:szCs w:val="26"/>
        </w:rPr>
        <w:t xml:space="preserve">  </w:t>
      </w:r>
      <w:r w:rsidR="00924F4A">
        <w:rPr>
          <w:sz w:val="26"/>
          <w:szCs w:val="26"/>
        </w:rPr>
        <w:t xml:space="preserve">    </w:t>
      </w:r>
    </w:p>
    <w:p w:rsidR="001A1AD3" w:rsidRDefault="001A1AD3" w:rsidP="001A1AD3">
      <w:pPr>
        <w:spacing w:line="360" w:lineRule="auto"/>
        <w:rPr>
          <w:sz w:val="26"/>
          <w:szCs w:val="26"/>
        </w:rPr>
      </w:pPr>
    </w:p>
    <w:p w:rsidR="00971AA0" w:rsidRDefault="00431F78" w:rsidP="00971AA0">
      <w:pPr>
        <w:spacing w:line="360" w:lineRule="auto"/>
        <w:ind w:firstLine="1440"/>
        <w:rPr>
          <w:sz w:val="26"/>
        </w:rPr>
      </w:pPr>
      <w:r w:rsidRPr="00CE3475">
        <w:rPr>
          <w:sz w:val="26"/>
          <w:szCs w:val="26"/>
        </w:rPr>
        <w:t>2</w:t>
      </w:r>
      <w:r w:rsidRPr="00A37986">
        <w:rPr>
          <w:sz w:val="26"/>
          <w:szCs w:val="26"/>
        </w:rPr>
        <w:t>.</w:t>
      </w:r>
      <w:r>
        <w:rPr>
          <w:b/>
          <w:sz w:val="26"/>
          <w:szCs w:val="26"/>
        </w:rPr>
        <w:tab/>
      </w:r>
      <w:r w:rsidR="00971AA0">
        <w:rPr>
          <w:sz w:val="26"/>
          <w:szCs w:val="26"/>
        </w:rPr>
        <w:t xml:space="preserve">That the Formal Complaint of Donna Sue Parsons against West Penn Power Company at Docket No. C-2010-2177252 is dismissed.  </w:t>
      </w:r>
    </w:p>
    <w:p w:rsidR="00BA1E65" w:rsidRDefault="00BA1E65" w:rsidP="00F97807">
      <w:pPr>
        <w:spacing w:line="360" w:lineRule="auto"/>
        <w:rPr>
          <w:sz w:val="26"/>
          <w:szCs w:val="26"/>
        </w:rPr>
      </w:pPr>
    </w:p>
    <w:p w:rsidR="00971AA0" w:rsidRDefault="00F80041" w:rsidP="00971AA0">
      <w:pPr>
        <w:spacing w:line="360" w:lineRule="auto"/>
        <w:ind w:firstLine="1440"/>
        <w:rPr>
          <w:sz w:val="26"/>
          <w:szCs w:val="26"/>
        </w:rPr>
      </w:pPr>
      <w:r>
        <w:rPr>
          <w:sz w:val="26"/>
          <w:szCs w:val="26"/>
        </w:rPr>
        <w:t>3.</w:t>
      </w:r>
      <w:r>
        <w:rPr>
          <w:sz w:val="26"/>
          <w:szCs w:val="26"/>
        </w:rPr>
        <w:tab/>
      </w:r>
      <w:r w:rsidR="00116357">
        <w:rPr>
          <w:sz w:val="26"/>
          <w:szCs w:val="26"/>
        </w:rPr>
        <w:t xml:space="preserve"> </w:t>
      </w:r>
      <w:r w:rsidR="00971AA0">
        <w:rPr>
          <w:sz w:val="26"/>
          <w:szCs w:val="26"/>
        </w:rPr>
        <w:t xml:space="preserve">That the Initial Decision of Administrative Law Judge </w:t>
      </w:r>
    </w:p>
    <w:p w:rsidR="00F80041" w:rsidRDefault="00971AA0" w:rsidP="00971AA0">
      <w:pPr>
        <w:spacing w:line="360" w:lineRule="auto"/>
        <w:rPr>
          <w:sz w:val="26"/>
          <w:szCs w:val="26"/>
        </w:rPr>
      </w:pPr>
      <w:r>
        <w:rPr>
          <w:sz w:val="26"/>
          <w:szCs w:val="26"/>
        </w:rPr>
        <w:t>John H. Corbett, Jr., issued July 26, 2011, is adopted, consistent with this Opinion and Order.</w:t>
      </w:r>
    </w:p>
    <w:p w:rsidR="00A73897" w:rsidRDefault="00A73897" w:rsidP="00971AA0">
      <w:pPr>
        <w:spacing w:line="360" w:lineRule="auto"/>
        <w:rPr>
          <w:sz w:val="26"/>
          <w:szCs w:val="26"/>
        </w:rPr>
      </w:pPr>
    </w:p>
    <w:p w:rsidR="00D00001" w:rsidRDefault="00FD6727" w:rsidP="00971AA0">
      <w:pPr>
        <w:tabs>
          <w:tab w:val="left" w:pos="-720"/>
          <w:tab w:val="left" w:pos="0"/>
        </w:tabs>
        <w:suppressAutoHyphens/>
        <w:spacing w:line="360" w:lineRule="auto"/>
        <w:rPr>
          <w:sz w:val="26"/>
          <w:szCs w:val="26"/>
        </w:rPr>
      </w:pPr>
      <w:r>
        <w:rPr>
          <w:sz w:val="26"/>
          <w:szCs w:val="26"/>
        </w:rPr>
        <w:tab/>
      </w:r>
      <w:r>
        <w:rPr>
          <w:sz w:val="26"/>
          <w:szCs w:val="26"/>
        </w:rPr>
        <w:tab/>
      </w:r>
      <w:r w:rsidR="00A73897">
        <w:rPr>
          <w:sz w:val="26"/>
          <w:szCs w:val="26"/>
        </w:rPr>
        <w:t>4</w:t>
      </w:r>
      <w:r w:rsidR="00496CD9">
        <w:rPr>
          <w:sz w:val="26"/>
          <w:szCs w:val="26"/>
        </w:rPr>
        <w:t>.</w:t>
      </w:r>
      <w:r w:rsidR="00496CD9">
        <w:rPr>
          <w:sz w:val="26"/>
          <w:szCs w:val="26"/>
        </w:rPr>
        <w:tab/>
      </w:r>
      <w:r w:rsidR="00F24526">
        <w:rPr>
          <w:sz w:val="26"/>
          <w:szCs w:val="26"/>
        </w:rPr>
        <w:t>That</w:t>
      </w:r>
      <w:r w:rsidR="00145315">
        <w:rPr>
          <w:sz w:val="26"/>
          <w:szCs w:val="26"/>
        </w:rPr>
        <w:t xml:space="preserve"> </w:t>
      </w:r>
      <w:r w:rsidR="00F24526">
        <w:rPr>
          <w:sz w:val="26"/>
          <w:szCs w:val="26"/>
        </w:rPr>
        <w:t xml:space="preserve">the proceeding docketed at </w:t>
      </w:r>
      <w:r w:rsidR="00116F14">
        <w:rPr>
          <w:sz w:val="26"/>
          <w:szCs w:val="26"/>
        </w:rPr>
        <w:t>C-2010-21</w:t>
      </w:r>
      <w:r w:rsidR="00A73897">
        <w:rPr>
          <w:sz w:val="26"/>
          <w:szCs w:val="26"/>
        </w:rPr>
        <w:t>77252</w:t>
      </w:r>
      <w:r w:rsidR="008E45DB">
        <w:rPr>
          <w:sz w:val="26"/>
          <w:szCs w:val="26"/>
        </w:rPr>
        <w:t xml:space="preserve"> </w:t>
      </w:r>
      <w:r w:rsidR="00F24526">
        <w:rPr>
          <w:sz w:val="26"/>
          <w:szCs w:val="26"/>
        </w:rPr>
        <w:t xml:space="preserve">shall be </w:t>
      </w:r>
      <w:r w:rsidR="00F97807">
        <w:rPr>
          <w:sz w:val="26"/>
          <w:szCs w:val="26"/>
        </w:rPr>
        <w:t xml:space="preserve">marked closed. </w:t>
      </w:r>
    </w:p>
    <w:p w:rsidR="00ED0EE2" w:rsidRDefault="00ED0EE2" w:rsidP="00D00001">
      <w:pPr>
        <w:tabs>
          <w:tab w:val="left" w:pos="-720"/>
          <w:tab w:val="left" w:pos="0"/>
        </w:tabs>
        <w:suppressAutoHyphens/>
        <w:spacing w:line="360" w:lineRule="auto"/>
        <w:ind w:firstLine="1440"/>
        <w:rPr>
          <w:sz w:val="26"/>
          <w:szCs w:val="26"/>
        </w:rPr>
      </w:pPr>
    </w:p>
    <w:p w:rsidR="00503B2F" w:rsidRPr="003C63B1" w:rsidRDefault="003E7F23" w:rsidP="00503B2F">
      <w:pPr>
        <w:tabs>
          <w:tab w:val="left" w:pos="-720"/>
        </w:tabs>
        <w:suppressAutoHyphens/>
        <w:rPr>
          <w:sz w:val="26"/>
        </w:rPr>
      </w:pPr>
      <w:bookmarkStart w:id="0" w:name="_GoBack"/>
      <w:r w:rsidRPr="00A4345F">
        <w:rPr>
          <w:noProof/>
        </w:rPr>
        <w:drawing>
          <wp:anchor distT="0" distB="0" distL="114300" distR="114300" simplePos="0" relativeHeight="251659264" behindDoc="1" locked="0" layoutInCell="1" allowOverlap="1" wp14:anchorId="6E8E23AF" wp14:editId="5DFBCFF5">
            <wp:simplePos x="0" y="0"/>
            <wp:positionH relativeFrom="column">
              <wp:posOffset>3128010</wp:posOffset>
            </wp:positionH>
            <wp:positionV relativeFrom="paragraph">
              <wp:posOffset>37465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A73897">
        <w:rPr>
          <w:sz w:val="26"/>
        </w:rPr>
        <w:t>February 16, 201</w:t>
      </w:r>
      <w:r w:rsidR="004E537D">
        <w:rPr>
          <w:sz w:val="26"/>
        </w:rPr>
        <w:t>2</w:t>
      </w:r>
      <w:r>
        <w:rPr>
          <w:sz w:val="26"/>
        </w:rPr>
        <w:t xml:space="preserve"> </w:t>
      </w:r>
    </w:p>
    <w:p w:rsidR="00503B2F" w:rsidRPr="003C63B1" w:rsidRDefault="00503B2F" w:rsidP="00503B2F">
      <w:pPr>
        <w:tabs>
          <w:tab w:val="left" w:pos="-720"/>
        </w:tabs>
        <w:suppressAutoHyphens/>
        <w:rPr>
          <w:sz w:val="26"/>
        </w:rPr>
      </w:pPr>
    </w:p>
    <w:p w:rsidR="009304FE" w:rsidRDefault="00503B2F" w:rsidP="00435294">
      <w:pPr>
        <w:tabs>
          <w:tab w:val="left" w:pos="-720"/>
        </w:tabs>
        <w:suppressAutoHyphens/>
      </w:pPr>
      <w:r w:rsidRPr="003C63B1">
        <w:rPr>
          <w:sz w:val="26"/>
        </w:rPr>
        <w:t xml:space="preserve">ORDER ENTERED: </w:t>
      </w:r>
      <w:r w:rsidR="007A036A">
        <w:rPr>
          <w:sz w:val="26"/>
        </w:rPr>
        <w:t xml:space="preserve"> </w:t>
      </w:r>
      <w:r w:rsidR="003E7F23">
        <w:rPr>
          <w:sz w:val="26"/>
        </w:rPr>
        <w:t>February 16, 2012</w:t>
      </w: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5A" w:rsidRDefault="005F3A5A">
      <w:r>
        <w:separator/>
      </w:r>
    </w:p>
  </w:endnote>
  <w:endnote w:type="continuationSeparator" w:id="0">
    <w:p w:rsidR="005F3A5A" w:rsidRDefault="005F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3E7F23">
      <w:rPr>
        <w:rStyle w:val="PageNumber"/>
        <w:noProof/>
      </w:rPr>
      <w:t>11</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5A" w:rsidRDefault="005F3A5A">
      <w:r>
        <w:separator/>
      </w:r>
    </w:p>
  </w:footnote>
  <w:footnote w:type="continuationSeparator" w:id="0">
    <w:p w:rsidR="005F3A5A" w:rsidRDefault="005F3A5A">
      <w:r>
        <w:continuationSeparator/>
      </w:r>
    </w:p>
  </w:footnote>
  <w:footnote w:id="1">
    <w:p w:rsidR="008C6196" w:rsidRDefault="008C6196" w:rsidP="008C6196">
      <w:pPr>
        <w:pStyle w:val="FootnoteText"/>
        <w:ind w:firstLine="720"/>
      </w:pPr>
      <w:r>
        <w:rPr>
          <w:rStyle w:val="FootnoteReference"/>
        </w:rPr>
        <w:footnoteRef/>
      </w:r>
      <w:r>
        <w:t xml:space="preserve"> </w:t>
      </w:r>
      <w:r>
        <w:tab/>
      </w:r>
      <w:r w:rsidRPr="00D52586">
        <w:rPr>
          <w:rFonts w:ascii="Times New Roman" w:hAnsi="Times New Roman"/>
          <w:sz w:val="26"/>
        </w:rPr>
        <w:t>A careful review of the record, together with the Account Statement (</w:t>
      </w:r>
      <w:r w:rsidR="00650409" w:rsidRPr="00D52586">
        <w:rPr>
          <w:rFonts w:ascii="Times New Roman" w:hAnsi="Times New Roman"/>
          <w:sz w:val="26"/>
        </w:rPr>
        <w:t>West Penn</w:t>
      </w:r>
      <w:r w:rsidRPr="00D52586">
        <w:rPr>
          <w:rFonts w:ascii="Times New Roman" w:hAnsi="Times New Roman"/>
          <w:sz w:val="26"/>
        </w:rPr>
        <w:t xml:space="preserve"> </w:t>
      </w:r>
      <w:proofErr w:type="spellStart"/>
      <w:r w:rsidRPr="00D52586">
        <w:rPr>
          <w:rFonts w:ascii="Times New Roman" w:hAnsi="Times New Roman"/>
          <w:sz w:val="26"/>
        </w:rPr>
        <w:t>Exh</w:t>
      </w:r>
      <w:proofErr w:type="spellEnd"/>
      <w:r w:rsidRPr="00D52586">
        <w:rPr>
          <w:rFonts w:ascii="Times New Roman" w:hAnsi="Times New Roman"/>
          <w:sz w:val="26"/>
        </w:rPr>
        <w:t>. 2), reveals the security deposit was paid through three installments and no multiple security deposits were demanded or received.</w:t>
      </w:r>
      <w:r w:rsidR="00D52586">
        <w:rPr>
          <w:rFonts w:ascii="Times New Roman" w:hAnsi="Times New Roman"/>
          <w:sz w:val="26"/>
        </w:rPr>
        <w:t xml:space="preserve">  The amount of the security deposit ($267), complied with Section 1404(a) of the Code.</w:t>
      </w:r>
    </w:p>
  </w:footnote>
  <w:footnote w:id="2">
    <w:p w:rsidR="005C793B" w:rsidRPr="00C068FB" w:rsidRDefault="005C793B" w:rsidP="005C793B">
      <w:pPr>
        <w:pStyle w:val="FootnoteText"/>
        <w:ind w:firstLine="720"/>
        <w:rPr>
          <w:rFonts w:ascii="Times New Roman" w:hAnsi="Times New Roman"/>
          <w:sz w:val="26"/>
        </w:rPr>
      </w:pPr>
      <w:r>
        <w:rPr>
          <w:rStyle w:val="FootnoteReference"/>
        </w:rPr>
        <w:footnoteRef/>
      </w:r>
      <w:r>
        <w:t xml:space="preserve"> </w:t>
      </w:r>
      <w:r>
        <w:tab/>
      </w:r>
      <w:r w:rsidRPr="00C068FB">
        <w:rPr>
          <w:rFonts w:ascii="Times New Roman" w:hAnsi="Times New Roman"/>
          <w:sz w:val="26"/>
        </w:rPr>
        <w:t>West Penn previously applied $60.00 of a $115.27 payment the Complainant made on October 5, 2009, and $59.00 of a $90.00 payment she made on October 30, 2009, toward install</w:t>
      </w:r>
      <w:r w:rsidR="002455F1" w:rsidRPr="00C068FB">
        <w:rPr>
          <w:rFonts w:ascii="Times New Roman" w:hAnsi="Times New Roman"/>
          <w:sz w:val="26"/>
        </w:rPr>
        <w:t xml:space="preserve">ments on the security deposit.  </w:t>
      </w:r>
      <w:r w:rsidRPr="00C068FB">
        <w:rPr>
          <w:rFonts w:ascii="Times New Roman" w:hAnsi="Times New Roman"/>
          <w:sz w:val="26"/>
        </w:rPr>
        <w:t xml:space="preserve">West Penn </w:t>
      </w:r>
      <w:proofErr w:type="spellStart"/>
      <w:r w:rsidRPr="00C068FB">
        <w:rPr>
          <w:rFonts w:ascii="Times New Roman" w:hAnsi="Times New Roman"/>
          <w:sz w:val="26"/>
        </w:rPr>
        <w:t>Exh</w:t>
      </w:r>
      <w:proofErr w:type="spellEnd"/>
      <w:r w:rsidRPr="00C068FB">
        <w:rPr>
          <w:rFonts w:ascii="Times New Roman" w:hAnsi="Times New Roman"/>
          <w:sz w:val="26"/>
        </w:rPr>
        <w:t>. 2.</w:t>
      </w:r>
    </w:p>
    <w:p w:rsidR="005C793B" w:rsidRDefault="005C793B" w:rsidP="005C793B">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70A"/>
    <w:rsid w:val="000A7F96"/>
    <w:rsid w:val="000B0240"/>
    <w:rsid w:val="000B2B80"/>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4D80"/>
    <w:rsid w:val="00115FD9"/>
    <w:rsid w:val="00116357"/>
    <w:rsid w:val="001169CD"/>
    <w:rsid w:val="00116D79"/>
    <w:rsid w:val="00116F14"/>
    <w:rsid w:val="0011759D"/>
    <w:rsid w:val="00120C2F"/>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2760"/>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F37"/>
    <w:rsid w:val="001732C2"/>
    <w:rsid w:val="001768EE"/>
    <w:rsid w:val="00177831"/>
    <w:rsid w:val="00177A43"/>
    <w:rsid w:val="001806BD"/>
    <w:rsid w:val="001811B8"/>
    <w:rsid w:val="00181BC1"/>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6FD4"/>
    <w:rsid w:val="001A75AA"/>
    <w:rsid w:val="001B3D40"/>
    <w:rsid w:val="001B423C"/>
    <w:rsid w:val="001B5CD3"/>
    <w:rsid w:val="001B7A05"/>
    <w:rsid w:val="001C07F9"/>
    <w:rsid w:val="001C396E"/>
    <w:rsid w:val="001C42FD"/>
    <w:rsid w:val="001C4B37"/>
    <w:rsid w:val="001C529E"/>
    <w:rsid w:val="001C53B1"/>
    <w:rsid w:val="001C5BE3"/>
    <w:rsid w:val="001C71DB"/>
    <w:rsid w:val="001C7E91"/>
    <w:rsid w:val="001C7F88"/>
    <w:rsid w:val="001D01F1"/>
    <w:rsid w:val="001D02A2"/>
    <w:rsid w:val="001D0E29"/>
    <w:rsid w:val="001D2BAD"/>
    <w:rsid w:val="001D491F"/>
    <w:rsid w:val="001D663B"/>
    <w:rsid w:val="001D70A6"/>
    <w:rsid w:val="001D7137"/>
    <w:rsid w:val="001E05C6"/>
    <w:rsid w:val="001E072C"/>
    <w:rsid w:val="001E074A"/>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70BF"/>
    <w:rsid w:val="002177F7"/>
    <w:rsid w:val="00217851"/>
    <w:rsid w:val="00217C4E"/>
    <w:rsid w:val="00223564"/>
    <w:rsid w:val="002242F7"/>
    <w:rsid w:val="00225BD2"/>
    <w:rsid w:val="00226C12"/>
    <w:rsid w:val="00227652"/>
    <w:rsid w:val="00230396"/>
    <w:rsid w:val="0023097E"/>
    <w:rsid w:val="00230BAB"/>
    <w:rsid w:val="00232A03"/>
    <w:rsid w:val="0023535F"/>
    <w:rsid w:val="00237CE3"/>
    <w:rsid w:val="00241A31"/>
    <w:rsid w:val="0024349F"/>
    <w:rsid w:val="002439C0"/>
    <w:rsid w:val="00243CC9"/>
    <w:rsid w:val="00243D31"/>
    <w:rsid w:val="002450F3"/>
    <w:rsid w:val="002455F1"/>
    <w:rsid w:val="00245B0C"/>
    <w:rsid w:val="002469C9"/>
    <w:rsid w:val="00247332"/>
    <w:rsid w:val="0025088B"/>
    <w:rsid w:val="00250E63"/>
    <w:rsid w:val="00252313"/>
    <w:rsid w:val="00252626"/>
    <w:rsid w:val="00253870"/>
    <w:rsid w:val="00253CC7"/>
    <w:rsid w:val="00254560"/>
    <w:rsid w:val="00255141"/>
    <w:rsid w:val="00255498"/>
    <w:rsid w:val="002556E9"/>
    <w:rsid w:val="002564D7"/>
    <w:rsid w:val="00256A4C"/>
    <w:rsid w:val="0025718D"/>
    <w:rsid w:val="00260D40"/>
    <w:rsid w:val="0026312F"/>
    <w:rsid w:val="00264ABB"/>
    <w:rsid w:val="00264F3D"/>
    <w:rsid w:val="002652DF"/>
    <w:rsid w:val="00265BD8"/>
    <w:rsid w:val="002706E9"/>
    <w:rsid w:val="00271322"/>
    <w:rsid w:val="002718BE"/>
    <w:rsid w:val="002723CB"/>
    <w:rsid w:val="00273450"/>
    <w:rsid w:val="0027458E"/>
    <w:rsid w:val="00274EC0"/>
    <w:rsid w:val="00275261"/>
    <w:rsid w:val="00280D23"/>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6493"/>
    <w:rsid w:val="00297040"/>
    <w:rsid w:val="002A0E82"/>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4908"/>
    <w:rsid w:val="002E5443"/>
    <w:rsid w:val="002E6F2D"/>
    <w:rsid w:val="002F0238"/>
    <w:rsid w:val="002F28A9"/>
    <w:rsid w:val="002F39A8"/>
    <w:rsid w:val="002F3B92"/>
    <w:rsid w:val="002F4D5E"/>
    <w:rsid w:val="002F50FB"/>
    <w:rsid w:val="002F6563"/>
    <w:rsid w:val="00300C9D"/>
    <w:rsid w:val="00301857"/>
    <w:rsid w:val="00301C5F"/>
    <w:rsid w:val="00301D75"/>
    <w:rsid w:val="00301FE4"/>
    <w:rsid w:val="00302272"/>
    <w:rsid w:val="0030248D"/>
    <w:rsid w:val="00302934"/>
    <w:rsid w:val="003034D6"/>
    <w:rsid w:val="00303915"/>
    <w:rsid w:val="00304ABF"/>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74E"/>
    <w:rsid w:val="0035499F"/>
    <w:rsid w:val="00354EEE"/>
    <w:rsid w:val="003555F1"/>
    <w:rsid w:val="003573EB"/>
    <w:rsid w:val="00357B6E"/>
    <w:rsid w:val="003610F1"/>
    <w:rsid w:val="003614F6"/>
    <w:rsid w:val="003627B9"/>
    <w:rsid w:val="003629D2"/>
    <w:rsid w:val="00362AC9"/>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585"/>
    <w:rsid w:val="00385797"/>
    <w:rsid w:val="00386C88"/>
    <w:rsid w:val="0039007A"/>
    <w:rsid w:val="00390FB3"/>
    <w:rsid w:val="003914C3"/>
    <w:rsid w:val="00391A8A"/>
    <w:rsid w:val="00391B6F"/>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6DB"/>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E7F23"/>
    <w:rsid w:val="003F0213"/>
    <w:rsid w:val="003F07AF"/>
    <w:rsid w:val="003F0ABA"/>
    <w:rsid w:val="003F1C7C"/>
    <w:rsid w:val="003F27D1"/>
    <w:rsid w:val="003F287E"/>
    <w:rsid w:val="003F3939"/>
    <w:rsid w:val="003F5ADF"/>
    <w:rsid w:val="003F7291"/>
    <w:rsid w:val="004023F4"/>
    <w:rsid w:val="00402479"/>
    <w:rsid w:val="004034A7"/>
    <w:rsid w:val="0040517B"/>
    <w:rsid w:val="004051BE"/>
    <w:rsid w:val="00405814"/>
    <w:rsid w:val="00406D11"/>
    <w:rsid w:val="00411FED"/>
    <w:rsid w:val="00413E04"/>
    <w:rsid w:val="004140BA"/>
    <w:rsid w:val="004144EB"/>
    <w:rsid w:val="004144EE"/>
    <w:rsid w:val="004146BE"/>
    <w:rsid w:val="00414855"/>
    <w:rsid w:val="004149DF"/>
    <w:rsid w:val="00415460"/>
    <w:rsid w:val="00415483"/>
    <w:rsid w:val="00415A5E"/>
    <w:rsid w:val="00415C89"/>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114D"/>
    <w:rsid w:val="00441274"/>
    <w:rsid w:val="00441920"/>
    <w:rsid w:val="004419DA"/>
    <w:rsid w:val="004421E7"/>
    <w:rsid w:val="00442945"/>
    <w:rsid w:val="00442D26"/>
    <w:rsid w:val="00443198"/>
    <w:rsid w:val="00446BCB"/>
    <w:rsid w:val="00447592"/>
    <w:rsid w:val="0045290B"/>
    <w:rsid w:val="004533D3"/>
    <w:rsid w:val="00455C99"/>
    <w:rsid w:val="004572B4"/>
    <w:rsid w:val="00457386"/>
    <w:rsid w:val="004610A5"/>
    <w:rsid w:val="00461DAA"/>
    <w:rsid w:val="00461E0C"/>
    <w:rsid w:val="004622AF"/>
    <w:rsid w:val="00470133"/>
    <w:rsid w:val="00470A26"/>
    <w:rsid w:val="004715B6"/>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C40E8"/>
    <w:rsid w:val="004C4F45"/>
    <w:rsid w:val="004C54A0"/>
    <w:rsid w:val="004C5B03"/>
    <w:rsid w:val="004C749A"/>
    <w:rsid w:val="004C7AC4"/>
    <w:rsid w:val="004D08F5"/>
    <w:rsid w:val="004D0A03"/>
    <w:rsid w:val="004D362A"/>
    <w:rsid w:val="004D3FF0"/>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B08"/>
    <w:rsid w:val="004E537D"/>
    <w:rsid w:val="004E58C3"/>
    <w:rsid w:val="004E697A"/>
    <w:rsid w:val="004E75A8"/>
    <w:rsid w:val="004E79BD"/>
    <w:rsid w:val="004F1948"/>
    <w:rsid w:val="004F194B"/>
    <w:rsid w:val="004F1C7B"/>
    <w:rsid w:val="004F2383"/>
    <w:rsid w:val="004F23E9"/>
    <w:rsid w:val="004F2FF1"/>
    <w:rsid w:val="004F454B"/>
    <w:rsid w:val="004F5854"/>
    <w:rsid w:val="004F6778"/>
    <w:rsid w:val="004F72E9"/>
    <w:rsid w:val="004F7924"/>
    <w:rsid w:val="00500158"/>
    <w:rsid w:val="00500EDA"/>
    <w:rsid w:val="0050291C"/>
    <w:rsid w:val="00502D50"/>
    <w:rsid w:val="00503295"/>
    <w:rsid w:val="00503571"/>
    <w:rsid w:val="00503A81"/>
    <w:rsid w:val="00503B2F"/>
    <w:rsid w:val="00503E65"/>
    <w:rsid w:val="00504CED"/>
    <w:rsid w:val="00504D5D"/>
    <w:rsid w:val="00504FA3"/>
    <w:rsid w:val="00505BA0"/>
    <w:rsid w:val="00505E50"/>
    <w:rsid w:val="00506AF6"/>
    <w:rsid w:val="00506C6B"/>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40F72"/>
    <w:rsid w:val="00543297"/>
    <w:rsid w:val="00543DB7"/>
    <w:rsid w:val="00545FB5"/>
    <w:rsid w:val="005460F4"/>
    <w:rsid w:val="005469D0"/>
    <w:rsid w:val="00547F17"/>
    <w:rsid w:val="00551BEE"/>
    <w:rsid w:val="005527CF"/>
    <w:rsid w:val="00555069"/>
    <w:rsid w:val="0055587E"/>
    <w:rsid w:val="005558A8"/>
    <w:rsid w:val="00555CA0"/>
    <w:rsid w:val="00560E96"/>
    <w:rsid w:val="005611AB"/>
    <w:rsid w:val="005613D2"/>
    <w:rsid w:val="00564473"/>
    <w:rsid w:val="0056564F"/>
    <w:rsid w:val="005673FC"/>
    <w:rsid w:val="0056779F"/>
    <w:rsid w:val="0057127D"/>
    <w:rsid w:val="00572F46"/>
    <w:rsid w:val="0058016C"/>
    <w:rsid w:val="005850E9"/>
    <w:rsid w:val="00590A8E"/>
    <w:rsid w:val="00591AD4"/>
    <w:rsid w:val="00591BE9"/>
    <w:rsid w:val="005921ED"/>
    <w:rsid w:val="0059238B"/>
    <w:rsid w:val="00592CAB"/>
    <w:rsid w:val="00593628"/>
    <w:rsid w:val="0059500A"/>
    <w:rsid w:val="00597CE3"/>
    <w:rsid w:val="005A08BE"/>
    <w:rsid w:val="005A3DF0"/>
    <w:rsid w:val="005A4358"/>
    <w:rsid w:val="005A5F10"/>
    <w:rsid w:val="005A6378"/>
    <w:rsid w:val="005A65C4"/>
    <w:rsid w:val="005A69E2"/>
    <w:rsid w:val="005A6C7B"/>
    <w:rsid w:val="005B01F2"/>
    <w:rsid w:val="005B4A37"/>
    <w:rsid w:val="005B4F29"/>
    <w:rsid w:val="005B5378"/>
    <w:rsid w:val="005B5F54"/>
    <w:rsid w:val="005B6A4F"/>
    <w:rsid w:val="005B7341"/>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6CB"/>
    <w:rsid w:val="005E6754"/>
    <w:rsid w:val="005F05CF"/>
    <w:rsid w:val="005F10BC"/>
    <w:rsid w:val="005F178B"/>
    <w:rsid w:val="005F2E90"/>
    <w:rsid w:val="005F3184"/>
    <w:rsid w:val="005F35E2"/>
    <w:rsid w:val="005F3A5A"/>
    <w:rsid w:val="005F3CA8"/>
    <w:rsid w:val="005F4702"/>
    <w:rsid w:val="005F4A9E"/>
    <w:rsid w:val="005F4C5B"/>
    <w:rsid w:val="005F5031"/>
    <w:rsid w:val="005F5398"/>
    <w:rsid w:val="005F6D05"/>
    <w:rsid w:val="005F713D"/>
    <w:rsid w:val="005F7940"/>
    <w:rsid w:val="006000EA"/>
    <w:rsid w:val="00600271"/>
    <w:rsid w:val="006015C3"/>
    <w:rsid w:val="0060192A"/>
    <w:rsid w:val="00601A17"/>
    <w:rsid w:val="00603D1C"/>
    <w:rsid w:val="00604B46"/>
    <w:rsid w:val="006054FF"/>
    <w:rsid w:val="00607554"/>
    <w:rsid w:val="00607CD1"/>
    <w:rsid w:val="00612C62"/>
    <w:rsid w:val="006136BD"/>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5279"/>
    <w:rsid w:val="00625C7F"/>
    <w:rsid w:val="00626D0C"/>
    <w:rsid w:val="006301EB"/>
    <w:rsid w:val="0063035B"/>
    <w:rsid w:val="006309C3"/>
    <w:rsid w:val="00630C20"/>
    <w:rsid w:val="00631505"/>
    <w:rsid w:val="006327F5"/>
    <w:rsid w:val="0063491D"/>
    <w:rsid w:val="00636988"/>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458B"/>
    <w:rsid w:val="00654A2F"/>
    <w:rsid w:val="00654DC2"/>
    <w:rsid w:val="00655AC4"/>
    <w:rsid w:val="0065707C"/>
    <w:rsid w:val="006574BB"/>
    <w:rsid w:val="00657E9E"/>
    <w:rsid w:val="00660C81"/>
    <w:rsid w:val="00661965"/>
    <w:rsid w:val="00662E16"/>
    <w:rsid w:val="00662E83"/>
    <w:rsid w:val="00663DDD"/>
    <w:rsid w:val="00664F45"/>
    <w:rsid w:val="00666BF3"/>
    <w:rsid w:val="006706A5"/>
    <w:rsid w:val="006709E7"/>
    <w:rsid w:val="0067116A"/>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90B33"/>
    <w:rsid w:val="00690B57"/>
    <w:rsid w:val="00690F25"/>
    <w:rsid w:val="006929B2"/>
    <w:rsid w:val="00693910"/>
    <w:rsid w:val="00693BD1"/>
    <w:rsid w:val="00694B21"/>
    <w:rsid w:val="00695654"/>
    <w:rsid w:val="006A0461"/>
    <w:rsid w:val="006A0550"/>
    <w:rsid w:val="006A0B82"/>
    <w:rsid w:val="006A0DAA"/>
    <w:rsid w:val="006A29BE"/>
    <w:rsid w:val="006A4113"/>
    <w:rsid w:val="006A43CE"/>
    <w:rsid w:val="006A5CFC"/>
    <w:rsid w:val="006A5DB1"/>
    <w:rsid w:val="006A6194"/>
    <w:rsid w:val="006A731A"/>
    <w:rsid w:val="006A780B"/>
    <w:rsid w:val="006A7DB6"/>
    <w:rsid w:val="006B1632"/>
    <w:rsid w:val="006B247F"/>
    <w:rsid w:val="006B460D"/>
    <w:rsid w:val="006B4E7B"/>
    <w:rsid w:val="006B5EC6"/>
    <w:rsid w:val="006C3BF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5730"/>
    <w:rsid w:val="006F59DE"/>
    <w:rsid w:val="00700664"/>
    <w:rsid w:val="00701FAC"/>
    <w:rsid w:val="0070234E"/>
    <w:rsid w:val="00702D61"/>
    <w:rsid w:val="00702EF7"/>
    <w:rsid w:val="00703323"/>
    <w:rsid w:val="00703A1F"/>
    <w:rsid w:val="00704460"/>
    <w:rsid w:val="00704A66"/>
    <w:rsid w:val="007052E1"/>
    <w:rsid w:val="0070698C"/>
    <w:rsid w:val="00706A32"/>
    <w:rsid w:val="007078B7"/>
    <w:rsid w:val="00710EAE"/>
    <w:rsid w:val="00712B83"/>
    <w:rsid w:val="007132B5"/>
    <w:rsid w:val="00715A44"/>
    <w:rsid w:val="00715D19"/>
    <w:rsid w:val="00716DBB"/>
    <w:rsid w:val="00717887"/>
    <w:rsid w:val="00717AA6"/>
    <w:rsid w:val="00720090"/>
    <w:rsid w:val="007205EB"/>
    <w:rsid w:val="0072089E"/>
    <w:rsid w:val="0072487D"/>
    <w:rsid w:val="007258B9"/>
    <w:rsid w:val="007261F0"/>
    <w:rsid w:val="00727561"/>
    <w:rsid w:val="0073166F"/>
    <w:rsid w:val="007319F1"/>
    <w:rsid w:val="00732C4E"/>
    <w:rsid w:val="00733D05"/>
    <w:rsid w:val="00734531"/>
    <w:rsid w:val="00736CA8"/>
    <w:rsid w:val="00737C3A"/>
    <w:rsid w:val="00737F05"/>
    <w:rsid w:val="007431F5"/>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31E0"/>
    <w:rsid w:val="00765781"/>
    <w:rsid w:val="00765A8B"/>
    <w:rsid w:val="00766353"/>
    <w:rsid w:val="007668BC"/>
    <w:rsid w:val="00772087"/>
    <w:rsid w:val="00774460"/>
    <w:rsid w:val="007744EB"/>
    <w:rsid w:val="00774CFE"/>
    <w:rsid w:val="0077543A"/>
    <w:rsid w:val="007756D9"/>
    <w:rsid w:val="00775CDC"/>
    <w:rsid w:val="00780296"/>
    <w:rsid w:val="00780707"/>
    <w:rsid w:val="00780972"/>
    <w:rsid w:val="00784FF2"/>
    <w:rsid w:val="00787B2C"/>
    <w:rsid w:val="00787D24"/>
    <w:rsid w:val="00790C99"/>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C1A79"/>
    <w:rsid w:val="007C2B55"/>
    <w:rsid w:val="007C31CC"/>
    <w:rsid w:val="007C38BA"/>
    <w:rsid w:val="007C3E46"/>
    <w:rsid w:val="007C440C"/>
    <w:rsid w:val="007C6751"/>
    <w:rsid w:val="007C68BA"/>
    <w:rsid w:val="007D0E00"/>
    <w:rsid w:val="007D0FC5"/>
    <w:rsid w:val="007D15FD"/>
    <w:rsid w:val="007D1913"/>
    <w:rsid w:val="007D298C"/>
    <w:rsid w:val="007D3420"/>
    <w:rsid w:val="007D44FE"/>
    <w:rsid w:val="007D5362"/>
    <w:rsid w:val="007D6110"/>
    <w:rsid w:val="007D6C48"/>
    <w:rsid w:val="007D71F7"/>
    <w:rsid w:val="007E000F"/>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23C6"/>
    <w:rsid w:val="008127D6"/>
    <w:rsid w:val="008136DF"/>
    <w:rsid w:val="00813B97"/>
    <w:rsid w:val="00814192"/>
    <w:rsid w:val="00814E45"/>
    <w:rsid w:val="00817DA7"/>
    <w:rsid w:val="00821B16"/>
    <w:rsid w:val="00821C95"/>
    <w:rsid w:val="00822D1E"/>
    <w:rsid w:val="00824CEF"/>
    <w:rsid w:val="008254AB"/>
    <w:rsid w:val="00826480"/>
    <w:rsid w:val="0082691B"/>
    <w:rsid w:val="00830148"/>
    <w:rsid w:val="00830F0D"/>
    <w:rsid w:val="008316AD"/>
    <w:rsid w:val="00831855"/>
    <w:rsid w:val="00834437"/>
    <w:rsid w:val="0083466C"/>
    <w:rsid w:val="00835315"/>
    <w:rsid w:val="008355D1"/>
    <w:rsid w:val="00835AEB"/>
    <w:rsid w:val="00840D0F"/>
    <w:rsid w:val="0084200E"/>
    <w:rsid w:val="00842A84"/>
    <w:rsid w:val="00842FDE"/>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D9F"/>
    <w:rsid w:val="00861F2E"/>
    <w:rsid w:val="00861FD7"/>
    <w:rsid w:val="00862EC0"/>
    <w:rsid w:val="0086363F"/>
    <w:rsid w:val="008639C9"/>
    <w:rsid w:val="008667AD"/>
    <w:rsid w:val="00866D13"/>
    <w:rsid w:val="00870EC1"/>
    <w:rsid w:val="00871D68"/>
    <w:rsid w:val="00874DEF"/>
    <w:rsid w:val="0087638C"/>
    <w:rsid w:val="00877148"/>
    <w:rsid w:val="0088013C"/>
    <w:rsid w:val="00880252"/>
    <w:rsid w:val="00881882"/>
    <w:rsid w:val="00881AFA"/>
    <w:rsid w:val="00882AC7"/>
    <w:rsid w:val="00882CC5"/>
    <w:rsid w:val="008835E3"/>
    <w:rsid w:val="00884452"/>
    <w:rsid w:val="00886D8D"/>
    <w:rsid w:val="008905D4"/>
    <w:rsid w:val="008905D7"/>
    <w:rsid w:val="008934C7"/>
    <w:rsid w:val="00893CFF"/>
    <w:rsid w:val="00893F33"/>
    <w:rsid w:val="008957C4"/>
    <w:rsid w:val="00895B87"/>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D85"/>
    <w:rsid w:val="008B3920"/>
    <w:rsid w:val="008B57D5"/>
    <w:rsid w:val="008B5B9D"/>
    <w:rsid w:val="008B68C6"/>
    <w:rsid w:val="008B6F16"/>
    <w:rsid w:val="008B6F4B"/>
    <w:rsid w:val="008C0189"/>
    <w:rsid w:val="008C12FB"/>
    <w:rsid w:val="008C21FC"/>
    <w:rsid w:val="008C3700"/>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42BB"/>
    <w:rsid w:val="008F47D1"/>
    <w:rsid w:val="008F4EE4"/>
    <w:rsid w:val="00903728"/>
    <w:rsid w:val="009046AE"/>
    <w:rsid w:val="00905434"/>
    <w:rsid w:val="00905C39"/>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60E02"/>
    <w:rsid w:val="00961E91"/>
    <w:rsid w:val="0096308C"/>
    <w:rsid w:val="00963876"/>
    <w:rsid w:val="00963DC7"/>
    <w:rsid w:val="00965754"/>
    <w:rsid w:val="00966051"/>
    <w:rsid w:val="00966A46"/>
    <w:rsid w:val="0097030E"/>
    <w:rsid w:val="00971AA0"/>
    <w:rsid w:val="00974568"/>
    <w:rsid w:val="0097493A"/>
    <w:rsid w:val="0097685E"/>
    <w:rsid w:val="0097742A"/>
    <w:rsid w:val="00977973"/>
    <w:rsid w:val="00981F79"/>
    <w:rsid w:val="0098324B"/>
    <w:rsid w:val="009834E9"/>
    <w:rsid w:val="00983F62"/>
    <w:rsid w:val="009850EF"/>
    <w:rsid w:val="009853DD"/>
    <w:rsid w:val="009868FC"/>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B0086"/>
    <w:rsid w:val="009B0DF1"/>
    <w:rsid w:val="009B3688"/>
    <w:rsid w:val="009B4416"/>
    <w:rsid w:val="009B4E8F"/>
    <w:rsid w:val="009B5E0E"/>
    <w:rsid w:val="009B75B8"/>
    <w:rsid w:val="009B7FCB"/>
    <w:rsid w:val="009C07DF"/>
    <w:rsid w:val="009C0E2E"/>
    <w:rsid w:val="009C190C"/>
    <w:rsid w:val="009C1D56"/>
    <w:rsid w:val="009C2432"/>
    <w:rsid w:val="009C2436"/>
    <w:rsid w:val="009C4D0F"/>
    <w:rsid w:val="009C77A0"/>
    <w:rsid w:val="009C79CB"/>
    <w:rsid w:val="009C7F81"/>
    <w:rsid w:val="009D140E"/>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26B6"/>
    <w:rsid w:val="00A52978"/>
    <w:rsid w:val="00A53130"/>
    <w:rsid w:val="00A5412B"/>
    <w:rsid w:val="00A544CA"/>
    <w:rsid w:val="00A6042C"/>
    <w:rsid w:val="00A60694"/>
    <w:rsid w:val="00A628DE"/>
    <w:rsid w:val="00A64735"/>
    <w:rsid w:val="00A64AC6"/>
    <w:rsid w:val="00A651E0"/>
    <w:rsid w:val="00A65F5E"/>
    <w:rsid w:val="00A6624D"/>
    <w:rsid w:val="00A666B7"/>
    <w:rsid w:val="00A66B50"/>
    <w:rsid w:val="00A6772D"/>
    <w:rsid w:val="00A704A9"/>
    <w:rsid w:val="00A70FAF"/>
    <w:rsid w:val="00A719FA"/>
    <w:rsid w:val="00A72556"/>
    <w:rsid w:val="00A7322E"/>
    <w:rsid w:val="00A73601"/>
    <w:rsid w:val="00A73897"/>
    <w:rsid w:val="00A7422E"/>
    <w:rsid w:val="00A746B4"/>
    <w:rsid w:val="00A7669A"/>
    <w:rsid w:val="00A80B08"/>
    <w:rsid w:val="00A84536"/>
    <w:rsid w:val="00A8510A"/>
    <w:rsid w:val="00A85226"/>
    <w:rsid w:val="00A8570C"/>
    <w:rsid w:val="00A857A7"/>
    <w:rsid w:val="00A860D4"/>
    <w:rsid w:val="00A90F74"/>
    <w:rsid w:val="00A92240"/>
    <w:rsid w:val="00A92C6B"/>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C4F"/>
    <w:rsid w:val="00AB2CA8"/>
    <w:rsid w:val="00AB482A"/>
    <w:rsid w:val="00AB5020"/>
    <w:rsid w:val="00AB5F73"/>
    <w:rsid w:val="00AB6968"/>
    <w:rsid w:val="00AB699B"/>
    <w:rsid w:val="00AB6EAA"/>
    <w:rsid w:val="00AB6FD8"/>
    <w:rsid w:val="00AC113A"/>
    <w:rsid w:val="00AC1E64"/>
    <w:rsid w:val="00AC259C"/>
    <w:rsid w:val="00AC2919"/>
    <w:rsid w:val="00AC3473"/>
    <w:rsid w:val="00AC4230"/>
    <w:rsid w:val="00AC4746"/>
    <w:rsid w:val="00AC5FB9"/>
    <w:rsid w:val="00AC6F04"/>
    <w:rsid w:val="00AC7204"/>
    <w:rsid w:val="00AD07F3"/>
    <w:rsid w:val="00AD1327"/>
    <w:rsid w:val="00AD1FB6"/>
    <w:rsid w:val="00AD22B6"/>
    <w:rsid w:val="00AD5C38"/>
    <w:rsid w:val="00AE1AC7"/>
    <w:rsid w:val="00AE2494"/>
    <w:rsid w:val="00AE27D5"/>
    <w:rsid w:val="00AE2D37"/>
    <w:rsid w:val="00AE2D7B"/>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45DC"/>
    <w:rsid w:val="00B247CF"/>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C7A"/>
    <w:rsid w:val="00B419E0"/>
    <w:rsid w:val="00B4266C"/>
    <w:rsid w:val="00B42ABB"/>
    <w:rsid w:val="00B42F5F"/>
    <w:rsid w:val="00B45042"/>
    <w:rsid w:val="00B45856"/>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BAE"/>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F6A"/>
    <w:rsid w:val="00B9106A"/>
    <w:rsid w:val="00B9185F"/>
    <w:rsid w:val="00B918B1"/>
    <w:rsid w:val="00B92D56"/>
    <w:rsid w:val="00B951C0"/>
    <w:rsid w:val="00B95A7D"/>
    <w:rsid w:val="00B96A3D"/>
    <w:rsid w:val="00BA0575"/>
    <w:rsid w:val="00BA1D7B"/>
    <w:rsid w:val="00BA1E65"/>
    <w:rsid w:val="00BA3848"/>
    <w:rsid w:val="00BA4EA6"/>
    <w:rsid w:val="00BA52C0"/>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E93"/>
    <w:rsid w:val="00BD1EB6"/>
    <w:rsid w:val="00BD1F85"/>
    <w:rsid w:val="00BD27A4"/>
    <w:rsid w:val="00BD2CD5"/>
    <w:rsid w:val="00BD57BE"/>
    <w:rsid w:val="00BD59EC"/>
    <w:rsid w:val="00BD6A08"/>
    <w:rsid w:val="00BD720D"/>
    <w:rsid w:val="00BE1740"/>
    <w:rsid w:val="00BE1981"/>
    <w:rsid w:val="00BE1985"/>
    <w:rsid w:val="00BE2DFC"/>
    <w:rsid w:val="00BE3527"/>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68FB"/>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E9A"/>
    <w:rsid w:val="00C51391"/>
    <w:rsid w:val="00C53F3E"/>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4E95"/>
    <w:rsid w:val="00C74FDD"/>
    <w:rsid w:val="00C764E5"/>
    <w:rsid w:val="00C77B17"/>
    <w:rsid w:val="00C81097"/>
    <w:rsid w:val="00C81704"/>
    <w:rsid w:val="00C848D1"/>
    <w:rsid w:val="00C8601D"/>
    <w:rsid w:val="00C869F3"/>
    <w:rsid w:val="00C86F0C"/>
    <w:rsid w:val="00C87880"/>
    <w:rsid w:val="00C87E16"/>
    <w:rsid w:val="00C90677"/>
    <w:rsid w:val="00C918DF"/>
    <w:rsid w:val="00C93939"/>
    <w:rsid w:val="00C952D0"/>
    <w:rsid w:val="00C96027"/>
    <w:rsid w:val="00C96BC5"/>
    <w:rsid w:val="00C96C44"/>
    <w:rsid w:val="00C96DD4"/>
    <w:rsid w:val="00C97BC9"/>
    <w:rsid w:val="00C97FC8"/>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6336"/>
    <w:rsid w:val="00CC05A7"/>
    <w:rsid w:val="00CC14C4"/>
    <w:rsid w:val="00CC4EB1"/>
    <w:rsid w:val="00CC54C3"/>
    <w:rsid w:val="00CC5812"/>
    <w:rsid w:val="00CC6BD1"/>
    <w:rsid w:val="00CC714E"/>
    <w:rsid w:val="00CC7465"/>
    <w:rsid w:val="00CD1C84"/>
    <w:rsid w:val="00CD24A8"/>
    <w:rsid w:val="00CD29CF"/>
    <w:rsid w:val="00CD32A8"/>
    <w:rsid w:val="00CD38B6"/>
    <w:rsid w:val="00CD38C4"/>
    <w:rsid w:val="00CD51F7"/>
    <w:rsid w:val="00CD5507"/>
    <w:rsid w:val="00CD5D7F"/>
    <w:rsid w:val="00CD65EE"/>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D00001"/>
    <w:rsid w:val="00D00734"/>
    <w:rsid w:val="00D01C1F"/>
    <w:rsid w:val="00D025A0"/>
    <w:rsid w:val="00D03CD7"/>
    <w:rsid w:val="00D04F78"/>
    <w:rsid w:val="00D05704"/>
    <w:rsid w:val="00D06389"/>
    <w:rsid w:val="00D069E1"/>
    <w:rsid w:val="00D12493"/>
    <w:rsid w:val="00D14EF9"/>
    <w:rsid w:val="00D15AE9"/>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501F"/>
    <w:rsid w:val="00D36224"/>
    <w:rsid w:val="00D4028A"/>
    <w:rsid w:val="00D4075A"/>
    <w:rsid w:val="00D416AA"/>
    <w:rsid w:val="00D41FF6"/>
    <w:rsid w:val="00D44FD4"/>
    <w:rsid w:val="00D4543B"/>
    <w:rsid w:val="00D459E1"/>
    <w:rsid w:val="00D45FDF"/>
    <w:rsid w:val="00D46612"/>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5037"/>
    <w:rsid w:val="00D66349"/>
    <w:rsid w:val="00D66661"/>
    <w:rsid w:val="00D66F4D"/>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7A5"/>
    <w:rsid w:val="00D86BD5"/>
    <w:rsid w:val="00D9029A"/>
    <w:rsid w:val="00D91ED5"/>
    <w:rsid w:val="00D923E5"/>
    <w:rsid w:val="00D942D5"/>
    <w:rsid w:val="00D94DB6"/>
    <w:rsid w:val="00D952E0"/>
    <w:rsid w:val="00D964B5"/>
    <w:rsid w:val="00DA0106"/>
    <w:rsid w:val="00DA1938"/>
    <w:rsid w:val="00DA1957"/>
    <w:rsid w:val="00DA3468"/>
    <w:rsid w:val="00DA3675"/>
    <w:rsid w:val="00DA3902"/>
    <w:rsid w:val="00DA4B4A"/>
    <w:rsid w:val="00DA7199"/>
    <w:rsid w:val="00DA71AD"/>
    <w:rsid w:val="00DB07BF"/>
    <w:rsid w:val="00DB1C1F"/>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7AE"/>
    <w:rsid w:val="00E00828"/>
    <w:rsid w:val="00E035A9"/>
    <w:rsid w:val="00E04197"/>
    <w:rsid w:val="00E05189"/>
    <w:rsid w:val="00E05801"/>
    <w:rsid w:val="00E05C7D"/>
    <w:rsid w:val="00E06113"/>
    <w:rsid w:val="00E064FC"/>
    <w:rsid w:val="00E06DB8"/>
    <w:rsid w:val="00E1053D"/>
    <w:rsid w:val="00E11A55"/>
    <w:rsid w:val="00E1205C"/>
    <w:rsid w:val="00E12301"/>
    <w:rsid w:val="00E12436"/>
    <w:rsid w:val="00E12922"/>
    <w:rsid w:val="00E12E16"/>
    <w:rsid w:val="00E13117"/>
    <w:rsid w:val="00E13BE0"/>
    <w:rsid w:val="00E13CEA"/>
    <w:rsid w:val="00E14272"/>
    <w:rsid w:val="00E14E0A"/>
    <w:rsid w:val="00E1561C"/>
    <w:rsid w:val="00E15713"/>
    <w:rsid w:val="00E1648B"/>
    <w:rsid w:val="00E2074C"/>
    <w:rsid w:val="00E22AF2"/>
    <w:rsid w:val="00E240F1"/>
    <w:rsid w:val="00E25274"/>
    <w:rsid w:val="00E26111"/>
    <w:rsid w:val="00E266C1"/>
    <w:rsid w:val="00E26E0C"/>
    <w:rsid w:val="00E302B8"/>
    <w:rsid w:val="00E316B0"/>
    <w:rsid w:val="00E31C44"/>
    <w:rsid w:val="00E34401"/>
    <w:rsid w:val="00E34CCD"/>
    <w:rsid w:val="00E3553E"/>
    <w:rsid w:val="00E375A3"/>
    <w:rsid w:val="00E375EE"/>
    <w:rsid w:val="00E37683"/>
    <w:rsid w:val="00E37A09"/>
    <w:rsid w:val="00E40E74"/>
    <w:rsid w:val="00E412C8"/>
    <w:rsid w:val="00E4139F"/>
    <w:rsid w:val="00E42464"/>
    <w:rsid w:val="00E42EEE"/>
    <w:rsid w:val="00E442D3"/>
    <w:rsid w:val="00E46C3A"/>
    <w:rsid w:val="00E501E9"/>
    <w:rsid w:val="00E509A7"/>
    <w:rsid w:val="00E522BD"/>
    <w:rsid w:val="00E52689"/>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77D8"/>
    <w:rsid w:val="00E72523"/>
    <w:rsid w:val="00E729F6"/>
    <w:rsid w:val="00E73C65"/>
    <w:rsid w:val="00E741A1"/>
    <w:rsid w:val="00E7420F"/>
    <w:rsid w:val="00E742AC"/>
    <w:rsid w:val="00E74D5E"/>
    <w:rsid w:val="00E75229"/>
    <w:rsid w:val="00E753DF"/>
    <w:rsid w:val="00E76BAC"/>
    <w:rsid w:val="00E77ADD"/>
    <w:rsid w:val="00E8199B"/>
    <w:rsid w:val="00E849FB"/>
    <w:rsid w:val="00E865EA"/>
    <w:rsid w:val="00E86D13"/>
    <w:rsid w:val="00E90E42"/>
    <w:rsid w:val="00E91896"/>
    <w:rsid w:val="00E9272A"/>
    <w:rsid w:val="00E927B4"/>
    <w:rsid w:val="00E93FDD"/>
    <w:rsid w:val="00E9423B"/>
    <w:rsid w:val="00E94F24"/>
    <w:rsid w:val="00E95165"/>
    <w:rsid w:val="00E9616F"/>
    <w:rsid w:val="00E966E3"/>
    <w:rsid w:val="00E968B2"/>
    <w:rsid w:val="00E97BC1"/>
    <w:rsid w:val="00EA086B"/>
    <w:rsid w:val="00EA1B47"/>
    <w:rsid w:val="00EA4EBA"/>
    <w:rsid w:val="00EA5955"/>
    <w:rsid w:val="00EA5EB3"/>
    <w:rsid w:val="00EA6785"/>
    <w:rsid w:val="00EA7014"/>
    <w:rsid w:val="00EB3F2D"/>
    <w:rsid w:val="00EB41FD"/>
    <w:rsid w:val="00EB52D7"/>
    <w:rsid w:val="00EB5DBD"/>
    <w:rsid w:val="00EC0FE8"/>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3390"/>
    <w:rsid w:val="00ED4382"/>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2808"/>
    <w:rsid w:val="00EF3738"/>
    <w:rsid w:val="00EF782F"/>
    <w:rsid w:val="00EF79D8"/>
    <w:rsid w:val="00EF7CD6"/>
    <w:rsid w:val="00F00505"/>
    <w:rsid w:val="00F00A4F"/>
    <w:rsid w:val="00F00FD2"/>
    <w:rsid w:val="00F02ACE"/>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29B6"/>
    <w:rsid w:val="00F64418"/>
    <w:rsid w:val="00F65036"/>
    <w:rsid w:val="00F65147"/>
    <w:rsid w:val="00F652BB"/>
    <w:rsid w:val="00F6694C"/>
    <w:rsid w:val="00F66AF2"/>
    <w:rsid w:val="00F70645"/>
    <w:rsid w:val="00F74904"/>
    <w:rsid w:val="00F762FB"/>
    <w:rsid w:val="00F76513"/>
    <w:rsid w:val="00F77885"/>
    <w:rsid w:val="00F80041"/>
    <w:rsid w:val="00F8097F"/>
    <w:rsid w:val="00F8178D"/>
    <w:rsid w:val="00F83BAD"/>
    <w:rsid w:val="00F857B9"/>
    <w:rsid w:val="00F86732"/>
    <w:rsid w:val="00F911BE"/>
    <w:rsid w:val="00F923D8"/>
    <w:rsid w:val="00F93027"/>
    <w:rsid w:val="00F945B3"/>
    <w:rsid w:val="00F96208"/>
    <w:rsid w:val="00F96664"/>
    <w:rsid w:val="00F97807"/>
    <w:rsid w:val="00FA1E4A"/>
    <w:rsid w:val="00FA2C64"/>
    <w:rsid w:val="00FA3AB7"/>
    <w:rsid w:val="00FA4664"/>
    <w:rsid w:val="00FA4F12"/>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9B5"/>
    <w:rsid w:val="00FF4A2A"/>
    <w:rsid w:val="00FF4F7F"/>
    <w:rsid w:val="00FF58B7"/>
    <w:rsid w:val="00FF604C"/>
    <w:rsid w:val="00FF6296"/>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8EDB-BE5C-4CB0-A5AA-FA9C56A6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2011-10-14T17:57:00Z</cp:lastPrinted>
  <dcterms:created xsi:type="dcterms:W3CDTF">2012-02-14T19:18:00Z</dcterms:created>
  <dcterms:modified xsi:type="dcterms:W3CDTF">2012-02-16T18:30:00Z</dcterms:modified>
</cp:coreProperties>
</file>