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330" w:rsidRPr="00C81100" w:rsidRDefault="00A01330" w:rsidP="00C81100">
      <w:pPr>
        <w:jc w:val="center"/>
        <w:rPr>
          <w:b/>
          <w:sz w:val="24"/>
          <w:szCs w:val="24"/>
        </w:rPr>
      </w:pPr>
      <w:r w:rsidRPr="00C81100">
        <w:rPr>
          <w:b/>
          <w:sz w:val="24"/>
          <w:szCs w:val="24"/>
        </w:rPr>
        <w:t>BEFORE THE</w:t>
      </w:r>
    </w:p>
    <w:p w:rsidR="00A01330" w:rsidRPr="00C81100" w:rsidRDefault="00A01330" w:rsidP="00C81100">
      <w:pPr>
        <w:jc w:val="center"/>
        <w:rPr>
          <w:b/>
          <w:sz w:val="24"/>
          <w:szCs w:val="24"/>
        </w:rPr>
      </w:pPr>
      <w:r w:rsidRPr="00C81100">
        <w:rPr>
          <w:b/>
          <w:sz w:val="24"/>
          <w:szCs w:val="24"/>
        </w:rPr>
        <w:t>PENNSYLVANIA PUBLIC UTILITY COMMISSION</w:t>
      </w:r>
    </w:p>
    <w:p w:rsidR="00A01330" w:rsidRPr="00C81100" w:rsidRDefault="00A01330" w:rsidP="00C81100">
      <w:pPr>
        <w:jc w:val="center"/>
        <w:rPr>
          <w:sz w:val="24"/>
          <w:szCs w:val="24"/>
        </w:rPr>
      </w:pPr>
    </w:p>
    <w:p w:rsidR="00A01330" w:rsidRPr="00C81100" w:rsidRDefault="00A01330" w:rsidP="00C81100">
      <w:pPr>
        <w:jc w:val="center"/>
        <w:rPr>
          <w:sz w:val="24"/>
          <w:szCs w:val="24"/>
        </w:rPr>
      </w:pPr>
    </w:p>
    <w:p w:rsidR="003B1503" w:rsidRDefault="00DF663F" w:rsidP="003B1503">
      <w:pPr>
        <w:rPr>
          <w:sz w:val="24"/>
          <w:szCs w:val="24"/>
        </w:rPr>
      </w:pPr>
      <w:r>
        <w:rPr>
          <w:sz w:val="24"/>
          <w:szCs w:val="24"/>
        </w:rPr>
        <w:t>Office of Small Business Advocate</w:t>
      </w:r>
      <w:r w:rsidR="007D41EF">
        <w:rPr>
          <w:sz w:val="24"/>
          <w:szCs w:val="24"/>
        </w:rPr>
        <w:tab/>
      </w:r>
      <w:r w:rsidR="003B1503">
        <w:rPr>
          <w:sz w:val="24"/>
          <w:szCs w:val="24"/>
        </w:rPr>
        <w:tab/>
        <w:t>:</w:t>
      </w:r>
    </w:p>
    <w:p w:rsidR="003B1503" w:rsidRDefault="007E5B8D" w:rsidP="003B150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B1503">
        <w:rPr>
          <w:sz w:val="24"/>
          <w:szCs w:val="24"/>
        </w:rPr>
        <w:t>:</w:t>
      </w:r>
    </w:p>
    <w:p w:rsidR="003B1503" w:rsidRDefault="007E5B8D" w:rsidP="003B150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v.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B1503">
        <w:rPr>
          <w:sz w:val="24"/>
          <w:szCs w:val="24"/>
        </w:rPr>
        <w:t>:</w:t>
      </w:r>
      <w:r>
        <w:rPr>
          <w:sz w:val="24"/>
          <w:szCs w:val="24"/>
        </w:rPr>
        <w:tab/>
      </w:r>
      <w:r w:rsidR="00D63684">
        <w:rPr>
          <w:sz w:val="24"/>
          <w:szCs w:val="24"/>
        </w:rPr>
        <w:tab/>
      </w:r>
      <w:r w:rsidRPr="008745A3">
        <w:rPr>
          <w:sz w:val="24"/>
          <w:szCs w:val="24"/>
        </w:rPr>
        <w:t xml:space="preserve">Docket No. </w:t>
      </w:r>
      <w:r w:rsidR="008011E2">
        <w:rPr>
          <w:sz w:val="24"/>
          <w:szCs w:val="24"/>
        </w:rPr>
        <w:t>C</w:t>
      </w:r>
      <w:r w:rsidRPr="008745A3">
        <w:rPr>
          <w:sz w:val="24"/>
          <w:szCs w:val="24"/>
        </w:rPr>
        <w:t>-20</w:t>
      </w:r>
      <w:r w:rsidR="007D41EF">
        <w:rPr>
          <w:sz w:val="24"/>
          <w:szCs w:val="24"/>
        </w:rPr>
        <w:t>1</w:t>
      </w:r>
      <w:r w:rsidR="00055C21">
        <w:rPr>
          <w:sz w:val="24"/>
          <w:szCs w:val="24"/>
        </w:rPr>
        <w:t>1</w:t>
      </w:r>
      <w:r w:rsidRPr="008745A3">
        <w:rPr>
          <w:sz w:val="24"/>
          <w:szCs w:val="24"/>
        </w:rPr>
        <w:t>-2</w:t>
      </w:r>
      <w:r w:rsidR="00055C21">
        <w:rPr>
          <w:sz w:val="24"/>
          <w:szCs w:val="24"/>
        </w:rPr>
        <w:t>2</w:t>
      </w:r>
      <w:r w:rsidR="00DF663F">
        <w:rPr>
          <w:sz w:val="24"/>
          <w:szCs w:val="24"/>
        </w:rPr>
        <w:t>79176</w:t>
      </w:r>
    </w:p>
    <w:p w:rsidR="003B1503" w:rsidRPr="00FA6483" w:rsidRDefault="007E5B8D" w:rsidP="003B150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B1503">
        <w:rPr>
          <w:sz w:val="24"/>
          <w:szCs w:val="24"/>
        </w:rPr>
        <w:t>:</w:t>
      </w:r>
      <w:r w:rsidR="003B1503" w:rsidRPr="001F790B">
        <w:rPr>
          <w:sz w:val="24"/>
          <w:szCs w:val="24"/>
        </w:rPr>
        <w:t xml:space="preserve"> </w:t>
      </w:r>
      <w:r w:rsidR="003B1503">
        <w:rPr>
          <w:sz w:val="24"/>
          <w:szCs w:val="24"/>
        </w:rPr>
        <w:tab/>
      </w:r>
    </w:p>
    <w:p w:rsidR="003B1503" w:rsidRDefault="00DF663F" w:rsidP="003B1503">
      <w:pPr>
        <w:rPr>
          <w:sz w:val="24"/>
          <w:szCs w:val="24"/>
        </w:rPr>
      </w:pPr>
      <w:r>
        <w:rPr>
          <w:sz w:val="24"/>
          <w:szCs w:val="24"/>
        </w:rPr>
        <w:t>PPL Electric Utilities Corporation</w:t>
      </w:r>
      <w:r>
        <w:rPr>
          <w:sz w:val="24"/>
          <w:szCs w:val="24"/>
        </w:rPr>
        <w:tab/>
      </w:r>
      <w:r w:rsidR="007E5B8D">
        <w:rPr>
          <w:sz w:val="24"/>
          <w:szCs w:val="24"/>
        </w:rPr>
        <w:tab/>
      </w:r>
      <w:r w:rsidR="003B1503">
        <w:rPr>
          <w:sz w:val="24"/>
          <w:szCs w:val="24"/>
        </w:rPr>
        <w:t>:</w:t>
      </w:r>
    </w:p>
    <w:p w:rsidR="00466F8B" w:rsidRDefault="00713BDF" w:rsidP="00C8110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8011E2" w:rsidRDefault="008011E2" w:rsidP="00C81100">
      <w:pPr>
        <w:rPr>
          <w:sz w:val="24"/>
          <w:szCs w:val="24"/>
        </w:rPr>
      </w:pPr>
    </w:p>
    <w:p w:rsidR="00D63684" w:rsidRDefault="00D63684" w:rsidP="00C81100">
      <w:pPr>
        <w:rPr>
          <w:sz w:val="24"/>
          <w:szCs w:val="24"/>
        </w:rPr>
      </w:pPr>
    </w:p>
    <w:p w:rsidR="00D63684" w:rsidRDefault="00D63684" w:rsidP="00D63684">
      <w:pPr>
        <w:autoSpaceDE/>
        <w:autoSpaceDN/>
        <w:spacing w:line="360" w:lineRule="auto"/>
        <w:jc w:val="center"/>
        <w:rPr>
          <w:b/>
          <w:sz w:val="24"/>
          <w:szCs w:val="24"/>
          <w:u w:val="single"/>
        </w:rPr>
      </w:pPr>
      <w:r w:rsidRPr="00D63684">
        <w:rPr>
          <w:b/>
          <w:sz w:val="24"/>
          <w:szCs w:val="24"/>
          <w:u w:val="single"/>
        </w:rPr>
        <w:t>ORDER C</w:t>
      </w:r>
      <w:r w:rsidR="00DF663F">
        <w:rPr>
          <w:b/>
          <w:sz w:val="24"/>
          <w:szCs w:val="24"/>
          <w:u w:val="single"/>
        </w:rPr>
        <w:t xml:space="preserve">ANCELLING INITIAL </w:t>
      </w:r>
      <w:r w:rsidRPr="00D63684">
        <w:rPr>
          <w:b/>
          <w:sz w:val="24"/>
          <w:szCs w:val="24"/>
          <w:u w:val="single"/>
        </w:rPr>
        <w:t>HEARING</w:t>
      </w:r>
    </w:p>
    <w:p w:rsidR="000D4AB3" w:rsidRPr="00D63684" w:rsidRDefault="000D4AB3" w:rsidP="00D63684">
      <w:pPr>
        <w:autoSpaceDE/>
        <w:autoSpaceDN/>
        <w:spacing w:line="360" w:lineRule="auto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AND HOLDING FURTHER PROCEEDINGS IN ABEYANCE</w:t>
      </w:r>
    </w:p>
    <w:p w:rsidR="00D63684" w:rsidRPr="00D63684" w:rsidRDefault="00D63684" w:rsidP="00D63684">
      <w:pPr>
        <w:autoSpaceDE/>
        <w:autoSpaceDN/>
        <w:spacing w:line="360" w:lineRule="auto"/>
        <w:rPr>
          <w:sz w:val="24"/>
          <w:szCs w:val="24"/>
        </w:rPr>
      </w:pPr>
    </w:p>
    <w:p w:rsidR="00DF663F" w:rsidRDefault="00D63684" w:rsidP="00D63684">
      <w:pPr>
        <w:tabs>
          <w:tab w:val="left" w:pos="0"/>
        </w:tabs>
        <w:autoSpaceDE/>
        <w:autoSpaceDN/>
        <w:spacing w:line="360" w:lineRule="auto"/>
        <w:rPr>
          <w:sz w:val="24"/>
          <w:szCs w:val="24"/>
        </w:rPr>
      </w:pPr>
      <w:r w:rsidRPr="00D63684">
        <w:rPr>
          <w:sz w:val="24"/>
          <w:szCs w:val="24"/>
        </w:rPr>
        <w:tab/>
      </w:r>
      <w:r w:rsidRPr="00D63684">
        <w:rPr>
          <w:sz w:val="24"/>
          <w:szCs w:val="24"/>
        </w:rPr>
        <w:tab/>
      </w:r>
      <w:r w:rsidR="000D4AB3">
        <w:rPr>
          <w:sz w:val="24"/>
          <w:szCs w:val="24"/>
        </w:rPr>
        <w:t xml:space="preserve">On November 29, 2011, </w:t>
      </w:r>
      <w:r w:rsidR="000D4AB3" w:rsidRPr="000D4AB3">
        <w:rPr>
          <w:sz w:val="24"/>
          <w:szCs w:val="24"/>
        </w:rPr>
        <w:t xml:space="preserve">the Office of Small Business Advocate (OSBA) </w:t>
      </w:r>
      <w:r w:rsidR="000D4AB3">
        <w:rPr>
          <w:sz w:val="24"/>
          <w:szCs w:val="24"/>
        </w:rPr>
        <w:t>filed a Complaint at this docket.</w:t>
      </w:r>
      <w:r w:rsidR="000D4AB3" w:rsidRPr="000D4AB3">
        <w:rPr>
          <w:sz w:val="24"/>
          <w:szCs w:val="24"/>
          <w:vertAlign w:val="superscript"/>
        </w:rPr>
        <w:footnoteReference w:id="1"/>
      </w:r>
      <w:r w:rsidR="000D4AB3">
        <w:rPr>
          <w:sz w:val="24"/>
          <w:szCs w:val="24"/>
        </w:rPr>
        <w:t xml:space="preserve">  </w:t>
      </w:r>
      <w:r w:rsidRPr="00D63684">
        <w:rPr>
          <w:sz w:val="24"/>
          <w:szCs w:val="24"/>
        </w:rPr>
        <w:t xml:space="preserve">A hearing in this matter has been scheduled for </w:t>
      </w:r>
      <w:r w:rsidR="00DF663F">
        <w:rPr>
          <w:sz w:val="24"/>
          <w:szCs w:val="24"/>
        </w:rPr>
        <w:t>March 5, 2012</w:t>
      </w:r>
      <w:r w:rsidR="000D4AB3">
        <w:rPr>
          <w:sz w:val="24"/>
          <w:szCs w:val="24"/>
        </w:rPr>
        <w:t>.</w:t>
      </w:r>
      <w:r w:rsidRPr="00D63684">
        <w:rPr>
          <w:sz w:val="24"/>
          <w:szCs w:val="24"/>
        </w:rPr>
        <w:t xml:space="preserve">  On </w:t>
      </w:r>
      <w:r w:rsidR="00DF663F">
        <w:rPr>
          <w:sz w:val="24"/>
          <w:szCs w:val="24"/>
        </w:rPr>
        <w:t>February 9, 2012</w:t>
      </w:r>
      <w:r w:rsidRPr="00D63684">
        <w:rPr>
          <w:sz w:val="24"/>
          <w:szCs w:val="24"/>
        </w:rPr>
        <w:t xml:space="preserve">, </w:t>
      </w:r>
      <w:r w:rsidR="00BE4213">
        <w:rPr>
          <w:sz w:val="24"/>
          <w:szCs w:val="24"/>
        </w:rPr>
        <w:t xml:space="preserve">counsel for </w:t>
      </w:r>
      <w:r w:rsidR="00DF663F">
        <w:rPr>
          <w:sz w:val="24"/>
          <w:szCs w:val="24"/>
        </w:rPr>
        <w:t xml:space="preserve">the OSBA filed a letter in this case, duly copied to the parties of record, asking that this proceeding be held in abeyance pending the outcome of the Complaint case at Docket No. </w:t>
      </w:r>
      <w:proofErr w:type="gramStart"/>
      <w:r w:rsidR="00DF663F">
        <w:rPr>
          <w:sz w:val="24"/>
          <w:szCs w:val="24"/>
        </w:rPr>
        <w:t>C-2011-2245906.</w:t>
      </w:r>
      <w:proofErr w:type="gramEnd"/>
      <w:r w:rsidR="00DF663F">
        <w:rPr>
          <w:sz w:val="24"/>
          <w:szCs w:val="24"/>
        </w:rPr>
        <w:t xml:space="preserve">  That case is an earlier but still pending Complaint against </w:t>
      </w:r>
      <w:r w:rsidR="00DF663F" w:rsidRPr="00DF663F">
        <w:rPr>
          <w:sz w:val="24"/>
          <w:szCs w:val="24"/>
        </w:rPr>
        <w:t>PPL Electric Utilities Corporation</w:t>
      </w:r>
      <w:r w:rsidR="00DF663F">
        <w:rPr>
          <w:sz w:val="24"/>
          <w:szCs w:val="24"/>
        </w:rPr>
        <w:t xml:space="preserve">’s (PPL’s) Generation Supply Charge-1 (GSC-1) </w:t>
      </w:r>
      <w:r w:rsidR="000D4AB3">
        <w:rPr>
          <w:sz w:val="24"/>
          <w:szCs w:val="24"/>
        </w:rPr>
        <w:t xml:space="preserve">for the period June 1, 2011 through August 31, 2011, </w:t>
      </w:r>
      <w:r w:rsidR="00DF663F">
        <w:rPr>
          <w:sz w:val="24"/>
          <w:szCs w:val="24"/>
        </w:rPr>
        <w:t>which involves similar issues to those at this docket.  PPL joins in the OSBA’s request.</w:t>
      </w:r>
    </w:p>
    <w:p w:rsidR="00DF663F" w:rsidRDefault="00DF663F" w:rsidP="00D63684">
      <w:pPr>
        <w:tabs>
          <w:tab w:val="left" w:pos="0"/>
        </w:tabs>
        <w:autoSpaceDE/>
        <w:autoSpaceDN/>
        <w:spacing w:line="360" w:lineRule="auto"/>
        <w:rPr>
          <w:sz w:val="24"/>
          <w:szCs w:val="24"/>
        </w:rPr>
      </w:pPr>
    </w:p>
    <w:p w:rsidR="00D63684" w:rsidRDefault="00482CD6" w:rsidP="00D63684">
      <w:pPr>
        <w:autoSpaceDE/>
        <w:autoSpaceDN/>
        <w:spacing w:line="360" w:lineRule="auto"/>
        <w:rPr>
          <w:bCs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A presiding officer has the authority to regulate the course of a proceeding.  52 Pa. Code § 5.483; 66 Pa. C.S. § 331(d</w:t>
      </w:r>
      <w:proofErr w:type="gramStart"/>
      <w:r>
        <w:rPr>
          <w:sz w:val="24"/>
          <w:szCs w:val="24"/>
        </w:rPr>
        <w:t>)(</w:t>
      </w:r>
      <w:proofErr w:type="gramEnd"/>
      <w:r>
        <w:rPr>
          <w:sz w:val="24"/>
          <w:szCs w:val="24"/>
        </w:rPr>
        <w:t>4)</w:t>
      </w:r>
      <w:r w:rsidR="00713BDF">
        <w:rPr>
          <w:sz w:val="24"/>
          <w:szCs w:val="24"/>
        </w:rPr>
        <w:t>(7)</w:t>
      </w:r>
      <w:r>
        <w:rPr>
          <w:sz w:val="24"/>
          <w:szCs w:val="24"/>
        </w:rPr>
        <w:t xml:space="preserve">.  The request of the OSBA and PPL that this matter be held in abeyance is offered as promoting </w:t>
      </w:r>
      <w:r w:rsidR="005C42CE" w:rsidRPr="005C42CE">
        <w:rPr>
          <w:bCs/>
          <w:sz w:val="24"/>
          <w:szCs w:val="24"/>
        </w:rPr>
        <w:t>judicial economy</w:t>
      </w:r>
      <w:r>
        <w:rPr>
          <w:bCs/>
          <w:sz w:val="24"/>
          <w:szCs w:val="24"/>
        </w:rPr>
        <w:t xml:space="preserve">, and it may prevent costly and unnecessary litigation.  The OSBA and PPL do not set forth a time that this matter should be held </w:t>
      </w:r>
      <w:r w:rsidR="00713BDF">
        <w:rPr>
          <w:bCs/>
          <w:sz w:val="24"/>
          <w:szCs w:val="24"/>
        </w:rPr>
        <w:t xml:space="preserve">in abeyance, but I infer that the period would be “indefinite” or at least pending the resolution of the case at </w:t>
      </w:r>
      <w:r w:rsidR="00713BDF" w:rsidRPr="00713BDF">
        <w:rPr>
          <w:bCs/>
          <w:sz w:val="24"/>
          <w:szCs w:val="24"/>
        </w:rPr>
        <w:t xml:space="preserve">Docket No. </w:t>
      </w:r>
      <w:proofErr w:type="gramStart"/>
      <w:r w:rsidR="00713BDF" w:rsidRPr="00713BDF">
        <w:rPr>
          <w:bCs/>
          <w:sz w:val="24"/>
          <w:szCs w:val="24"/>
        </w:rPr>
        <w:t>C-2011-2245906</w:t>
      </w:r>
      <w:r w:rsidR="00713BDF">
        <w:rPr>
          <w:bCs/>
          <w:sz w:val="24"/>
          <w:szCs w:val="24"/>
        </w:rPr>
        <w:t>.</w:t>
      </w:r>
      <w:proofErr w:type="gramEnd"/>
    </w:p>
    <w:p w:rsidR="00713BDF" w:rsidRDefault="00713BDF" w:rsidP="00D63684">
      <w:pPr>
        <w:autoSpaceDE/>
        <w:autoSpaceDN/>
        <w:spacing w:line="360" w:lineRule="auto"/>
        <w:rPr>
          <w:bCs/>
          <w:sz w:val="24"/>
          <w:szCs w:val="24"/>
        </w:rPr>
      </w:pPr>
    </w:p>
    <w:p w:rsidR="00713BDF" w:rsidRDefault="00713BDF" w:rsidP="00D63684">
      <w:pPr>
        <w:autoSpaceDE/>
        <w:autoSpaceDN/>
        <w:spacing w:line="36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ab/>
      </w:r>
      <w:r>
        <w:rPr>
          <w:bCs/>
          <w:sz w:val="24"/>
          <w:szCs w:val="24"/>
        </w:rPr>
        <w:tab/>
        <w:t>The request has merit</w:t>
      </w:r>
      <w:r w:rsidR="000D4AB3">
        <w:rPr>
          <w:bCs/>
          <w:sz w:val="24"/>
          <w:szCs w:val="24"/>
        </w:rPr>
        <w:t xml:space="preserve"> and</w:t>
      </w:r>
      <w:r>
        <w:rPr>
          <w:bCs/>
          <w:sz w:val="24"/>
          <w:szCs w:val="24"/>
        </w:rPr>
        <w:t xml:space="preserve"> </w:t>
      </w:r>
      <w:r w:rsidR="000D4AB3">
        <w:rPr>
          <w:bCs/>
          <w:sz w:val="24"/>
          <w:szCs w:val="24"/>
        </w:rPr>
        <w:t xml:space="preserve">is in the public interest </w:t>
      </w:r>
      <w:r>
        <w:rPr>
          <w:bCs/>
          <w:sz w:val="24"/>
          <w:szCs w:val="24"/>
        </w:rPr>
        <w:t xml:space="preserve">as it appears that the </w:t>
      </w:r>
      <w:r w:rsidR="000D4AB3">
        <w:rPr>
          <w:bCs/>
          <w:sz w:val="24"/>
          <w:szCs w:val="24"/>
        </w:rPr>
        <w:t xml:space="preserve">two </w:t>
      </w:r>
      <w:r>
        <w:rPr>
          <w:bCs/>
          <w:sz w:val="24"/>
          <w:szCs w:val="24"/>
        </w:rPr>
        <w:t xml:space="preserve">cases involve similar issues which may be resolved by Administrative Judge Colwell and the Commission in the earlier </w:t>
      </w:r>
      <w:r w:rsidR="000D4AB3">
        <w:rPr>
          <w:bCs/>
          <w:sz w:val="24"/>
          <w:szCs w:val="24"/>
        </w:rPr>
        <w:t xml:space="preserve">filed </w:t>
      </w:r>
      <w:r>
        <w:rPr>
          <w:bCs/>
          <w:sz w:val="24"/>
          <w:szCs w:val="24"/>
        </w:rPr>
        <w:t>proceeding</w:t>
      </w:r>
      <w:r w:rsidR="000D4AB3">
        <w:rPr>
          <w:bCs/>
          <w:sz w:val="24"/>
          <w:szCs w:val="24"/>
        </w:rPr>
        <w:t xml:space="preserve"> at </w:t>
      </w:r>
      <w:r w:rsidR="000D4AB3" w:rsidRPr="000D4AB3">
        <w:rPr>
          <w:bCs/>
          <w:sz w:val="24"/>
          <w:szCs w:val="24"/>
        </w:rPr>
        <w:t xml:space="preserve">Docket No. </w:t>
      </w:r>
      <w:proofErr w:type="gramStart"/>
      <w:r w:rsidR="000D4AB3" w:rsidRPr="000D4AB3">
        <w:rPr>
          <w:bCs/>
          <w:sz w:val="24"/>
          <w:szCs w:val="24"/>
        </w:rPr>
        <w:t>C-2011-2245906</w:t>
      </w:r>
      <w:r>
        <w:rPr>
          <w:bCs/>
          <w:sz w:val="24"/>
          <w:szCs w:val="24"/>
        </w:rPr>
        <w:t>.</w:t>
      </w:r>
      <w:proofErr w:type="gramEnd"/>
    </w:p>
    <w:p w:rsidR="00482CD6" w:rsidRDefault="00482CD6" w:rsidP="00D63684">
      <w:pPr>
        <w:autoSpaceDE/>
        <w:autoSpaceDN/>
        <w:spacing w:line="360" w:lineRule="auto"/>
        <w:rPr>
          <w:bCs/>
          <w:sz w:val="24"/>
          <w:szCs w:val="24"/>
        </w:rPr>
      </w:pPr>
    </w:p>
    <w:p w:rsidR="00D63684" w:rsidRPr="00D63684" w:rsidRDefault="00D63684" w:rsidP="00D63684">
      <w:pPr>
        <w:autoSpaceDE/>
        <w:autoSpaceDN/>
        <w:spacing w:line="360" w:lineRule="auto"/>
        <w:rPr>
          <w:sz w:val="24"/>
          <w:szCs w:val="24"/>
        </w:rPr>
      </w:pPr>
      <w:r w:rsidRPr="00D63684">
        <w:rPr>
          <w:sz w:val="24"/>
          <w:szCs w:val="24"/>
        </w:rPr>
        <w:tab/>
      </w:r>
      <w:r w:rsidRPr="00D63684">
        <w:rPr>
          <w:sz w:val="24"/>
          <w:szCs w:val="24"/>
        </w:rPr>
        <w:tab/>
        <w:t>THEREFORE,</w:t>
      </w:r>
    </w:p>
    <w:p w:rsidR="00D63684" w:rsidRPr="00D63684" w:rsidRDefault="00D63684" w:rsidP="00D63684">
      <w:pPr>
        <w:autoSpaceDE/>
        <w:autoSpaceDN/>
        <w:spacing w:line="360" w:lineRule="auto"/>
        <w:rPr>
          <w:sz w:val="24"/>
          <w:szCs w:val="24"/>
        </w:rPr>
      </w:pPr>
    </w:p>
    <w:p w:rsidR="00D63684" w:rsidRPr="00D63684" w:rsidRDefault="00D63684" w:rsidP="00D63684">
      <w:pPr>
        <w:autoSpaceDE/>
        <w:autoSpaceDN/>
        <w:spacing w:line="360" w:lineRule="auto"/>
        <w:rPr>
          <w:sz w:val="24"/>
          <w:szCs w:val="24"/>
        </w:rPr>
      </w:pPr>
      <w:r w:rsidRPr="00D63684">
        <w:rPr>
          <w:sz w:val="24"/>
          <w:szCs w:val="24"/>
        </w:rPr>
        <w:tab/>
      </w:r>
      <w:r w:rsidR="00BE4213">
        <w:rPr>
          <w:sz w:val="24"/>
          <w:szCs w:val="24"/>
        </w:rPr>
        <w:tab/>
      </w:r>
      <w:r w:rsidRPr="00D63684">
        <w:rPr>
          <w:sz w:val="24"/>
          <w:szCs w:val="24"/>
        </w:rPr>
        <w:t>IT IS ORDERED:</w:t>
      </w:r>
    </w:p>
    <w:p w:rsidR="00D63684" w:rsidRPr="00D63684" w:rsidRDefault="00D63684" w:rsidP="00D63684">
      <w:pPr>
        <w:autoSpaceDE/>
        <w:autoSpaceDN/>
        <w:spacing w:line="360" w:lineRule="auto"/>
        <w:rPr>
          <w:sz w:val="24"/>
          <w:szCs w:val="24"/>
        </w:rPr>
      </w:pPr>
    </w:p>
    <w:p w:rsidR="00D63684" w:rsidRDefault="00D63684" w:rsidP="00D63684">
      <w:pPr>
        <w:autoSpaceDE/>
        <w:autoSpaceDN/>
        <w:spacing w:line="360" w:lineRule="auto"/>
        <w:rPr>
          <w:sz w:val="24"/>
          <w:szCs w:val="24"/>
        </w:rPr>
      </w:pPr>
      <w:r w:rsidRPr="00D63684">
        <w:rPr>
          <w:sz w:val="24"/>
          <w:szCs w:val="24"/>
        </w:rPr>
        <w:tab/>
      </w:r>
      <w:r w:rsidRPr="00D63684">
        <w:rPr>
          <w:sz w:val="24"/>
          <w:szCs w:val="24"/>
        </w:rPr>
        <w:tab/>
        <w:t>1.</w:t>
      </w:r>
      <w:r w:rsidRPr="00D63684">
        <w:rPr>
          <w:sz w:val="24"/>
          <w:szCs w:val="24"/>
        </w:rPr>
        <w:tab/>
        <w:t xml:space="preserve">That the </w:t>
      </w:r>
      <w:r w:rsidR="00482CD6">
        <w:rPr>
          <w:sz w:val="24"/>
          <w:szCs w:val="24"/>
        </w:rPr>
        <w:t>Initial H</w:t>
      </w:r>
      <w:r w:rsidRPr="00D63684">
        <w:rPr>
          <w:sz w:val="24"/>
          <w:szCs w:val="24"/>
        </w:rPr>
        <w:t xml:space="preserve">earing scheduled for </w:t>
      </w:r>
      <w:r w:rsidR="00482CD6">
        <w:rPr>
          <w:sz w:val="24"/>
          <w:szCs w:val="24"/>
        </w:rPr>
        <w:t>March 5, 2012</w:t>
      </w:r>
      <w:r w:rsidRPr="00D63684">
        <w:rPr>
          <w:sz w:val="24"/>
          <w:szCs w:val="24"/>
        </w:rPr>
        <w:t xml:space="preserve">, </w:t>
      </w:r>
      <w:proofErr w:type="gramStart"/>
      <w:r w:rsidRPr="00D63684">
        <w:rPr>
          <w:sz w:val="24"/>
          <w:szCs w:val="24"/>
        </w:rPr>
        <w:t>be</w:t>
      </w:r>
      <w:proofErr w:type="gramEnd"/>
      <w:r w:rsidRPr="00D63684">
        <w:rPr>
          <w:sz w:val="24"/>
          <w:szCs w:val="24"/>
        </w:rPr>
        <w:t xml:space="preserve"> and hereby is c</w:t>
      </w:r>
      <w:r w:rsidR="000D4AB3">
        <w:rPr>
          <w:sz w:val="24"/>
          <w:szCs w:val="24"/>
        </w:rPr>
        <w:t>ancelled</w:t>
      </w:r>
      <w:r w:rsidRPr="00D63684">
        <w:rPr>
          <w:sz w:val="24"/>
          <w:szCs w:val="24"/>
        </w:rPr>
        <w:t>.</w:t>
      </w:r>
    </w:p>
    <w:p w:rsidR="00713BDF" w:rsidRDefault="00713BDF" w:rsidP="00D63684">
      <w:pPr>
        <w:autoSpaceDE/>
        <w:autoSpaceDN/>
        <w:spacing w:line="360" w:lineRule="auto"/>
        <w:rPr>
          <w:sz w:val="24"/>
          <w:szCs w:val="24"/>
        </w:rPr>
      </w:pPr>
    </w:p>
    <w:p w:rsidR="00713BDF" w:rsidRDefault="00713BDF" w:rsidP="00D63684">
      <w:pPr>
        <w:autoSpaceDE/>
        <w:autoSpaceDN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2.</w:t>
      </w:r>
      <w:r>
        <w:rPr>
          <w:sz w:val="24"/>
          <w:szCs w:val="24"/>
        </w:rPr>
        <w:tab/>
        <w:t xml:space="preserve">That this matter </w:t>
      </w:r>
      <w:r w:rsidR="000D4AB3">
        <w:rPr>
          <w:sz w:val="24"/>
          <w:szCs w:val="24"/>
        </w:rPr>
        <w:t>will be</w:t>
      </w:r>
      <w:r>
        <w:rPr>
          <w:sz w:val="24"/>
          <w:szCs w:val="24"/>
        </w:rPr>
        <w:t xml:space="preserve"> held in abeyance </w:t>
      </w:r>
      <w:r w:rsidR="00991BB4">
        <w:rPr>
          <w:sz w:val="24"/>
          <w:szCs w:val="24"/>
        </w:rPr>
        <w:t xml:space="preserve">pending the outcome of the proceeding at </w:t>
      </w:r>
      <w:r w:rsidR="00991BB4" w:rsidRPr="00991BB4">
        <w:rPr>
          <w:sz w:val="24"/>
          <w:szCs w:val="24"/>
        </w:rPr>
        <w:t xml:space="preserve">Docket No. </w:t>
      </w:r>
      <w:proofErr w:type="gramStart"/>
      <w:r w:rsidR="00991BB4" w:rsidRPr="00991BB4">
        <w:rPr>
          <w:sz w:val="24"/>
          <w:szCs w:val="24"/>
        </w:rPr>
        <w:t>C-2011-2245906</w:t>
      </w:r>
      <w:r w:rsidR="00991BB4">
        <w:rPr>
          <w:sz w:val="24"/>
          <w:szCs w:val="24"/>
        </w:rPr>
        <w:t>.</w:t>
      </w:r>
      <w:proofErr w:type="gramEnd"/>
    </w:p>
    <w:p w:rsidR="000D4AB3" w:rsidRDefault="000D4AB3" w:rsidP="00D63684">
      <w:pPr>
        <w:autoSpaceDE/>
        <w:autoSpaceDN/>
        <w:spacing w:line="360" w:lineRule="auto"/>
        <w:rPr>
          <w:sz w:val="24"/>
          <w:szCs w:val="24"/>
        </w:rPr>
      </w:pPr>
    </w:p>
    <w:p w:rsidR="000D4AB3" w:rsidRPr="00D63684" w:rsidRDefault="000D4AB3" w:rsidP="00D63684">
      <w:pPr>
        <w:autoSpaceDE/>
        <w:autoSpaceDN/>
        <w:spacing w:line="360" w:lineRule="auto"/>
        <w:rPr>
          <w:sz w:val="24"/>
          <w:szCs w:val="24"/>
        </w:rPr>
      </w:pPr>
    </w:p>
    <w:p w:rsidR="00D63684" w:rsidRPr="00D63684" w:rsidRDefault="00D63684" w:rsidP="00D63684">
      <w:pPr>
        <w:autoSpaceDE/>
        <w:autoSpaceDN/>
        <w:spacing w:line="360" w:lineRule="auto"/>
        <w:rPr>
          <w:sz w:val="24"/>
          <w:szCs w:val="24"/>
        </w:rPr>
      </w:pPr>
    </w:p>
    <w:p w:rsidR="00D63684" w:rsidRPr="00D63684" w:rsidRDefault="00D63684" w:rsidP="00D63684">
      <w:pPr>
        <w:autoSpaceDE/>
        <w:autoSpaceDN/>
        <w:rPr>
          <w:sz w:val="24"/>
          <w:szCs w:val="24"/>
        </w:rPr>
      </w:pPr>
      <w:r w:rsidRPr="00D63684">
        <w:rPr>
          <w:sz w:val="24"/>
          <w:szCs w:val="24"/>
        </w:rPr>
        <w:t>Date:</w:t>
      </w:r>
      <w:r w:rsidRPr="00D63684">
        <w:rPr>
          <w:sz w:val="24"/>
          <w:szCs w:val="24"/>
        </w:rPr>
        <w:tab/>
      </w:r>
      <w:r w:rsidR="00991BB4">
        <w:rPr>
          <w:sz w:val="24"/>
          <w:szCs w:val="24"/>
        </w:rPr>
        <w:t xml:space="preserve">February 16, </w:t>
      </w:r>
      <w:r w:rsidRPr="00D63684">
        <w:rPr>
          <w:sz w:val="24"/>
          <w:szCs w:val="24"/>
        </w:rPr>
        <w:t>201</w:t>
      </w:r>
      <w:r w:rsidR="00DA1145">
        <w:rPr>
          <w:sz w:val="24"/>
          <w:szCs w:val="24"/>
        </w:rPr>
        <w:t>2</w:t>
      </w:r>
      <w:r w:rsidRPr="00D63684">
        <w:rPr>
          <w:sz w:val="24"/>
          <w:szCs w:val="24"/>
        </w:rPr>
        <w:tab/>
      </w:r>
      <w:r w:rsidRPr="00D63684">
        <w:rPr>
          <w:sz w:val="24"/>
          <w:szCs w:val="24"/>
        </w:rPr>
        <w:tab/>
      </w:r>
      <w:r w:rsidRPr="00D63684">
        <w:rPr>
          <w:sz w:val="24"/>
          <w:szCs w:val="24"/>
        </w:rPr>
        <w:tab/>
      </w:r>
      <w:r w:rsidRPr="00D63684">
        <w:rPr>
          <w:sz w:val="24"/>
          <w:szCs w:val="24"/>
        </w:rPr>
        <w:tab/>
      </w:r>
      <w:r w:rsidRPr="00D63684">
        <w:rPr>
          <w:sz w:val="24"/>
          <w:szCs w:val="24"/>
        </w:rPr>
        <w:tab/>
        <w:t>__________________________</w:t>
      </w:r>
    </w:p>
    <w:p w:rsidR="00D63684" w:rsidRPr="00D63684" w:rsidRDefault="00D63684" w:rsidP="00D63684">
      <w:pPr>
        <w:autoSpaceDE/>
        <w:autoSpaceDN/>
        <w:rPr>
          <w:sz w:val="24"/>
          <w:szCs w:val="24"/>
        </w:rPr>
      </w:pPr>
      <w:r w:rsidRPr="00D63684">
        <w:rPr>
          <w:sz w:val="24"/>
          <w:szCs w:val="24"/>
        </w:rPr>
        <w:tab/>
      </w:r>
      <w:r w:rsidRPr="00D63684">
        <w:rPr>
          <w:sz w:val="24"/>
          <w:szCs w:val="24"/>
        </w:rPr>
        <w:tab/>
      </w:r>
      <w:r w:rsidRPr="00D63684">
        <w:rPr>
          <w:sz w:val="24"/>
          <w:szCs w:val="24"/>
        </w:rPr>
        <w:tab/>
      </w:r>
      <w:r w:rsidRPr="00D63684">
        <w:rPr>
          <w:sz w:val="24"/>
          <w:szCs w:val="24"/>
        </w:rPr>
        <w:tab/>
      </w:r>
      <w:r w:rsidRPr="00D63684">
        <w:rPr>
          <w:sz w:val="24"/>
          <w:szCs w:val="24"/>
        </w:rPr>
        <w:tab/>
      </w:r>
      <w:r w:rsidRPr="00D63684">
        <w:rPr>
          <w:sz w:val="24"/>
          <w:szCs w:val="24"/>
        </w:rPr>
        <w:tab/>
      </w:r>
      <w:r w:rsidRPr="00D63684">
        <w:rPr>
          <w:sz w:val="24"/>
          <w:szCs w:val="24"/>
        </w:rPr>
        <w:tab/>
      </w:r>
      <w:r w:rsidRPr="00D63684">
        <w:rPr>
          <w:sz w:val="24"/>
          <w:szCs w:val="24"/>
        </w:rPr>
        <w:tab/>
        <w:t>Dennis J. Buckley</w:t>
      </w:r>
    </w:p>
    <w:p w:rsidR="00D63684" w:rsidRPr="00D63684" w:rsidRDefault="00D63684" w:rsidP="00D63684">
      <w:pPr>
        <w:autoSpaceDE/>
        <w:autoSpaceDN/>
        <w:rPr>
          <w:sz w:val="24"/>
          <w:szCs w:val="24"/>
        </w:rPr>
      </w:pPr>
      <w:r w:rsidRPr="00D63684">
        <w:rPr>
          <w:sz w:val="24"/>
          <w:szCs w:val="24"/>
        </w:rPr>
        <w:tab/>
      </w:r>
      <w:r w:rsidRPr="00D63684">
        <w:rPr>
          <w:sz w:val="24"/>
          <w:szCs w:val="24"/>
        </w:rPr>
        <w:tab/>
      </w:r>
      <w:r w:rsidRPr="00D63684">
        <w:rPr>
          <w:sz w:val="24"/>
          <w:szCs w:val="24"/>
        </w:rPr>
        <w:tab/>
      </w:r>
      <w:r w:rsidRPr="00D63684">
        <w:rPr>
          <w:sz w:val="24"/>
          <w:szCs w:val="24"/>
        </w:rPr>
        <w:tab/>
      </w:r>
      <w:r w:rsidRPr="00D63684">
        <w:rPr>
          <w:sz w:val="24"/>
          <w:szCs w:val="24"/>
        </w:rPr>
        <w:tab/>
      </w:r>
      <w:r w:rsidRPr="00D63684">
        <w:rPr>
          <w:sz w:val="24"/>
          <w:szCs w:val="24"/>
        </w:rPr>
        <w:tab/>
      </w:r>
      <w:r w:rsidRPr="00D63684">
        <w:rPr>
          <w:sz w:val="24"/>
          <w:szCs w:val="24"/>
        </w:rPr>
        <w:tab/>
      </w:r>
      <w:r w:rsidRPr="00D63684">
        <w:rPr>
          <w:sz w:val="24"/>
          <w:szCs w:val="24"/>
        </w:rPr>
        <w:tab/>
        <w:t>Administrative Law Judge</w:t>
      </w:r>
    </w:p>
    <w:p w:rsidR="00B87CF2" w:rsidRDefault="00B87CF2" w:rsidP="00C81100">
      <w:pPr>
        <w:rPr>
          <w:sz w:val="24"/>
          <w:szCs w:val="24"/>
        </w:rPr>
        <w:sectPr w:rsidR="00B87CF2" w:rsidSect="006B08C2">
          <w:footerReference w:type="even" r:id="rId9"/>
          <w:footerReference w:type="default" r:id="rId10"/>
          <w:type w:val="continuous"/>
          <w:pgSz w:w="12240" w:h="15840"/>
          <w:pgMar w:top="1440" w:right="1440" w:bottom="1440" w:left="1440" w:header="720" w:footer="720" w:gutter="0"/>
          <w:cols w:space="720"/>
          <w:noEndnote/>
          <w:titlePg/>
        </w:sectPr>
      </w:pPr>
    </w:p>
    <w:p w:rsidR="00B87CF2" w:rsidRDefault="00B87CF2" w:rsidP="00B87CF2">
      <w:pPr>
        <w:contextualSpacing/>
        <w:rPr>
          <w:rFonts w:ascii="Microsoft Sans Serif"/>
        </w:rPr>
      </w:pPr>
      <w:r>
        <w:rPr>
          <w:rFonts w:ascii="Microsoft Sans Serif"/>
          <w:b/>
          <w:u w:val="single"/>
        </w:rPr>
        <w:lastRenderedPageBreak/>
        <w:t>C-2011-2279176 - OFFICE OF SMALL BUSINESS ADVOCATE v. PPL ELECTRIC UTILITIES CORPORATION</w:t>
      </w:r>
      <w:r>
        <w:rPr>
          <w:rFonts w:ascii="Microsoft Sans Serif"/>
          <w:b/>
          <w:u w:val="single"/>
        </w:rPr>
        <w:cr/>
      </w:r>
      <w:r>
        <w:rPr>
          <w:rFonts w:ascii="Microsoft Sans Serif"/>
          <w:b/>
          <w:u w:val="single"/>
        </w:rPr>
        <w:cr/>
      </w:r>
      <w:r>
        <w:rPr>
          <w:rFonts w:ascii="Microsoft Sans Serif"/>
        </w:rPr>
        <w:t>ELIZABETH ROSE TRISCARI</w:t>
      </w:r>
      <w:r>
        <w:rPr>
          <w:rFonts w:ascii="Microsoft Sans Serif"/>
        </w:rPr>
        <w:cr/>
        <w:t>OFFICE OF SMALL BUSINESS ADVOCATE</w:t>
      </w:r>
      <w:r>
        <w:rPr>
          <w:rFonts w:ascii="Microsoft Sans Serif"/>
        </w:rPr>
        <w:cr/>
        <w:t>SUITE 1102 COMMERCE BUILDING</w:t>
      </w:r>
      <w:r>
        <w:rPr>
          <w:rFonts w:ascii="Microsoft Sans Serif"/>
        </w:rPr>
        <w:cr/>
        <w:t xml:space="preserve">300 NORTH SECOND </w:t>
      </w:r>
      <w:proofErr w:type="gramStart"/>
      <w:r>
        <w:rPr>
          <w:rFonts w:ascii="Microsoft Sans Serif"/>
        </w:rPr>
        <w:t>STREET</w:t>
      </w:r>
      <w:proofErr w:type="gramEnd"/>
      <w:r>
        <w:rPr>
          <w:rFonts w:ascii="Microsoft Sans Serif"/>
        </w:rPr>
        <w:cr/>
        <w:t>HARRISBURG PA  17101</w:t>
      </w:r>
      <w:r>
        <w:rPr>
          <w:rFonts w:ascii="Microsoft Sans Serif"/>
        </w:rPr>
        <w:cr/>
        <w:t>717-783-2525</w:t>
      </w:r>
      <w:r>
        <w:rPr>
          <w:rFonts w:ascii="Microsoft Sans Serif"/>
        </w:rPr>
        <w:cr/>
      </w:r>
    </w:p>
    <w:p w:rsidR="00B87CF2" w:rsidRDefault="00B87CF2" w:rsidP="00B87CF2">
      <w:pPr>
        <w:contextualSpacing/>
        <w:rPr>
          <w:rFonts w:ascii="Microsoft Sans Serif"/>
        </w:rPr>
      </w:pPr>
      <w:r>
        <w:rPr>
          <w:rFonts w:ascii="Microsoft Sans Serif"/>
        </w:rPr>
        <w:t>RICHARD A KANASKI ESQUIRE</w:t>
      </w:r>
    </w:p>
    <w:p w:rsidR="00B87CF2" w:rsidRDefault="00B87CF2" w:rsidP="00B87CF2">
      <w:pPr>
        <w:contextualSpacing/>
        <w:rPr>
          <w:rFonts w:ascii="Microsoft Sans Serif"/>
        </w:rPr>
      </w:pPr>
      <w:r>
        <w:rPr>
          <w:rFonts w:ascii="Microsoft Sans Serif"/>
        </w:rPr>
        <w:t>PENNSYLVANIA PUBLIC UTILITY COMMISSION</w:t>
      </w:r>
    </w:p>
    <w:p w:rsidR="00B87CF2" w:rsidRDefault="00B87CF2" w:rsidP="00B87CF2">
      <w:pPr>
        <w:contextualSpacing/>
        <w:rPr>
          <w:rFonts w:ascii="Microsoft Sans Serif"/>
        </w:rPr>
      </w:pPr>
      <w:r>
        <w:rPr>
          <w:rFonts w:ascii="Microsoft Sans Serif"/>
        </w:rPr>
        <w:t>BUREAU OF INVESTIGATION &amp; ENFORCEMENT</w:t>
      </w:r>
    </w:p>
    <w:p w:rsidR="00B87CF2" w:rsidRDefault="00B87CF2" w:rsidP="00B87CF2">
      <w:pPr>
        <w:contextualSpacing/>
        <w:rPr>
          <w:rFonts w:ascii="Microsoft Sans Serif"/>
        </w:rPr>
      </w:pPr>
      <w:r>
        <w:rPr>
          <w:rFonts w:ascii="Microsoft Sans Serif"/>
        </w:rPr>
        <w:t>400 NORTH STREET 2</w:t>
      </w:r>
      <w:r w:rsidRPr="002851CF">
        <w:rPr>
          <w:rFonts w:ascii="Microsoft Sans Serif"/>
          <w:vertAlign w:val="superscript"/>
        </w:rPr>
        <w:t>ND</w:t>
      </w:r>
      <w:r>
        <w:rPr>
          <w:rFonts w:ascii="Microsoft Sans Serif"/>
        </w:rPr>
        <w:t xml:space="preserve"> </w:t>
      </w:r>
      <w:proofErr w:type="gramStart"/>
      <w:r>
        <w:rPr>
          <w:rFonts w:ascii="Microsoft Sans Serif"/>
        </w:rPr>
        <w:t>FLOOR</w:t>
      </w:r>
      <w:proofErr w:type="gramEnd"/>
      <w:r>
        <w:rPr>
          <w:rFonts w:ascii="Microsoft Sans Serif"/>
        </w:rPr>
        <w:t xml:space="preserve"> WEST</w:t>
      </w:r>
    </w:p>
    <w:p w:rsidR="00B87CF2" w:rsidRDefault="00B87CF2" w:rsidP="00B87CF2">
      <w:pPr>
        <w:contextualSpacing/>
        <w:rPr>
          <w:rFonts w:ascii="Microsoft Sans Serif"/>
        </w:rPr>
      </w:pPr>
      <w:r>
        <w:rPr>
          <w:rFonts w:ascii="Microsoft Sans Serif"/>
        </w:rPr>
        <w:t xml:space="preserve">P </w:t>
      </w:r>
      <w:proofErr w:type="gramStart"/>
      <w:r>
        <w:rPr>
          <w:rFonts w:ascii="Microsoft Sans Serif"/>
        </w:rPr>
        <w:t>O  BOX</w:t>
      </w:r>
      <w:proofErr w:type="gramEnd"/>
      <w:r>
        <w:rPr>
          <w:rFonts w:ascii="Microsoft Sans Serif"/>
        </w:rPr>
        <w:t xml:space="preserve"> 3265</w:t>
      </w:r>
    </w:p>
    <w:p w:rsidR="00B87CF2" w:rsidRDefault="00B87CF2" w:rsidP="00B87CF2">
      <w:pPr>
        <w:contextualSpacing/>
        <w:rPr>
          <w:rFonts w:ascii="Microsoft Sans Serif"/>
        </w:rPr>
      </w:pPr>
      <w:r>
        <w:rPr>
          <w:rFonts w:ascii="Microsoft Sans Serif"/>
        </w:rPr>
        <w:t>HARRISBURG PA 17105</w:t>
      </w:r>
    </w:p>
    <w:p w:rsidR="00B87CF2" w:rsidRDefault="00B87CF2" w:rsidP="00B87CF2">
      <w:pPr>
        <w:contextualSpacing/>
        <w:rPr>
          <w:rFonts w:ascii="Microsoft Sans Serif"/>
        </w:rPr>
      </w:pPr>
    </w:p>
    <w:p w:rsidR="00B87CF2" w:rsidRDefault="00B87CF2" w:rsidP="00B87CF2">
      <w:pPr>
        <w:contextualSpacing/>
        <w:rPr>
          <w:rFonts w:ascii="Microsoft Sans Serif"/>
        </w:rPr>
      </w:pPr>
      <w:r>
        <w:rPr>
          <w:rFonts w:ascii="Microsoft Sans Serif"/>
        </w:rPr>
        <w:t>TANYA J MCCLOSKEY ESQUIRE</w:t>
      </w:r>
    </w:p>
    <w:p w:rsidR="00B87CF2" w:rsidRDefault="00B87CF2" w:rsidP="00B87CF2">
      <w:pPr>
        <w:contextualSpacing/>
        <w:rPr>
          <w:rFonts w:ascii="Microsoft Sans Serif"/>
        </w:rPr>
      </w:pPr>
      <w:r>
        <w:rPr>
          <w:rFonts w:ascii="Microsoft Sans Serif"/>
        </w:rPr>
        <w:t>ARON J BEATTY ESQUIRE</w:t>
      </w:r>
    </w:p>
    <w:p w:rsidR="00B87CF2" w:rsidRDefault="00B87CF2" w:rsidP="00B87CF2">
      <w:pPr>
        <w:contextualSpacing/>
        <w:rPr>
          <w:rFonts w:ascii="Microsoft Sans Serif"/>
        </w:rPr>
      </w:pPr>
      <w:r>
        <w:rPr>
          <w:rFonts w:ascii="Microsoft Sans Serif"/>
        </w:rPr>
        <w:t>OFFICE OF CONSUMER ADVOCATE</w:t>
      </w:r>
    </w:p>
    <w:p w:rsidR="00B87CF2" w:rsidRDefault="00B87CF2" w:rsidP="00B87CF2">
      <w:pPr>
        <w:contextualSpacing/>
        <w:rPr>
          <w:rFonts w:ascii="Microsoft Sans Serif"/>
        </w:rPr>
      </w:pPr>
      <w:r>
        <w:rPr>
          <w:rFonts w:ascii="Microsoft Sans Serif"/>
        </w:rPr>
        <w:t>555 WALNUT STREET</w:t>
      </w:r>
    </w:p>
    <w:p w:rsidR="00B87CF2" w:rsidRDefault="00B87CF2" w:rsidP="00B87CF2">
      <w:pPr>
        <w:contextualSpacing/>
        <w:rPr>
          <w:rFonts w:ascii="Microsoft Sans Serif"/>
        </w:rPr>
      </w:pPr>
      <w:r>
        <w:rPr>
          <w:rFonts w:ascii="Microsoft Sans Serif"/>
        </w:rPr>
        <w:t>FORUM PLACE 5</w:t>
      </w:r>
      <w:r w:rsidRPr="002851CF">
        <w:rPr>
          <w:rFonts w:ascii="Microsoft Sans Serif"/>
          <w:vertAlign w:val="superscript"/>
        </w:rPr>
        <w:t>TH</w:t>
      </w:r>
      <w:r>
        <w:rPr>
          <w:rFonts w:ascii="Microsoft Sans Serif"/>
        </w:rPr>
        <w:t xml:space="preserve"> FLOOR</w:t>
      </w:r>
    </w:p>
    <w:p w:rsidR="00B87CF2" w:rsidRDefault="00B87CF2" w:rsidP="00B87CF2">
      <w:pPr>
        <w:contextualSpacing/>
        <w:rPr>
          <w:rFonts w:ascii="Microsoft Sans Serif"/>
        </w:rPr>
      </w:pPr>
      <w:r>
        <w:rPr>
          <w:rFonts w:ascii="Microsoft Sans Serif"/>
        </w:rPr>
        <w:t>HARRISBURG PA 17101</w:t>
      </w:r>
    </w:p>
    <w:p w:rsidR="00B87CF2" w:rsidRDefault="00B87CF2" w:rsidP="00B87CF2">
      <w:pPr>
        <w:contextualSpacing/>
        <w:rPr>
          <w:rFonts w:ascii="Microsoft Sans Serif"/>
        </w:rPr>
      </w:pPr>
    </w:p>
    <w:p w:rsidR="00D63684" w:rsidRPr="00C81100" w:rsidRDefault="00B87CF2" w:rsidP="00B87CF2">
      <w:pPr>
        <w:rPr>
          <w:sz w:val="24"/>
          <w:szCs w:val="24"/>
        </w:rPr>
      </w:pPr>
      <w:r>
        <w:rPr>
          <w:rFonts w:ascii="Microsoft Sans Serif"/>
        </w:rPr>
        <w:t>ANTHONY D KANAGY ESQUIRE</w:t>
      </w:r>
      <w:r>
        <w:rPr>
          <w:rFonts w:ascii="Microsoft Sans Serif"/>
        </w:rPr>
        <w:cr/>
        <w:t>POST &amp; SCHELL PC</w:t>
      </w:r>
      <w:r>
        <w:rPr>
          <w:rFonts w:ascii="Microsoft Sans Serif"/>
        </w:rPr>
        <w:cr/>
        <w:t>12TH FLOOR</w:t>
      </w:r>
      <w:r>
        <w:rPr>
          <w:rFonts w:ascii="Microsoft Sans Serif"/>
        </w:rPr>
        <w:cr/>
        <w:t xml:space="preserve">17 NORTH SECOND </w:t>
      </w:r>
      <w:proofErr w:type="gramStart"/>
      <w:r>
        <w:rPr>
          <w:rFonts w:ascii="Microsoft Sans Serif"/>
        </w:rPr>
        <w:t>STREET</w:t>
      </w:r>
      <w:proofErr w:type="gramEnd"/>
      <w:r>
        <w:rPr>
          <w:rFonts w:ascii="Microsoft Sans Serif"/>
        </w:rPr>
        <w:cr/>
        <w:t>HARRISBURG PA  17101-1601</w:t>
      </w:r>
      <w:r>
        <w:rPr>
          <w:rFonts w:ascii="Microsoft Sans Serif"/>
        </w:rPr>
        <w:cr/>
        <w:t>717-612-6034</w:t>
      </w:r>
      <w:r>
        <w:rPr>
          <w:rFonts w:ascii="Microsoft Sans Serif"/>
        </w:rPr>
        <w:cr/>
      </w:r>
      <w:bookmarkStart w:id="0" w:name="_GoBack"/>
      <w:bookmarkEnd w:id="0"/>
    </w:p>
    <w:sectPr w:rsidR="00D63684" w:rsidRPr="00C81100" w:rsidSect="00B87CF2">
      <w:pgSz w:w="12240" w:h="15840"/>
      <w:pgMar w:top="1440" w:right="1440" w:bottom="1440" w:left="1440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64C7" w:rsidRDefault="00C064C7">
      <w:r>
        <w:separator/>
      </w:r>
    </w:p>
  </w:endnote>
  <w:endnote w:type="continuationSeparator" w:id="0">
    <w:p w:rsidR="00C064C7" w:rsidRDefault="00C064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08C2" w:rsidRDefault="006B08C2" w:rsidP="006B08C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B08C2" w:rsidRDefault="006B08C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08C2" w:rsidRDefault="006B08C2" w:rsidP="006B08C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87CF2">
      <w:rPr>
        <w:rStyle w:val="PageNumber"/>
        <w:noProof/>
      </w:rPr>
      <w:t>2</w:t>
    </w:r>
    <w:r>
      <w:rPr>
        <w:rStyle w:val="PageNumber"/>
      </w:rPr>
      <w:fldChar w:fldCharType="end"/>
    </w:r>
  </w:p>
  <w:p w:rsidR="006B08C2" w:rsidRDefault="006B08C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64C7" w:rsidRDefault="00C064C7">
      <w:r>
        <w:separator/>
      </w:r>
    </w:p>
  </w:footnote>
  <w:footnote w:type="continuationSeparator" w:id="0">
    <w:p w:rsidR="00C064C7" w:rsidRDefault="00C064C7">
      <w:r>
        <w:continuationSeparator/>
      </w:r>
    </w:p>
  </w:footnote>
  <w:footnote w:id="1">
    <w:p w:rsidR="000D4AB3" w:rsidRPr="00713BDF" w:rsidRDefault="000D4AB3" w:rsidP="000D4AB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  <w:t xml:space="preserve">The letter requesting that this matter be held in abeyance also lists the case of </w:t>
      </w:r>
      <w:r w:rsidRPr="00713BDF">
        <w:rPr>
          <w:i/>
        </w:rPr>
        <w:t>PPL Electric Utilities Corporation Proposed Generation Supply Charge-1 for the period December 1, 2011 through February 29, 2012</w:t>
      </w:r>
      <w:r>
        <w:t>, Docket No. M-2011-2274191, but that case shows as “closed” in the Commission’s InfoMAP system</w:t>
      </w:r>
      <w:r w:rsidRPr="00713BDF">
        <w:t>.</w:t>
      </w:r>
    </w:p>
    <w:p w:rsidR="000D4AB3" w:rsidRDefault="000D4AB3" w:rsidP="000D4AB3">
      <w:pPr>
        <w:pStyle w:val="FootnoteText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CF62A7"/>
    <w:multiLevelType w:val="hybridMultilevel"/>
    <w:tmpl w:val="6AB4FCB8"/>
    <w:lvl w:ilvl="0" w:tplc="5B66F194">
      <w:start w:val="1"/>
      <w:numFmt w:val="lowerRoman"/>
      <w:lvlText w:val="(%1)"/>
      <w:lvlJc w:val="left"/>
      <w:pPr>
        <w:ind w:left="36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>
    <w:nsid w:val="6B30649B"/>
    <w:multiLevelType w:val="hybridMultilevel"/>
    <w:tmpl w:val="95A441B8"/>
    <w:lvl w:ilvl="0" w:tplc="FA5086AA">
      <w:start w:val="1"/>
      <w:numFmt w:val="lowerLetter"/>
      <w:lvlText w:val="(%1)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>
    <w:nsid w:val="7E694697"/>
    <w:multiLevelType w:val="hybridMultilevel"/>
    <w:tmpl w:val="60AC33FC"/>
    <w:lvl w:ilvl="0" w:tplc="3AD433F4">
      <w:start w:val="1"/>
      <w:numFmt w:val="lowerLetter"/>
      <w:lvlText w:val="(%1)"/>
      <w:lvlJc w:val="left"/>
      <w:pPr>
        <w:ind w:left="4320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CC4"/>
    <w:rsid w:val="00026F22"/>
    <w:rsid w:val="00055C21"/>
    <w:rsid w:val="000B40DB"/>
    <w:rsid w:val="000C29CA"/>
    <w:rsid w:val="000D39CD"/>
    <w:rsid w:val="000D4AB3"/>
    <w:rsid w:val="000E64D7"/>
    <w:rsid w:val="00105DA0"/>
    <w:rsid w:val="001065B2"/>
    <w:rsid w:val="001109E2"/>
    <w:rsid w:val="00115DAF"/>
    <w:rsid w:val="00122DFB"/>
    <w:rsid w:val="00150EB1"/>
    <w:rsid w:val="001600B8"/>
    <w:rsid w:val="0016688B"/>
    <w:rsid w:val="00166B0E"/>
    <w:rsid w:val="001765C3"/>
    <w:rsid w:val="00192CBA"/>
    <w:rsid w:val="001C5B6F"/>
    <w:rsid w:val="001E1C95"/>
    <w:rsid w:val="001F7F8A"/>
    <w:rsid w:val="00212490"/>
    <w:rsid w:val="00251B56"/>
    <w:rsid w:val="002B0937"/>
    <w:rsid w:val="003112BF"/>
    <w:rsid w:val="003212B2"/>
    <w:rsid w:val="00336D49"/>
    <w:rsid w:val="00337F8B"/>
    <w:rsid w:val="00355692"/>
    <w:rsid w:val="00361125"/>
    <w:rsid w:val="003A6970"/>
    <w:rsid w:val="003B1503"/>
    <w:rsid w:val="003C1F8F"/>
    <w:rsid w:val="003F2366"/>
    <w:rsid w:val="003F6F58"/>
    <w:rsid w:val="004032CE"/>
    <w:rsid w:val="00405714"/>
    <w:rsid w:val="00407A27"/>
    <w:rsid w:val="00415A1D"/>
    <w:rsid w:val="00466F8B"/>
    <w:rsid w:val="00482CD6"/>
    <w:rsid w:val="00496408"/>
    <w:rsid w:val="00496B51"/>
    <w:rsid w:val="004C0371"/>
    <w:rsid w:val="004C03C9"/>
    <w:rsid w:val="005031B5"/>
    <w:rsid w:val="0050701F"/>
    <w:rsid w:val="005112E3"/>
    <w:rsid w:val="0051502A"/>
    <w:rsid w:val="00524411"/>
    <w:rsid w:val="005560D2"/>
    <w:rsid w:val="00571EDD"/>
    <w:rsid w:val="005A7648"/>
    <w:rsid w:val="005B1756"/>
    <w:rsid w:val="005C42CE"/>
    <w:rsid w:val="00650F97"/>
    <w:rsid w:val="00657BF9"/>
    <w:rsid w:val="006619C6"/>
    <w:rsid w:val="0067197F"/>
    <w:rsid w:val="00673F5D"/>
    <w:rsid w:val="00685397"/>
    <w:rsid w:val="006905F4"/>
    <w:rsid w:val="006A416B"/>
    <w:rsid w:val="006A75B3"/>
    <w:rsid w:val="006B08C2"/>
    <w:rsid w:val="006B789F"/>
    <w:rsid w:val="006E0F54"/>
    <w:rsid w:val="00700589"/>
    <w:rsid w:val="00701ABD"/>
    <w:rsid w:val="00712615"/>
    <w:rsid w:val="00713BDF"/>
    <w:rsid w:val="00736CC4"/>
    <w:rsid w:val="00771959"/>
    <w:rsid w:val="0077461C"/>
    <w:rsid w:val="007751E5"/>
    <w:rsid w:val="00777417"/>
    <w:rsid w:val="007C1845"/>
    <w:rsid w:val="007C4C3B"/>
    <w:rsid w:val="007D41EF"/>
    <w:rsid w:val="007E11A3"/>
    <w:rsid w:val="007E5B8D"/>
    <w:rsid w:val="007E5F82"/>
    <w:rsid w:val="007E6BA7"/>
    <w:rsid w:val="007F29A5"/>
    <w:rsid w:val="008011E2"/>
    <w:rsid w:val="008011FE"/>
    <w:rsid w:val="008032DA"/>
    <w:rsid w:val="00806F7E"/>
    <w:rsid w:val="00807CE1"/>
    <w:rsid w:val="00833A51"/>
    <w:rsid w:val="008417C9"/>
    <w:rsid w:val="008675F2"/>
    <w:rsid w:val="0087075E"/>
    <w:rsid w:val="008745A3"/>
    <w:rsid w:val="00882840"/>
    <w:rsid w:val="008F2448"/>
    <w:rsid w:val="009119CA"/>
    <w:rsid w:val="009152CE"/>
    <w:rsid w:val="009157C0"/>
    <w:rsid w:val="0093282A"/>
    <w:rsid w:val="00933192"/>
    <w:rsid w:val="00940F50"/>
    <w:rsid w:val="0094378D"/>
    <w:rsid w:val="00967C5A"/>
    <w:rsid w:val="00991BB4"/>
    <w:rsid w:val="009D205E"/>
    <w:rsid w:val="009D67F1"/>
    <w:rsid w:val="009E553B"/>
    <w:rsid w:val="009E7BFB"/>
    <w:rsid w:val="009F1C01"/>
    <w:rsid w:val="00A01330"/>
    <w:rsid w:val="00A07660"/>
    <w:rsid w:val="00A4149A"/>
    <w:rsid w:val="00A66698"/>
    <w:rsid w:val="00AB2A2D"/>
    <w:rsid w:val="00AC1591"/>
    <w:rsid w:val="00AE6262"/>
    <w:rsid w:val="00AF288A"/>
    <w:rsid w:val="00B145BF"/>
    <w:rsid w:val="00B218EC"/>
    <w:rsid w:val="00B23652"/>
    <w:rsid w:val="00B40227"/>
    <w:rsid w:val="00B4086D"/>
    <w:rsid w:val="00B66AD6"/>
    <w:rsid w:val="00B86061"/>
    <w:rsid w:val="00B87CF2"/>
    <w:rsid w:val="00BB63B5"/>
    <w:rsid w:val="00BD2D47"/>
    <w:rsid w:val="00BE4213"/>
    <w:rsid w:val="00BE5464"/>
    <w:rsid w:val="00BF0ABC"/>
    <w:rsid w:val="00C064C7"/>
    <w:rsid w:val="00C07D26"/>
    <w:rsid w:val="00C170D9"/>
    <w:rsid w:val="00C743BB"/>
    <w:rsid w:val="00C751CE"/>
    <w:rsid w:val="00C81100"/>
    <w:rsid w:val="00C851DD"/>
    <w:rsid w:val="00C85CA5"/>
    <w:rsid w:val="00CC2590"/>
    <w:rsid w:val="00CF2C2D"/>
    <w:rsid w:val="00D52DAE"/>
    <w:rsid w:val="00D55527"/>
    <w:rsid w:val="00D63684"/>
    <w:rsid w:val="00DA1145"/>
    <w:rsid w:val="00DB036A"/>
    <w:rsid w:val="00DB273F"/>
    <w:rsid w:val="00DD1D22"/>
    <w:rsid w:val="00DF0230"/>
    <w:rsid w:val="00DF663F"/>
    <w:rsid w:val="00E01DD4"/>
    <w:rsid w:val="00E04142"/>
    <w:rsid w:val="00E5495C"/>
    <w:rsid w:val="00E84E2C"/>
    <w:rsid w:val="00E9026F"/>
    <w:rsid w:val="00F10EDB"/>
    <w:rsid w:val="00F17EFA"/>
    <w:rsid w:val="00F2122C"/>
    <w:rsid w:val="00F25149"/>
    <w:rsid w:val="00F26904"/>
    <w:rsid w:val="00F278E4"/>
    <w:rsid w:val="00F31757"/>
    <w:rsid w:val="00F44AA0"/>
    <w:rsid w:val="00F81994"/>
    <w:rsid w:val="00F9166E"/>
    <w:rsid w:val="00F94BA1"/>
    <w:rsid w:val="00FE2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autoSpaceDE w:val="0"/>
      <w:autoSpaceDN w:val="0"/>
    </w:pPr>
  </w:style>
  <w:style w:type="paragraph" w:styleId="Heading1">
    <w:name w:val="heading 1"/>
    <w:basedOn w:val="Normal"/>
    <w:next w:val="Normal"/>
    <w:qFormat/>
    <w:pPr>
      <w:keepNext/>
      <w:widowControl w:val="0"/>
      <w:outlineLvl w:val="0"/>
    </w:pPr>
    <w:rPr>
      <w:sz w:val="26"/>
      <w:szCs w:val="26"/>
    </w:rPr>
  </w:style>
  <w:style w:type="paragraph" w:styleId="Heading2">
    <w:name w:val="heading 2"/>
    <w:basedOn w:val="Normal"/>
    <w:next w:val="Normal"/>
    <w:qFormat/>
    <w:pPr>
      <w:keepNext/>
      <w:widowControl w:val="0"/>
      <w:spacing w:line="360" w:lineRule="auto"/>
      <w:jc w:val="center"/>
      <w:outlineLvl w:val="1"/>
    </w:pPr>
    <w:rPr>
      <w:b/>
      <w:bCs/>
      <w:sz w:val="26"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widowControl w:val="0"/>
      <w:spacing w:line="360" w:lineRule="auto"/>
      <w:ind w:firstLine="1440"/>
    </w:pPr>
    <w:rPr>
      <w:sz w:val="26"/>
      <w:szCs w:val="26"/>
    </w:rPr>
  </w:style>
  <w:style w:type="paragraph" w:styleId="BodyTextIndent2">
    <w:name w:val="Body Text Indent 2"/>
    <w:basedOn w:val="Normal"/>
    <w:pPr>
      <w:widowControl w:val="0"/>
      <w:spacing w:line="360" w:lineRule="auto"/>
      <w:ind w:left="1440" w:firstLine="720"/>
    </w:pPr>
    <w:rPr>
      <w:sz w:val="26"/>
      <w:szCs w:val="26"/>
    </w:rPr>
  </w:style>
  <w:style w:type="paragraph" w:styleId="BodyTextIndent3">
    <w:name w:val="Body Text Indent 3"/>
    <w:basedOn w:val="Normal"/>
    <w:pPr>
      <w:widowControl w:val="0"/>
      <w:spacing w:line="480" w:lineRule="atLeast"/>
      <w:ind w:firstLine="720"/>
      <w:jc w:val="both"/>
    </w:pPr>
    <w:rPr>
      <w:sz w:val="26"/>
      <w:szCs w:val="26"/>
    </w:rPr>
  </w:style>
  <w:style w:type="paragraph" w:customStyle="1" w:styleId="ParaTab1">
    <w:name w:val="ParaTab 1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  <w:style w:type="paragraph" w:styleId="Footer">
    <w:name w:val="footer"/>
    <w:basedOn w:val="Normal"/>
    <w:rsid w:val="006B08C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B08C2"/>
  </w:style>
  <w:style w:type="character" w:styleId="Hyperlink">
    <w:name w:val="Hyperlink"/>
    <w:basedOn w:val="DefaultParagraphFont"/>
    <w:rsid w:val="003212B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D1D22"/>
    <w:pPr>
      <w:ind w:left="720"/>
    </w:pPr>
  </w:style>
  <w:style w:type="paragraph" w:styleId="BalloonText">
    <w:name w:val="Balloon Text"/>
    <w:basedOn w:val="Normal"/>
    <w:link w:val="BalloonTextChar"/>
    <w:rsid w:val="007C18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C1845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rsid w:val="00713BDF"/>
  </w:style>
  <w:style w:type="character" w:customStyle="1" w:styleId="FootnoteTextChar">
    <w:name w:val="Footnote Text Char"/>
    <w:basedOn w:val="DefaultParagraphFont"/>
    <w:link w:val="FootnoteText"/>
    <w:rsid w:val="00713BDF"/>
  </w:style>
  <w:style w:type="character" w:styleId="FootnoteReference">
    <w:name w:val="footnote reference"/>
    <w:basedOn w:val="DefaultParagraphFont"/>
    <w:rsid w:val="00713BD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autoSpaceDE w:val="0"/>
      <w:autoSpaceDN w:val="0"/>
    </w:pPr>
  </w:style>
  <w:style w:type="paragraph" w:styleId="Heading1">
    <w:name w:val="heading 1"/>
    <w:basedOn w:val="Normal"/>
    <w:next w:val="Normal"/>
    <w:qFormat/>
    <w:pPr>
      <w:keepNext/>
      <w:widowControl w:val="0"/>
      <w:outlineLvl w:val="0"/>
    </w:pPr>
    <w:rPr>
      <w:sz w:val="26"/>
      <w:szCs w:val="26"/>
    </w:rPr>
  </w:style>
  <w:style w:type="paragraph" w:styleId="Heading2">
    <w:name w:val="heading 2"/>
    <w:basedOn w:val="Normal"/>
    <w:next w:val="Normal"/>
    <w:qFormat/>
    <w:pPr>
      <w:keepNext/>
      <w:widowControl w:val="0"/>
      <w:spacing w:line="360" w:lineRule="auto"/>
      <w:jc w:val="center"/>
      <w:outlineLvl w:val="1"/>
    </w:pPr>
    <w:rPr>
      <w:b/>
      <w:bCs/>
      <w:sz w:val="26"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widowControl w:val="0"/>
      <w:spacing w:line="360" w:lineRule="auto"/>
      <w:ind w:firstLine="1440"/>
    </w:pPr>
    <w:rPr>
      <w:sz w:val="26"/>
      <w:szCs w:val="26"/>
    </w:rPr>
  </w:style>
  <w:style w:type="paragraph" w:styleId="BodyTextIndent2">
    <w:name w:val="Body Text Indent 2"/>
    <w:basedOn w:val="Normal"/>
    <w:pPr>
      <w:widowControl w:val="0"/>
      <w:spacing w:line="360" w:lineRule="auto"/>
      <w:ind w:left="1440" w:firstLine="720"/>
    </w:pPr>
    <w:rPr>
      <w:sz w:val="26"/>
      <w:szCs w:val="26"/>
    </w:rPr>
  </w:style>
  <w:style w:type="paragraph" w:styleId="BodyTextIndent3">
    <w:name w:val="Body Text Indent 3"/>
    <w:basedOn w:val="Normal"/>
    <w:pPr>
      <w:widowControl w:val="0"/>
      <w:spacing w:line="480" w:lineRule="atLeast"/>
      <w:ind w:firstLine="720"/>
      <w:jc w:val="both"/>
    </w:pPr>
    <w:rPr>
      <w:sz w:val="26"/>
      <w:szCs w:val="26"/>
    </w:rPr>
  </w:style>
  <w:style w:type="paragraph" w:customStyle="1" w:styleId="ParaTab1">
    <w:name w:val="ParaTab 1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  <w:style w:type="paragraph" w:styleId="Footer">
    <w:name w:val="footer"/>
    <w:basedOn w:val="Normal"/>
    <w:rsid w:val="006B08C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B08C2"/>
  </w:style>
  <w:style w:type="character" w:styleId="Hyperlink">
    <w:name w:val="Hyperlink"/>
    <w:basedOn w:val="DefaultParagraphFont"/>
    <w:rsid w:val="003212B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D1D22"/>
    <w:pPr>
      <w:ind w:left="720"/>
    </w:pPr>
  </w:style>
  <w:style w:type="paragraph" w:styleId="BalloonText">
    <w:name w:val="Balloon Text"/>
    <w:basedOn w:val="Normal"/>
    <w:link w:val="BalloonTextChar"/>
    <w:rsid w:val="007C18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C1845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rsid w:val="00713BDF"/>
  </w:style>
  <w:style w:type="character" w:customStyle="1" w:styleId="FootnoteTextChar">
    <w:name w:val="Footnote Text Char"/>
    <w:basedOn w:val="DefaultParagraphFont"/>
    <w:link w:val="FootnoteText"/>
    <w:rsid w:val="00713BDF"/>
  </w:style>
  <w:style w:type="character" w:styleId="FootnoteReference">
    <w:name w:val="footnote reference"/>
    <w:basedOn w:val="DefaultParagraphFont"/>
    <w:rsid w:val="00713BD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726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6E00C8-65AF-43BB-98C7-9440A537D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405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PUC</Company>
  <LinksUpToDate>false</LinksUpToDate>
  <CharactersWithSpaces>2715</CharactersWithSpaces>
  <SharedDoc>false</SharedDoc>
  <HLinks>
    <vt:vector size="6" baseType="variant">
      <vt:variant>
        <vt:i4>4718638</vt:i4>
      </vt:variant>
      <vt:variant>
        <vt:i4>0</vt:i4>
      </vt:variant>
      <vt:variant>
        <vt:i4>0</vt:i4>
      </vt:variant>
      <vt:variant>
        <vt:i4>5</vt:i4>
      </vt:variant>
      <vt:variant>
        <vt:lpwstr>mailto:debuckley@state.pa.us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ALJCOMMON</dc:creator>
  <cp:lastModifiedBy>astout</cp:lastModifiedBy>
  <cp:revision>3</cp:revision>
  <cp:lastPrinted>2012-01-03T20:33:00Z</cp:lastPrinted>
  <dcterms:created xsi:type="dcterms:W3CDTF">2012-02-17T15:21:00Z</dcterms:created>
  <dcterms:modified xsi:type="dcterms:W3CDTF">2012-02-17T15:26:00Z</dcterms:modified>
</cp:coreProperties>
</file>