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871F2">
            <w:pPr>
              <w:rPr>
                <w:sz w:val="26"/>
                <w:szCs w:val="26"/>
              </w:rPr>
            </w:pPr>
          </w:p>
        </w:tc>
        <w:tc>
          <w:tcPr>
            <w:tcW w:w="4428" w:type="dxa"/>
          </w:tcPr>
          <w:p w:rsidR="00F514FB" w:rsidRPr="00F514FB" w:rsidRDefault="00F514FB" w:rsidP="00E871F2">
            <w:pPr>
              <w:jc w:val="right"/>
              <w:rPr>
                <w:sz w:val="26"/>
                <w:szCs w:val="26"/>
              </w:rPr>
            </w:pPr>
            <w:r w:rsidRPr="00F514FB">
              <w:rPr>
                <w:sz w:val="26"/>
                <w:szCs w:val="26"/>
              </w:rPr>
              <w:t xml:space="preserve">Public Meeting held </w:t>
            </w:r>
            <w:r w:rsidR="00940BD4">
              <w:rPr>
                <w:sz w:val="26"/>
                <w:szCs w:val="26"/>
              </w:rPr>
              <w:t>March 1, 2012</w:t>
            </w:r>
          </w:p>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E871F2">
        <w:tc>
          <w:tcPr>
            <w:tcW w:w="5058" w:type="dxa"/>
          </w:tcPr>
          <w:p w:rsidR="00F514FB" w:rsidRPr="00F514FB" w:rsidRDefault="00F514FB" w:rsidP="00E871F2">
            <w:pPr>
              <w:rPr>
                <w:sz w:val="26"/>
                <w:szCs w:val="26"/>
              </w:rPr>
            </w:pPr>
            <w:r w:rsidRPr="00F514FB">
              <w:rPr>
                <w:sz w:val="26"/>
                <w:szCs w:val="26"/>
              </w:rPr>
              <w:t>Commissioners Present:</w:t>
            </w:r>
          </w:p>
          <w:p w:rsidR="00F514FB" w:rsidRPr="00F514FB" w:rsidRDefault="00F514FB" w:rsidP="00E871F2">
            <w:pPr>
              <w:rPr>
                <w:sz w:val="26"/>
                <w:szCs w:val="26"/>
              </w:rPr>
            </w:pPr>
          </w:p>
          <w:p w:rsidR="00F514FB" w:rsidRPr="00F514FB" w:rsidRDefault="00F514FB" w:rsidP="00E871F2">
            <w:pPr>
              <w:tabs>
                <w:tab w:val="left" w:pos="705"/>
              </w:tabs>
              <w:ind w:firstLine="720"/>
              <w:rPr>
                <w:sz w:val="26"/>
                <w:szCs w:val="26"/>
              </w:rPr>
            </w:pPr>
            <w:r w:rsidRPr="00F514FB">
              <w:rPr>
                <w:sz w:val="26"/>
                <w:szCs w:val="26"/>
              </w:rPr>
              <w:t>Robert F. Powelson, Chairman</w:t>
            </w:r>
          </w:p>
          <w:p w:rsidR="00F514FB" w:rsidRPr="00F514FB" w:rsidRDefault="00F514FB" w:rsidP="00E871F2">
            <w:pPr>
              <w:tabs>
                <w:tab w:val="left" w:pos="705"/>
              </w:tabs>
              <w:ind w:firstLine="720"/>
              <w:rPr>
                <w:sz w:val="26"/>
                <w:szCs w:val="26"/>
              </w:rPr>
            </w:pPr>
            <w:r w:rsidRPr="00F514FB">
              <w:rPr>
                <w:sz w:val="26"/>
                <w:szCs w:val="26"/>
              </w:rPr>
              <w:t>John F. Coleman, Jr., Vice Chairman</w:t>
            </w:r>
          </w:p>
          <w:p w:rsidR="00F514FB" w:rsidRPr="00F514FB" w:rsidRDefault="00F514FB" w:rsidP="00E871F2">
            <w:pPr>
              <w:tabs>
                <w:tab w:val="left" w:pos="705"/>
              </w:tabs>
              <w:ind w:firstLine="720"/>
              <w:rPr>
                <w:sz w:val="26"/>
                <w:szCs w:val="26"/>
              </w:rPr>
            </w:pPr>
            <w:r w:rsidRPr="00F514FB">
              <w:rPr>
                <w:sz w:val="26"/>
                <w:szCs w:val="26"/>
              </w:rPr>
              <w:t>Wayne E. Gardner</w:t>
            </w:r>
          </w:p>
          <w:p w:rsidR="00F514FB" w:rsidRPr="00F514FB" w:rsidRDefault="00F514FB" w:rsidP="00E871F2">
            <w:pPr>
              <w:tabs>
                <w:tab w:val="left" w:pos="705"/>
              </w:tabs>
              <w:ind w:firstLine="720"/>
              <w:rPr>
                <w:sz w:val="26"/>
                <w:szCs w:val="26"/>
              </w:rPr>
            </w:pPr>
            <w:r w:rsidRPr="00F514FB">
              <w:rPr>
                <w:sz w:val="26"/>
                <w:szCs w:val="26"/>
              </w:rPr>
              <w:t>James H. Cawley</w:t>
            </w:r>
          </w:p>
          <w:p w:rsidR="00F514FB" w:rsidRPr="00F514FB" w:rsidRDefault="00F514FB" w:rsidP="00E871F2">
            <w:pPr>
              <w:tabs>
                <w:tab w:val="left" w:pos="705"/>
              </w:tabs>
              <w:ind w:firstLine="720"/>
              <w:rPr>
                <w:sz w:val="26"/>
                <w:szCs w:val="26"/>
              </w:rPr>
            </w:pPr>
            <w:r w:rsidRPr="00F514FB">
              <w:rPr>
                <w:sz w:val="26"/>
                <w:szCs w:val="26"/>
              </w:rPr>
              <w:t>Pamela A. Witmer</w:t>
            </w:r>
          </w:p>
          <w:p w:rsidR="00F514FB" w:rsidRPr="00F514FB" w:rsidRDefault="00F514FB" w:rsidP="00E871F2">
            <w:pPr>
              <w:rPr>
                <w:sz w:val="26"/>
                <w:szCs w:val="26"/>
              </w:rPr>
            </w:pPr>
          </w:p>
          <w:p w:rsidR="00F514FB" w:rsidRPr="00F514FB" w:rsidRDefault="00F514FB" w:rsidP="00E871F2">
            <w:pPr>
              <w:rPr>
                <w:sz w:val="26"/>
                <w:szCs w:val="26"/>
              </w:rPr>
            </w:pPr>
          </w:p>
        </w:tc>
        <w:tc>
          <w:tcPr>
            <w:tcW w:w="4428" w:type="dxa"/>
          </w:tcPr>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DE25AC">
        <w:tc>
          <w:tcPr>
            <w:tcW w:w="5058" w:type="dxa"/>
          </w:tcPr>
          <w:p w:rsidR="00F514FB" w:rsidRPr="00F514FB" w:rsidRDefault="00940BD4" w:rsidP="00E871F2">
            <w:pPr>
              <w:rPr>
                <w:sz w:val="26"/>
                <w:szCs w:val="26"/>
              </w:rPr>
            </w:pPr>
            <w:r>
              <w:rPr>
                <w:sz w:val="26"/>
                <w:szCs w:val="26"/>
              </w:rPr>
              <w:t xml:space="preserve">Donald L. Hale  </w:t>
            </w:r>
          </w:p>
          <w:p w:rsidR="00F514FB" w:rsidRPr="00F514FB" w:rsidRDefault="00F514FB" w:rsidP="00E871F2">
            <w:pPr>
              <w:rPr>
                <w:sz w:val="26"/>
                <w:szCs w:val="26"/>
              </w:rPr>
            </w:pPr>
          </w:p>
        </w:tc>
        <w:tc>
          <w:tcPr>
            <w:tcW w:w="4428" w:type="dxa"/>
          </w:tcPr>
          <w:p w:rsidR="00F514FB" w:rsidRPr="00F514FB" w:rsidRDefault="00940BD4" w:rsidP="00E871F2">
            <w:pPr>
              <w:jc w:val="right"/>
              <w:rPr>
                <w:sz w:val="26"/>
                <w:szCs w:val="26"/>
              </w:rPr>
            </w:pPr>
            <w:r>
              <w:rPr>
                <w:sz w:val="26"/>
                <w:szCs w:val="26"/>
              </w:rPr>
              <w:t xml:space="preserve">  C-2010-2206955 </w:t>
            </w:r>
          </w:p>
        </w:tc>
      </w:tr>
      <w:tr w:rsidR="00F514FB" w:rsidRPr="00F514FB" w:rsidTr="00DE25AC">
        <w:tc>
          <w:tcPr>
            <w:tcW w:w="5058" w:type="dxa"/>
          </w:tcPr>
          <w:p w:rsidR="00F514FB" w:rsidRPr="00F514FB" w:rsidRDefault="00F514FB" w:rsidP="00940BD4">
            <w:pPr>
              <w:ind w:firstLine="720"/>
              <w:rPr>
                <w:sz w:val="26"/>
                <w:szCs w:val="26"/>
              </w:rPr>
            </w:pPr>
            <w:r w:rsidRPr="00F514FB">
              <w:rPr>
                <w:sz w:val="26"/>
                <w:szCs w:val="26"/>
              </w:rPr>
              <w:t>v.</w:t>
            </w:r>
          </w:p>
          <w:p w:rsidR="00F514FB" w:rsidRPr="00F514FB" w:rsidRDefault="00F514FB" w:rsidP="00E871F2">
            <w:pPr>
              <w:ind w:firstLine="1440"/>
              <w:rPr>
                <w:sz w:val="26"/>
                <w:szCs w:val="26"/>
              </w:rPr>
            </w:pPr>
          </w:p>
        </w:tc>
        <w:tc>
          <w:tcPr>
            <w:tcW w:w="4428" w:type="dxa"/>
          </w:tcPr>
          <w:p w:rsidR="00F514FB" w:rsidRPr="00F514FB" w:rsidRDefault="00F514FB" w:rsidP="00E871F2">
            <w:pPr>
              <w:rPr>
                <w:sz w:val="26"/>
                <w:szCs w:val="26"/>
              </w:rPr>
            </w:pPr>
          </w:p>
        </w:tc>
      </w:tr>
      <w:tr w:rsidR="00F514FB" w:rsidRPr="00F514FB" w:rsidTr="00E871F2">
        <w:tc>
          <w:tcPr>
            <w:tcW w:w="5058" w:type="dxa"/>
          </w:tcPr>
          <w:p w:rsidR="00F514FB" w:rsidRPr="00F514FB" w:rsidRDefault="00940BD4" w:rsidP="00E871F2">
            <w:pPr>
              <w:rPr>
                <w:sz w:val="26"/>
                <w:szCs w:val="26"/>
              </w:rPr>
            </w:pPr>
            <w:r>
              <w:rPr>
                <w:sz w:val="26"/>
                <w:szCs w:val="26"/>
              </w:rPr>
              <w:t xml:space="preserve">UGI Penn Natural Gas, Inc. </w:t>
            </w:r>
          </w:p>
        </w:tc>
        <w:tc>
          <w:tcPr>
            <w:tcW w:w="4428" w:type="dxa"/>
          </w:tcPr>
          <w:p w:rsidR="00F514FB" w:rsidRPr="00F514FB" w:rsidRDefault="00F514FB" w:rsidP="00E871F2">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F34B2F">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(Exceptions) of </w:t>
      </w:r>
      <w:r w:rsidR="000F0AD9">
        <w:rPr>
          <w:color w:val="000000"/>
          <w:sz w:val="26"/>
        </w:rPr>
        <w:t>Donald L. Hale</w:t>
      </w:r>
      <w:r w:rsidR="00671E4C">
        <w:rPr>
          <w:color w:val="000000"/>
          <w:sz w:val="26"/>
        </w:rPr>
        <w:t xml:space="preserve"> (</w:t>
      </w:r>
      <w:r w:rsidR="000F0AD9">
        <w:rPr>
          <w:color w:val="000000"/>
          <w:sz w:val="26"/>
        </w:rPr>
        <w:t>Complainant</w:t>
      </w:r>
      <w:r w:rsidR="00671E4C">
        <w:rPr>
          <w:color w:val="000000"/>
          <w:sz w:val="26"/>
        </w:rPr>
        <w:t xml:space="preserve">) filed on </w:t>
      </w:r>
      <w:r w:rsidR="000F0AD9">
        <w:rPr>
          <w:color w:val="000000"/>
          <w:sz w:val="26"/>
        </w:rPr>
        <w:t>December 21</w:t>
      </w:r>
      <w:r w:rsidR="00671E4C">
        <w:rPr>
          <w:color w:val="000000"/>
          <w:sz w:val="26"/>
        </w:rPr>
        <w:t>,</w:t>
      </w:r>
      <w:r w:rsidR="00CB4762">
        <w:rPr>
          <w:color w:val="000000"/>
          <w:sz w:val="26"/>
        </w:rPr>
        <w:t xml:space="preserve"> 2011,</w:t>
      </w:r>
      <w:r w:rsidR="001B7DA2">
        <w:rPr>
          <w:rStyle w:val="FootnoteReference"/>
          <w:color w:val="000000"/>
          <w:sz w:val="26"/>
        </w:rPr>
        <w:footnoteReference w:id="1"/>
      </w:r>
      <w:r w:rsidR="00671E4C">
        <w:rPr>
          <w:color w:val="000000"/>
          <w:sz w:val="26"/>
        </w:rPr>
        <w:t xml:space="preserve"> to the Initial Decision (I.D.) of </w:t>
      </w:r>
      <w:r w:rsidR="00671E4C">
        <w:rPr>
          <w:color w:val="000000"/>
          <w:sz w:val="26"/>
        </w:rPr>
        <w:lastRenderedPageBreak/>
        <w:t xml:space="preserve">Administrative Law Judge (ALJ) </w:t>
      </w:r>
      <w:r w:rsidR="00CB4762">
        <w:rPr>
          <w:color w:val="000000"/>
          <w:sz w:val="26"/>
        </w:rPr>
        <w:t>John H. Corbett, Jr.</w:t>
      </w:r>
      <w:r w:rsidR="00671E4C">
        <w:rPr>
          <w:color w:val="000000"/>
          <w:sz w:val="26"/>
        </w:rPr>
        <w:t xml:space="preserve">, which was issued on </w:t>
      </w:r>
      <w:r w:rsidR="007B5F19">
        <w:rPr>
          <w:color w:val="000000"/>
          <w:sz w:val="26"/>
        </w:rPr>
        <w:t xml:space="preserve">        </w:t>
      </w:r>
      <w:r w:rsidR="000A490A">
        <w:rPr>
          <w:color w:val="000000"/>
          <w:sz w:val="26"/>
        </w:rPr>
        <w:t>December 8, 2011</w:t>
      </w:r>
      <w:r w:rsidR="00671E4C">
        <w:rPr>
          <w:color w:val="000000"/>
          <w:sz w:val="26"/>
        </w:rPr>
        <w:t xml:space="preserve">, in the above-captioned proceeding.  Replies to Exceptions were filed by </w:t>
      </w:r>
      <w:r w:rsidR="000A490A">
        <w:rPr>
          <w:color w:val="000000"/>
          <w:sz w:val="26"/>
        </w:rPr>
        <w:t>UGI Penn Natural Gas, Inc.</w:t>
      </w:r>
      <w:r w:rsidR="00671E4C">
        <w:rPr>
          <w:color w:val="000000"/>
          <w:sz w:val="26"/>
        </w:rPr>
        <w:t xml:space="preserve"> (</w:t>
      </w:r>
      <w:r w:rsidR="000A490A">
        <w:rPr>
          <w:color w:val="000000"/>
          <w:sz w:val="26"/>
        </w:rPr>
        <w:t>UGI PNG</w:t>
      </w:r>
      <w:r w:rsidR="00671E4C">
        <w:rPr>
          <w:color w:val="000000"/>
          <w:sz w:val="26"/>
        </w:rPr>
        <w:t xml:space="preserve">) on </w:t>
      </w:r>
      <w:r w:rsidR="00911BC6">
        <w:rPr>
          <w:color w:val="000000"/>
          <w:sz w:val="26"/>
        </w:rPr>
        <w:t>January 9, 2012</w:t>
      </w:r>
      <w:r w:rsidR="00671E4C">
        <w:rPr>
          <w:color w:val="000000"/>
          <w:sz w:val="26"/>
        </w:rPr>
        <w:t xml:space="preserve">.  </w:t>
      </w:r>
      <w:r w:rsidRPr="00CA43A5">
        <w:rPr>
          <w:sz w:val="26"/>
          <w:szCs w:val="26"/>
        </w:rPr>
        <w:t xml:space="preserve">For the reasons stated below, we </w:t>
      </w:r>
      <w:r w:rsidR="006A224F">
        <w:rPr>
          <w:sz w:val="26"/>
          <w:szCs w:val="26"/>
        </w:rPr>
        <w:t>shall deny the Exceptions and adopt the Initial Decision</w:t>
      </w:r>
      <w:r w:rsidRPr="00CA43A5">
        <w:rPr>
          <w:sz w:val="26"/>
          <w:szCs w:val="26"/>
        </w:rPr>
        <w:t>.</w:t>
      </w:r>
    </w:p>
    <w:p w:rsidR="00FD7C75" w:rsidRDefault="00FD7C75" w:rsidP="00CA43A5">
      <w:pPr>
        <w:spacing w:line="360" w:lineRule="auto"/>
        <w:jc w:val="center"/>
        <w:rPr>
          <w:b/>
          <w:sz w:val="26"/>
          <w:szCs w:val="26"/>
        </w:rPr>
      </w:pPr>
      <w:bookmarkStart w:id="0" w:name="OLE_LINK1"/>
      <w:bookmarkStart w:id="1" w:name="OLE_LINK2"/>
    </w:p>
    <w:p w:rsidR="00CA43A5" w:rsidRPr="00CA43A5" w:rsidRDefault="00CA43A5" w:rsidP="00CA43A5">
      <w:pPr>
        <w:spacing w:line="360" w:lineRule="auto"/>
        <w:jc w:val="center"/>
        <w:rPr>
          <w:b/>
          <w:sz w:val="26"/>
          <w:szCs w:val="26"/>
        </w:rPr>
      </w:pPr>
      <w:r w:rsidRPr="00CA43A5">
        <w:rPr>
          <w:b/>
          <w:sz w:val="26"/>
          <w:szCs w:val="26"/>
        </w:rPr>
        <w:t>History of the Proceeding</w:t>
      </w:r>
    </w:p>
    <w:bookmarkEnd w:id="0"/>
    <w:bookmarkEnd w:id="1"/>
    <w:p w:rsidR="00CA43A5" w:rsidRPr="00CA43A5" w:rsidRDefault="00CA43A5" w:rsidP="00CA43A5">
      <w:pPr>
        <w:spacing w:line="360" w:lineRule="auto"/>
        <w:jc w:val="center"/>
        <w:rPr>
          <w:b/>
          <w:sz w:val="26"/>
          <w:szCs w:val="26"/>
          <w:u w:val="single"/>
        </w:rPr>
      </w:pPr>
    </w:p>
    <w:p w:rsidR="002E5807" w:rsidRDefault="0051475B" w:rsidP="0051475B">
      <w:pPr>
        <w:widowControl/>
        <w:spacing w:line="360" w:lineRule="auto"/>
        <w:ind w:firstLine="1440"/>
        <w:rPr>
          <w:sz w:val="26"/>
          <w:szCs w:val="24"/>
        </w:rPr>
      </w:pPr>
      <w:r w:rsidRPr="0051475B">
        <w:rPr>
          <w:sz w:val="26"/>
          <w:szCs w:val="24"/>
        </w:rPr>
        <w:t xml:space="preserve">On October 27, 2010, </w:t>
      </w:r>
      <w:r w:rsidR="00F438D0">
        <w:rPr>
          <w:sz w:val="26"/>
          <w:szCs w:val="24"/>
        </w:rPr>
        <w:t xml:space="preserve">Mr. </w:t>
      </w:r>
      <w:r w:rsidRPr="0051475B">
        <w:rPr>
          <w:sz w:val="26"/>
          <w:szCs w:val="24"/>
        </w:rPr>
        <w:t xml:space="preserve">Hale filed a </w:t>
      </w:r>
      <w:r w:rsidR="00F438D0">
        <w:rPr>
          <w:sz w:val="26"/>
          <w:szCs w:val="24"/>
        </w:rPr>
        <w:t>Formal C</w:t>
      </w:r>
      <w:r w:rsidRPr="0051475B">
        <w:rPr>
          <w:sz w:val="26"/>
          <w:szCs w:val="24"/>
        </w:rPr>
        <w:t xml:space="preserve">omplaint </w:t>
      </w:r>
      <w:r w:rsidR="00F438D0">
        <w:rPr>
          <w:sz w:val="26"/>
          <w:szCs w:val="24"/>
        </w:rPr>
        <w:t xml:space="preserve">against </w:t>
      </w:r>
      <w:r w:rsidRPr="0051475B">
        <w:rPr>
          <w:sz w:val="26"/>
          <w:szCs w:val="24"/>
        </w:rPr>
        <w:t xml:space="preserve">UGI PNG, </w:t>
      </w:r>
      <w:r w:rsidR="00F438D0">
        <w:rPr>
          <w:sz w:val="26"/>
          <w:szCs w:val="24"/>
        </w:rPr>
        <w:t>alleging that</w:t>
      </w:r>
      <w:r w:rsidRPr="0051475B">
        <w:rPr>
          <w:sz w:val="26"/>
          <w:szCs w:val="24"/>
        </w:rPr>
        <w:t xml:space="preserve"> UGI PNG wrongfully placed bills in his name after finding </w:t>
      </w:r>
      <w:r w:rsidR="00F438D0">
        <w:rPr>
          <w:sz w:val="26"/>
          <w:szCs w:val="24"/>
        </w:rPr>
        <w:t xml:space="preserve">that </w:t>
      </w:r>
      <w:r w:rsidRPr="0051475B">
        <w:rPr>
          <w:sz w:val="26"/>
          <w:szCs w:val="24"/>
        </w:rPr>
        <w:t xml:space="preserve">a foreign load </w:t>
      </w:r>
      <w:r w:rsidR="00F438D0">
        <w:rPr>
          <w:sz w:val="26"/>
          <w:szCs w:val="24"/>
        </w:rPr>
        <w:t xml:space="preserve">situation </w:t>
      </w:r>
      <w:r w:rsidRPr="0051475B">
        <w:rPr>
          <w:sz w:val="26"/>
          <w:szCs w:val="24"/>
        </w:rPr>
        <w:t xml:space="preserve">existed at </w:t>
      </w:r>
      <w:r w:rsidR="00F438D0">
        <w:rPr>
          <w:sz w:val="26"/>
          <w:szCs w:val="24"/>
        </w:rPr>
        <w:t xml:space="preserve">his </w:t>
      </w:r>
      <w:r w:rsidRPr="0051475B">
        <w:rPr>
          <w:sz w:val="26"/>
          <w:szCs w:val="24"/>
        </w:rPr>
        <w:t>property</w:t>
      </w:r>
      <w:r w:rsidR="00F438D0">
        <w:rPr>
          <w:sz w:val="26"/>
          <w:szCs w:val="24"/>
        </w:rPr>
        <w:t xml:space="preserve"> that he leases to tenants</w:t>
      </w:r>
      <w:r w:rsidRPr="0051475B">
        <w:rPr>
          <w:sz w:val="26"/>
          <w:szCs w:val="24"/>
        </w:rPr>
        <w:t>.  He further allege</w:t>
      </w:r>
      <w:r w:rsidR="004C7594">
        <w:rPr>
          <w:sz w:val="26"/>
          <w:szCs w:val="24"/>
        </w:rPr>
        <w:t>d</w:t>
      </w:r>
      <w:r w:rsidRPr="0051475B">
        <w:rPr>
          <w:sz w:val="26"/>
          <w:szCs w:val="24"/>
        </w:rPr>
        <w:t xml:space="preserve"> </w:t>
      </w:r>
      <w:r w:rsidR="00F438D0">
        <w:rPr>
          <w:sz w:val="26"/>
          <w:szCs w:val="24"/>
        </w:rPr>
        <w:t xml:space="preserve">that </w:t>
      </w:r>
      <w:r w:rsidRPr="0051475B">
        <w:rPr>
          <w:sz w:val="26"/>
          <w:szCs w:val="24"/>
        </w:rPr>
        <w:t xml:space="preserve">he corrected the </w:t>
      </w:r>
      <w:r w:rsidR="00F438D0">
        <w:rPr>
          <w:sz w:val="26"/>
          <w:szCs w:val="24"/>
        </w:rPr>
        <w:t xml:space="preserve">foreign load </w:t>
      </w:r>
      <w:r w:rsidRPr="0051475B">
        <w:rPr>
          <w:sz w:val="26"/>
          <w:szCs w:val="24"/>
        </w:rPr>
        <w:t xml:space="preserve">problem in 2006.  </w:t>
      </w:r>
      <w:r w:rsidR="002E5807">
        <w:rPr>
          <w:sz w:val="26"/>
          <w:szCs w:val="24"/>
        </w:rPr>
        <w:t xml:space="preserve">The Commission served UGI PNG with the Complaint on October 29, 2010.  </w:t>
      </w:r>
    </w:p>
    <w:p w:rsidR="002E5807" w:rsidRDefault="002E5807" w:rsidP="0051475B">
      <w:pPr>
        <w:widowControl/>
        <w:spacing w:line="360" w:lineRule="auto"/>
        <w:ind w:firstLine="1440"/>
        <w:rPr>
          <w:sz w:val="26"/>
          <w:szCs w:val="24"/>
        </w:rPr>
      </w:pPr>
    </w:p>
    <w:p w:rsidR="0051475B" w:rsidRPr="0051475B" w:rsidRDefault="0051475B" w:rsidP="0051475B">
      <w:pPr>
        <w:widowControl/>
        <w:spacing w:line="360" w:lineRule="auto"/>
        <w:ind w:firstLine="1440"/>
        <w:rPr>
          <w:sz w:val="26"/>
          <w:szCs w:val="24"/>
        </w:rPr>
      </w:pPr>
      <w:r w:rsidRPr="0051475B">
        <w:rPr>
          <w:sz w:val="26"/>
          <w:szCs w:val="24"/>
        </w:rPr>
        <w:t xml:space="preserve">UGI PNG </w:t>
      </w:r>
      <w:r w:rsidR="00540506">
        <w:rPr>
          <w:sz w:val="26"/>
          <w:szCs w:val="24"/>
        </w:rPr>
        <w:t>filed an Answer</w:t>
      </w:r>
      <w:r w:rsidRPr="0051475B">
        <w:rPr>
          <w:sz w:val="26"/>
          <w:szCs w:val="24"/>
        </w:rPr>
        <w:t xml:space="preserve"> on November 18, 2010</w:t>
      </w:r>
      <w:r w:rsidR="00540506">
        <w:rPr>
          <w:sz w:val="26"/>
          <w:szCs w:val="24"/>
        </w:rPr>
        <w:t>,</w:t>
      </w:r>
      <w:r w:rsidRPr="0051475B">
        <w:rPr>
          <w:sz w:val="26"/>
          <w:szCs w:val="24"/>
        </w:rPr>
        <w:t xml:space="preserve"> </w:t>
      </w:r>
      <w:r w:rsidR="00252CDB">
        <w:rPr>
          <w:sz w:val="26"/>
          <w:szCs w:val="24"/>
        </w:rPr>
        <w:t>in which it averred that the Complainant was properly charged under the circumstances in this case.  UGI PNG stated</w:t>
      </w:r>
      <w:r w:rsidRPr="0051475B">
        <w:rPr>
          <w:sz w:val="26"/>
          <w:szCs w:val="24"/>
        </w:rPr>
        <w:t xml:space="preserve"> that a predecessor gas utility had determined that a foreign load situation </w:t>
      </w:r>
      <w:r w:rsidR="00252CDB">
        <w:rPr>
          <w:sz w:val="26"/>
          <w:szCs w:val="24"/>
        </w:rPr>
        <w:t>was</w:t>
      </w:r>
      <w:r w:rsidRPr="0051475B">
        <w:rPr>
          <w:sz w:val="26"/>
          <w:szCs w:val="24"/>
        </w:rPr>
        <w:t xml:space="preserve"> corrected at th</w:t>
      </w:r>
      <w:r w:rsidR="00252CDB">
        <w:rPr>
          <w:sz w:val="26"/>
          <w:szCs w:val="24"/>
        </w:rPr>
        <w:t>e</w:t>
      </w:r>
      <w:r w:rsidRPr="0051475B">
        <w:rPr>
          <w:sz w:val="26"/>
          <w:szCs w:val="24"/>
        </w:rPr>
        <w:t xml:space="preserve"> property in 2006, but UGI PNG conducted its own investigation after receiving a tenant’s complaint and found foreign load on April 21, 2010.  </w:t>
      </w:r>
      <w:r w:rsidR="00252CDB">
        <w:rPr>
          <w:sz w:val="26"/>
          <w:szCs w:val="24"/>
        </w:rPr>
        <w:t xml:space="preserve">As a result, it placed the gas service in the Complainant’s name and transferred the tenant’s account balance to the Complainant’s account. </w:t>
      </w:r>
    </w:p>
    <w:p w:rsidR="0051475B" w:rsidRPr="0051475B" w:rsidRDefault="0051475B" w:rsidP="0051475B">
      <w:pPr>
        <w:widowControl/>
        <w:spacing w:line="360" w:lineRule="auto"/>
        <w:jc w:val="center"/>
        <w:rPr>
          <w:sz w:val="26"/>
          <w:szCs w:val="24"/>
        </w:rPr>
      </w:pPr>
    </w:p>
    <w:p w:rsidR="0051475B" w:rsidRDefault="0051475B" w:rsidP="0051475B">
      <w:pPr>
        <w:widowControl/>
        <w:spacing w:line="360" w:lineRule="auto"/>
        <w:rPr>
          <w:sz w:val="26"/>
          <w:szCs w:val="24"/>
        </w:rPr>
      </w:pPr>
      <w:r w:rsidRPr="0051475B">
        <w:rPr>
          <w:sz w:val="26"/>
          <w:szCs w:val="24"/>
        </w:rPr>
        <w:tab/>
      </w:r>
      <w:r w:rsidRPr="0051475B">
        <w:rPr>
          <w:sz w:val="26"/>
          <w:szCs w:val="24"/>
        </w:rPr>
        <w:tab/>
      </w:r>
      <w:r w:rsidR="008F2510">
        <w:rPr>
          <w:sz w:val="26"/>
          <w:szCs w:val="24"/>
        </w:rPr>
        <w:t>ALJ Corbett conducted a</w:t>
      </w:r>
      <w:r w:rsidRPr="0051475B">
        <w:rPr>
          <w:sz w:val="26"/>
          <w:szCs w:val="24"/>
        </w:rPr>
        <w:t xml:space="preserve"> telephonic hearing on October 20, 2011.  </w:t>
      </w:r>
      <w:r w:rsidR="00377F25">
        <w:rPr>
          <w:sz w:val="26"/>
          <w:szCs w:val="24"/>
        </w:rPr>
        <w:t xml:space="preserve">The </w:t>
      </w:r>
      <w:r w:rsidRPr="0051475B">
        <w:rPr>
          <w:sz w:val="26"/>
          <w:szCs w:val="24"/>
        </w:rPr>
        <w:t xml:space="preserve">Complainant appeared </w:t>
      </w:r>
      <w:r w:rsidRPr="0051475B">
        <w:rPr>
          <w:i/>
          <w:sz w:val="26"/>
          <w:szCs w:val="24"/>
        </w:rPr>
        <w:t>pro se</w:t>
      </w:r>
      <w:r w:rsidRPr="0051475B">
        <w:rPr>
          <w:sz w:val="26"/>
          <w:szCs w:val="24"/>
        </w:rPr>
        <w:t xml:space="preserve">.  </w:t>
      </w:r>
      <w:r w:rsidR="00377F25">
        <w:rPr>
          <w:sz w:val="26"/>
          <w:szCs w:val="24"/>
        </w:rPr>
        <w:t>UGI PNG was represented by counsel</w:t>
      </w:r>
      <w:r w:rsidRPr="0051475B">
        <w:rPr>
          <w:sz w:val="26"/>
          <w:szCs w:val="24"/>
        </w:rPr>
        <w:t xml:space="preserve"> </w:t>
      </w:r>
      <w:r w:rsidR="00377F25">
        <w:rPr>
          <w:sz w:val="26"/>
          <w:szCs w:val="24"/>
        </w:rPr>
        <w:t xml:space="preserve">and presented </w:t>
      </w:r>
      <w:r w:rsidRPr="0051475B">
        <w:rPr>
          <w:sz w:val="26"/>
          <w:szCs w:val="24"/>
        </w:rPr>
        <w:t xml:space="preserve">three exhibits </w:t>
      </w:r>
      <w:r w:rsidR="00377F25">
        <w:rPr>
          <w:sz w:val="26"/>
          <w:szCs w:val="24"/>
        </w:rPr>
        <w:t xml:space="preserve">that were admitted into </w:t>
      </w:r>
      <w:r w:rsidRPr="0051475B">
        <w:rPr>
          <w:sz w:val="26"/>
          <w:szCs w:val="24"/>
        </w:rPr>
        <w:t xml:space="preserve">the record.  The hearing generated </w:t>
      </w:r>
      <w:r w:rsidR="00377F25">
        <w:rPr>
          <w:sz w:val="26"/>
          <w:szCs w:val="24"/>
        </w:rPr>
        <w:t>thirty-nine</w:t>
      </w:r>
      <w:r w:rsidRPr="0051475B">
        <w:rPr>
          <w:sz w:val="26"/>
          <w:szCs w:val="24"/>
        </w:rPr>
        <w:t xml:space="preserve"> pages of testimony.  No briefs were filed.  The record </w:t>
      </w:r>
      <w:r w:rsidR="00377F25">
        <w:rPr>
          <w:sz w:val="26"/>
          <w:szCs w:val="24"/>
        </w:rPr>
        <w:t xml:space="preserve">was </w:t>
      </w:r>
      <w:r w:rsidRPr="0051475B">
        <w:rPr>
          <w:sz w:val="26"/>
          <w:szCs w:val="24"/>
        </w:rPr>
        <w:t>closed on November 21, 2011.</w:t>
      </w:r>
    </w:p>
    <w:p w:rsidR="00655657" w:rsidRDefault="00655657" w:rsidP="0051475B">
      <w:pPr>
        <w:widowControl/>
        <w:spacing w:line="360" w:lineRule="auto"/>
        <w:rPr>
          <w:sz w:val="26"/>
          <w:szCs w:val="24"/>
        </w:rPr>
      </w:pPr>
    </w:p>
    <w:p w:rsidR="00655657" w:rsidRDefault="00655657" w:rsidP="004931C7">
      <w:pPr>
        <w:widowControl/>
        <w:spacing w:line="360" w:lineRule="auto"/>
        <w:rPr>
          <w:sz w:val="26"/>
          <w:szCs w:val="24"/>
        </w:rPr>
      </w:pPr>
      <w:r>
        <w:rPr>
          <w:sz w:val="26"/>
          <w:szCs w:val="24"/>
        </w:rPr>
        <w:tab/>
      </w:r>
      <w:r>
        <w:rPr>
          <w:sz w:val="26"/>
          <w:szCs w:val="24"/>
        </w:rPr>
        <w:tab/>
      </w:r>
      <w:r w:rsidR="004931C7">
        <w:rPr>
          <w:sz w:val="26"/>
          <w:szCs w:val="24"/>
        </w:rPr>
        <w:t xml:space="preserve">In the Initial Decision, issued on December 8, 2011, ALJ Corbett found that the Complainant failed to meet his burden of proof and denied the Complaint.  </w:t>
      </w:r>
      <w:r>
        <w:rPr>
          <w:sz w:val="26"/>
          <w:szCs w:val="24"/>
        </w:rPr>
        <w:t xml:space="preserve">As </w:t>
      </w:r>
      <w:r>
        <w:rPr>
          <w:sz w:val="26"/>
          <w:szCs w:val="24"/>
        </w:rPr>
        <w:lastRenderedPageBreak/>
        <w:t>previously indicated, the Complainant filed Exceptions on December 21, 2011.</w:t>
      </w:r>
      <w:r>
        <w:rPr>
          <w:rStyle w:val="FootnoteReference"/>
          <w:sz w:val="26"/>
          <w:szCs w:val="24"/>
        </w:rPr>
        <w:footnoteReference w:id="2"/>
      </w:r>
      <w:r w:rsidR="00A030DD">
        <w:rPr>
          <w:sz w:val="26"/>
          <w:szCs w:val="24"/>
        </w:rPr>
        <w:t xml:space="preserve">  UGI PNG filed Replies to Exceptions on January 9, 2012.  </w:t>
      </w:r>
    </w:p>
    <w:p w:rsidR="008F2510" w:rsidRDefault="008F2510" w:rsidP="0051475B">
      <w:pPr>
        <w:widowControl/>
        <w:spacing w:line="360" w:lineRule="auto"/>
        <w:rPr>
          <w:sz w:val="26"/>
          <w:szCs w:val="24"/>
        </w:rPr>
      </w:pPr>
    </w:p>
    <w:p w:rsidR="00CA43A5" w:rsidRPr="00CA43A5" w:rsidRDefault="00CA43A5" w:rsidP="008F2510">
      <w:pPr>
        <w:widowControl/>
        <w:spacing w:line="360" w:lineRule="auto"/>
        <w:jc w:val="center"/>
        <w:rPr>
          <w:sz w:val="26"/>
          <w:szCs w:val="26"/>
        </w:rPr>
      </w:pPr>
      <w:r w:rsidRPr="00CA43A5">
        <w:rPr>
          <w:b/>
          <w:sz w:val="26"/>
          <w:szCs w:val="26"/>
        </w:rPr>
        <w:t>Discussion</w:t>
      </w:r>
    </w:p>
    <w:p w:rsidR="0043592C" w:rsidRDefault="0043592C" w:rsidP="0043592C">
      <w:pPr>
        <w:spacing w:line="360" w:lineRule="auto"/>
        <w:ind w:firstLine="1440"/>
        <w:rPr>
          <w:sz w:val="26"/>
          <w:szCs w:val="26"/>
        </w:rPr>
      </w:pPr>
    </w:p>
    <w:p w:rsidR="0043592C" w:rsidRDefault="0043592C" w:rsidP="0043592C">
      <w:pPr>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CE7C2C">
        <w:rPr>
          <w:sz w:val="26"/>
          <w:szCs w:val="26"/>
        </w:rPr>
        <w:t xml:space="preserve">Public Utility </w:t>
      </w:r>
      <w:r w:rsidRPr="00CA43A5">
        <w:rPr>
          <w:sz w:val="26"/>
          <w:szCs w:val="26"/>
        </w:rPr>
        <w:t>Code</w:t>
      </w:r>
      <w:r w:rsidR="00CE7C2C">
        <w:rPr>
          <w:sz w:val="26"/>
          <w:szCs w:val="26"/>
        </w:rPr>
        <w:t xml:space="preserve"> (Code),</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CA43A5">
      <w:pPr>
        <w:spacing w:line="360" w:lineRule="auto"/>
        <w:rPr>
          <w:sz w:val="26"/>
          <w:szCs w:val="26"/>
        </w:rPr>
      </w:pPr>
    </w:p>
    <w:p w:rsidR="00154CB6" w:rsidRDefault="00670BFD" w:rsidP="00885263">
      <w:pPr>
        <w:spacing w:line="360" w:lineRule="auto"/>
        <w:ind w:firstLine="1440"/>
        <w:rPr>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going forward with the evidence to rebut the evidence of the customer</w:t>
      </w:r>
      <w:r>
        <w:rPr>
          <w:sz w:val="26"/>
        </w:rPr>
        <w:t xml:space="preserve"> shifts</w:t>
      </w:r>
      <w:r w:rsidRPr="00472547">
        <w:rPr>
          <w:sz w:val="26"/>
        </w:rPr>
        <w:t xml:space="preserve"> to the respondent. </w:t>
      </w:r>
      <w:r w:rsidR="002E23A4">
        <w:rPr>
          <w:sz w:val="26"/>
        </w:rPr>
        <w:t xml:space="preserve"> </w:t>
      </w:r>
      <w:r w:rsidRPr="00472547">
        <w:rPr>
          <w:sz w:val="26"/>
        </w:rPr>
        <w:t xml:space="preserve">If the evidence presented by the </w:t>
      </w:r>
      <w:r w:rsidRPr="00472547">
        <w:rPr>
          <w:sz w:val="26"/>
        </w:rPr>
        <w:lastRenderedPageBreak/>
        <w:t>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2E23A4">
        <w:rPr>
          <w:sz w:val="26"/>
        </w:rPr>
        <w:t xml:space="preserve"> </w:t>
      </w:r>
      <w:r w:rsidRPr="00472547">
        <w:rPr>
          <w:sz w:val="26"/>
        </w:rPr>
        <w:t>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w:t>
        </w:r>
        <w:r w:rsidR="007B5F19">
          <w:rPr>
            <w:rStyle w:val="Hyperlink"/>
            <w:rFonts w:ascii="Times New (W1)" w:hAnsi="Times New (W1)"/>
            <w:iCs/>
            <w:color w:val="auto"/>
            <w:sz w:val="26"/>
            <w:u w:val="none"/>
          </w:rPr>
          <w:t xml:space="preserve">              </w:t>
        </w:r>
        <w:r w:rsidR="00195F2E" w:rsidRPr="00154CB6">
          <w:rPr>
            <w:rStyle w:val="Hyperlink"/>
            <w:rFonts w:ascii="Times New (W1)" w:hAnsi="Times New (W1)"/>
            <w:iCs/>
            <w:color w:val="auto"/>
            <w:sz w:val="26"/>
            <w:u w:val="none"/>
          </w:rPr>
          <w:t>501 Pa. 433, 461 A.2d 1234 (1983).</w:t>
        </w:r>
      </w:hyperlink>
      <w:r w:rsidR="00F93FC0">
        <w:rPr>
          <w:rStyle w:val="Hyperlink"/>
          <w:rFonts w:ascii="Times New (W1)" w:hAnsi="Times New (W1)"/>
          <w:iCs/>
          <w:color w:val="auto"/>
          <w:sz w:val="26"/>
          <w:u w:val="none"/>
        </w:rPr>
        <w:t xml:space="preserve">  </w:t>
      </w:r>
      <w:r w:rsidRPr="00182752">
        <w:rPr>
          <w:sz w:val="26"/>
        </w:rPr>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w:t>
      </w:r>
      <w:r w:rsidR="007B5F19">
        <w:rPr>
          <w:rStyle w:val="term1"/>
          <w:b w:val="0"/>
          <w:bCs w:val="0"/>
          <w:sz w:val="26"/>
        </w:rPr>
        <w:t xml:space="preserve"> </w:t>
      </w:r>
      <w:r w:rsidRPr="008F16A1">
        <w:rPr>
          <w:rStyle w:val="term1"/>
          <w:b w:val="0"/>
          <w:bCs w:val="0"/>
          <w:sz w:val="26"/>
        </w:rPr>
        <w:t xml:space="preserve">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154CB6" w:rsidRPr="00CA43A5" w:rsidRDefault="00154CB6" w:rsidP="00CA43A5">
      <w:pPr>
        <w:spacing w:line="360" w:lineRule="auto"/>
        <w:rPr>
          <w:i/>
          <w:sz w:val="26"/>
          <w:szCs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2E23A4">
        <w:rPr>
          <w:sz w:val="26"/>
          <w:szCs w:val="26"/>
        </w:rPr>
        <w:t>Corbett</w:t>
      </w:r>
      <w:r w:rsidRPr="00CA43A5">
        <w:rPr>
          <w:sz w:val="26"/>
          <w:szCs w:val="26"/>
        </w:rPr>
        <w:t xml:space="preserve"> made </w:t>
      </w:r>
      <w:r w:rsidR="002E23A4">
        <w:rPr>
          <w:sz w:val="26"/>
          <w:szCs w:val="26"/>
        </w:rPr>
        <w:t>fourteen</w:t>
      </w:r>
      <w:r w:rsidRPr="00CA43A5">
        <w:rPr>
          <w:sz w:val="26"/>
          <w:szCs w:val="26"/>
        </w:rPr>
        <w:t xml:space="preserve"> Findings of Fact and reached </w:t>
      </w:r>
      <w:r w:rsidR="002E23A4">
        <w:rPr>
          <w:sz w:val="26"/>
          <w:szCs w:val="26"/>
        </w:rPr>
        <w:t xml:space="preserve">three </w:t>
      </w:r>
      <w:r w:rsidRPr="00CA43A5">
        <w:rPr>
          <w:sz w:val="26"/>
          <w:szCs w:val="26"/>
        </w:rPr>
        <w:t xml:space="preserve">Conclusions of Law.  </w:t>
      </w:r>
      <w:r w:rsidR="002E23A4">
        <w:rPr>
          <w:sz w:val="26"/>
          <w:szCs w:val="26"/>
        </w:rPr>
        <w:t xml:space="preserve">I.D. at 2-3, 6.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214B3E" w:rsidRPr="002A6750" w:rsidRDefault="00006F35" w:rsidP="00214B3E">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w:t>
        </w:r>
        <w:r w:rsidR="007B5F19">
          <w:rPr>
            <w:rStyle w:val="Emphasis"/>
            <w:color w:val="000000"/>
            <w:sz w:val="26"/>
            <w:szCs w:val="26"/>
          </w:rPr>
          <w:t xml:space="preserve">  </w:t>
        </w:r>
        <w:r w:rsidR="002A6750" w:rsidRPr="002A6750">
          <w:rPr>
            <w:rStyle w:val="Emphasis"/>
            <w:color w:val="000000"/>
            <w:sz w:val="26"/>
            <w:szCs w:val="26"/>
          </w:rPr>
          <w:t xml:space="preserve">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006F35">
      <w:pPr>
        <w:spacing w:line="360" w:lineRule="auto"/>
        <w:ind w:firstLine="1440"/>
        <w:rPr>
          <w:sz w:val="26"/>
          <w:szCs w:val="26"/>
        </w:rPr>
      </w:pPr>
    </w:p>
    <w:p w:rsidR="00006F35" w:rsidRDefault="00006F35" w:rsidP="00006F35">
      <w:pPr>
        <w:spacing w:line="360" w:lineRule="auto"/>
        <w:ind w:firstLine="1440"/>
        <w:rPr>
          <w:b/>
          <w:sz w:val="26"/>
          <w:szCs w:val="26"/>
        </w:rPr>
      </w:pPr>
      <w:r>
        <w:rPr>
          <w:b/>
          <w:sz w:val="26"/>
          <w:szCs w:val="26"/>
        </w:rPr>
        <w:t>ALJ’s Recommendation</w:t>
      </w:r>
    </w:p>
    <w:p w:rsidR="00006F35" w:rsidRDefault="00006F35" w:rsidP="00006F35">
      <w:pPr>
        <w:spacing w:line="360" w:lineRule="auto"/>
        <w:ind w:firstLine="1440"/>
        <w:rPr>
          <w:b/>
          <w:sz w:val="26"/>
          <w:szCs w:val="26"/>
        </w:rPr>
      </w:pPr>
    </w:p>
    <w:p w:rsidR="004B07B9" w:rsidRDefault="00FC5E92" w:rsidP="00006F35">
      <w:pPr>
        <w:spacing w:line="360" w:lineRule="auto"/>
        <w:ind w:firstLine="1440"/>
        <w:rPr>
          <w:sz w:val="26"/>
          <w:szCs w:val="26"/>
        </w:rPr>
      </w:pPr>
      <w:r>
        <w:rPr>
          <w:sz w:val="26"/>
          <w:szCs w:val="26"/>
        </w:rPr>
        <w:t xml:space="preserve">In the Initial Decision, ALJ Corbett </w:t>
      </w:r>
      <w:r w:rsidR="00EB1383">
        <w:rPr>
          <w:sz w:val="26"/>
          <w:szCs w:val="26"/>
        </w:rPr>
        <w:t>determined</w:t>
      </w:r>
      <w:r>
        <w:rPr>
          <w:sz w:val="26"/>
          <w:szCs w:val="26"/>
        </w:rPr>
        <w:t xml:space="preserve"> that</w:t>
      </w:r>
      <w:r w:rsidR="008D3B80">
        <w:rPr>
          <w:sz w:val="26"/>
          <w:szCs w:val="26"/>
        </w:rPr>
        <w:t>,</w:t>
      </w:r>
      <w:r>
        <w:rPr>
          <w:sz w:val="26"/>
          <w:szCs w:val="26"/>
        </w:rPr>
        <w:t xml:space="preserve"> based on </w:t>
      </w:r>
      <w:r w:rsidR="008D3B80">
        <w:rPr>
          <w:sz w:val="26"/>
          <w:szCs w:val="26"/>
        </w:rPr>
        <w:t xml:space="preserve">a plain reading of Section 1529.1 of the Code, 66 Pa. C.S. § 1529.1, </w:t>
      </w:r>
      <w:r>
        <w:rPr>
          <w:sz w:val="26"/>
          <w:szCs w:val="26"/>
        </w:rPr>
        <w:t xml:space="preserve">the applicable </w:t>
      </w:r>
      <w:r w:rsidR="00B57849">
        <w:rPr>
          <w:sz w:val="26"/>
          <w:szCs w:val="26"/>
        </w:rPr>
        <w:t xml:space="preserve">Commission </w:t>
      </w:r>
    </w:p>
    <w:p w:rsidR="00715FA6" w:rsidRDefault="00B57849" w:rsidP="004B07B9">
      <w:pPr>
        <w:spacing w:line="360" w:lineRule="auto"/>
        <w:rPr>
          <w:b/>
          <w:sz w:val="26"/>
          <w:szCs w:val="26"/>
        </w:rPr>
      </w:pPr>
      <w:r>
        <w:rPr>
          <w:sz w:val="26"/>
          <w:szCs w:val="26"/>
        </w:rPr>
        <w:t>decisions,</w:t>
      </w:r>
      <w:r w:rsidR="004B07B9">
        <w:rPr>
          <w:rStyle w:val="FootnoteReference"/>
          <w:sz w:val="26"/>
          <w:szCs w:val="26"/>
        </w:rPr>
        <w:footnoteReference w:id="3"/>
      </w:r>
      <w:r w:rsidR="00FC5E92">
        <w:rPr>
          <w:sz w:val="26"/>
          <w:szCs w:val="26"/>
        </w:rPr>
        <w:t xml:space="preserve"> and the evidence in this case, UGI PNG acted properly in placing the first </w:t>
      </w:r>
      <w:r w:rsidR="00FC5E92">
        <w:rPr>
          <w:sz w:val="26"/>
          <w:szCs w:val="26"/>
        </w:rPr>
        <w:lastRenderedPageBreak/>
        <w:t>floor tenant’s account in the Complainant’s name</w:t>
      </w:r>
      <w:r w:rsidR="00CE7C2C">
        <w:rPr>
          <w:sz w:val="26"/>
          <w:szCs w:val="26"/>
        </w:rPr>
        <w:t>.</w:t>
      </w:r>
      <w:r>
        <w:rPr>
          <w:sz w:val="26"/>
          <w:szCs w:val="26"/>
        </w:rPr>
        <w:t xml:space="preserve">  </w:t>
      </w:r>
      <w:r w:rsidR="00B6706C">
        <w:rPr>
          <w:sz w:val="26"/>
          <w:szCs w:val="26"/>
        </w:rPr>
        <w:t xml:space="preserve">I.D. at 6.  </w:t>
      </w:r>
      <w:r>
        <w:rPr>
          <w:sz w:val="26"/>
          <w:szCs w:val="26"/>
        </w:rPr>
        <w:t xml:space="preserve">The ALJ </w:t>
      </w:r>
      <w:r w:rsidR="00EB1383">
        <w:rPr>
          <w:sz w:val="26"/>
          <w:szCs w:val="26"/>
        </w:rPr>
        <w:t>concluded</w:t>
      </w:r>
      <w:r>
        <w:rPr>
          <w:sz w:val="26"/>
          <w:szCs w:val="26"/>
        </w:rPr>
        <w:t xml:space="preserve"> that substantial evidence </w:t>
      </w:r>
      <w:r w:rsidR="00B6706C">
        <w:rPr>
          <w:sz w:val="26"/>
          <w:szCs w:val="26"/>
        </w:rPr>
        <w:t xml:space="preserve">supported UGI PNG’s finding that a foreign load existed on the first floor tenant’s meter on April 21, 2010, as UGI PNG’s technician found that a gas-fired water heater on the first floor was also furnishing hot water to the second floor apartment.  I.D. at 5; Tr. at 12-13, 30-32; UGI PNG Exhs. II and III.  </w:t>
      </w:r>
      <w:r w:rsidR="00EB1383">
        <w:rPr>
          <w:sz w:val="26"/>
          <w:szCs w:val="26"/>
        </w:rPr>
        <w:t>The ALJ also concluded that</w:t>
      </w:r>
      <w:r w:rsidR="00BF43DA">
        <w:rPr>
          <w:sz w:val="26"/>
          <w:szCs w:val="26"/>
        </w:rPr>
        <w:t xml:space="preserve"> the Complainant did not deny that the foreign load existed on April 21, 2010, and did not present any evidence to the contrary.  </w:t>
      </w:r>
      <w:proofErr w:type="gramStart"/>
      <w:r w:rsidR="00BF43DA">
        <w:rPr>
          <w:sz w:val="26"/>
          <w:szCs w:val="26"/>
        </w:rPr>
        <w:t>I.D. at 6.</w:t>
      </w:r>
      <w:proofErr w:type="gramEnd"/>
      <w:r w:rsidR="00BF43DA">
        <w:rPr>
          <w:sz w:val="26"/>
          <w:szCs w:val="26"/>
        </w:rPr>
        <w:t xml:space="preserve">  </w:t>
      </w:r>
      <w:r w:rsidR="001E2C66">
        <w:rPr>
          <w:sz w:val="26"/>
          <w:szCs w:val="26"/>
        </w:rPr>
        <w:t xml:space="preserve">  </w:t>
      </w:r>
      <w:r w:rsidR="001E2C66">
        <w:rPr>
          <w:sz w:val="26"/>
          <w:szCs w:val="26"/>
        </w:rPr>
        <w:br/>
        <w:t xml:space="preserve"> </w:t>
      </w:r>
      <w:r w:rsidR="00BF43DA">
        <w:rPr>
          <w:sz w:val="26"/>
          <w:szCs w:val="26"/>
        </w:rPr>
        <w:t xml:space="preserve"> </w:t>
      </w:r>
      <w:r w:rsidR="00EB1383">
        <w:rPr>
          <w:sz w:val="26"/>
          <w:szCs w:val="26"/>
        </w:rPr>
        <w:t xml:space="preserve">  </w:t>
      </w:r>
      <w:r w:rsidR="00B6706C">
        <w:rPr>
          <w:sz w:val="26"/>
          <w:szCs w:val="26"/>
        </w:rPr>
        <w:t xml:space="preserve"> </w:t>
      </w:r>
      <w:r w:rsidR="00CE7C2C">
        <w:rPr>
          <w:sz w:val="26"/>
          <w:szCs w:val="26"/>
        </w:rPr>
        <w:t xml:space="preserve">  </w:t>
      </w:r>
      <w:r w:rsidR="00FC5E92">
        <w:rPr>
          <w:sz w:val="26"/>
          <w:szCs w:val="26"/>
        </w:rPr>
        <w:t xml:space="preserve">  </w:t>
      </w:r>
    </w:p>
    <w:p w:rsidR="00006F35" w:rsidRPr="00006F35" w:rsidRDefault="00006F35" w:rsidP="00006F35">
      <w:pPr>
        <w:spacing w:line="360" w:lineRule="auto"/>
        <w:ind w:firstLine="1440"/>
        <w:rPr>
          <w:b/>
          <w:sz w:val="26"/>
          <w:szCs w:val="26"/>
        </w:rPr>
      </w:pPr>
      <w:r>
        <w:rPr>
          <w:b/>
          <w:sz w:val="26"/>
          <w:szCs w:val="26"/>
        </w:rPr>
        <w:t>Positions of the Parties</w:t>
      </w:r>
    </w:p>
    <w:p w:rsidR="00024D5A" w:rsidRDefault="00024D5A" w:rsidP="00CA43A5">
      <w:pPr>
        <w:spacing w:line="360" w:lineRule="auto"/>
        <w:ind w:firstLine="1440"/>
        <w:rPr>
          <w:sz w:val="26"/>
          <w:szCs w:val="26"/>
        </w:rPr>
      </w:pPr>
    </w:p>
    <w:p w:rsidR="00D45FFE" w:rsidRDefault="00024D5A" w:rsidP="00CA43A5">
      <w:pPr>
        <w:spacing w:line="360" w:lineRule="auto"/>
        <w:ind w:firstLine="1440"/>
        <w:rPr>
          <w:sz w:val="26"/>
          <w:szCs w:val="26"/>
        </w:rPr>
      </w:pPr>
      <w:r>
        <w:rPr>
          <w:sz w:val="26"/>
          <w:szCs w:val="26"/>
        </w:rPr>
        <w:t xml:space="preserve">In his Exceptions, the Complainant avers that UGI PNG’s actions of placing the tenant’s account in his name did not protect the tenant, but were a scam used by UGI PNG to obtain payment for natural gas bills that the tenant would not have paid.  The Complainant also avers that he should not be responsible for the tenant’s entire account balance because the </w:t>
      </w:r>
      <w:r w:rsidR="00D45FFE">
        <w:rPr>
          <w:sz w:val="26"/>
          <w:szCs w:val="26"/>
        </w:rPr>
        <w:t xml:space="preserve">amount of </w:t>
      </w:r>
      <w:r>
        <w:rPr>
          <w:sz w:val="26"/>
          <w:szCs w:val="26"/>
        </w:rPr>
        <w:t>natural gas used for hot water</w:t>
      </w:r>
      <w:r w:rsidR="00D45FFE">
        <w:rPr>
          <w:sz w:val="26"/>
          <w:szCs w:val="26"/>
        </w:rPr>
        <w:t xml:space="preserve"> is a small portion of the bill.  Furthermore, the Complainant states that the previous gas company determined that he corrected the foreign load situation that existed at the property in 2006.</w:t>
      </w:r>
      <w:r w:rsidR="00224218">
        <w:rPr>
          <w:sz w:val="26"/>
          <w:szCs w:val="26"/>
        </w:rPr>
        <w:t xml:space="preserve">  Exc. at 1.</w:t>
      </w:r>
    </w:p>
    <w:p w:rsidR="00D45FFE" w:rsidRDefault="00D45FFE" w:rsidP="00CA43A5">
      <w:pPr>
        <w:spacing w:line="360" w:lineRule="auto"/>
        <w:ind w:firstLine="1440"/>
        <w:rPr>
          <w:sz w:val="26"/>
          <w:szCs w:val="26"/>
        </w:rPr>
      </w:pPr>
    </w:p>
    <w:p w:rsidR="00AE47DB" w:rsidRDefault="00D45FFE" w:rsidP="00CA43A5">
      <w:pPr>
        <w:spacing w:line="360" w:lineRule="auto"/>
        <w:ind w:firstLine="1440"/>
        <w:rPr>
          <w:sz w:val="26"/>
          <w:szCs w:val="26"/>
        </w:rPr>
      </w:pPr>
      <w:r>
        <w:rPr>
          <w:sz w:val="26"/>
          <w:szCs w:val="26"/>
        </w:rPr>
        <w:t xml:space="preserve">  </w:t>
      </w:r>
      <w:r w:rsidR="00024D5A">
        <w:rPr>
          <w:sz w:val="26"/>
          <w:szCs w:val="26"/>
        </w:rPr>
        <w:t xml:space="preserve">  </w:t>
      </w:r>
      <w:r w:rsidR="001F5292">
        <w:rPr>
          <w:sz w:val="26"/>
          <w:szCs w:val="26"/>
        </w:rPr>
        <w:t xml:space="preserve">In its Replies to Exceptions, UGI PNG states that, as the owner and landlord of the property in question, the Complainant is responsible for the tenant’s entire account once foreign load is verified in accordance with Section 1529.1 of the Code, </w:t>
      </w:r>
      <w:r w:rsidR="0024419F">
        <w:rPr>
          <w:sz w:val="26"/>
          <w:szCs w:val="26"/>
        </w:rPr>
        <w:t xml:space="preserve">    </w:t>
      </w:r>
      <w:r w:rsidR="001F5292">
        <w:rPr>
          <w:sz w:val="26"/>
          <w:szCs w:val="26"/>
        </w:rPr>
        <w:t xml:space="preserve">66 Pa. C.S. § 1529.1.  R.Exc. at 1.  UGI PNG avers that a landlord is responsible for paying the utility bills until the foreign load is corrected and the utility places the account back in the tenant’s name.  </w:t>
      </w:r>
      <w:r w:rsidR="001F5292">
        <w:rPr>
          <w:i/>
          <w:sz w:val="26"/>
          <w:szCs w:val="26"/>
        </w:rPr>
        <w:t xml:space="preserve">Id. </w:t>
      </w:r>
      <w:r w:rsidR="001F5292">
        <w:rPr>
          <w:sz w:val="26"/>
          <w:szCs w:val="26"/>
        </w:rPr>
        <w:t xml:space="preserve">at 1-2.  It further avers that the arrearage must remain with the landlord as it did in this case.  </w:t>
      </w:r>
      <w:r w:rsidR="0087282C">
        <w:rPr>
          <w:sz w:val="26"/>
          <w:szCs w:val="26"/>
        </w:rPr>
        <w:t>As such, UGI PNG states that it followed the Code by transferring the first floor tenant’s account to the Complainant</w:t>
      </w:r>
      <w:r w:rsidR="00781571">
        <w:rPr>
          <w:sz w:val="26"/>
          <w:szCs w:val="26"/>
        </w:rPr>
        <w:t xml:space="preserve"> once its service technician found that a gas-fired water heater on the first floor was also furnishing hot water to the second floor apartment</w:t>
      </w:r>
      <w:r w:rsidR="0087282C">
        <w:rPr>
          <w:sz w:val="26"/>
          <w:szCs w:val="26"/>
        </w:rPr>
        <w:t xml:space="preserve">.  </w:t>
      </w:r>
      <w:r w:rsidR="00846E83">
        <w:rPr>
          <w:i/>
          <w:sz w:val="26"/>
          <w:szCs w:val="26"/>
        </w:rPr>
        <w:t>Id</w:t>
      </w:r>
      <w:r w:rsidR="00846E83">
        <w:rPr>
          <w:sz w:val="26"/>
          <w:szCs w:val="26"/>
        </w:rPr>
        <w:t>. at 2.</w:t>
      </w:r>
      <w:r w:rsidR="00781571">
        <w:rPr>
          <w:sz w:val="26"/>
          <w:szCs w:val="26"/>
        </w:rPr>
        <w:t xml:space="preserve">  According to UGI PNG, the Complainant did not deny that a foreign load existed on the first floor tenant’s meter on April 21, 2010, and there is </w:t>
      </w:r>
      <w:r w:rsidR="00781571">
        <w:rPr>
          <w:sz w:val="26"/>
          <w:szCs w:val="26"/>
        </w:rPr>
        <w:lastRenderedPageBreak/>
        <w:t xml:space="preserve">no evidence in the record that disputes the existence of foreign load on that date.  </w:t>
      </w:r>
      <w:r w:rsidR="009419FA">
        <w:rPr>
          <w:i/>
          <w:sz w:val="26"/>
          <w:szCs w:val="26"/>
        </w:rPr>
        <w:t>Id</w:t>
      </w:r>
      <w:r w:rsidR="009419FA">
        <w:rPr>
          <w:sz w:val="26"/>
          <w:szCs w:val="26"/>
        </w:rPr>
        <w:t xml:space="preserve">. at 3.  </w:t>
      </w:r>
      <w:r w:rsidR="00781571">
        <w:rPr>
          <w:sz w:val="26"/>
          <w:szCs w:val="26"/>
        </w:rPr>
        <w:t xml:space="preserve">       </w:t>
      </w:r>
      <w:r w:rsidR="00846E83">
        <w:rPr>
          <w:sz w:val="26"/>
          <w:szCs w:val="26"/>
        </w:rPr>
        <w:t xml:space="preserve">  </w:t>
      </w:r>
      <w:r w:rsidR="001F5292">
        <w:rPr>
          <w:sz w:val="26"/>
          <w:szCs w:val="26"/>
        </w:rPr>
        <w:t xml:space="preserve">       </w:t>
      </w:r>
      <w:r w:rsidR="00024D5A">
        <w:rPr>
          <w:sz w:val="26"/>
          <w:szCs w:val="26"/>
        </w:rPr>
        <w:t xml:space="preserve"> </w:t>
      </w:r>
    </w:p>
    <w:p w:rsidR="00AE47DB" w:rsidRDefault="00AE47DB" w:rsidP="00CA43A5">
      <w:pPr>
        <w:spacing w:line="360" w:lineRule="auto"/>
        <w:ind w:firstLine="1440"/>
        <w:rPr>
          <w:sz w:val="26"/>
          <w:szCs w:val="26"/>
        </w:rPr>
      </w:pPr>
    </w:p>
    <w:p w:rsidR="00006F35" w:rsidRPr="00006F35" w:rsidRDefault="00006F35" w:rsidP="00CA43A5">
      <w:pPr>
        <w:spacing w:line="360" w:lineRule="auto"/>
        <w:ind w:firstLine="1440"/>
        <w:rPr>
          <w:b/>
          <w:sz w:val="26"/>
          <w:szCs w:val="26"/>
        </w:rPr>
      </w:pPr>
      <w:r w:rsidRPr="00006F35">
        <w:rPr>
          <w:b/>
          <w:sz w:val="26"/>
          <w:szCs w:val="26"/>
        </w:rPr>
        <w:t>Disposition</w:t>
      </w:r>
    </w:p>
    <w:p w:rsidR="00006F35" w:rsidRDefault="00181F6E" w:rsidP="00181F6E">
      <w:pPr>
        <w:spacing w:line="360" w:lineRule="auto"/>
        <w:rPr>
          <w:b/>
          <w:sz w:val="26"/>
          <w:szCs w:val="26"/>
        </w:rPr>
      </w:pPr>
      <w:r>
        <w:rPr>
          <w:b/>
          <w:sz w:val="26"/>
          <w:szCs w:val="26"/>
        </w:rPr>
        <w:tab/>
      </w:r>
      <w:r>
        <w:rPr>
          <w:b/>
          <w:sz w:val="26"/>
          <w:szCs w:val="26"/>
        </w:rPr>
        <w:tab/>
      </w:r>
    </w:p>
    <w:p w:rsidR="006B22C2" w:rsidRDefault="00A030DD" w:rsidP="00A030DD">
      <w:pPr>
        <w:spacing w:line="360" w:lineRule="auto"/>
        <w:ind w:firstLine="1440"/>
        <w:rPr>
          <w:sz w:val="26"/>
          <w:szCs w:val="26"/>
        </w:rPr>
      </w:pPr>
      <w:r>
        <w:rPr>
          <w:sz w:val="26"/>
          <w:szCs w:val="26"/>
        </w:rPr>
        <w:t xml:space="preserve">We agree with the ALJ’s determination that, based on a plain reading of Section 1529.1 of the Code, 66 Pa. C.S. § 1529.1, the applicable Commission decisions, and the evidence in this case, UGI PNG appropriately placed the first floor tenant’s account in the Complainant’s name.  </w:t>
      </w:r>
      <w:r w:rsidR="006B22C2">
        <w:rPr>
          <w:sz w:val="26"/>
          <w:szCs w:val="26"/>
        </w:rPr>
        <w:t>Section 1529.1 of the Code, 66 Pa.</w:t>
      </w:r>
      <w:r w:rsidR="0024419F">
        <w:rPr>
          <w:sz w:val="26"/>
          <w:szCs w:val="26"/>
        </w:rPr>
        <w:t xml:space="preserve"> </w:t>
      </w:r>
      <w:r w:rsidR="006B22C2">
        <w:rPr>
          <w:sz w:val="26"/>
          <w:szCs w:val="26"/>
        </w:rPr>
        <w:t>C.S.</w:t>
      </w:r>
      <w:r w:rsidR="006B22C2" w:rsidRPr="006B22C2">
        <w:rPr>
          <w:sz w:val="26"/>
          <w:szCs w:val="26"/>
        </w:rPr>
        <w:t xml:space="preserve"> </w:t>
      </w:r>
      <w:r w:rsidR="006B22C2">
        <w:rPr>
          <w:sz w:val="26"/>
          <w:szCs w:val="26"/>
        </w:rPr>
        <w:t>§ 1529.1 s</w:t>
      </w:r>
      <w:r w:rsidR="00B378C2">
        <w:rPr>
          <w:sz w:val="26"/>
          <w:szCs w:val="26"/>
        </w:rPr>
        <w:t>tates</w:t>
      </w:r>
      <w:r w:rsidR="006B22C2">
        <w:rPr>
          <w:sz w:val="26"/>
          <w:szCs w:val="26"/>
        </w:rPr>
        <w:t xml:space="preserve"> the following:  </w:t>
      </w:r>
    </w:p>
    <w:p w:rsidR="006B22C2" w:rsidRDefault="006B22C2" w:rsidP="00A030DD">
      <w:pPr>
        <w:spacing w:line="360" w:lineRule="auto"/>
        <w:ind w:firstLine="1440"/>
        <w:rPr>
          <w:sz w:val="26"/>
          <w:szCs w:val="26"/>
        </w:rPr>
      </w:pPr>
    </w:p>
    <w:p w:rsidR="006B22C2" w:rsidRPr="0074786E" w:rsidRDefault="006B22C2" w:rsidP="006B22C2">
      <w:pPr>
        <w:autoSpaceDE w:val="0"/>
        <w:autoSpaceDN w:val="0"/>
        <w:adjustRightInd w:val="0"/>
        <w:ind w:left="1440" w:right="1440"/>
        <w:rPr>
          <w:b/>
          <w:bCs/>
          <w:color w:val="000000"/>
          <w:sz w:val="26"/>
          <w:szCs w:val="26"/>
        </w:rPr>
      </w:pPr>
      <w:r w:rsidRPr="0074786E">
        <w:rPr>
          <w:b/>
          <w:bCs/>
          <w:color w:val="000000"/>
          <w:sz w:val="26"/>
          <w:szCs w:val="26"/>
        </w:rPr>
        <w:t>§ 1529.1.</w:t>
      </w:r>
      <w:r>
        <w:rPr>
          <w:b/>
          <w:bCs/>
          <w:color w:val="000000"/>
          <w:sz w:val="26"/>
          <w:szCs w:val="26"/>
        </w:rPr>
        <w:t xml:space="preserve">  </w:t>
      </w:r>
      <w:r w:rsidRPr="0074786E">
        <w:rPr>
          <w:b/>
          <w:bCs/>
          <w:color w:val="000000"/>
          <w:sz w:val="26"/>
          <w:szCs w:val="26"/>
        </w:rPr>
        <w:t>Duty of owners of rental property.</w:t>
      </w:r>
    </w:p>
    <w:p w:rsidR="006B22C2" w:rsidRDefault="006B22C2" w:rsidP="006B22C2">
      <w:pPr>
        <w:autoSpaceDE w:val="0"/>
        <w:autoSpaceDN w:val="0"/>
        <w:adjustRightInd w:val="0"/>
        <w:ind w:left="1440" w:right="1440"/>
        <w:rPr>
          <w:b/>
          <w:bCs/>
          <w:color w:val="000000"/>
          <w:sz w:val="26"/>
          <w:szCs w:val="26"/>
        </w:rPr>
      </w:pPr>
    </w:p>
    <w:p w:rsidR="006B22C2" w:rsidRPr="0074786E" w:rsidRDefault="006B22C2" w:rsidP="006B22C2">
      <w:pPr>
        <w:autoSpaceDE w:val="0"/>
        <w:autoSpaceDN w:val="0"/>
        <w:adjustRightInd w:val="0"/>
        <w:ind w:left="1440" w:right="1440" w:firstLine="720"/>
        <w:rPr>
          <w:color w:val="000000"/>
          <w:sz w:val="26"/>
          <w:szCs w:val="26"/>
        </w:rPr>
      </w:pPr>
      <w:r w:rsidRPr="0074786E">
        <w:rPr>
          <w:b/>
          <w:bCs/>
          <w:color w:val="000000"/>
          <w:sz w:val="26"/>
          <w:szCs w:val="26"/>
        </w:rPr>
        <w:t xml:space="preserve">(a) </w:t>
      </w:r>
      <w:r>
        <w:rPr>
          <w:b/>
          <w:bCs/>
          <w:color w:val="000000"/>
          <w:sz w:val="26"/>
          <w:szCs w:val="26"/>
        </w:rPr>
        <w:t xml:space="preserve"> </w:t>
      </w:r>
      <w:r w:rsidRPr="0074786E">
        <w:rPr>
          <w:b/>
          <w:bCs/>
          <w:color w:val="000000"/>
          <w:sz w:val="26"/>
          <w:szCs w:val="26"/>
        </w:rPr>
        <w:t>Notice to public utility.</w:t>
      </w:r>
      <w:r>
        <w:rPr>
          <w:b/>
          <w:bCs/>
          <w:color w:val="000000"/>
          <w:sz w:val="26"/>
          <w:szCs w:val="26"/>
        </w:rPr>
        <w:t>—</w:t>
      </w:r>
      <w:r w:rsidRPr="0074786E">
        <w:rPr>
          <w:color w:val="000000"/>
          <w:sz w:val="26"/>
          <w:szCs w:val="26"/>
        </w:rPr>
        <w:t>It</w:t>
      </w:r>
      <w:r w:rsidR="00D051BD">
        <w:rPr>
          <w:color w:val="000000"/>
          <w:sz w:val="26"/>
          <w:szCs w:val="26"/>
        </w:rPr>
        <w:t xml:space="preserve"> </w:t>
      </w:r>
      <w:r w:rsidRPr="0074786E">
        <w:rPr>
          <w:color w:val="000000"/>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6B22C2" w:rsidRPr="0074786E" w:rsidRDefault="006B22C2" w:rsidP="006B22C2">
      <w:pPr>
        <w:autoSpaceDE w:val="0"/>
        <w:autoSpaceDN w:val="0"/>
        <w:adjustRightInd w:val="0"/>
        <w:ind w:left="1440" w:right="1440"/>
        <w:rPr>
          <w:b/>
          <w:bCs/>
          <w:color w:val="000000"/>
          <w:sz w:val="26"/>
          <w:szCs w:val="26"/>
        </w:rPr>
      </w:pPr>
    </w:p>
    <w:p w:rsidR="006B22C2" w:rsidRPr="0074786E" w:rsidRDefault="006B22C2" w:rsidP="006B22C2">
      <w:pPr>
        <w:ind w:left="1440" w:right="1440" w:firstLine="720"/>
        <w:rPr>
          <w:color w:val="000000"/>
          <w:sz w:val="26"/>
          <w:szCs w:val="26"/>
        </w:rPr>
      </w:pPr>
      <w:r w:rsidRPr="0074786E">
        <w:rPr>
          <w:b/>
          <w:bCs/>
          <w:color w:val="000000"/>
          <w:sz w:val="26"/>
          <w:szCs w:val="26"/>
        </w:rPr>
        <w:t xml:space="preserve">(b) </w:t>
      </w:r>
      <w:r>
        <w:rPr>
          <w:b/>
          <w:bCs/>
          <w:color w:val="000000"/>
          <w:sz w:val="26"/>
          <w:szCs w:val="26"/>
        </w:rPr>
        <w:t xml:space="preserve"> </w:t>
      </w:r>
      <w:r w:rsidRPr="0074786E">
        <w:rPr>
          <w:b/>
          <w:bCs/>
          <w:color w:val="000000"/>
          <w:sz w:val="26"/>
          <w:szCs w:val="26"/>
        </w:rPr>
        <w:t>History of account.</w:t>
      </w:r>
      <w:r>
        <w:rPr>
          <w:b/>
          <w:bCs/>
          <w:color w:val="000000"/>
          <w:sz w:val="26"/>
          <w:szCs w:val="26"/>
        </w:rPr>
        <w:t>—</w:t>
      </w:r>
      <w:r w:rsidRPr="0074786E">
        <w:rPr>
          <w:color w:val="000000"/>
          <w:sz w:val="26"/>
          <w:szCs w:val="26"/>
        </w:rPr>
        <w:t xml:space="preserve">Upon receipt of the notice provided in this section, if the mobile home park or residential building contains one or more dwelling </w:t>
      </w:r>
      <w:bookmarkStart w:id="4" w:name="SDU_2"/>
      <w:bookmarkEnd w:id="4"/>
      <w:r w:rsidRPr="0074786E">
        <w:rPr>
          <w:color w:val="000000"/>
          <w:sz w:val="26"/>
          <w:szCs w:val="26"/>
        </w:rPr>
        <w:t xml:space="preserve">units not individually metered, an affected public utility shall forthwith list the account for the premises in question in the name of the owner, and the owner shall thereafter be responsible for the payment for the utility services rendered thereunto. </w:t>
      </w:r>
      <w:r>
        <w:rPr>
          <w:color w:val="000000"/>
          <w:sz w:val="26"/>
          <w:szCs w:val="26"/>
        </w:rPr>
        <w:t xml:space="preserve"> </w:t>
      </w:r>
      <w:r w:rsidRPr="0074786E">
        <w:rPr>
          <w:color w:val="000000"/>
          <w:sz w:val="26"/>
          <w:szCs w:val="26"/>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rsidR="006B22C2" w:rsidRPr="0074786E" w:rsidRDefault="006B22C2" w:rsidP="006B22C2">
      <w:pPr>
        <w:ind w:left="1440" w:right="1440"/>
        <w:rPr>
          <w:b/>
          <w:bCs/>
          <w:color w:val="000000"/>
          <w:sz w:val="26"/>
          <w:szCs w:val="26"/>
        </w:rPr>
      </w:pPr>
    </w:p>
    <w:p w:rsidR="006B22C2" w:rsidRPr="0074786E" w:rsidRDefault="006B22C2" w:rsidP="00723FB6">
      <w:pPr>
        <w:ind w:left="1440" w:right="1440" w:firstLine="720"/>
        <w:rPr>
          <w:rFonts w:eastAsia="Calibri"/>
          <w:sz w:val="26"/>
          <w:szCs w:val="26"/>
        </w:rPr>
      </w:pPr>
      <w:r w:rsidRPr="0074786E">
        <w:rPr>
          <w:b/>
          <w:bCs/>
          <w:color w:val="000000"/>
          <w:sz w:val="26"/>
          <w:szCs w:val="26"/>
        </w:rPr>
        <w:t xml:space="preserve">(c) </w:t>
      </w:r>
      <w:r w:rsidR="002916C2">
        <w:rPr>
          <w:b/>
          <w:bCs/>
          <w:color w:val="000000"/>
          <w:sz w:val="26"/>
          <w:szCs w:val="26"/>
        </w:rPr>
        <w:t xml:space="preserve"> </w:t>
      </w:r>
      <w:r w:rsidRPr="0074786E">
        <w:rPr>
          <w:b/>
          <w:bCs/>
          <w:color w:val="000000"/>
          <w:sz w:val="26"/>
          <w:szCs w:val="26"/>
        </w:rPr>
        <w:t>Failure to give notice.</w:t>
      </w:r>
      <w:r w:rsidR="00723FB6">
        <w:rPr>
          <w:b/>
          <w:bCs/>
          <w:color w:val="000000"/>
          <w:sz w:val="26"/>
          <w:szCs w:val="26"/>
        </w:rPr>
        <w:t>—</w:t>
      </w:r>
      <w:r w:rsidRPr="0074786E">
        <w:rPr>
          <w:color w:val="000000"/>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rsidR="00770A31" w:rsidRDefault="00C51056" w:rsidP="00D051BD">
      <w:pPr>
        <w:spacing w:line="360" w:lineRule="auto"/>
        <w:rPr>
          <w:sz w:val="26"/>
          <w:szCs w:val="26"/>
        </w:rPr>
      </w:pPr>
      <w:r>
        <w:rPr>
          <w:sz w:val="26"/>
          <w:szCs w:val="26"/>
        </w:rPr>
        <w:lastRenderedPageBreak/>
        <w:t xml:space="preserve">The express language of this statutory provision </w:t>
      </w:r>
      <w:r w:rsidR="00B378C2">
        <w:rPr>
          <w:sz w:val="26"/>
          <w:szCs w:val="26"/>
        </w:rPr>
        <w:t>provides</w:t>
      </w:r>
      <w:r>
        <w:rPr>
          <w:sz w:val="26"/>
          <w:szCs w:val="26"/>
        </w:rPr>
        <w:t xml:space="preserve"> that the owner of the rental property is responsible for the payment o</w:t>
      </w:r>
      <w:r w:rsidR="00B378C2">
        <w:rPr>
          <w:sz w:val="26"/>
          <w:szCs w:val="26"/>
        </w:rPr>
        <w:t>f</w:t>
      </w:r>
      <w:r>
        <w:rPr>
          <w:sz w:val="26"/>
          <w:szCs w:val="26"/>
        </w:rPr>
        <w:t xml:space="preserve"> all utility services provided to the property when the usage of </w:t>
      </w:r>
      <w:r w:rsidR="00770A31">
        <w:rPr>
          <w:sz w:val="26"/>
          <w:szCs w:val="26"/>
        </w:rPr>
        <w:t>s</w:t>
      </w:r>
      <w:r>
        <w:rPr>
          <w:sz w:val="26"/>
          <w:szCs w:val="26"/>
        </w:rPr>
        <w:t>e</w:t>
      </w:r>
      <w:r w:rsidR="00770A31">
        <w:rPr>
          <w:sz w:val="26"/>
          <w:szCs w:val="26"/>
        </w:rPr>
        <w:t xml:space="preserve">veral tenants is recorded on one meter and billed accordingly, regardless of whether or not the owner has notified the utility providing the service.  </w:t>
      </w:r>
    </w:p>
    <w:p w:rsidR="00770A31" w:rsidRDefault="00770A31" w:rsidP="00D051BD">
      <w:pPr>
        <w:spacing w:line="360" w:lineRule="auto"/>
        <w:rPr>
          <w:sz w:val="26"/>
          <w:szCs w:val="26"/>
        </w:rPr>
      </w:pPr>
    </w:p>
    <w:p w:rsidR="00332DA2" w:rsidRDefault="00770A31" w:rsidP="00240E6F">
      <w:pPr>
        <w:spacing w:line="360" w:lineRule="auto"/>
        <w:rPr>
          <w:sz w:val="26"/>
          <w:szCs w:val="26"/>
        </w:rPr>
      </w:pPr>
      <w:r>
        <w:rPr>
          <w:sz w:val="26"/>
          <w:szCs w:val="26"/>
        </w:rPr>
        <w:tab/>
      </w:r>
      <w:r>
        <w:rPr>
          <w:sz w:val="26"/>
          <w:szCs w:val="26"/>
        </w:rPr>
        <w:tab/>
      </w:r>
      <w:r w:rsidR="00F42418">
        <w:rPr>
          <w:sz w:val="26"/>
          <w:szCs w:val="26"/>
        </w:rPr>
        <w:t xml:space="preserve">In interpreting this provision, the Commission has determined that </w:t>
      </w:r>
      <w:r w:rsidR="00CE3EC9">
        <w:rPr>
          <w:sz w:val="26"/>
          <w:szCs w:val="26"/>
        </w:rPr>
        <w:t>well-established precedent “hol</w:t>
      </w:r>
      <w:r w:rsidR="00B311F2">
        <w:rPr>
          <w:sz w:val="26"/>
          <w:szCs w:val="26"/>
        </w:rPr>
        <w:t xml:space="preserve">ds </w:t>
      </w:r>
      <w:r w:rsidR="00CE3EC9">
        <w:rPr>
          <w:sz w:val="26"/>
          <w:szCs w:val="26"/>
        </w:rPr>
        <w:t>the</w:t>
      </w:r>
      <w:r w:rsidR="00B311F2">
        <w:rPr>
          <w:sz w:val="26"/>
          <w:szCs w:val="26"/>
        </w:rPr>
        <w:t xml:space="preserve"> property owner financially responsible for a tenant’s entire account, once foreign load is </w:t>
      </w:r>
      <w:r w:rsidR="00CE3EC9">
        <w:rPr>
          <w:sz w:val="26"/>
          <w:szCs w:val="26"/>
        </w:rPr>
        <w:t xml:space="preserve">verified on the tenant’s service.”  </w:t>
      </w:r>
      <w:r w:rsidR="00CE3EC9">
        <w:rPr>
          <w:i/>
          <w:sz w:val="26"/>
          <w:szCs w:val="26"/>
        </w:rPr>
        <w:t xml:space="preserve">Ace Check </w:t>
      </w:r>
      <w:r w:rsidR="0024419F">
        <w:rPr>
          <w:i/>
          <w:sz w:val="26"/>
          <w:szCs w:val="26"/>
        </w:rPr>
        <w:t xml:space="preserve">   </w:t>
      </w:r>
      <w:r w:rsidR="00CE3EC9">
        <w:rPr>
          <w:i/>
          <w:sz w:val="26"/>
          <w:szCs w:val="26"/>
        </w:rPr>
        <w:t>Cashing</w:t>
      </w:r>
      <w:r w:rsidR="0024419F">
        <w:rPr>
          <w:i/>
          <w:sz w:val="26"/>
          <w:szCs w:val="26"/>
        </w:rPr>
        <w:t>,</w:t>
      </w:r>
      <w:r w:rsidR="00CE3EC9">
        <w:rPr>
          <w:i/>
          <w:sz w:val="26"/>
          <w:szCs w:val="26"/>
        </w:rPr>
        <w:t xml:space="preserve"> Inc. v. Philadelphia Gas Works</w:t>
      </w:r>
      <w:r w:rsidR="00CE3EC9">
        <w:rPr>
          <w:sz w:val="26"/>
          <w:szCs w:val="26"/>
        </w:rPr>
        <w:t xml:space="preserve">, Docket No. C-2008-2056428 (Order </w:t>
      </w:r>
      <w:r w:rsidR="0024419F">
        <w:rPr>
          <w:sz w:val="26"/>
          <w:szCs w:val="26"/>
        </w:rPr>
        <w:t xml:space="preserve">      </w:t>
      </w:r>
      <w:r w:rsidR="00CE3EC9">
        <w:rPr>
          <w:sz w:val="26"/>
          <w:szCs w:val="26"/>
        </w:rPr>
        <w:t>entered May 21, 2010)</w:t>
      </w:r>
      <w:r w:rsidR="004E41CC">
        <w:rPr>
          <w:sz w:val="26"/>
          <w:szCs w:val="26"/>
        </w:rPr>
        <w:t xml:space="preserve"> at 6</w:t>
      </w:r>
      <w:r w:rsidR="00CE3EC9">
        <w:rPr>
          <w:sz w:val="26"/>
          <w:szCs w:val="26"/>
        </w:rPr>
        <w:t>.</w:t>
      </w:r>
      <w:r w:rsidR="006B346F">
        <w:rPr>
          <w:sz w:val="26"/>
          <w:szCs w:val="26"/>
        </w:rPr>
        <w:t xml:space="preserve">  </w:t>
      </w:r>
      <w:r w:rsidR="006B346F">
        <w:rPr>
          <w:i/>
          <w:sz w:val="26"/>
          <w:szCs w:val="26"/>
        </w:rPr>
        <w:t xml:space="preserve">See also, </w:t>
      </w:r>
      <w:r w:rsidR="006C3CB9">
        <w:rPr>
          <w:i/>
          <w:sz w:val="26"/>
          <w:szCs w:val="26"/>
        </w:rPr>
        <w:t>Santos v. Metropolitan Edison Co.</w:t>
      </w:r>
      <w:r w:rsidR="006C3CB9">
        <w:rPr>
          <w:sz w:val="26"/>
          <w:szCs w:val="26"/>
        </w:rPr>
        <w:t>, 1997 Pa. PUC LEXIS 184 at *21 (finding that</w:t>
      </w:r>
      <w:r w:rsidR="006556A7">
        <w:rPr>
          <w:sz w:val="26"/>
          <w:szCs w:val="26"/>
        </w:rPr>
        <w:t>,</w:t>
      </w:r>
      <w:r w:rsidR="006C3CB9">
        <w:rPr>
          <w:sz w:val="26"/>
          <w:szCs w:val="26"/>
        </w:rPr>
        <w:t xml:space="preserve"> upon discovery of foreign load and identification that the dwelling unit is not separately metered, the utility must switch the account into the name of the landlord and bill the landlord’s account for any unpaid billing on the account).</w:t>
      </w:r>
      <w:r w:rsidR="007C455B">
        <w:rPr>
          <w:sz w:val="26"/>
          <w:szCs w:val="26"/>
        </w:rPr>
        <w:t xml:space="preserve">  The Commission’s foreign load policy was explained in detail in </w:t>
      </w:r>
      <w:r w:rsidR="007C455B" w:rsidRPr="007C455B">
        <w:rPr>
          <w:i/>
          <w:sz w:val="26"/>
          <w:szCs w:val="26"/>
        </w:rPr>
        <w:t>Ace Check Cashing</w:t>
      </w:r>
      <w:r w:rsidR="007C455B">
        <w:rPr>
          <w:sz w:val="26"/>
          <w:szCs w:val="26"/>
        </w:rPr>
        <w:t xml:space="preserve">, </w:t>
      </w:r>
      <w:r w:rsidR="007C455B" w:rsidRPr="007C455B">
        <w:rPr>
          <w:i/>
          <w:sz w:val="26"/>
          <w:szCs w:val="26"/>
        </w:rPr>
        <w:t>supra</w:t>
      </w:r>
      <w:r w:rsidR="00240E6F">
        <w:rPr>
          <w:sz w:val="26"/>
          <w:szCs w:val="26"/>
        </w:rPr>
        <w:t xml:space="preserve">.  </w:t>
      </w:r>
      <w:r w:rsidR="00240E6F" w:rsidRPr="00667954">
        <w:rPr>
          <w:sz w:val="26"/>
          <w:szCs w:val="26"/>
        </w:rPr>
        <w:t xml:space="preserve">Upon finding foreign load, the utility </w:t>
      </w:r>
      <w:r w:rsidR="00240E6F">
        <w:rPr>
          <w:sz w:val="26"/>
          <w:szCs w:val="26"/>
        </w:rPr>
        <w:t>must</w:t>
      </w:r>
      <w:r w:rsidR="00240E6F" w:rsidRPr="00667954">
        <w:rPr>
          <w:sz w:val="26"/>
          <w:szCs w:val="26"/>
        </w:rPr>
        <w:t xml:space="preserve"> list the account, including any arrearages, in the landlord</w:t>
      </w:r>
      <w:r w:rsidR="00240E6F">
        <w:rPr>
          <w:sz w:val="26"/>
          <w:szCs w:val="26"/>
        </w:rPr>
        <w:t>’s name</w:t>
      </w:r>
      <w:r w:rsidR="00240E6F" w:rsidRPr="00667954">
        <w:rPr>
          <w:sz w:val="26"/>
          <w:szCs w:val="26"/>
        </w:rPr>
        <w:t xml:space="preserve">.  The landlord </w:t>
      </w:r>
      <w:r w:rsidR="00240E6F">
        <w:rPr>
          <w:sz w:val="26"/>
          <w:szCs w:val="26"/>
        </w:rPr>
        <w:t>is</w:t>
      </w:r>
      <w:r w:rsidR="00240E6F" w:rsidRPr="00667954">
        <w:rPr>
          <w:sz w:val="26"/>
          <w:szCs w:val="26"/>
        </w:rPr>
        <w:t xml:space="preserve"> responsibl</w:t>
      </w:r>
      <w:r w:rsidR="00240E6F">
        <w:rPr>
          <w:sz w:val="26"/>
          <w:szCs w:val="26"/>
        </w:rPr>
        <w:t>e</w:t>
      </w:r>
      <w:r w:rsidR="00240E6F" w:rsidRPr="00667954">
        <w:rPr>
          <w:sz w:val="26"/>
          <w:szCs w:val="26"/>
        </w:rPr>
        <w:t xml:space="preserve"> </w:t>
      </w:r>
      <w:r w:rsidR="00240E6F">
        <w:rPr>
          <w:sz w:val="26"/>
          <w:szCs w:val="26"/>
        </w:rPr>
        <w:t>f</w:t>
      </w:r>
      <w:r w:rsidR="00240E6F" w:rsidRPr="00667954">
        <w:rPr>
          <w:sz w:val="26"/>
          <w:szCs w:val="26"/>
        </w:rPr>
        <w:t>o</w:t>
      </w:r>
      <w:r w:rsidR="00240E6F">
        <w:rPr>
          <w:sz w:val="26"/>
          <w:szCs w:val="26"/>
        </w:rPr>
        <w:t>r</w:t>
      </w:r>
      <w:r w:rsidR="00240E6F" w:rsidRPr="00667954">
        <w:rPr>
          <w:sz w:val="26"/>
          <w:szCs w:val="26"/>
        </w:rPr>
        <w:t xml:space="preserve"> pay</w:t>
      </w:r>
      <w:r w:rsidR="00240E6F">
        <w:rPr>
          <w:sz w:val="26"/>
          <w:szCs w:val="26"/>
        </w:rPr>
        <w:t>ing</w:t>
      </w:r>
      <w:r w:rsidR="00240E6F" w:rsidRPr="00667954">
        <w:rPr>
          <w:sz w:val="26"/>
          <w:szCs w:val="26"/>
        </w:rPr>
        <w:t xml:space="preserve"> the utility bills until the foreign load </w:t>
      </w:r>
      <w:r w:rsidR="00240E6F">
        <w:rPr>
          <w:sz w:val="26"/>
          <w:szCs w:val="26"/>
        </w:rPr>
        <w:t>i</w:t>
      </w:r>
      <w:r w:rsidR="00240E6F" w:rsidRPr="00667954">
        <w:rPr>
          <w:sz w:val="26"/>
          <w:szCs w:val="26"/>
        </w:rPr>
        <w:t xml:space="preserve">s corrected.  </w:t>
      </w:r>
      <w:r w:rsidR="00240E6F">
        <w:rPr>
          <w:sz w:val="26"/>
          <w:szCs w:val="26"/>
        </w:rPr>
        <w:t xml:space="preserve">After the foreign load is </w:t>
      </w:r>
      <w:r w:rsidR="00240E6F" w:rsidRPr="00667954">
        <w:rPr>
          <w:sz w:val="26"/>
          <w:szCs w:val="26"/>
        </w:rPr>
        <w:t xml:space="preserve">corrected by the landlord and verified by the utility, the utility </w:t>
      </w:r>
      <w:r w:rsidR="00240E6F">
        <w:rPr>
          <w:sz w:val="26"/>
          <w:szCs w:val="26"/>
        </w:rPr>
        <w:t>is to</w:t>
      </w:r>
      <w:r w:rsidR="00240E6F" w:rsidRPr="00667954">
        <w:rPr>
          <w:sz w:val="26"/>
          <w:szCs w:val="26"/>
        </w:rPr>
        <w:t xml:space="preserve"> place the account back in</w:t>
      </w:r>
      <w:r w:rsidR="00240E6F">
        <w:rPr>
          <w:sz w:val="26"/>
          <w:szCs w:val="26"/>
        </w:rPr>
        <w:t>to</w:t>
      </w:r>
      <w:r w:rsidR="00240E6F" w:rsidRPr="00667954">
        <w:rPr>
          <w:sz w:val="26"/>
          <w:szCs w:val="26"/>
        </w:rPr>
        <w:t xml:space="preserve"> the tenant</w:t>
      </w:r>
      <w:r w:rsidR="00240E6F">
        <w:rPr>
          <w:sz w:val="26"/>
          <w:szCs w:val="26"/>
        </w:rPr>
        <w:t>’s name</w:t>
      </w:r>
      <w:r w:rsidR="00701370">
        <w:rPr>
          <w:sz w:val="26"/>
          <w:szCs w:val="26"/>
        </w:rPr>
        <w:t xml:space="preserve">.  </w:t>
      </w:r>
      <w:r w:rsidR="00701370" w:rsidRPr="00701370">
        <w:rPr>
          <w:i/>
          <w:sz w:val="26"/>
          <w:szCs w:val="26"/>
        </w:rPr>
        <w:t>Id</w:t>
      </w:r>
      <w:r w:rsidR="00701370">
        <w:rPr>
          <w:sz w:val="26"/>
          <w:szCs w:val="26"/>
        </w:rPr>
        <w:t>. at 7.  H</w:t>
      </w:r>
      <w:r w:rsidR="00240E6F">
        <w:rPr>
          <w:sz w:val="26"/>
          <w:szCs w:val="26"/>
        </w:rPr>
        <w:t>owever</w:t>
      </w:r>
      <w:r w:rsidR="002E1460">
        <w:rPr>
          <w:sz w:val="26"/>
          <w:szCs w:val="26"/>
        </w:rPr>
        <w:t>,</w:t>
      </w:r>
      <w:r w:rsidR="00240E6F">
        <w:rPr>
          <w:sz w:val="26"/>
          <w:szCs w:val="26"/>
        </w:rPr>
        <w:t xml:space="preserve"> </w:t>
      </w:r>
      <w:r w:rsidR="00701370">
        <w:rPr>
          <w:sz w:val="26"/>
          <w:szCs w:val="26"/>
        </w:rPr>
        <w:t xml:space="preserve">the landlord remains responsible for </w:t>
      </w:r>
      <w:r w:rsidR="00240E6F">
        <w:rPr>
          <w:sz w:val="26"/>
          <w:szCs w:val="26"/>
        </w:rPr>
        <w:t>any arrearages on the tenant’s account</w:t>
      </w:r>
      <w:r w:rsidR="00240E6F" w:rsidRPr="00667954">
        <w:rPr>
          <w:sz w:val="26"/>
          <w:szCs w:val="26"/>
        </w:rPr>
        <w:t xml:space="preserve">.  </w:t>
      </w:r>
      <w:r w:rsidR="0024419F">
        <w:rPr>
          <w:sz w:val="26"/>
          <w:szCs w:val="26"/>
        </w:rPr>
        <w:t xml:space="preserve">   </w:t>
      </w:r>
      <w:r w:rsidR="00701370" w:rsidRPr="00701370">
        <w:rPr>
          <w:i/>
          <w:sz w:val="26"/>
          <w:szCs w:val="26"/>
        </w:rPr>
        <w:t>Id</w:t>
      </w:r>
      <w:r w:rsidR="00701370">
        <w:rPr>
          <w:sz w:val="26"/>
          <w:szCs w:val="26"/>
        </w:rPr>
        <w:t xml:space="preserve">. at 7-8.  This rule applies even if the amount </w:t>
      </w:r>
      <w:r w:rsidR="009356E6">
        <w:rPr>
          <w:sz w:val="26"/>
          <w:szCs w:val="26"/>
        </w:rPr>
        <w:t>of usage attributable</w:t>
      </w:r>
      <w:r w:rsidR="00701370">
        <w:rPr>
          <w:sz w:val="26"/>
          <w:szCs w:val="26"/>
        </w:rPr>
        <w:t xml:space="preserve"> to foreign load is considered </w:t>
      </w:r>
      <w:r w:rsidR="00701370">
        <w:rPr>
          <w:i/>
          <w:sz w:val="26"/>
          <w:szCs w:val="26"/>
        </w:rPr>
        <w:t xml:space="preserve">de </w:t>
      </w:r>
      <w:r w:rsidR="00701370" w:rsidRPr="00701370">
        <w:rPr>
          <w:i/>
          <w:sz w:val="26"/>
          <w:szCs w:val="26"/>
        </w:rPr>
        <w:t>minimus</w:t>
      </w:r>
      <w:r w:rsidR="00701370">
        <w:rPr>
          <w:sz w:val="26"/>
          <w:szCs w:val="26"/>
        </w:rPr>
        <w:t xml:space="preserve">.  </w:t>
      </w:r>
      <w:r w:rsidR="00240E6F" w:rsidRPr="00701370">
        <w:rPr>
          <w:sz w:val="26"/>
          <w:szCs w:val="26"/>
        </w:rPr>
        <w:t>The</w:t>
      </w:r>
      <w:r w:rsidR="00240E6F">
        <w:rPr>
          <w:sz w:val="26"/>
          <w:szCs w:val="26"/>
        </w:rPr>
        <w:t xml:space="preserve"> Commission does not have jurisdiction over </w:t>
      </w:r>
      <w:r w:rsidR="00240E6F" w:rsidRPr="00667954">
        <w:rPr>
          <w:sz w:val="26"/>
          <w:szCs w:val="26"/>
        </w:rPr>
        <w:t>dispute</w:t>
      </w:r>
      <w:r w:rsidR="00240E6F">
        <w:rPr>
          <w:sz w:val="26"/>
          <w:szCs w:val="26"/>
        </w:rPr>
        <w:t>s</w:t>
      </w:r>
      <w:r w:rsidR="00240E6F" w:rsidRPr="00667954">
        <w:rPr>
          <w:sz w:val="26"/>
          <w:szCs w:val="26"/>
        </w:rPr>
        <w:t xml:space="preserve"> </w:t>
      </w:r>
      <w:r w:rsidR="00240E6F">
        <w:rPr>
          <w:sz w:val="26"/>
          <w:szCs w:val="26"/>
        </w:rPr>
        <w:t>concerning</w:t>
      </w:r>
      <w:r w:rsidR="00240E6F" w:rsidRPr="00667954">
        <w:rPr>
          <w:sz w:val="26"/>
          <w:szCs w:val="26"/>
        </w:rPr>
        <w:t xml:space="preserve"> the financial responsibilities of </w:t>
      </w:r>
      <w:r w:rsidR="00240E6F">
        <w:rPr>
          <w:sz w:val="26"/>
          <w:szCs w:val="26"/>
        </w:rPr>
        <w:t xml:space="preserve">private </w:t>
      </w:r>
      <w:r w:rsidR="00240E6F" w:rsidRPr="00667954">
        <w:rPr>
          <w:sz w:val="26"/>
          <w:szCs w:val="26"/>
        </w:rPr>
        <w:t>parties</w:t>
      </w:r>
      <w:r w:rsidR="00240E6F">
        <w:rPr>
          <w:sz w:val="26"/>
          <w:szCs w:val="26"/>
        </w:rPr>
        <w:t xml:space="preserve">, </w:t>
      </w:r>
      <w:r w:rsidR="006556A7">
        <w:rPr>
          <w:sz w:val="26"/>
          <w:szCs w:val="26"/>
        </w:rPr>
        <w:t xml:space="preserve">such as the landlord and tenant, </w:t>
      </w:r>
      <w:r w:rsidR="00240E6F">
        <w:rPr>
          <w:sz w:val="26"/>
          <w:szCs w:val="26"/>
        </w:rPr>
        <w:t>and such</w:t>
      </w:r>
      <w:r w:rsidR="00240E6F" w:rsidRPr="00667954">
        <w:rPr>
          <w:sz w:val="26"/>
          <w:szCs w:val="26"/>
        </w:rPr>
        <w:t xml:space="preserve"> </w:t>
      </w:r>
      <w:r w:rsidR="00240E6F">
        <w:rPr>
          <w:sz w:val="26"/>
          <w:szCs w:val="26"/>
        </w:rPr>
        <w:t xml:space="preserve">matters are </w:t>
      </w:r>
      <w:r w:rsidR="00240E6F" w:rsidRPr="00667954">
        <w:rPr>
          <w:sz w:val="26"/>
          <w:szCs w:val="26"/>
        </w:rPr>
        <w:t>to be resolved in the Court of Common Pleas.</w:t>
      </w:r>
      <w:r w:rsidR="00701370">
        <w:rPr>
          <w:sz w:val="26"/>
          <w:szCs w:val="26"/>
        </w:rPr>
        <w:t xml:space="preserve">  </w:t>
      </w:r>
      <w:r w:rsidR="00701370" w:rsidRPr="00701370">
        <w:rPr>
          <w:i/>
          <w:sz w:val="26"/>
          <w:szCs w:val="26"/>
        </w:rPr>
        <w:t>Id</w:t>
      </w:r>
      <w:r w:rsidR="00701370">
        <w:rPr>
          <w:sz w:val="26"/>
          <w:szCs w:val="26"/>
        </w:rPr>
        <w:t>. at 8.</w:t>
      </w:r>
      <w:r w:rsidR="009356E6">
        <w:rPr>
          <w:sz w:val="26"/>
          <w:szCs w:val="26"/>
        </w:rPr>
        <w:t xml:space="preserve">  </w:t>
      </w:r>
    </w:p>
    <w:p w:rsidR="00332DA2" w:rsidRDefault="00332DA2" w:rsidP="00240E6F">
      <w:pPr>
        <w:spacing w:line="360" w:lineRule="auto"/>
        <w:rPr>
          <w:sz w:val="26"/>
          <w:szCs w:val="26"/>
        </w:rPr>
      </w:pPr>
    </w:p>
    <w:p w:rsidR="00240E6F" w:rsidRPr="00667954" w:rsidRDefault="00332DA2" w:rsidP="0024419F">
      <w:pPr>
        <w:widowControl/>
        <w:spacing w:line="360" w:lineRule="auto"/>
        <w:rPr>
          <w:sz w:val="26"/>
          <w:szCs w:val="26"/>
        </w:rPr>
      </w:pPr>
      <w:r>
        <w:rPr>
          <w:sz w:val="26"/>
          <w:szCs w:val="26"/>
        </w:rPr>
        <w:tab/>
      </w:r>
      <w:r>
        <w:rPr>
          <w:sz w:val="26"/>
          <w:szCs w:val="26"/>
        </w:rPr>
        <w:tab/>
      </w:r>
      <w:r w:rsidR="00D8491F">
        <w:rPr>
          <w:sz w:val="26"/>
          <w:szCs w:val="26"/>
        </w:rPr>
        <w:t xml:space="preserve">Based on the evidence in this case, UGI PNG complied with the law by placing the entire first floor tenant’s account into the Complainant’s name.  </w:t>
      </w:r>
      <w:r w:rsidR="0024419F">
        <w:rPr>
          <w:sz w:val="26"/>
          <w:szCs w:val="26"/>
        </w:rPr>
        <w:t xml:space="preserve">                 </w:t>
      </w:r>
      <w:r w:rsidR="00D8491F">
        <w:rPr>
          <w:sz w:val="26"/>
          <w:szCs w:val="26"/>
        </w:rPr>
        <w:t xml:space="preserve">UGI PNG presented evidence to show that it verified the existence of foreign load </w:t>
      </w:r>
      <w:r w:rsidR="005606BE">
        <w:rPr>
          <w:sz w:val="26"/>
          <w:szCs w:val="26"/>
        </w:rPr>
        <w:t xml:space="preserve">on </w:t>
      </w:r>
      <w:r w:rsidR="0024419F">
        <w:rPr>
          <w:sz w:val="26"/>
          <w:szCs w:val="26"/>
        </w:rPr>
        <w:t xml:space="preserve">                 </w:t>
      </w:r>
      <w:r w:rsidR="005606BE">
        <w:rPr>
          <w:sz w:val="26"/>
          <w:szCs w:val="26"/>
        </w:rPr>
        <w:t xml:space="preserve">April 21, 2010, </w:t>
      </w:r>
      <w:r w:rsidR="00DC3789">
        <w:rPr>
          <w:sz w:val="26"/>
          <w:szCs w:val="26"/>
        </w:rPr>
        <w:t>when</w:t>
      </w:r>
      <w:r w:rsidR="00D8491F">
        <w:rPr>
          <w:sz w:val="26"/>
          <w:szCs w:val="26"/>
        </w:rPr>
        <w:t xml:space="preserve"> its technician traced the gas lines in the rental property and found that a gas-fired water heater on the first floor was also furnishing hot water to the second </w:t>
      </w:r>
      <w:r w:rsidR="00D8491F">
        <w:rPr>
          <w:sz w:val="26"/>
          <w:szCs w:val="26"/>
        </w:rPr>
        <w:lastRenderedPageBreak/>
        <w:t>floor apartment.  Tr. at 12-13, 30-32</w:t>
      </w:r>
      <w:r w:rsidR="00DC3789">
        <w:rPr>
          <w:sz w:val="26"/>
          <w:szCs w:val="26"/>
        </w:rPr>
        <w:t xml:space="preserve">; UGI PNG Exhs. II and III.  </w:t>
      </w:r>
      <w:r w:rsidR="005606BE">
        <w:rPr>
          <w:sz w:val="26"/>
          <w:szCs w:val="26"/>
        </w:rPr>
        <w:t>The Complainant did not deny that foreign load existed on April 21, 2010</w:t>
      </w:r>
      <w:r w:rsidR="00372487">
        <w:rPr>
          <w:sz w:val="26"/>
          <w:szCs w:val="26"/>
        </w:rPr>
        <w:t>,</w:t>
      </w:r>
      <w:r w:rsidR="005606BE">
        <w:rPr>
          <w:sz w:val="26"/>
          <w:szCs w:val="26"/>
        </w:rPr>
        <w:t xml:space="preserve"> and did not present any evidence to the contrary.  Accordingly, UGI PNG was required to place the tenant’s entire account balance of $1,591.98 into the Complainant’s name</w:t>
      </w:r>
      <w:r w:rsidR="006E4254">
        <w:rPr>
          <w:sz w:val="26"/>
          <w:szCs w:val="26"/>
        </w:rPr>
        <w:t>, regardless of the amount of the balance that may have been attributable to foreign load.</w:t>
      </w:r>
      <w:r w:rsidR="009D4C89">
        <w:rPr>
          <w:sz w:val="26"/>
          <w:szCs w:val="26"/>
        </w:rPr>
        <w:t xml:space="preserve">  As such, the Complainant </w:t>
      </w:r>
      <w:r w:rsidR="0008598C">
        <w:rPr>
          <w:sz w:val="26"/>
          <w:szCs w:val="26"/>
        </w:rPr>
        <w:t xml:space="preserve">failed to </w:t>
      </w:r>
      <w:r w:rsidR="009D4C89">
        <w:rPr>
          <w:sz w:val="26"/>
          <w:szCs w:val="26"/>
        </w:rPr>
        <w:t xml:space="preserve">meet his burden of proof and </w:t>
      </w:r>
      <w:r w:rsidR="0008598C">
        <w:rPr>
          <w:sz w:val="26"/>
          <w:szCs w:val="26"/>
        </w:rPr>
        <w:t>to</w:t>
      </w:r>
      <w:r w:rsidR="009D4C89">
        <w:rPr>
          <w:sz w:val="26"/>
          <w:szCs w:val="26"/>
        </w:rPr>
        <w:t xml:space="preserve"> show that UGI PNG violated</w:t>
      </w:r>
      <w:r w:rsidR="006E4254">
        <w:rPr>
          <w:sz w:val="26"/>
          <w:szCs w:val="26"/>
        </w:rPr>
        <w:t xml:space="preserve"> </w:t>
      </w:r>
      <w:r w:rsidR="009D4C89">
        <w:rPr>
          <w:sz w:val="26"/>
          <w:szCs w:val="26"/>
        </w:rPr>
        <w:t xml:space="preserve">any provisions of the Code or of the Commission’s Rules and Regulations.   </w:t>
      </w:r>
      <w:r w:rsidR="006E4254">
        <w:rPr>
          <w:sz w:val="26"/>
          <w:szCs w:val="26"/>
        </w:rPr>
        <w:t xml:space="preserve"> </w:t>
      </w:r>
    </w:p>
    <w:p w:rsidR="00240E6F" w:rsidRDefault="00240E6F" w:rsidP="002709CD">
      <w:pPr>
        <w:spacing w:line="360" w:lineRule="auto"/>
      </w:pPr>
    </w:p>
    <w:p w:rsidR="00CA43A5" w:rsidRPr="00CA43A5" w:rsidRDefault="00CA43A5" w:rsidP="0008598C">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shall </w:t>
      </w:r>
      <w:r w:rsidR="006E4254">
        <w:rPr>
          <w:sz w:val="26"/>
          <w:szCs w:val="26"/>
        </w:rPr>
        <w:t>deny the Complainant’s Exceptions</w:t>
      </w:r>
      <w:r w:rsidR="009D4C89">
        <w:rPr>
          <w:sz w:val="26"/>
          <w:szCs w:val="26"/>
        </w:rPr>
        <w:t xml:space="preserve"> and adopt the Initial Decision</w:t>
      </w:r>
      <w:r w:rsidRPr="00CA43A5">
        <w:rPr>
          <w:sz w:val="26"/>
          <w:szCs w:val="26"/>
        </w:rPr>
        <w:t>, consistent with th</w:t>
      </w:r>
      <w:r w:rsidR="0008598C">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Pr="00CA43A5" w:rsidRDefault="00CA43A5"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That the Exceptions of</w:t>
      </w:r>
      <w:r w:rsidR="009D4C89">
        <w:rPr>
          <w:sz w:val="26"/>
          <w:szCs w:val="26"/>
        </w:rPr>
        <w:t xml:space="preserve"> Donald L. Hale filed on December 21, 2011, </w:t>
      </w:r>
      <w:r>
        <w:rPr>
          <w:sz w:val="26"/>
          <w:szCs w:val="26"/>
        </w:rPr>
        <w:t xml:space="preserve"> are </w:t>
      </w:r>
      <w:r w:rsidR="009D4C89">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08598C" w:rsidRDefault="0008598C" w:rsidP="0008598C">
      <w:pPr>
        <w:spacing w:line="360" w:lineRule="auto"/>
        <w:ind w:left="1440"/>
        <w:rPr>
          <w:sz w:val="26"/>
          <w:szCs w:val="26"/>
        </w:rPr>
      </w:pPr>
    </w:p>
    <w:p w:rsidR="003F51F4" w:rsidRPr="009D4C89" w:rsidRDefault="009D4C89" w:rsidP="009D4C89">
      <w:pPr>
        <w:spacing w:line="360" w:lineRule="auto"/>
        <w:ind w:firstLine="1440"/>
        <w:rPr>
          <w:sz w:val="26"/>
          <w:szCs w:val="26"/>
        </w:rPr>
      </w:pPr>
      <w:r>
        <w:rPr>
          <w:sz w:val="26"/>
          <w:szCs w:val="26"/>
        </w:rPr>
        <w:t>2.</w:t>
      </w:r>
      <w:r>
        <w:rPr>
          <w:sz w:val="26"/>
          <w:szCs w:val="26"/>
        </w:rPr>
        <w:tab/>
      </w:r>
      <w:r w:rsidR="00CA43A5" w:rsidRPr="009D4C89">
        <w:rPr>
          <w:sz w:val="26"/>
          <w:szCs w:val="26"/>
        </w:rPr>
        <w:t xml:space="preserve">That the Initial Decision of Administrative Law Judge </w:t>
      </w:r>
      <w:r w:rsidR="002709CD">
        <w:rPr>
          <w:sz w:val="26"/>
          <w:szCs w:val="26"/>
        </w:rPr>
        <w:t xml:space="preserve">                 </w:t>
      </w:r>
      <w:r w:rsidRPr="009D4C89">
        <w:rPr>
          <w:color w:val="000000"/>
          <w:sz w:val="26"/>
        </w:rPr>
        <w:t>John H. Corbett, Jr. issued on December 8, 2011,</w:t>
      </w:r>
      <w:r w:rsidR="00CA43A5" w:rsidRPr="009D4C89">
        <w:rPr>
          <w:sz w:val="26"/>
          <w:szCs w:val="26"/>
        </w:rPr>
        <w:t xml:space="preserve"> is </w:t>
      </w:r>
      <w:r w:rsidRPr="009D4C89">
        <w:rPr>
          <w:sz w:val="26"/>
          <w:szCs w:val="26"/>
        </w:rPr>
        <w:t>adopted</w:t>
      </w:r>
      <w:r w:rsidR="00CA43A5" w:rsidRPr="009D4C89">
        <w:rPr>
          <w:sz w:val="26"/>
          <w:szCs w:val="26"/>
        </w:rPr>
        <w:t>, consistent with this Opinion and Order.</w:t>
      </w:r>
    </w:p>
    <w:p w:rsidR="00CA43A5" w:rsidRDefault="00CA43A5" w:rsidP="00CA43A5">
      <w:pPr>
        <w:spacing w:line="360" w:lineRule="auto"/>
        <w:ind w:firstLine="1440"/>
        <w:rPr>
          <w:sz w:val="26"/>
          <w:szCs w:val="26"/>
        </w:rPr>
      </w:pPr>
    </w:p>
    <w:p w:rsidR="009D4C89" w:rsidRDefault="009D4C89" w:rsidP="00CA43A5">
      <w:pPr>
        <w:spacing w:line="360" w:lineRule="auto"/>
        <w:ind w:firstLine="1440"/>
        <w:rPr>
          <w:sz w:val="26"/>
          <w:szCs w:val="26"/>
        </w:rPr>
      </w:pPr>
      <w:r>
        <w:rPr>
          <w:sz w:val="26"/>
          <w:szCs w:val="26"/>
        </w:rPr>
        <w:t>3.</w:t>
      </w:r>
      <w:r>
        <w:rPr>
          <w:sz w:val="26"/>
          <w:szCs w:val="26"/>
        </w:rPr>
        <w:tab/>
        <w:t>That the Complaint of Donald L. Hale against UGI Penn Natural Gas, Inc.</w:t>
      </w:r>
      <w:r w:rsidR="0008598C">
        <w:rPr>
          <w:sz w:val="26"/>
          <w:szCs w:val="26"/>
        </w:rPr>
        <w:t>,</w:t>
      </w:r>
      <w:r>
        <w:rPr>
          <w:sz w:val="26"/>
          <w:szCs w:val="26"/>
        </w:rPr>
        <w:t xml:space="preserve"> at Docket No. C-2010-2206955</w:t>
      </w:r>
      <w:r w:rsidR="0008598C">
        <w:rPr>
          <w:sz w:val="26"/>
          <w:szCs w:val="26"/>
        </w:rPr>
        <w:t>,</w:t>
      </w:r>
      <w:r>
        <w:rPr>
          <w:sz w:val="26"/>
          <w:szCs w:val="26"/>
        </w:rPr>
        <w:t xml:space="preserve"> is denied. </w:t>
      </w:r>
    </w:p>
    <w:p w:rsidR="006373F9" w:rsidRDefault="006373F9" w:rsidP="00CA43A5">
      <w:pPr>
        <w:spacing w:line="360" w:lineRule="auto"/>
        <w:ind w:firstLine="1440"/>
        <w:rPr>
          <w:sz w:val="26"/>
          <w:szCs w:val="26"/>
        </w:rPr>
      </w:pPr>
    </w:p>
    <w:p w:rsidR="006373F9" w:rsidRDefault="006373F9" w:rsidP="00CA43A5">
      <w:pPr>
        <w:spacing w:line="360" w:lineRule="auto"/>
        <w:ind w:firstLine="1440"/>
        <w:rPr>
          <w:sz w:val="26"/>
          <w:szCs w:val="26"/>
        </w:rPr>
      </w:pPr>
    </w:p>
    <w:p w:rsidR="006373F9" w:rsidRDefault="006373F9" w:rsidP="00CA43A5">
      <w:pPr>
        <w:spacing w:line="360" w:lineRule="auto"/>
        <w:ind w:firstLine="1440"/>
        <w:rPr>
          <w:sz w:val="26"/>
          <w:szCs w:val="26"/>
        </w:rPr>
      </w:pPr>
    </w:p>
    <w:p w:rsidR="006373F9" w:rsidRDefault="006373F9" w:rsidP="00CA43A5">
      <w:pPr>
        <w:spacing w:line="360" w:lineRule="auto"/>
        <w:ind w:firstLine="1440"/>
        <w:rPr>
          <w:sz w:val="26"/>
          <w:szCs w:val="26"/>
        </w:rPr>
      </w:pPr>
    </w:p>
    <w:p w:rsidR="006373F9" w:rsidRDefault="006373F9" w:rsidP="00CA43A5">
      <w:pPr>
        <w:spacing w:line="360" w:lineRule="auto"/>
        <w:ind w:firstLine="1440"/>
        <w:rPr>
          <w:sz w:val="26"/>
          <w:szCs w:val="26"/>
        </w:rPr>
      </w:pPr>
    </w:p>
    <w:p w:rsidR="00372487" w:rsidRPr="00CA43A5" w:rsidRDefault="00372487" w:rsidP="00CA43A5">
      <w:pPr>
        <w:spacing w:line="360" w:lineRule="auto"/>
        <w:ind w:firstLine="1440"/>
        <w:rPr>
          <w:sz w:val="26"/>
          <w:szCs w:val="26"/>
        </w:rPr>
      </w:pPr>
      <w:r>
        <w:rPr>
          <w:sz w:val="26"/>
          <w:szCs w:val="26"/>
        </w:rPr>
        <w:lastRenderedPageBreak/>
        <w:t>4.</w:t>
      </w:r>
      <w:r>
        <w:rPr>
          <w:sz w:val="26"/>
          <w:szCs w:val="26"/>
        </w:rPr>
        <w:tab/>
      </w:r>
      <w:r w:rsidR="008855BB">
        <w:rPr>
          <w:sz w:val="26"/>
          <w:szCs w:val="26"/>
        </w:rPr>
        <w:t>That this proceeding shall be marked closed.</w:t>
      </w:r>
    </w:p>
    <w:p w:rsidR="00CA43A5" w:rsidRPr="00CA43A5" w:rsidRDefault="00CA43A5" w:rsidP="00CA43A5">
      <w:pPr>
        <w:rPr>
          <w:sz w:val="26"/>
          <w:szCs w:val="26"/>
        </w:rPr>
      </w:pPr>
    </w:p>
    <w:p w:rsidR="00CA43A5" w:rsidRPr="00CA43A5" w:rsidRDefault="0084270A" w:rsidP="00CA43A5">
      <w:pPr>
        <w:rPr>
          <w:sz w:val="26"/>
          <w:szCs w:val="26"/>
        </w:rPr>
      </w:pPr>
      <w:r>
        <w:rPr>
          <w:noProof/>
        </w:rPr>
        <w:drawing>
          <wp:anchor distT="0" distB="0" distL="114300" distR="114300" simplePos="0" relativeHeight="251658240" behindDoc="1" locked="0" layoutInCell="1" allowOverlap="1" wp14:anchorId="18B31C4F" wp14:editId="2A51C2C4">
            <wp:simplePos x="0" y="0"/>
            <wp:positionH relativeFrom="column">
              <wp:posOffset>2876550</wp:posOffset>
            </wp:positionH>
            <wp:positionV relativeFrom="paragraph">
              <wp:posOffset>141605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A43A5" w:rsidRDefault="00CA43A5" w:rsidP="00857172">
      <w:pPr>
        <w:tabs>
          <w:tab w:val="left" w:pos="-720"/>
        </w:tabs>
        <w:ind w:firstLine="5040"/>
        <w:rPr>
          <w:sz w:val="26"/>
          <w:szCs w:val="26"/>
        </w:rPr>
      </w:pPr>
      <w:r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ORDER ADOPTED:</w:t>
      </w:r>
      <w:r w:rsidR="009D4C89">
        <w:rPr>
          <w:sz w:val="26"/>
          <w:szCs w:val="26"/>
        </w:rPr>
        <w:t xml:space="preserve">  March 1, 2012</w:t>
      </w:r>
      <w:r w:rsidRPr="00CA43A5">
        <w:rPr>
          <w:sz w:val="26"/>
          <w:szCs w:val="26"/>
        </w:rPr>
        <w:t xml:space="preserve"> </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84270A">
        <w:rPr>
          <w:sz w:val="26"/>
          <w:szCs w:val="26"/>
        </w:rPr>
        <w:t>March 1, 2012</w:t>
      </w:r>
      <w:bookmarkStart w:id="7" w:name="_GoBack"/>
      <w:bookmarkEnd w:id="7"/>
    </w:p>
    <w:p w:rsidR="00344804" w:rsidRPr="00CA43A5" w:rsidRDefault="00344804" w:rsidP="00344804">
      <w:pPr>
        <w:ind w:right="360"/>
        <w:rPr>
          <w:sz w:val="26"/>
          <w:szCs w:val="26"/>
        </w:rPr>
      </w:pPr>
    </w:p>
    <w:sectPr w:rsidR="00344804" w:rsidRPr="00CA43A5" w:rsidSect="00F9641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0E" w:rsidRDefault="0052690E" w:rsidP="001B7DA2">
      <w:r>
        <w:separator/>
      </w:r>
    </w:p>
  </w:endnote>
  <w:endnote w:type="continuationSeparator" w:id="0">
    <w:p w:rsidR="0052690E" w:rsidRDefault="0052690E"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F9641D" w:rsidRDefault="00F9641D">
        <w:pPr>
          <w:pStyle w:val="Footer"/>
          <w:jc w:val="center"/>
        </w:pPr>
        <w:r>
          <w:fldChar w:fldCharType="begin"/>
        </w:r>
        <w:r>
          <w:instrText xml:space="preserve"> PAGE   \* MERGEFORMAT </w:instrText>
        </w:r>
        <w:r>
          <w:fldChar w:fldCharType="separate"/>
        </w:r>
        <w:r w:rsidR="0084270A">
          <w:rPr>
            <w:noProof/>
          </w:rPr>
          <w:t>9</w:t>
        </w:r>
        <w:r>
          <w:rPr>
            <w:noProof/>
          </w:rPr>
          <w:fldChar w:fldCharType="end"/>
        </w:r>
      </w:p>
    </w:sdtContent>
  </w:sdt>
  <w:p w:rsidR="00F9641D" w:rsidRDefault="00F9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0E" w:rsidRDefault="0052690E" w:rsidP="001B7DA2">
      <w:r>
        <w:separator/>
      </w:r>
    </w:p>
  </w:footnote>
  <w:footnote w:type="continuationSeparator" w:id="0">
    <w:p w:rsidR="0052690E" w:rsidRDefault="0052690E" w:rsidP="001B7DA2">
      <w:r>
        <w:continuationSeparator/>
      </w:r>
    </w:p>
  </w:footnote>
  <w:footnote w:id="1">
    <w:p w:rsidR="001B7DA2" w:rsidRPr="001B7DA2" w:rsidRDefault="001B7DA2" w:rsidP="001B7DA2">
      <w:pPr>
        <w:pStyle w:val="FootnoteText"/>
        <w:ind w:firstLine="720"/>
        <w:rPr>
          <w:rFonts w:ascii="CG Times" w:hAnsi="CG Times"/>
          <w:sz w:val="24"/>
        </w:rPr>
      </w:pPr>
      <w:r w:rsidRPr="001B7DA2">
        <w:rPr>
          <w:rStyle w:val="FootnoteReference"/>
          <w:sz w:val="22"/>
          <w:szCs w:val="22"/>
        </w:rPr>
        <w:footnoteRef/>
      </w:r>
      <w:r w:rsidRPr="001B7DA2">
        <w:rPr>
          <w:sz w:val="22"/>
          <w:szCs w:val="22"/>
        </w:rPr>
        <w:t xml:space="preserve"> </w:t>
      </w:r>
      <w:r>
        <w:tab/>
      </w:r>
      <w:r w:rsidRPr="001B7DA2">
        <w:rPr>
          <w:rFonts w:ascii="CG Times" w:hAnsi="CG Times"/>
          <w:sz w:val="26"/>
          <w:szCs w:val="26"/>
        </w:rPr>
        <w:t>T</w:t>
      </w:r>
      <w:r w:rsidRPr="001B7DA2">
        <w:rPr>
          <w:rFonts w:ascii="Times New (W1)" w:hAnsi="Times New (W1)"/>
          <w:sz w:val="26"/>
        </w:rPr>
        <w:t xml:space="preserve">he Complainant filed the Exceptions with the Commission’s Secretary’s Bureau on </w:t>
      </w:r>
      <w:r>
        <w:rPr>
          <w:rFonts w:ascii="Times New (W1)" w:hAnsi="Times New (W1)"/>
          <w:sz w:val="26"/>
        </w:rPr>
        <w:t>December</w:t>
      </w:r>
      <w:r w:rsidRPr="001B7DA2">
        <w:rPr>
          <w:rFonts w:ascii="Times New (W1)" w:hAnsi="Times New (W1)"/>
          <w:sz w:val="26"/>
        </w:rPr>
        <w:t xml:space="preserve"> 21, 2011, however, the Exceptions </w:t>
      </w:r>
      <w:r w:rsidRPr="001B7DA2">
        <w:rPr>
          <w:sz w:val="26"/>
          <w:szCs w:val="26"/>
        </w:rPr>
        <w:t xml:space="preserve">did not include a Certificate of Service.  By letter dated </w:t>
      </w:r>
      <w:r>
        <w:rPr>
          <w:sz w:val="26"/>
          <w:szCs w:val="26"/>
        </w:rPr>
        <w:t>December 28</w:t>
      </w:r>
      <w:r w:rsidRPr="001B7DA2">
        <w:rPr>
          <w:sz w:val="26"/>
          <w:szCs w:val="26"/>
        </w:rPr>
        <w:t xml:space="preserve">, 2011, the Secretary’s Bureau notified all Parties that the Complainant had timely filed Exceptions, but had failed to serve a copy of the Exceptions on the other Parties to the case.  The Secretary’s letter provided a copy of the Exceptions to all Parties, and </w:t>
      </w:r>
      <w:r w:rsidR="0087708E">
        <w:rPr>
          <w:sz w:val="26"/>
          <w:szCs w:val="26"/>
        </w:rPr>
        <w:t>December 28</w:t>
      </w:r>
      <w:r w:rsidRPr="001B7DA2">
        <w:rPr>
          <w:sz w:val="26"/>
          <w:szCs w:val="26"/>
        </w:rPr>
        <w:t>, 201</w:t>
      </w:r>
      <w:r w:rsidR="0087708E">
        <w:rPr>
          <w:sz w:val="26"/>
          <w:szCs w:val="26"/>
        </w:rPr>
        <w:t>1</w:t>
      </w:r>
      <w:r w:rsidRPr="001B7DA2">
        <w:rPr>
          <w:sz w:val="26"/>
          <w:szCs w:val="26"/>
        </w:rPr>
        <w:t xml:space="preserve">, was then deemed to be the filing date for the Exceptions in order to avoid prejudice to any Party.    </w:t>
      </w:r>
    </w:p>
    <w:p w:rsidR="001B7DA2" w:rsidRDefault="001B7DA2" w:rsidP="001B7DA2">
      <w:pPr>
        <w:pStyle w:val="FootnoteText"/>
        <w:ind w:firstLine="720"/>
      </w:pPr>
    </w:p>
  </w:footnote>
  <w:footnote w:id="2">
    <w:p w:rsidR="007B5F19" w:rsidRDefault="00655657" w:rsidP="00C16E76">
      <w:pPr>
        <w:pStyle w:val="FootnoteText"/>
        <w:tabs>
          <w:tab w:val="left" w:pos="720"/>
          <w:tab w:val="left" w:pos="1440"/>
        </w:tabs>
        <w:rPr>
          <w:sz w:val="26"/>
        </w:rPr>
      </w:pPr>
      <w:r>
        <w:tab/>
      </w:r>
      <w:r w:rsidRPr="00655657">
        <w:rPr>
          <w:rStyle w:val="FootnoteReference"/>
          <w:sz w:val="22"/>
          <w:szCs w:val="22"/>
        </w:rPr>
        <w:footnoteRef/>
      </w:r>
      <w:r w:rsidRPr="00655657">
        <w:rPr>
          <w:sz w:val="22"/>
          <w:szCs w:val="22"/>
        </w:rPr>
        <w:t xml:space="preserve"> </w:t>
      </w:r>
      <w:r>
        <w:tab/>
      </w:r>
      <w:r w:rsidRPr="00655657">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xml:space="preserve">) of our Regulations, </w:t>
      </w:r>
    </w:p>
    <w:p w:rsidR="00655657" w:rsidRPr="00655657" w:rsidRDefault="00655657" w:rsidP="00C16E76">
      <w:pPr>
        <w:pStyle w:val="FootnoteText"/>
        <w:tabs>
          <w:tab w:val="left" w:pos="720"/>
          <w:tab w:val="left" w:pos="1440"/>
        </w:tabs>
      </w:pPr>
      <w:r w:rsidRPr="00655657">
        <w:rPr>
          <w:sz w:val="26"/>
        </w:rPr>
        <w:t>52 Pa.</w:t>
      </w:r>
      <w:r w:rsidR="007B5F19">
        <w:rPr>
          <w:sz w:val="26"/>
        </w:rPr>
        <w:t xml:space="preserve"> </w:t>
      </w:r>
      <w:r w:rsidRPr="00655657">
        <w:rPr>
          <w:sz w:val="26"/>
        </w:rPr>
        <w:t>Code § 1.2(</w:t>
      </w:r>
      <w:r w:rsidR="001117FF">
        <w:rPr>
          <w:sz w:val="26"/>
        </w:rPr>
        <w:t>a</w:t>
      </w:r>
      <w:r w:rsidRPr="00655657">
        <w:rPr>
          <w:sz w:val="26"/>
        </w:rPr>
        <w:t>)</w:t>
      </w:r>
      <w:r>
        <w:rPr>
          <w:sz w:val="26"/>
        </w:rPr>
        <w:t>, in order to secure a just, speedy, and inexpensive determination</w:t>
      </w:r>
      <w:r w:rsidRPr="00655657">
        <w:rPr>
          <w:sz w:val="26"/>
        </w:rPr>
        <w:t>.</w:t>
      </w:r>
      <w:r w:rsidR="00515B78">
        <w:rPr>
          <w:sz w:val="26"/>
        </w:rPr>
        <w:t xml:space="preserve">  </w:t>
      </w:r>
      <w:r w:rsidRPr="00655657">
        <w:rPr>
          <w:sz w:val="26"/>
        </w:rPr>
        <w:t xml:space="preserve">  </w:t>
      </w:r>
    </w:p>
    <w:p w:rsidR="00655657" w:rsidRDefault="00655657" w:rsidP="00655657">
      <w:pPr>
        <w:pStyle w:val="FootnoteText"/>
        <w:ind w:firstLine="720"/>
      </w:pPr>
    </w:p>
  </w:footnote>
  <w:footnote w:id="3">
    <w:p w:rsidR="00B378C2" w:rsidRDefault="004B07B9" w:rsidP="00B378C2">
      <w:pPr>
        <w:pStyle w:val="FootnoteText"/>
        <w:ind w:firstLine="720"/>
        <w:rPr>
          <w:sz w:val="26"/>
        </w:rPr>
      </w:pPr>
      <w:r w:rsidRPr="004B07B9">
        <w:rPr>
          <w:rStyle w:val="FootnoteReference"/>
          <w:sz w:val="22"/>
          <w:szCs w:val="22"/>
        </w:rPr>
        <w:footnoteRef/>
      </w:r>
      <w:r w:rsidRPr="004B07B9">
        <w:rPr>
          <w:sz w:val="22"/>
          <w:szCs w:val="22"/>
        </w:rPr>
        <w:t xml:space="preserve"> </w:t>
      </w:r>
      <w:r>
        <w:tab/>
      </w:r>
      <w:r>
        <w:rPr>
          <w:sz w:val="26"/>
        </w:rPr>
        <w:t>In reaching his determination, t</w:t>
      </w:r>
      <w:r w:rsidRPr="004B07B9">
        <w:rPr>
          <w:sz w:val="26"/>
        </w:rPr>
        <w:t xml:space="preserve">he ALJ relied on the Commission’s decisions in </w:t>
      </w:r>
      <w:r w:rsidR="00B378C2" w:rsidRPr="004B07B9">
        <w:rPr>
          <w:i/>
          <w:sz w:val="26"/>
        </w:rPr>
        <w:t>Ace Check Cashing, Inc. v. Philadelphia Gas Works</w:t>
      </w:r>
      <w:r w:rsidR="00B378C2" w:rsidRPr="004B07B9">
        <w:rPr>
          <w:sz w:val="26"/>
        </w:rPr>
        <w:t xml:space="preserve">, Docket No. </w:t>
      </w:r>
    </w:p>
    <w:p w:rsidR="004B07B9" w:rsidRDefault="00B378C2" w:rsidP="00B378C2">
      <w:pPr>
        <w:pStyle w:val="FootnoteText"/>
        <w:rPr>
          <w:sz w:val="26"/>
        </w:rPr>
      </w:pPr>
      <w:r w:rsidRPr="004B07B9">
        <w:rPr>
          <w:sz w:val="26"/>
        </w:rPr>
        <w:t>C-2008-2056428 (Order entered May 21, 2010)</w:t>
      </w:r>
      <w:r>
        <w:rPr>
          <w:sz w:val="26"/>
        </w:rPr>
        <w:t xml:space="preserve"> and </w:t>
      </w:r>
      <w:r w:rsidRPr="00B378C2">
        <w:rPr>
          <w:i/>
          <w:sz w:val="26"/>
        </w:rPr>
        <w:t>S</w:t>
      </w:r>
      <w:r w:rsidR="004B07B9" w:rsidRPr="004B07B9">
        <w:rPr>
          <w:i/>
          <w:sz w:val="26"/>
        </w:rPr>
        <w:t>antos v. Metropolitan Edison</w:t>
      </w:r>
      <w:r w:rsidR="00325D89">
        <w:rPr>
          <w:i/>
          <w:sz w:val="26"/>
        </w:rPr>
        <w:t xml:space="preserve"> Co.</w:t>
      </w:r>
      <w:r w:rsidR="004B07B9" w:rsidRPr="004B07B9">
        <w:rPr>
          <w:sz w:val="26"/>
        </w:rPr>
        <w:t xml:space="preserve">, </w:t>
      </w:r>
      <w:r>
        <w:rPr>
          <w:sz w:val="26"/>
          <w:szCs w:val="26"/>
        </w:rPr>
        <w:t>1997 Pa. PUC LEXIS 184.</w:t>
      </w:r>
      <w:r w:rsidR="004B07B9" w:rsidRPr="004B07B9">
        <w:rPr>
          <w:sz w:val="26"/>
        </w:rPr>
        <w:t xml:space="preserve"> </w:t>
      </w:r>
    </w:p>
    <w:p w:rsidR="004B07B9" w:rsidRDefault="004B07B9" w:rsidP="004B07B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4D5A"/>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8598C"/>
    <w:rsid w:val="000918D4"/>
    <w:rsid w:val="00093164"/>
    <w:rsid w:val="00094D3B"/>
    <w:rsid w:val="0009612D"/>
    <w:rsid w:val="00097504"/>
    <w:rsid w:val="000A365D"/>
    <w:rsid w:val="000A490A"/>
    <w:rsid w:val="000B216D"/>
    <w:rsid w:val="000B2755"/>
    <w:rsid w:val="000B4EAE"/>
    <w:rsid w:val="000B5238"/>
    <w:rsid w:val="000B607A"/>
    <w:rsid w:val="000B6B15"/>
    <w:rsid w:val="000C2AE3"/>
    <w:rsid w:val="000C709A"/>
    <w:rsid w:val="000F0AD9"/>
    <w:rsid w:val="000F179E"/>
    <w:rsid w:val="000F4307"/>
    <w:rsid w:val="0010158F"/>
    <w:rsid w:val="00101F51"/>
    <w:rsid w:val="001026CA"/>
    <w:rsid w:val="00104D9B"/>
    <w:rsid w:val="001117FF"/>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1F6E"/>
    <w:rsid w:val="00182478"/>
    <w:rsid w:val="00186A97"/>
    <w:rsid w:val="0019530E"/>
    <w:rsid w:val="00195F2E"/>
    <w:rsid w:val="001B1DB4"/>
    <w:rsid w:val="001B7DA2"/>
    <w:rsid w:val="001C4978"/>
    <w:rsid w:val="001D0ED2"/>
    <w:rsid w:val="001E0B61"/>
    <w:rsid w:val="001E1276"/>
    <w:rsid w:val="001E2C66"/>
    <w:rsid w:val="001F285E"/>
    <w:rsid w:val="001F5292"/>
    <w:rsid w:val="00202524"/>
    <w:rsid w:val="00210736"/>
    <w:rsid w:val="00210F81"/>
    <w:rsid w:val="00211622"/>
    <w:rsid w:val="00214B3E"/>
    <w:rsid w:val="00224218"/>
    <w:rsid w:val="0022698E"/>
    <w:rsid w:val="00227906"/>
    <w:rsid w:val="00227912"/>
    <w:rsid w:val="002311EE"/>
    <w:rsid w:val="002370F5"/>
    <w:rsid w:val="00240ACA"/>
    <w:rsid w:val="00240D7B"/>
    <w:rsid w:val="00240E6F"/>
    <w:rsid w:val="00241299"/>
    <w:rsid w:val="0024419F"/>
    <w:rsid w:val="00252CDB"/>
    <w:rsid w:val="00255462"/>
    <w:rsid w:val="00260957"/>
    <w:rsid w:val="00264646"/>
    <w:rsid w:val="002709CD"/>
    <w:rsid w:val="0027232D"/>
    <w:rsid w:val="002732AB"/>
    <w:rsid w:val="00274D0F"/>
    <w:rsid w:val="00277500"/>
    <w:rsid w:val="00281A5F"/>
    <w:rsid w:val="002916C2"/>
    <w:rsid w:val="00291F68"/>
    <w:rsid w:val="002A060A"/>
    <w:rsid w:val="002A4450"/>
    <w:rsid w:val="002A6750"/>
    <w:rsid w:val="002B2296"/>
    <w:rsid w:val="002B34B6"/>
    <w:rsid w:val="002B3612"/>
    <w:rsid w:val="002B4407"/>
    <w:rsid w:val="002B67B7"/>
    <w:rsid w:val="002C0429"/>
    <w:rsid w:val="002C19E4"/>
    <w:rsid w:val="002C6CC4"/>
    <w:rsid w:val="002D13C4"/>
    <w:rsid w:val="002D275E"/>
    <w:rsid w:val="002D6357"/>
    <w:rsid w:val="002D7584"/>
    <w:rsid w:val="002E1460"/>
    <w:rsid w:val="002E23A4"/>
    <w:rsid w:val="002E3026"/>
    <w:rsid w:val="002E3F06"/>
    <w:rsid w:val="002E5807"/>
    <w:rsid w:val="002E6FFA"/>
    <w:rsid w:val="002E79DE"/>
    <w:rsid w:val="002E7F8F"/>
    <w:rsid w:val="002F3F04"/>
    <w:rsid w:val="002F41BA"/>
    <w:rsid w:val="003018AA"/>
    <w:rsid w:val="00303B99"/>
    <w:rsid w:val="00304757"/>
    <w:rsid w:val="00305D99"/>
    <w:rsid w:val="0030714F"/>
    <w:rsid w:val="003073E2"/>
    <w:rsid w:val="00307DDF"/>
    <w:rsid w:val="00314A43"/>
    <w:rsid w:val="00322040"/>
    <w:rsid w:val="003240B8"/>
    <w:rsid w:val="00325422"/>
    <w:rsid w:val="00325D89"/>
    <w:rsid w:val="00332DA2"/>
    <w:rsid w:val="00333FDA"/>
    <w:rsid w:val="003340DE"/>
    <w:rsid w:val="00340D19"/>
    <w:rsid w:val="00344804"/>
    <w:rsid w:val="003518C8"/>
    <w:rsid w:val="003533B5"/>
    <w:rsid w:val="003622CA"/>
    <w:rsid w:val="00363030"/>
    <w:rsid w:val="0036462C"/>
    <w:rsid w:val="00364A42"/>
    <w:rsid w:val="00366281"/>
    <w:rsid w:val="00372487"/>
    <w:rsid w:val="003755FB"/>
    <w:rsid w:val="0037577C"/>
    <w:rsid w:val="00377F25"/>
    <w:rsid w:val="00385502"/>
    <w:rsid w:val="00391A43"/>
    <w:rsid w:val="003B0611"/>
    <w:rsid w:val="003B42D9"/>
    <w:rsid w:val="003C3140"/>
    <w:rsid w:val="003C3E02"/>
    <w:rsid w:val="003C3FE8"/>
    <w:rsid w:val="003C73F9"/>
    <w:rsid w:val="003D5F07"/>
    <w:rsid w:val="003D6AB5"/>
    <w:rsid w:val="003E3FF5"/>
    <w:rsid w:val="003E5354"/>
    <w:rsid w:val="003F51F4"/>
    <w:rsid w:val="003F52C6"/>
    <w:rsid w:val="003F558E"/>
    <w:rsid w:val="00403D6E"/>
    <w:rsid w:val="00407AC0"/>
    <w:rsid w:val="00412E30"/>
    <w:rsid w:val="004170AF"/>
    <w:rsid w:val="00432BB7"/>
    <w:rsid w:val="004331E9"/>
    <w:rsid w:val="00433E8D"/>
    <w:rsid w:val="0043592C"/>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91D91"/>
    <w:rsid w:val="004931C7"/>
    <w:rsid w:val="0049580C"/>
    <w:rsid w:val="0049768F"/>
    <w:rsid w:val="004A04E5"/>
    <w:rsid w:val="004A1495"/>
    <w:rsid w:val="004A2165"/>
    <w:rsid w:val="004A5F74"/>
    <w:rsid w:val="004B07B9"/>
    <w:rsid w:val="004B1052"/>
    <w:rsid w:val="004B6B14"/>
    <w:rsid w:val="004C7594"/>
    <w:rsid w:val="004E41CC"/>
    <w:rsid w:val="004E47EC"/>
    <w:rsid w:val="004E514F"/>
    <w:rsid w:val="004E737F"/>
    <w:rsid w:val="004F03DE"/>
    <w:rsid w:val="004F22DA"/>
    <w:rsid w:val="00502165"/>
    <w:rsid w:val="00504834"/>
    <w:rsid w:val="00504C7A"/>
    <w:rsid w:val="00505AEE"/>
    <w:rsid w:val="0050632E"/>
    <w:rsid w:val="0050752D"/>
    <w:rsid w:val="00511EF3"/>
    <w:rsid w:val="00514507"/>
    <w:rsid w:val="0051475B"/>
    <w:rsid w:val="00515B78"/>
    <w:rsid w:val="00521350"/>
    <w:rsid w:val="0052690E"/>
    <w:rsid w:val="005351B9"/>
    <w:rsid w:val="00536011"/>
    <w:rsid w:val="00540506"/>
    <w:rsid w:val="00550B79"/>
    <w:rsid w:val="0055150B"/>
    <w:rsid w:val="005532F9"/>
    <w:rsid w:val="0055440B"/>
    <w:rsid w:val="0055708D"/>
    <w:rsid w:val="005606BE"/>
    <w:rsid w:val="00561CA6"/>
    <w:rsid w:val="00564565"/>
    <w:rsid w:val="005647BE"/>
    <w:rsid w:val="00566299"/>
    <w:rsid w:val="005725F6"/>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6C0B"/>
    <w:rsid w:val="005D7C20"/>
    <w:rsid w:val="005E6960"/>
    <w:rsid w:val="005E7EB8"/>
    <w:rsid w:val="005F18D6"/>
    <w:rsid w:val="00603024"/>
    <w:rsid w:val="006116E3"/>
    <w:rsid w:val="00613994"/>
    <w:rsid w:val="00624400"/>
    <w:rsid w:val="00624E51"/>
    <w:rsid w:val="00626162"/>
    <w:rsid w:val="00634719"/>
    <w:rsid w:val="006373F9"/>
    <w:rsid w:val="006503E8"/>
    <w:rsid w:val="00654A4A"/>
    <w:rsid w:val="0065545A"/>
    <w:rsid w:val="00655657"/>
    <w:rsid w:val="006556A7"/>
    <w:rsid w:val="006661CF"/>
    <w:rsid w:val="00670BFD"/>
    <w:rsid w:val="00671E4C"/>
    <w:rsid w:val="00674295"/>
    <w:rsid w:val="006818A8"/>
    <w:rsid w:val="00681A51"/>
    <w:rsid w:val="00682469"/>
    <w:rsid w:val="00683D97"/>
    <w:rsid w:val="00684FCA"/>
    <w:rsid w:val="00686B5C"/>
    <w:rsid w:val="00696997"/>
    <w:rsid w:val="006A224F"/>
    <w:rsid w:val="006A758C"/>
    <w:rsid w:val="006B22C2"/>
    <w:rsid w:val="006B346F"/>
    <w:rsid w:val="006C1EEC"/>
    <w:rsid w:val="006C3CB9"/>
    <w:rsid w:val="006C3FEA"/>
    <w:rsid w:val="006C69E7"/>
    <w:rsid w:val="006D10AE"/>
    <w:rsid w:val="006D29F2"/>
    <w:rsid w:val="006D7CA2"/>
    <w:rsid w:val="006E065B"/>
    <w:rsid w:val="006E09D3"/>
    <w:rsid w:val="006E1E6C"/>
    <w:rsid w:val="006E4254"/>
    <w:rsid w:val="006E5505"/>
    <w:rsid w:val="006F240A"/>
    <w:rsid w:val="006F2FB3"/>
    <w:rsid w:val="006F531B"/>
    <w:rsid w:val="006F62BC"/>
    <w:rsid w:val="00701370"/>
    <w:rsid w:val="00702493"/>
    <w:rsid w:val="00714F3B"/>
    <w:rsid w:val="00715FA6"/>
    <w:rsid w:val="007166F7"/>
    <w:rsid w:val="00716AEF"/>
    <w:rsid w:val="00717076"/>
    <w:rsid w:val="00717296"/>
    <w:rsid w:val="00723FB6"/>
    <w:rsid w:val="00727370"/>
    <w:rsid w:val="00735D9E"/>
    <w:rsid w:val="0074109C"/>
    <w:rsid w:val="00742335"/>
    <w:rsid w:val="00742842"/>
    <w:rsid w:val="00753376"/>
    <w:rsid w:val="007543B0"/>
    <w:rsid w:val="007568A9"/>
    <w:rsid w:val="00761514"/>
    <w:rsid w:val="00763CE7"/>
    <w:rsid w:val="00770A31"/>
    <w:rsid w:val="0077128B"/>
    <w:rsid w:val="00772177"/>
    <w:rsid w:val="00775C65"/>
    <w:rsid w:val="0077639A"/>
    <w:rsid w:val="0078100C"/>
    <w:rsid w:val="00781571"/>
    <w:rsid w:val="0078157F"/>
    <w:rsid w:val="00786F48"/>
    <w:rsid w:val="0078772C"/>
    <w:rsid w:val="007878E4"/>
    <w:rsid w:val="007963BD"/>
    <w:rsid w:val="007A4783"/>
    <w:rsid w:val="007A5191"/>
    <w:rsid w:val="007B0500"/>
    <w:rsid w:val="007B111B"/>
    <w:rsid w:val="007B3AE8"/>
    <w:rsid w:val="007B4418"/>
    <w:rsid w:val="007B5F19"/>
    <w:rsid w:val="007B5F62"/>
    <w:rsid w:val="007B66B3"/>
    <w:rsid w:val="007B7077"/>
    <w:rsid w:val="007C3003"/>
    <w:rsid w:val="007C455B"/>
    <w:rsid w:val="007C6B60"/>
    <w:rsid w:val="007C6F85"/>
    <w:rsid w:val="007D3AA0"/>
    <w:rsid w:val="007D3FE2"/>
    <w:rsid w:val="007D5690"/>
    <w:rsid w:val="007D69FA"/>
    <w:rsid w:val="007E1600"/>
    <w:rsid w:val="00810603"/>
    <w:rsid w:val="00814283"/>
    <w:rsid w:val="00820209"/>
    <w:rsid w:val="00820F35"/>
    <w:rsid w:val="00820FEC"/>
    <w:rsid w:val="0082393D"/>
    <w:rsid w:val="0083324D"/>
    <w:rsid w:val="00841733"/>
    <w:rsid w:val="0084270A"/>
    <w:rsid w:val="00844D38"/>
    <w:rsid w:val="00844D85"/>
    <w:rsid w:val="00846E83"/>
    <w:rsid w:val="008524BE"/>
    <w:rsid w:val="00853BC2"/>
    <w:rsid w:val="00854278"/>
    <w:rsid w:val="00856063"/>
    <w:rsid w:val="00857172"/>
    <w:rsid w:val="0086236A"/>
    <w:rsid w:val="0087035A"/>
    <w:rsid w:val="0087282C"/>
    <w:rsid w:val="0087347D"/>
    <w:rsid w:val="0087708E"/>
    <w:rsid w:val="00882DAD"/>
    <w:rsid w:val="00885263"/>
    <w:rsid w:val="008855BB"/>
    <w:rsid w:val="00892DA5"/>
    <w:rsid w:val="008949B1"/>
    <w:rsid w:val="0089713E"/>
    <w:rsid w:val="008A10F3"/>
    <w:rsid w:val="008A5C0F"/>
    <w:rsid w:val="008B1596"/>
    <w:rsid w:val="008C09C4"/>
    <w:rsid w:val="008C1F44"/>
    <w:rsid w:val="008C646F"/>
    <w:rsid w:val="008D3B80"/>
    <w:rsid w:val="008E3E4B"/>
    <w:rsid w:val="008E4EF9"/>
    <w:rsid w:val="008E6DFC"/>
    <w:rsid w:val="008E7710"/>
    <w:rsid w:val="008F2510"/>
    <w:rsid w:val="00900D4D"/>
    <w:rsid w:val="00903F34"/>
    <w:rsid w:val="00905C0A"/>
    <w:rsid w:val="00911BC6"/>
    <w:rsid w:val="009122F8"/>
    <w:rsid w:val="00915520"/>
    <w:rsid w:val="009155F7"/>
    <w:rsid w:val="00921131"/>
    <w:rsid w:val="009247F5"/>
    <w:rsid w:val="00926AB2"/>
    <w:rsid w:val="009356E6"/>
    <w:rsid w:val="009407FE"/>
    <w:rsid w:val="00940BD4"/>
    <w:rsid w:val="009419FA"/>
    <w:rsid w:val="00942436"/>
    <w:rsid w:val="00957603"/>
    <w:rsid w:val="00957A1D"/>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2068"/>
    <w:rsid w:val="009D4C89"/>
    <w:rsid w:val="009D7D33"/>
    <w:rsid w:val="009E4DD4"/>
    <w:rsid w:val="009E4E3F"/>
    <w:rsid w:val="009E698B"/>
    <w:rsid w:val="009F1547"/>
    <w:rsid w:val="009F4ABA"/>
    <w:rsid w:val="00A030DD"/>
    <w:rsid w:val="00A066AE"/>
    <w:rsid w:val="00A10DD9"/>
    <w:rsid w:val="00A12C6B"/>
    <w:rsid w:val="00A14117"/>
    <w:rsid w:val="00A149FA"/>
    <w:rsid w:val="00A17DF0"/>
    <w:rsid w:val="00A20F78"/>
    <w:rsid w:val="00A218F1"/>
    <w:rsid w:val="00A27DEE"/>
    <w:rsid w:val="00A31B93"/>
    <w:rsid w:val="00A375EF"/>
    <w:rsid w:val="00A50D8A"/>
    <w:rsid w:val="00A528C2"/>
    <w:rsid w:val="00A54AFD"/>
    <w:rsid w:val="00A54E69"/>
    <w:rsid w:val="00A6006E"/>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E33FF"/>
    <w:rsid w:val="00AE47DB"/>
    <w:rsid w:val="00AF06D5"/>
    <w:rsid w:val="00AF09DD"/>
    <w:rsid w:val="00B02655"/>
    <w:rsid w:val="00B05102"/>
    <w:rsid w:val="00B16A34"/>
    <w:rsid w:val="00B25453"/>
    <w:rsid w:val="00B311F2"/>
    <w:rsid w:val="00B31B9C"/>
    <w:rsid w:val="00B34D6C"/>
    <w:rsid w:val="00B378C2"/>
    <w:rsid w:val="00B5544F"/>
    <w:rsid w:val="00B55E5D"/>
    <w:rsid w:val="00B57849"/>
    <w:rsid w:val="00B60A36"/>
    <w:rsid w:val="00B66867"/>
    <w:rsid w:val="00B66994"/>
    <w:rsid w:val="00B6706C"/>
    <w:rsid w:val="00B71AFB"/>
    <w:rsid w:val="00B71F3A"/>
    <w:rsid w:val="00B73C97"/>
    <w:rsid w:val="00B76340"/>
    <w:rsid w:val="00B80C43"/>
    <w:rsid w:val="00B94786"/>
    <w:rsid w:val="00BA78B6"/>
    <w:rsid w:val="00BB26AD"/>
    <w:rsid w:val="00BB79BD"/>
    <w:rsid w:val="00BC7208"/>
    <w:rsid w:val="00BD0B48"/>
    <w:rsid w:val="00BD2A0A"/>
    <w:rsid w:val="00BD5D0F"/>
    <w:rsid w:val="00BD7C68"/>
    <w:rsid w:val="00BE1CBC"/>
    <w:rsid w:val="00BE29DC"/>
    <w:rsid w:val="00BE7B14"/>
    <w:rsid w:val="00BF43DA"/>
    <w:rsid w:val="00BF697A"/>
    <w:rsid w:val="00BF6ADB"/>
    <w:rsid w:val="00C03776"/>
    <w:rsid w:val="00C13821"/>
    <w:rsid w:val="00C14051"/>
    <w:rsid w:val="00C15F73"/>
    <w:rsid w:val="00C16E76"/>
    <w:rsid w:val="00C2037B"/>
    <w:rsid w:val="00C22FF7"/>
    <w:rsid w:val="00C27F76"/>
    <w:rsid w:val="00C30DA4"/>
    <w:rsid w:val="00C44719"/>
    <w:rsid w:val="00C50108"/>
    <w:rsid w:val="00C51056"/>
    <w:rsid w:val="00C6572C"/>
    <w:rsid w:val="00C70CFF"/>
    <w:rsid w:val="00C75655"/>
    <w:rsid w:val="00C8070A"/>
    <w:rsid w:val="00C837C3"/>
    <w:rsid w:val="00C84497"/>
    <w:rsid w:val="00C868F6"/>
    <w:rsid w:val="00C9137C"/>
    <w:rsid w:val="00C91644"/>
    <w:rsid w:val="00C9663B"/>
    <w:rsid w:val="00CA43A5"/>
    <w:rsid w:val="00CA7C0B"/>
    <w:rsid w:val="00CB4762"/>
    <w:rsid w:val="00CB6E2B"/>
    <w:rsid w:val="00CB6FF7"/>
    <w:rsid w:val="00CB7302"/>
    <w:rsid w:val="00CC1E9F"/>
    <w:rsid w:val="00CC5896"/>
    <w:rsid w:val="00CE0C35"/>
    <w:rsid w:val="00CE3810"/>
    <w:rsid w:val="00CE3EC9"/>
    <w:rsid w:val="00CE52B4"/>
    <w:rsid w:val="00CE5DCD"/>
    <w:rsid w:val="00CE701C"/>
    <w:rsid w:val="00CE7599"/>
    <w:rsid w:val="00CE7C2C"/>
    <w:rsid w:val="00CF414A"/>
    <w:rsid w:val="00CF4FF0"/>
    <w:rsid w:val="00CF5B47"/>
    <w:rsid w:val="00D051BD"/>
    <w:rsid w:val="00D104F9"/>
    <w:rsid w:val="00D14323"/>
    <w:rsid w:val="00D16008"/>
    <w:rsid w:val="00D166D4"/>
    <w:rsid w:val="00D30254"/>
    <w:rsid w:val="00D33768"/>
    <w:rsid w:val="00D33D87"/>
    <w:rsid w:val="00D35077"/>
    <w:rsid w:val="00D35A6E"/>
    <w:rsid w:val="00D408A8"/>
    <w:rsid w:val="00D45FFE"/>
    <w:rsid w:val="00D46DAE"/>
    <w:rsid w:val="00D51C8F"/>
    <w:rsid w:val="00D5204B"/>
    <w:rsid w:val="00D54C10"/>
    <w:rsid w:val="00D55191"/>
    <w:rsid w:val="00D55CD0"/>
    <w:rsid w:val="00D57544"/>
    <w:rsid w:val="00D57973"/>
    <w:rsid w:val="00D60CE2"/>
    <w:rsid w:val="00D612EC"/>
    <w:rsid w:val="00D6153E"/>
    <w:rsid w:val="00D623C4"/>
    <w:rsid w:val="00D722DF"/>
    <w:rsid w:val="00D84675"/>
    <w:rsid w:val="00D8491F"/>
    <w:rsid w:val="00D8526A"/>
    <w:rsid w:val="00D86252"/>
    <w:rsid w:val="00D917F3"/>
    <w:rsid w:val="00D97BAA"/>
    <w:rsid w:val="00DA3AF3"/>
    <w:rsid w:val="00DA5455"/>
    <w:rsid w:val="00DA5C2B"/>
    <w:rsid w:val="00DB5EFB"/>
    <w:rsid w:val="00DB6EF1"/>
    <w:rsid w:val="00DC19BB"/>
    <w:rsid w:val="00DC3789"/>
    <w:rsid w:val="00DC6404"/>
    <w:rsid w:val="00DD7FDF"/>
    <w:rsid w:val="00DE1703"/>
    <w:rsid w:val="00DE25AC"/>
    <w:rsid w:val="00DF568D"/>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6720F"/>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B1383"/>
    <w:rsid w:val="00EC1212"/>
    <w:rsid w:val="00EC1D3D"/>
    <w:rsid w:val="00EC3331"/>
    <w:rsid w:val="00EC677E"/>
    <w:rsid w:val="00EC7E67"/>
    <w:rsid w:val="00ED5B5C"/>
    <w:rsid w:val="00ED70BD"/>
    <w:rsid w:val="00EE0B3E"/>
    <w:rsid w:val="00EE37BB"/>
    <w:rsid w:val="00EF4099"/>
    <w:rsid w:val="00EF6BDC"/>
    <w:rsid w:val="00F01C4C"/>
    <w:rsid w:val="00F02786"/>
    <w:rsid w:val="00F0434F"/>
    <w:rsid w:val="00F04F14"/>
    <w:rsid w:val="00F0670F"/>
    <w:rsid w:val="00F07FA6"/>
    <w:rsid w:val="00F11BB3"/>
    <w:rsid w:val="00F11F6E"/>
    <w:rsid w:val="00F13036"/>
    <w:rsid w:val="00F21D1A"/>
    <w:rsid w:val="00F22865"/>
    <w:rsid w:val="00F24D75"/>
    <w:rsid w:val="00F261E3"/>
    <w:rsid w:val="00F34B2F"/>
    <w:rsid w:val="00F34F33"/>
    <w:rsid w:val="00F36D1F"/>
    <w:rsid w:val="00F3769E"/>
    <w:rsid w:val="00F40F06"/>
    <w:rsid w:val="00F42418"/>
    <w:rsid w:val="00F42669"/>
    <w:rsid w:val="00F438D0"/>
    <w:rsid w:val="00F4749B"/>
    <w:rsid w:val="00F514FB"/>
    <w:rsid w:val="00F56CE9"/>
    <w:rsid w:val="00F61151"/>
    <w:rsid w:val="00F64ECE"/>
    <w:rsid w:val="00F67B6E"/>
    <w:rsid w:val="00F77765"/>
    <w:rsid w:val="00F77EC3"/>
    <w:rsid w:val="00F85E98"/>
    <w:rsid w:val="00F93FC0"/>
    <w:rsid w:val="00F9641D"/>
    <w:rsid w:val="00FA7C8B"/>
    <w:rsid w:val="00FB0249"/>
    <w:rsid w:val="00FB793A"/>
    <w:rsid w:val="00FC448F"/>
    <w:rsid w:val="00FC5D6D"/>
    <w:rsid w:val="00FC5E92"/>
    <w:rsid w:val="00FD6657"/>
    <w:rsid w:val="00FD7C75"/>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4EA09-ECDD-4292-A375-06716415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6</cp:revision>
  <cp:lastPrinted>2012-03-01T18:40:00Z</cp:lastPrinted>
  <dcterms:created xsi:type="dcterms:W3CDTF">2012-02-15T19:17:00Z</dcterms:created>
  <dcterms:modified xsi:type="dcterms:W3CDTF">2012-03-01T18:40:00Z</dcterms:modified>
</cp:coreProperties>
</file>