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104750" w:rsidTr="00104750">
        <w:tc>
          <w:tcPr>
            <w:tcW w:w="9576" w:type="dxa"/>
            <w:gridSpan w:val="2"/>
          </w:tcPr>
          <w:p w:rsidR="00104750" w:rsidRPr="005A0A6B" w:rsidRDefault="00104750" w:rsidP="009F7422">
            <w:pPr>
              <w:pStyle w:val="Heading1"/>
              <w:outlineLvl w:val="0"/>
            </w:pPr>
            <w:smartTag w:uri="urn:schemas-microsoft-com:office:smarttags" w:element="place">
              <w:smartTag w:uri="urn:schemas-microsoft-com:office:smarttags" w:element="State">
                <w:r w:rsidRPr="005A0A6B">
                  <w:t>PENNSYLVANIA</w:t>
                </w:r>
              </w:smartTag>
            </w:smartTag>
          </w:p>
          <w:p w:rsidR="00104750" w:rsidRPr="005A0A6B" w:rsidRDefault="00104750" w:rsidP="00000D30">
            <w:pPr>
              <w:jc w:val="center"/>
              <w:rPr>
                <w:rFonts w:ascii="Times New (W1)" w:hAnsi="Times New (W1)"/>
                <w:b/>
                <w:sz w:val="26"/>
              </w:rPr>
            </w:pPr>
            <w:r w:rsidRPr="005A0A6B">
              <w:rPr>
                <w:rFonts w:ascii="Times New (W1)" w:hAnsi="Times New (W1)"/>
                <w:b/>
                <w:sz w:val="26"/>
              </w:rPr>
              <w:t>PUBLIC UTILITY COMMISSION</w:t>
            </w:r>
          </w:p>
          <w:p w:rsidR="00104750" w:rsidRPr="005A0A6B" w:rsidRDefault="00104750" w:rsidP="00000D30">
            <w:pPr>
              <w:jc w:val="center"/>
              <w:rPr>
                <w:rFonts w:ascii="Times New (W1)" w:hAnsi="Times New (W1)"/>
                <w:b/>
                <w:sz w:val="26"/>
              </w:rPr>
            </w:pPr>
            <w:r w:rsidRPr="005A0A6B">
              <w:rPr>
                <w:rFonts w:ascii="Times New (W1)" w:hAnsi="Times New (W1)"/>
                <w:b/>
                <w:sz w:val="26"/>
              </w:rPr>
              <w:t>Harrisburg</w:t>
            </w:r>
            <w:r w:rsidR="009A7E4F">
              <w:rPr>
                <w:rFonts w:ascii="Times New (W1)" w:hAnsi="Times New (W1)"/>
                <w:b/>
                <w:sz w:val="26"/>
              </w:rPr>
              <w:t>, PA</w:t>
            </w:r>
            <w:r w:rsidRPr="005A0A6B">
              <w:rPr>
                <w:rFonts w:ascii="Times New (W1)" w:hAnsi="Times New (W1)"/>
                <w:b/>
                <w:sz w:val="26"/>
              </w:rPr>
              <w:t xml:space="preserve"> 17105-3265</w:t>
            </w:r>
          </w:p>
          <w:p w:rsidR="00104750" w:rsidRDefault="00104750" w:rsidP="0072784C">
            <w:pPr>
              <w:ind w:firstLine="1440"/>
            </w:pPr>
          </w:p>
          <w:p w:rsidR="006F1EA6" w:rsidRDefault="006F1EA6" w:rsidP="00000D30"/>
        </w:tc>
      </w:tr>
      <w:tr w:rsidR="00104750" w:rsidTr="00104750">
        <w:tc>
          <w:tcPr>
            <w:tcW w:w="9576" w:type="dxa"/>
            <w:gridSpan w:val="2"/>
          </w:tcPr>
          <w:p w:rsidR="00104750" w:rsidRDefault="00104750" w:rsidP="00000D30">
            <w:pPr>
              <w:jc w:val="right"/>
              <w:rPr>
                <w:rFonts w:ascii="Times New (W1)" w:hAnsi="Times New (W1)"/>
                <w:sz w:val="26"/>
              </w:rPr>
            </w:pPr>
            <w:r>
              <w:rPr>
                <w:rFonts w:ascii="Times New (W1)" w:hAnsi="Times New (W1)"/>
                <w:sz w:val="26"/>
              </w:rPr>
              <w:t xml:space="preserve">Public Meeting held </w:t>
            </w:r>
            <w:r w:rsidR="001E77F1">
              <w:rPr>
                <w:rFonts w:ascii="Times New (W1)" w:hAnsi="Times New (W1)"/>
                <w:sz w:val="26"/>
              </w:rPr>
              <w:t>March</w:t>
            </w:r>
            <w:r w:rsidR="004269D5">
              <w:rPr>
                <w:rFonts w:ascii="Times New (W1)" w:hAnsi="Times New (W1)"/>
                <w:sz w:val="26"/>
              </w:rPr>
              <w:t xml:space="preserve"> </w:t>
            </w:r>
            <w:r w:rsidR="0017480C">
              <w:rPr>
                <w:rFonts w:ascii="Times New (W1)" w:hAnsi="Times New (W1)"/>
                <w:sz w:val="26"/>
              </w:rPr>
              <w:t>1</w:t>
            </w:r>
            <w:r w:rsidR="0067794B">
              <w:rPr>
                <w:rFonts w:ascii="Times New (W1)" w:hAnsi="Times New (W1)"/>
                <w:sz w:val="26"/>
              </w:rPr>
              <w:t>, 201</w:t>
            </w:r>
            <w:r w:rsidR="009F7422">
              <w:rPr>
                <w:rFonts w:ascii="Times New (W1)" w:hAnsi="Times New (W1)"/>
                <w:sz w:val="26"/>
              </w:rPr>
              <w:t>2</w:t>
            </w:r>
          </w:p>
          <w:p w:rsidR="00104750" w:rsidRDefault="00104750" w:rsidP="00000D30">
            <w:pPr>
              <w:jc w:val="right"/>
            </w:pPr>
          </w:p>
          <w:p w:rsidR="006F1EA6" w:rsidRDefault="006F1EA6" w:rsidP="00000D30">
            <w:pPr>
              <w:jc w:val="right"/>
            </w:pPr>
          </w:p>
        </w:tc>
      </w:tr>
      <w:tr w:rsidR="00104750" w:rsidTr="00104750">
        <w:tc>
          <w:tcPr>
            <w:tcW w:w="9576" w:type="dxa"/>
            <w:gridSpan w:val="2"/>
          </w:tcPr>
          <w:p w:rsidR="00104750" w:rsidRPr="005A0A6B" w:rsidRDefault="00104750" w:rsidP="00000D30">
            <w:pPr>
              <w:rPr>
                <w:rFonts w:ascii="Times New (W1)" w:hAnsi="Times New (W1)"/>
                <w:sz w:val="26"/>
              </w:rPr>
            </w:pPr>
            <w:r w:rsidRPr="005A0A6B">
              <w:rPr>
                <w:rFonts w:ascii="Times New (W1)" w:hAnsi="Times New (W1)"/>
                <w:sz w:val="26"/>
              </w:rPr>
              <w:t>Commissioners Present:</w:t>
            </w:r>
          </w:p>
          <w:p w:rsidR="00104750" w:rsidRPr="005A0A6B" w:rsidRDefault="00104750" w:rsidP="0072784C">
            <w:pPr>
              <w:ind w:firstLine="1440"/>
              <w:rPr>
                <w:rFonts w:ascii="Times New (W1)" w:hAnsi="Times New (W1)"/>
                <w:sz w:val="26"/>
              </w:rPr>
            </w:pPr>
          </w:p>
          <w:p w:rsidR="00104750" w:rsidRPr="005A0A6B" w:rsidRDefault="009F7422" w:rsidP="00000D30">
            <w:pPr>
              <w:ind w:firstLine="540"/>
              <w:rPr>
                <w:rFonts w:ascii="Times New (W1)" w:hAnsi="Times New (W1)"/>
                <w:sz w:val="26"/>
              </w:rPr>
            </w:pPr>
            <w:r>
              <w:rPr>
                <w:rFonts w:ascii="Times New (W1)" w:hAnsi="Times New (W1)"/>
                <w:sz w:val="26"/>
              </w:rPr>
              <w:t>Robert F. Powelson</w:t>
            </w:r>
            <w:r w:rsidR="00104750" w:rsidRPr="005A0A6B">
              <w:rPr>
                <w:rFonts w:ascii="Times New (W1)" w:hAnsi="Times New (W1)"/>
                <w:sz w:val="26"/>
              </w:rPr>
              <w:t>, Chairman</w:t>
            </w:r>
          </w:p>
          <w:p w:rsidR="00104750" w:rsidRPr="005A0A6B" w:rsidRDefault="009F7422" w:rsidP="00000D30">
            <w:pPr>
              <w:ind w:firstLine="540"/>
              <w:rPr>
                <w:rFonts w:ascii="Times New (W1)" w:hAnsi="Times New (W1)"/>
                <w:sz w:val="26"/>
              </w:rPr>
            </w:pPr>
            <w:r>
              <w:rPr>
                <w:rFonts w:ascii="Times New (W1)" w:hAnsi="Times New (W1)"/>
                <w:sz w:val="26"/>
              </w:rPr>
              <w:t>John F. Coleman, Jr.</w:t>
            </w:r>
            <w:r w:rsidR="00104750" w:rsidRPr="005A0A6B">
              <w:rPr>
                <w:rFonts w:ascii="Times New (W1)" w:hAnsi="Times New (W1)"/>
                <w:sz w:val="26"/>
              </w:rPr>
              <w:t xml:space="preserve"> Vice Chairman</w:t>
            </w:r>
          </w:p>
          <w:p w:rsidR="00104750" w:rsidRDefault="00104750" w:rsidP="00000D30">
            <w:pPr>
              <w:ind w:firstLine="540"/>
              <w:rPr>
                <w:rFonts w:ascii="Times New (W1)" w:hAnsi="Times New (W1)"/>
                <w:sz w:val="26"/>
              </w:rPr>
            </w:pPr>
            <w:r w:rsidRPr="005A0A6B">
              <w:rPr>
                <w:rFonts w:ascii="Times New (W1)" w:hAnsi="Times New (W1)"/>
                <w:sz w:val="26"/>
              </w:rPr>
              <w:t>Wayne E. Gardner</w:t>
            </w:r>
          </w:p>
          <w:p w:rsidR="00104750" w:rsidRDefault="009F7422" w:rsidP="00000D30">
            <w:pPr>
              <w:ind w:firstLine="540"/>
              <w:rPr>
                <w:rFonts w:ascii="Times New (W1)" w:hAnsi="Times New (W1)"/>
                <w:sz w:val="26"/>
              </w:rPr>
            </w:pPr>
            <w:r>
              <w:rPr>
                <w:rFonts w:ascii="Times New (W1)" w:hAnsi="Times New (W1)"/>
                <w:sz w:val="26"/>
              </w:rPr>
              <w:t>James H. Cawley</w:t>
            </w:r>
          </w:p>
          <w:p w:rsidR="009F7422" w:rsidRPr="005A0A6B" w:rsidRDefault="009F7422" w:rsidP="00000D30">
            <w:pPr>
              <w:ind w:firstLine="540"/>
              <w:rPr>
                <w:rFonts w:ascii="Times New (W1)" w:hAnsi="Times New (W1)"/>
                <w:sz w:val="26"/>
              </w:rPr>
            </w:pPr>
            <w:r>
              <w:rPr>
                <w:rFonts w:ascii="Times New (W1)" w:hAnsi="Times New (W1)"/>
                <w:sz w:val="26"/>
              </w:rPr>
              <w:t>Pamela A. Witmer</w:t>
            </w:r>
            <w:r w:rsidR="00127629">
              <w:rPr>
                <w:rFonts w:ascii="Times New (W1)" w:hAnsi="Times New (W1)"/>
                <w:sz w:val="26"/>
              </w:rPr>
              <w:t>, Dissenting Statement</w:t>
            </w:r>
          </w:p>
          <w:p w:rsidR="00104750" w:rsidRDefault="00104750" w:rsidP="0072784C">
            <w:pPr>
              <w:ind w:firstLine="1440"/>
              <w:rPr>
                <w:rFonts w:ascii="Times New (W1)" w:hAnsi="Times New (W1)"/>
                <w:sz w:val="26"/>
              </w:rPr>
            </w:pPr>
          </w:p>
          <w:p w:rsidR="006F1EA6" w:rsidRPr="005A0A6B" w:rsidRDefault="006F1EA6" w:rsidP="00000D30">
            <w:pPr>
              <w:rPr>
                <w:rFonts w:ascii="Times New (W1)" w:hAnsi="Times New (W1)"/>
                <w:sz w:val="26"/>
              </w:rPr>
            </w:pPr>
          </w:p>
        </w:tc>
      </w:tr>
      <w:tr w:rsidR="00104750" w:rsidTr="00104750">
        <w:tc>
          <w:tcPr>
            <w:tcW w:w="4788" w:type="dxa"/>
          </w:tcPr>
          <w:p w:rsidR="00D32D60" w:rsidRDefault="00104750" w:rsidP="00104750">
            <w:pPr>
              <w:rPr>
                <w:sz w:val="26"/>
                <w:szCs w:val="26"/>
              </w:rPr>
            </w:pPr>
            <w:r w:rsidRPr="004B5B65">
              <w:rPr>
                <w:sz w:val="26"/>
                <w:szCs w:val="26"/>
              </w:rPr>
              <w:t>Pennsylvania Public Utility Commission</w:t>
            </w:r>
          </w:p>
          <w:p w:rsidR="00104750" w:rsidRPr="004B5B65" w:rsidRDefault="00D32D60" w:rsidP="00104750">
            <w:pPr>
              <w:rPr>
                <w:sz w:val="26"/>
                <w:szCs w:val="26"/>
              </w:rPr>
            </w:pPr>
            <w:r>
              <w:rPr>
                <w:sz w:val="26"/>
                <w:szCs w:val="26"/>
              </w:rPr>
              <w:t>Law Bureau Prosecutory Staff and Gas Safety Division</w:t>
            </w:r>
            <w:r w:rsidR="00104750">
              <w:rPr>
                <w:sz w:val="26"/>
                <w:szCs w:val="26"/>
              </w:rPr>
              <w:t xml:space="preserve"> </w:t>
            </w:r>
          </w:p>
          <w:p w:rsidR="00104750" w:rsidRPr="004B5B65" w:rsidRDefault="00104750" w:rsidP="0072784C">
            <w:pPr>
              <w:ind w:firstLine="1440"/>
              <w:rPr>
                <w:sz w:val="26"/>
                <w:szCs w:val="26"/>
              </w:rPr>
            </w:pPr>
          </w:p>
          <w:p w:rsidR="00104750" w:rsidRPr="004B5B65" w:rsidRDefault="00104750" w:rsidP="004D4559">
            <w:pPr>
              <w:pStyle w:val="BodyTextIndent2"/>
              <w:spacing w:line="240" w:lineRule="auto"/>
            </w:pPr>
            <w:r w:rsidRPr="004B5B65">
              <w:t>v.</w:t>
            </w:r>
          </w:p>
          <w:p w:rsidR="00104750" w:rsidRPr="004B5B65" w:rsidRDefault="00104750" w:rsidP="0072784C">
            <w:pPr>
              <w:ind w:firstLine="1440"/>
              <w:rPr>
                <w:sz w:val="26"/>
                <w:szCs w:val="26"/>
              </w:rPr>
            </w:pPr>
          </w:p>
          <w:p w:rsidR="009F7422" w:rsidRPr="009F7422" w:rsidRDefault="008A56D8" w:rsidP="007E4D99">
            <w:pPr>
              <w:rPr>
                <w:rFonts w:ascii="Times New (W1)" w:hAnsi="Times New (W1)"/>
                <w:b/>
                <w:sz w:val="26"/>
              </w:rPr>
            </w:pPr>
            <w:r>
              <w:rPr>
                <w:sz w:val="26"/>
                <w:szCs w:val="26"/>
              </w:rPr>
              <w:t>Equitable Gas Company, LLC</w:t>
            </w:r>
            <w:r w:rsidR="001435BE">
              <w:rPr>
                <w:sz w:val="26"/>
                <w:szCs w:val="26"/>
              </w:rPr>
              <w:t xml:space="preserve"> </w:t>
            </w:r>
            <w:r w:rsidR="009F7422">
              <w:rPr>
                <w:b/>
                <w:sz w:val="26"/>
                <w:szCs w:val="26"/>
              </w:rPr>
              <w:t>(Re</w:t>
            </w:r>
            <w:r w:rsidR="00B33E87">
              <w:rPr>
                <w:b/>
                <w:sz w:val="26"/>
                <w:szCs w:val="26"/>
              </w:rPr>
              <w:t>negotiated</w:t>
            </w:r>
            <w:r w:rsidR="009F7422">
              <w:rPr>
                <w:b/>
                <w:sz w:val="26"/>
                <w:szCs w:val="26"/>
              </w:rPr>
              <w:t xml:space="preserve"> Settlement</w:t>
            </w:r>
            <w:r w:rsidR="00124A6F">
              <w:rPr>
                <w:b/>
                <w:sz w:val="26"/>
                <w:szCs w:val="26"/>
              </w:rPr>
              <w:t xml:space="preserve"> Agreement</w:t>
            </w:r>
            <w:r w:rsidR="009F7422">
              <w:rPr>
                <w:b/>
                <w:sz w:val="26"/>
                <w:szCs w:val="26"/>
              </w:rPr>
              <w:t>)</w:t>
            </w:r>
          </w:p>
        </w:tc>
        <w:tc>
          <w:tcPr>
            <w:tcW w:w="4788" w:type="dxa"/>
          </w:tcPr>
          <w:p w:rsidR="00104750" w:rsidRPr="005A0A6B" w:rsidRDefault="00104750" w:rsidP="00000D30">
            <w:pPr>
              <w:jc w:val="right"/>
              <w:rPr>
                <w:rFonts w:ascii="Times New (W1)" w:hAnsi="Times New (W1)"/>
                <w:sz w:val="26"/>
              </w:rPr>
            </w:pPr>
            <w:r>
              <w:rPr>
                <w:sz w:val="26"/>
                <w:szCs w:val="26"/>
              </w:rPr>
              <w:t>M-2009-</w:t>
            </w:r>
            <w:r w:rsidR="001435BE">
              <w:rPr>
                <w:sz w:val="26"/>
                <w:szCs w:val="26"/>
              </w:rPr>
              <w:t>1505395</w:t>
            </w:r>
          </w:p>
          <w:p w:rsidR="00104750" w:rsidRPr="005A0A6B" w:rsidRDefault="00104750" w:rsidP="00000D30">
            <w:pPr>
              <w:jc w:val="right"/>
              <w:rPr>
                <w:rFonts w:ascii="Times New (W1)" w:hAnsi="Times New (W1)"/>
                <w:sz w:val="26"/>
              </w:rPr>
            </w:pPr>
          </w:p>
        </w:tc>
      </w:tr>
    </w:tbl>
    <w:p w:rsidR="00104750" w:rsidRPr="0006427B" w:rsidRDefault="00104750" w:rsidP="0006427B">
      <w:pPr>
        <w:widowControl w:val="0"/>
        <w:ind w:firstLine="1440"/>
        <w:rPr>
          <w:sz w:val="26"/>
          <w:szCs w:val="26"/>
        </w:rPr>
      </w:pPr>
    </w:p>
    <w:p w:rsidR="00440DF9" w:rsidRPr="0006427B" w:rsidRDefault="00440DF9" w:rsidP="0006427B">
      <w:pPr>
        <w:widowControl w:val="0"/>
        <w:ind w:firstLine="1440"/>
        <w:rPr>
          <w:sz w:val="26"/>
          <w:szCs w:val="26"/>
        </w:rPr>
      </w:pPr>
    </w:p>
    <w:p w:rsidR="006F1EA6" w:rsidRPr="0006427B" w:rsidRDefault="006F1EA6" w:rsidP="0006427B">
      <w:pPr>
        <w:widowControl w:val="0"/>
        <w:ind w:firstLine="1440"/>
        <w:rPr>
          <w:sz w:val="26"/>
          <w:szCs w:val="26"/>
        </w:rPr>
      </w:pPr>
    </w:p>
    <w:p w:rsidR="00104750" w:rsidRPr="0006427B" w:rsidRDefault="00104750" w:rsidP="0006427B">
      <w:pPr>
        <w:widowControl w:val="0"/>
        <w:jc w:val="center"/>
        <w:rPr>
          <w:b/>
          <w:sz w:val="26"/>
          <w:szCs w:val="26"/>
        </w:rPr>
      </w:pPr>
      <w:r w:rsidRPr="0006427B">
        <w:rPr>
          <w:b/>
          <w:sz w:val="26"/>
          <w:szCs w:val="26"/>
        </w:rPr>
        <w:t>OPINION AND ORDER</w:t>
      </w:r>
    </w:p>
    <w:p w:rsidR="00104750" w:rsidRDefault="00104750" w:rsidP="0006427B">
      <w:pPr>
        <w:widowControl w:val="0"/>
        <w:ind w:firstLine="1440"/>
        <w:rPr>
          <w:sz w:val="26"/>
          <w:szCs w:val="26"/>
        </w:rPr>
      </w:pPr>
    </w:p>
    <w:p w:rsidR="000E6404" w:rsidRPr="0006427B" w:rsidRDefault="000E6404" w:rsidP="0006427B">
      <w:pPr>
        <w:widowControl w:val="0"/>
        <w:ind w:firstLine="1440"/>
        <w:rPr>
          <w:sz w:val="26"/>
          <w:szCs w:val="26"/>
        </w:rPr>
      </w:pPr>
    </w:p>
    <w:p w:rsidR="0072784C" w:rsidRPr="0006427B" w:rsidRDefault="00104750" w:rsidP="0006427B">
      <w:pPr>
        <w:widowControl w:val="0"/>
        <w:spacing w:line="360" w:lineRule="auto"/>
        <w:rPr>
          <w:b/>
          <w:sz w:val="26"/>
          <w:szCs w:val="26"/>
        </w:rPr>
      </w:pPr>
      <w:r w:rsidRPr="0006427B">
        <w:rPr>
          <w:b/>
          <w:sz w:val="26"/>
          <w:szCs w:val="26"/>
        </w:rPr>
        <w:t>BY THE COMMISSION:</w:t>
      </w:r>
    </w:p>
    <w:p w:rsidR="0072784C" w:rsidRPr="0006427B" w:rsidRDefault="0072784C" w:rsidP="0006427B">
      <w:pPr>
        <w:widowControl w:val="0"/>
        <w:spacing w:line="360" w:lineRule="auto"/>
        <w:ind w:firstLine="1440"/>
        <w:rPr>
          <w:sz w:val="26"/>
          <w:szCs w:val="26"/>
        </w:rPr>
      </w:pPr>
    </w:p>
    <w:p w:rsidR="000E6404" w:rsidRDefault="00644AA6" w:rsidP="000E6404">
      <w:pPr>
        <w:pStyle w:val="BodyTextIndent2"/>
      </w:pPr>
      <w:r>
        <w:t>Before the Pennsylvania Public U</w:t>
      </w:r>
      <w:r w:rsidR="00E65E6C">
        <w:t xml:space="preserve">tility Commission (Commission) for consideration and disposition is </w:t>
      </w:r>
      <w:r w:rsidR="00551AEB">
        <w:t>the</w:t>
      </w:r>
      <w:r w:rsidR="001435BE">
        <w:t xml:space="preserve"> </w:t>
      </w:r>
      <w:r w:rsidR="00B33E87">
        <w:t>Re</w:t>
      </w:r>
      <w:r w:rsidR="00124A6F">
        <w:t>negotiated</w:t>
      </w:r>
      <w:r w:rsidR="00B33E87">
        <w:t xml:space="preserve"> </w:t>
      </w:r>
      <w:r w:rsidR="00E65E6C">
        <w:t xml:space="preserve">Settlement </w:t>
      </w:r>
      <w:r w:rsidR="00ED62B3">
        <w:t xml:space="preserve">Agreement </w:t>
      </w:r>
      <w:r w:rsidR="005C5D48">
        <w:t>(</w:t>
      </w:r>
      <w:r w:rsidR="00551AEB">
        <w:t>RSA</w:t>
      </w:r>
      <w:r w:rsidR="005C5D48">
        <w:t xml:space="preserve">) </w:t>
      </w:r>
      <w:r w:rsidR="00E65E6C">
        <w:t xml:space="preserve">filed on </w:t>
      </w:r>
      <w:r w:rsidR="00B33E87">
        <w:t>October 27</w:t>
      </w:r>
      <w:r w:rsidR="001435BE">
        <w:t>, 20</w:t>
      </w:r>
      <w:r w:rsidR="00B33E87">
        <w:t>11</w:t>
      </w:r>
      <w:r w:rsidR="004B373F">
        <w:t>,</w:t>
      </w:r>
      <w:r w:rsidR="00C84586">
        <w:t xml:space="preserve"> by the Commission’s</w:t>
      </w:r>
      <w:r w:rsidR="00E65E6C">
        <w:t xml:space="preserve"> </w:t>
      </w:r>
      <w:r w:rsidR="00D32D60">
        <w:t xml:space="preserve">Law Bureau Prosecutory Staff and </w:t>
      </w:r>
      <w:r w:rsidR="000E6404">
        <w:t xml:space="preserve">Bureau of </w:t>
      </w:r>
    </w:p>
    <w:p w:rsidR="000E6404" w:rsidRDefault="000E6404" w:rsidP="000E6404">
      <w:pPr>
        <w:rPr>
          <w:sz w:val="26"/>
          <w:szCs w:val="26"/>
        </w:rPr>
      </w:pPr>
      <w:r>
        <w:br w:type="page"/>
      </w:r>
    </w:p>
    <w:p w:rsidR="00B80F7D" w:rsidRPr="0072784C" w:rsidRDefault="000E6404" w:rsidP="000E6404">
      <w:pPr>
        <w:pStyle w:val="BodyTextIndent2"/>
        <w:ind w:firstLine="0"/>
        <w:rPr>
          <w:b/>
          <w:szCs w:val="24"/>
        </w:rPr>
      </w:pPr>
      <w:r>
        <w:lastRenderedPageBreak/>
        <w:t xml:space="preserve">Transportation and Safety’s </w:t>
      </w:r>
      <w:r w:rsidR="00D32D60">
        <w:t>Gas Safety Division</w:t>
      </w:r>
      <w:r w:rsidR="00E65E6C">
        <w:t xml:space="preserve"> (</w:t>
      </w:r>
      <w:r>
        <w:t xml:space="preserve">collectively </w:t>
      </w:r>
      <w:r w:rsidR="00440DF9">
        <w:t>Prosecutory Staff</w:t>
      </w:r>
      <w:r w:rsidR="00E65E6C">
        <w:t>)</w:t>
      </w:r>
      <w:r>
        <w:rPr>
          <w:rStyle w:val="FootnoteReference"/>
        </w:rPr>
        <w:footnoteReference w:id="1"/>
      </w:r>
      <w:r w:rsidR="00E65E6C">
        <w:t xml:space="preserve"> and </w:t>
      </w:r>
      <w:r w:rsidR="001435BE">
        <w:t>Equitable Gas Company, LLC,</w:t>
      </w:r>
      <w:r>
        <w:t xml:space="preserve"> </w:t>
      </w:r>
      <w:r w:rsidR="001435BE">
        <w:t>(Equitable</w:t>
      </w:r>
      <w:r w:rsidR="00D32D60">
        <w:t>)</w:t>
      </w:r>
      <w:r>
        <w:rPr>
          <w:rStyle w:val="FootnoteReference"/>
        </w:rPr>
        <w:footnoteReference w:id="2"/>
      </w:r>
      <w:r>
        <w:t xml:space="preserve"> </w:t>
      </w:r>
      <w:r w:rsidR="00D32D60">
        <w:t>(</w:t>
      </w:r>
      <w:r w:rsidR="0027591F">
        <w:t>collectively, the Parties</w:t>
      </w:r>
      <w:r w:rsidR="007E4D99">
        <w:t>)</w:t>
      </w:r>
      <w:r w:rsidR="0027591F">
        <w:t xml:space="preserve">, with respect to an </w:t>
      </w:r>
      <w:r w:rsidR="00D32D60">
        <w:t>i</w:t>
      </w:r>
      <w:r w:rsidR="0027591F">
        <w:t xml:space="preserve">nformal </w:t>
      </w:r>
      <w:r w:rsidR="00D32D60">
        <w:t>i</w:t>
      </w:r>
      <w:r w:rsidR="0027591F">
        <w:t>nvestigation conducted by the Prosecutory Staff</w:t>
      </w:r>
      <w:r w:rsidR="007551E5">
        <w:t>.</w:t>
      </w:r>
    </w:p>
    <w:p w:rsidR="007E4D99" w:rsidRDefault="007E4D99" w:rsidP="00205078">
      <w:pPr>
        <w:widowControl w:val="0"/>
        <w:spacing w:line="360" w:lineRule="auto"/>
        <w:jc w:val="center"/>
        <w:rPr>
          <w:b/>
          <w:sz w:val="26"/>
          <w:szCs w:val="26"/>
        </w:rPr>
      </w:pPr>
    </w:p>
    <w:p w:rsidR="00644AA6" w:rsidRDefault="00644AA6" w:rsidP="00205078">
      <w:pPr>
        <w:widowControl w:val="0"/>
        <w:spacing w:line="360" w:lineRule="auto"/>
        <w:jc w:val="center"/>
        <w:rPr>
          <w:b/>
          <w:sz w:val="26"/>
          <w:szCs w:val="26"/>
        </w:rPr>
      </w:pPr>
      <w:r w:rsidRPr="00716953">
        <w:rPr>
          <w:b/>
          <w:sz w:val="26"/>
          <w:szCs w:val="26"/>
        </w:rPr>
        <w:t>History of the Proceeding</w:t>
      </w:r>
    </w:p>
    <w:p w:rsidR="007E1E0B" w:rsidRDefault="007E1E0B" w:rsidP="0072784C">
      <w:pPr>
        <w:widowControl w:val="0"/>
        <w:spacing w:line="360" w:lineRule="auto"/>
        <w:ind w:firstLine="1440"/>
        <w:rPr>
          <w:sz w:val="26"/>
          <w:szCs w:val="26"/>
        </w:rPr>
      </w:pPr>
    </w:p>
    <w:p w:rsidR="00DB3041" w:rsidRDefault="00DB3041" w:rsidP="00F35F4E">
      <w:pPr>
        <w:suppressAutoHyphens/>
        <w:spacing w:line="360" w:lineRule="auto"/>
        <w:ind w:firstLine="1440"/>
        <w:rPr>
          <w:sz w:val="26"/>
          <w:szCs w:val="26"/>
        </w:rPr>
      </w:pPr>
      <w:r>
        <w:rPr>
          <w:sz w:val="26"/>
          <w:szCs w:val="26"/>
        </w:rPr>
        <w:t xml:space="preserve">On May 11, 2009, the Parties filed an </w:t>
      </w:r>
      <w:r w:rsidR="00377763">
        <w:rPr>
          <w:sz w:val="26"/>
          <w:szCs w:val="26"/>
        </w:rPr>
        <w:t>Initia</w:t>
      </w:r>
      <w:r w:rsidR="009903D9">
        <w:rPr>
          <w:sz w:val="26"/>
          <w:szCs w:val="26"/>
        </w:rPr>
        <w:t xml:space="preserve">l </w:t>
      </w:r>
      <w:r w:rsidR="00B80F7D">
        <w:rPr>
          <w:sz w:val="26"/>
          <w:szCs w:val="26"/>
        </w:rPr>
        <w:t>Settlement Agreement</w:t>
      </w:r>
      <w:r w:rsidR="00C328C5">
        <w:rPr>
          <w:sz w:val="26"/>
          <w:szCs w:val="26"/>
        </w:rPr>
        <w:t xml:space="preserve"> </w:t>
      </w:r>
      <w:r>
        <w:rPr>
          <w:sz w:val="26"/>
          <w:szCs w:val="26"/>
        </w:rPr>
        <w:t xml:space="preserve">for the purpose of resolving </w:t>
      </w:r>
      <w:r w:rsidR="00C328C5">
        <w:rPr>
          <w:sz w:val="26"/>
          <w:szCs w:val="26"/>
        </w:rPr>
        <w:t>alleged</w:t>
      </w:r>
      <w:r w:rsidR="00B80F7D">
        <w:rPr>
          <w:sz w:val="26"/>
          <w:szCs w:val="26"/>
        </w:rPr>
        <w:t xml:space="preserve"> multiple violations of the Code of Federal Regulations</w:t>
      </w:r>
      <w:r w:rsidR="00377763">
        <w:rPr>
          <w:sz w:val="26"/>
          <w:szCs w:val="26"/>
        </w:rPr>
        <w:t xml:space="preserve"> (CFR)</w:t>
      </w:r>
      <w:r w:rsidR="00B80F7D">
        <w:rPr>
          <w:sz w:val="26"/>
          <w:szCs w:val="26"/>
        </w:rPr>
        <w:t xml:space="preserve"> and the rules and regulations of the Commission relative to natural gas pipeline safety.  The specific incidents </w:t>
      </w:r>
      <w:r w:rsidR="00EA0F5E">
        <w:rPr>
          <w:sz w:val="26"/>
          <w:szCs w:val="26"/>
        </w:rPr>
        <w:t>addressed in</w:t>
      </w:r>
      <w:r w:rsidR="00B80F7D">
        <w:rPr>
          <w:sz w:val="26"/>
          <w:szCs w:val="26"/>
        </w:rPr>
        <w:t xml:space="preserve"> the </w:t>
      </w:r>
      <w:r w:rsidR="007F05EB">
        <w:rPr>
          <w:sz w:val="26"/>
          <w:szCs w:val="26"/>
        </w:rPr>
        <w:t>Initial Settlement Agreement</w:t>
      </w:r>
      <w:r w:rsidR="00B80F7D">
        <w:rPr>
          <w:sz w:val="26"/>
          <w:szCs w:val="26"/>
        </w:rPr>
        <w:t xml:space="preserve"> occurred </w:t>
      </w:r>
      <w:r w:rsidR="00FB072C">
        <w:rPr>
          <w:sz w:val="26"/>
          <w:szCs w:val="26"/>
        </w:rPr>
        <w:t xml:space="preserve">on the following dates: (1) </w:t>
      </w:r>
      <w:r w:rsidR="00B45F8D">
        <w:rPr>
          <w:sz w:val="26"/>
          <w:szCs w:val="26"/>
        </w:rPr>
        <w:t>from</w:t>
      </w:r>
      <w:r w:rsidR="00B80F7D">
        <w:rPr>
          <w:sz w:val="26"/>
          <w:szCs w:val="26"/>
        </w:rPr>
        <w:t xml:space="preserve"> June 21, 2007 to August 16, 2007; </w:t>
      </w:r>
      <w:r w:rsidR="00FB072C">
        <w:rPr>
          <w:sz w:val="26"/>
          <w:szCs w:val="26"/>
        </w:rPr>
        <w:t xml:space="preserve">(2) </w:t>
      </w:r>
      <w:r w:rsidR="007E4D99">
        <w:rPr>
          <w:sz w:val="26"/>
          <w:szCs w:val="26"/>
        </w:rPr>
        <w:t>from</w:t>
      </w:r>
      <w:r w:rsidR="00B80F7D">
        <w:rPr>
          <w:sz w:val="26"/>
          <w:szCs w:val="26"/>
        </w:rPr>
        <w:t xml:space="preserve"> May 29, 2007 to July 20, 2007; and </w:t>
      </w:r>
      <w:r w:rsidR="00FB072C">
        <w:rPr>
          <w:sz w:val="26"/>
          <w:szCs w:val="26"/>
        </w:rPr>
        <w:t xml:space="preserve">(3) </w:t>
      </w:r>
      <w:r w:rsidR="00EA0F5E">
        <w:rPr>
          <w:sz w:val="26"/>
          <w:szCs w:val="26"/>
        </w:rPr>
        <w:t xml:space="preserve">on </w:t>
      </w:r>
      <w:r w:rsidR="00552C9A">
        <w:rPr>
          <w:sz w:val="26"/>
          <w:szCs w:val="26"/>
        </w:rPr>
        <w:t>February 14, 2008.</w:t>
      </w:r>
      <w:r w:rsidR="00251EF6">
        <w:rPr>
          <w:sz w:val="26"/>
          <w:szCs w:val="26"/>
        </w:rPr>
        <w:t xml:space="preserve">  In lieu of litigating the accusations set forth in the Initial Settlement Agreement the Parties agreed, amo</w:t>
      </w:r>
      <w:r w:rsidR="00046D62">
        <w:rPr>
          <w:sz w:val="26"/>
          <w:szCs w:val="26"/>
        </w:rPr>
        <w:t>ng</w:t>
      </w:r>
      <w:r w:rsidR="00251EF6">
        <w:rPr>
          <w:sz w:val="26"/>
          <w:szCs w:val="26"/>
        </w:rPr>
        <w:t xml:space="preserve"> other things, that Equitable would pay $65,000 into the Hardship Repair Fund.  </w:t>
      </w:r>
    </w:p>
    <w:p w:rsidR="00DB3041" w:rsidRDefault="00DB3041" w:rsidP="00F35F4E">
      <w:pPr>
        <w:suppressAutoHyphens/>
        <w:spacing w:line="360" w:lineRule="auto"/>
        <w:ind w:firstLine="1440"/>
        <w:rPr>
          <w:sz w:val="26"/>
          <w:szCs w:val="26"/>
        </w:rPr>
      </w:pPr>
    </w:p>
    <w:p w:rsidR="00DB3041" w:rsidRDefault="007F05EB" w:rsidP="00F35F4E">
      <w:pPr>
        <w:suppressAutoHyphens/>
        <w:spacing w:line="360" w:lineRule="auto"/>
        <w:ind w:firstLine="1440"/>
        <w:rPr>
          <w:sz w:val="26"/>
          <w:szCs w:val="26"/>
        </w:rPr>
      </w:pPr>
      <w:r>
        <w:rPr>
          <w:sz w:val="26"/>
          <w:szCs w:val="26"/>
        </w:rPr>
        <w:t xml:space="preserve">In </w:t>
      </w:r>
      <w:r w:rsidR="00251EF6">
        <w:rPr>
          <w:sz w:val="26"/>
          <w:szCs w:val="26"/>
        </w:rPr>
        <w:t xml:space="preserve">our </w:t>
      </w:r>
      <w:r>
        <w:rPr>
          <w:sz w:val="26"/>
          <w:szCs w:val="26"/>
        </w:rPr>
        <w:t xml:space="preserve">tentative </w:t>
      </w:r>
      <w:r w:rsidR="008B1F56" w:rsidRPr="00EF530B">
        <w:rPr>
          <w:sz w:val="26"/>
          <w:szCs w:val="26"/>
        </w:rPr>
        <w:t xml:space="preserve">Opinion and Order entered on </w:t>
      </w:r>
      <w:r w:rsidR="008B1F56">
        <w:rPr>
          <w:sz w:val="26"/>
          <w:szCs w:val="26"/>
        </w:rPr>
        <w:t>November 25, 2009</w:t>
      </w:r>
      <w:r w:rsidR="00AD6968">
        <w:rPr>
          <w:sz w:val="26"/>
          <w:szCs w:val="26"/>
        </w:rPr>
        <w:t xml:space="preserve"> </w:t>
      </w:r>
      <w:r w:rsidR="008C4830">
        <w:rPr>
          <w:sz w:val="26"/>
          <w:szCs w:val="26"/>
        </w:rPr>
        <w:t xml:space="preserve">  </w:t>
      </w:r>
      <w:r w:rsidR="00AD6968">
        <w:rPr>
          <w:sz w:val="26"/>
          <w:szCs w:val="26"/>
        </w:rPr>
        <w:t>(</w:t>
      </w:r>
      <w:r w:rsidR="00AD6968" w:rsidRPr="00AD6968">
        <w:rPr>
          <w:i/>
          <w:sz w:val="26"/>
          <w:szCs w:val="26"/>
        </w:rPr>
        <w:t>November 2009 Order</w:t>
      </w:r>
      <w:r w:rsidR="00AD6968">
        <w:rPr>
          <w:sz w:val="26"/>
          <w:szCs w:val="26"/>
        </w:rPr>
        <w:t>)</w:t>
      </w:r>
      <w:r w:rsidR="00FB072C">
        <w:rPr>
          <w:sz w:val="26"/>
          <w:szCs w:val="26"/>
        </w:rPr>
        <w:t>,</w:t>
      </w:r>
      <w:r w:rsidR="008B1F56" w:rsidRPr="00EF530B">
        <w:rPr>
          <w:sz w:val="26"/>
          <w:szCs w:val="26"/>
        </w:rPr>
        <w:t xml:space="preserve"> </w:t>
      </w:r>
      <w:r w:rsidR="00251EF6">
        <w:rPr>
          <w:sz w:val="26"/>
          <w:szCs w:val="26"/>
        </w:rPr>
        <w:t>we provided an opportunity for interested Parties to file comments to our preliminary view that the Init</w:t>
      </w:r>
      <w:r w:rsidR="00046D62">
        <w:rPr>
          <w:sz w:val="26"/>
          <w:szCs w:val="26"/>
        </w:rPr>
        <w:t>i</w:t>
      </w:r>
      <w:r w:rsidR="00251EF6">
        <w:rPr>
          <w:sz w:val="26"/>
          <w:szCs w:val="26"/>
        </w:rPr>
        <w:t>al Settlement Agreement should be</w:t>
      </w:r>
      <w:r w:rsidR="00FB072C">
        <w:rPr>
          <w:sz w:val="26"/>
          <w:szCs w:val="26"/>
        </w:rPr>
        <w:t xml:space="preserve"> </w:t>
      </w:r>
      <w:r w:rsidR="008B1F56" w:rsidRPr="00EF530B">
        <w:rPr>
          <w:sz w:val="26"/>
          <w:szCs w:val="26"/>
        </w:rPr>
        <w:t xml:space="preserve">modified by requiring </w:t>
      </w:r>
      <w:r w:rsidR="008B1F56">
        <w:rPr>
          <w:sz w:val="26"/>
          <w:szCs w:val="26"/>
        </w:rPr>
        <w:t xml:space="preserve">Equitable </w:t>
      </w:r>
      <w:r w:rsidR="008B1F56" w:rsidRPr="00EF530B">
        <w:rPr>
          <w:sz w:val="26"/>
          <w:szCs w:val="26"/>
        </w:rPr>
        <w:t>to pay an additional $</w:t>
      </w:r>
      <w:r w:rsidR="008B1F56">
        <w:rPr>
          <w:sz w:val="26"/>
          <w:szCs w:val="26"/>
        </w:rPr>
        <w:t>65</w:t>
      </w:r>
      <w:r w:rsidR="008B1F56" w:rsidRPr="00EF530B">
        <w:rPr>
          <w:sz w:val="26"/>
          <w:szCs w:val="26"/>
        </w:rPr>
        <w:t xml:space="preserve">,000 </w:t>
      </w:r>
      <w:r w:rsidR="008B1F56">
        <w:rPr>
          <w:sz w:val="26"/>
          <w:szCs w:val="26"/>
        </w:rPr>
        <w:t>as a civil penalty pursuant to</w:t>
      </w:r>
      <w:r w:rsidR="008C4830">
        <w:rPr>
          <w:sz w:val="26"/>
          <w:szCs w:val="26"/>
        </w:rPr>
        <w:t xml:space="preserve"> </w:t>
      </w:r>
      <w:r w:rsidR="008B1F56">
        <w:rPr>
          <w:sz w:val="26"/>
          <w:szCs w:val="26"/>
        </w:rPr>
        <w:t>66 Pa. C.S. § 3301</w:t>
      </w:r>
    </w:p>
    <w:p w:rsidR="00B4693A" w:rsidRDefault="008B1F56" w:rsidP="00F35F4E">
      <w:pPr>
        <w:suppressAutoHyphens/>
        <w:spacing w:line="360" w:lineRule="auto"/>
        <w:ind w:firstLine="1440"/>
        <w:rPr>
          <w:sz w:val="26"/>
          <w:szCs w:val="26"/>
        </w:rPr>
      </w:pPr>
      <w:r w:rsidRPr="00EF530B">
        <w:rPr>
          <w:sz w:val="26"/>
          <w:szCs w:val="26"/>
        </w:rPr>
        <w:lastRenderedPageBreak/>
        <w:t xml:space="preserve">On </w:t>
      </w:r>
      <w:r>
        <w:rPr>
          <w:sz w:val="26"/>
          <w:szCs w:val="26"/>
        </w:rPr>
        <w:t>December 15, 200</w:t>
      </w:r>
      <w:r w:rsidRPr="00EF530B">
        <w:rPr>
          <w:sz w:val="26"/>
          <w:szCs w:val="26"/>
        </w:rPr>
        <w:t xml:space="preserve">9, </w:t>
      </w:r>
      <w:r>
        <w:rPr>
          <w:sz w:val="26"/>
          <w:szCs w:val="26"/>
        </w:rPr>
        <w:t>Equitable</w:t>
      </w:r>
      <w:r w:rsidRPr="00EF530B">
        <w:rPr>
          <w:sz w:val="26"/>
          <w:szCs w:val="26"/>
        </w:rPr>
        <w:t xml:space="preserve"> filed Comments </w:t>
      </w:r>
      <w:r w:rsidR="00B4693A">
        <w:rPr>
          <w:sz w:val="26"/>
          <w:szCs w:val="26"/>
        </w:rPr>
        <w:t xml:space="preserve">expressing its objection to </w:t>
      </w:r>
      <w:r w:rsidRPr="00EF530B">
        <w:rPr>
          <w:sz w:val="26"/>
          <w:szCs w:val="26"/>
        </w:rPr>
        <w:t xml:space="preserve">the modified </w:t>
      </w:r>
      <w:r w:rsidR="007F05EB">
        <w:rPr>
          <w:sz w:val="26"/>
          <w:szCs w:val="26"/>
        </w:rPr>
        <w:t>Initial Settlement Agreement</w:t>
      </w:r>
      <w:r w:rsidR="00FB072C">
        <w:rPr>
          <w:sz w:val="26"/>
          <w:szCs w:val="26"/>
        </w:rPr>
        <w:t>.</w:t>
      </w:r>
      <w:r w:rsidR="00B4693A">
        <w:rPr>
          <w:sz w:val="26"/>
          <w:szCs w:val="26"/>
        </w:rPr>
        <w:t xml:space="preserve">  By Opinion and Order entered on </w:t>
      </w:r>
      <w:r w:rsidR="008C4830">
        <w:rPr>
          <w:sz w:val="26"/>
          <w:szCs w:val="26"/>
        </w:rPr>
        <w:t xml:space="preserve">        </w:t>
      </w:r>
      <w:r w:rsidR="00B4693A">
        <w:rPr>
          <w:sz w:val="26"/>
          <w:szCs w:val="26"/>
        </w:rPr>
        <w:t>May 10, 2010 (</w:t>
      </w:r>
      <w:r w:rsidR="00B4693A">
        <w:rPr>
          <w:i/>
          <w:sz w:val="26"/>
          <w:szCs w:val="26"/>
        </w:rPr>
        <w:t>May 2010 Order)</w:t>
      </w:r>
      <w:r w:rsidR="00B4693A" w:rsidRPr="002B0445">
        <w:rPr>
          <w:sz w:val="26"/>
          <w:szCs w:val="26"/>
        </w:rPr>
        <w:t xml:space="preserve">, </w:t>
      </w:r>
      <w:r w:rsidR="00BA56F2">
        <w:rPr>
          <w:sz w:val="26"/>
          <w:szCs w:val="26"/>
        </w:rPr>
        <w:t>we</w:t>
      </w:r>
      <w:r w:rsidR="00B4693A">
        <w:rPr>
          <w:sz w:val="26"/>
          <w:szCs w:val="26"/>
        </w:rPr>
        <w:t xml:space="preserve"> indicated that </w:t>
      </w:r>
      <w:r w:rsidR="00BA56F2">
        <w:rPr>
          <w:sz w:val="26"/>
          <w:szCs w:val="26"/>
        </w:rPr>
        <w:t>we were</w:t>
      </w:r>
      <w:r w:rsidR="00B4693A">
        <w:rPr>
          <w:sz w:val="26"/>
          <w:szCs w:val="26"/>
        </w:rPr>
        <w:t xml:space="preserve"> not persuaded by Equitable’s Comments and concluded that </w:t>
      </w:r>
      <w:r w:rsidR="00BA56F2">
        <w:rPr>
          <w:sz w:val="26"/>
          <w:szCs w:val="26"/>
        </w:rPr>
        <w:t>modification</w:t>
      </w:r>
      <w:r w:rsidR="00B4693A" w:rsidRPr="002B0445">
        <w:rPr>
          <w:sz w:val="26"/>
          <w:szCs w:val="26"/>
        </w:rPr>
        <w:t xml:space="preserve"> of th</w:t>
      </w:r>
      <w:r w:rsidR="00B4693A">
        <w:rPr>
          <w:sz w:val="26"/>
          <w:szCs w:val="26"/>
        </w:rPr>
        <w:t>e</w:t>
      </w:r>
      <w:r w:rsidR="00B4693A" w:rsidRPr="002B0445">
        <w:rPr>
          <w:sz w:val="26"/>
          <w:szCs w:val="26"/>
        </w:rPr>
        <w:t xml:space="preserve"> </w:t>
      </w:r>
      <w:r w:rsidR="008A56D8">
        <w:rPr>
          <w:sz w:val="26"/>
          <w:szCs w:val="26"/>
        </w:rPr>
        <w:t xml:space="preserve">Initial </w:t>
      </w:r>
      <w:r w:rsidR="00B4693A" w:rsidRPr="002B0445">
        <w:rPr>
          <w:sz w:val="26"/>
          <w:szCs w:val="26"/>
        </w:rPr>
        <w:t>Settlement</w:t>
      </w:r>
      <w:r w:rsidR="008A56D8">
        <w:rPr>
          <w:sz w:val="26"/>
          <w:szCs w:val="26"/>
        </w:rPr>
        <w:t xml:space="preserve"> Agreement,</w:t>
      </w:r>
      <w:r w:rsidR="00B4693A">
        <w:rPr>
          <w:sz w:val="26"/>
          <w:szCs w:val="26"/>
        </w:rPr>
        <w:t xml:space="preserve"> </w:t>
      </w:r>
      <w:r w:rsidR="00BA56F2">
        <w:rPr>
          <w:sz w:val="26"/>
          <w:szCs w:val="26"/>
        </w:rPr>
        <w:t>consistent with our</w:t>
      </w:r>
      <w:r w:rsidR="00B4693A">
        <w:rPr>
          <w:sz w:val="26"/>
          <w:szCs w:val="26"/>
        </w:rPr>
        <w:t xml:space="preserve"> Opinion and Order of November 25, 2009,</w:t>
      </w:r>
      <w:r w:rsidR="00B4693A" w:rsidRPr="002B0445">
        <w:rPr>
          <w:sz w:val="26"/>
          <w:szCs w:val="26"/>
        </w:rPr>
        <w:t xml:space="preserve"> </w:t>
      </w:r>
      <w:r w:rsidR="00BA56F2">
        <w:rPr>
          <w:sz w:val="26"/>
          <w:szCs w:val="26"/>
        </w:rPr>
        <w:t>is</w:t>
      </w:r>
      <w:r w:rsidR="00BA56F2" w:rsidRPr="002B0445">
        <w:rPr>
          <w:sz w:val="26"/>
          <w:szCs w:val="26"/>
        </w:rPr>
        <w:t xml:space="preserve"> </w:t>
      </w:r>
      <w:r w:rsidR="00B4693A" w:rsidRPr="002B0445">
        <w:rPr>
          <w:sz w:val="26"/>
          <w:szCs w:val="26"/>
        </w:rPr>
        <w:t>in the public interest</w:t>
      </w:r>
      <w:r w:rsidR="00B4693A">
        <w:rPr>
          <w:sz w:val="26"/>
          <w:szCs w:val="26"/>
        </w:rPr>
        <w:t xml:space="preserve">.  More specifically, </w:t>
      </w:r>
      <w:r w:rsidR="00BA56F2">
        <w:rPr>
          <w:sz w:val="26"/>
          <w:szCs w:val="26"/>
        </w:rPr>
        <w:t>we</w:t>
      </w:r>
      <w:r w:rsidR="00B4693A">
        <w:rPr>
          <w:sz w:val="26"/>
          <w:szCs w:val="26"/>
        </w:rPr>
        <w:t xml:space="preserve"> stated:</w:t>
      </w:r>
    </w:p>
    <w:p w:rsidR="00B53EC5" w:rsidRDefault="00B53EC5" w:rsidP="005C4347">
      <w:pPr>
        <w:ind w:left="1440" w:right="1440"/>
        <w:rPr>
          <w:sz w:val="26"/>
          <w:szCs w:val="26"/>
        </w:rPr>
      </w:pPr>
    </w:p>
    <w:p w:rsidR="003F0044" w:rsidRPr="003F0044" w:rsidRDefault="00FB072C" w:rsidP="005C4347">
      <w:pPr>
        <w:ind w:left="1440" w:right="1440"/>
        <w:rPr>
          <w:sz w:val="26"/>
          <w:szCs w:val="26"/>
        </w:rPr>
      </w:pPr>
      <w:r>
        <w:rPr>
          <w:sz w:val="26"/>
          <w:szCs w:val="26"/>
        </w:rPr>
        <w:t>U</w:t>
      </w:r>
      <w:r w:rsidR="003F0044" w:rsidRPr="00CE101A">
        <w:rPr>
          <w:sz w:val="26"/>
          <w:szCs w:val="26"/>
        </w:rPr>
        <w:t xml:space="preserve">pon </w:t>
      </w:r>
      <w:r w:rsidR="003F0044">
        <w:rPr>
          <w:sz w:val="26"/>
          <w:szCs w:val="26"/>
        </w:rPr>
        <w:t>further</w:t>
      </w:r>
      <w:r w:rsidR="003F0044" w:rsidRPr="00CE101A">
        <w:rPr>
          <w:sz w:val="26"/>
          <w:szCs w:val="26"/>
        </w:rPr>
        <w:t xml:space="preserve"> review of the terms of the</w:t>
      </w:r>
      <w:r w:rsidR="003F0044">
        <w:rPr>
          <w:sz w:val="26"/>
          <w:szCs w:val="26"/>
        </w:rPr>
        <w:t xml:space="preserve"> [Initial]</w:t>
      </w:r>
      <w:r w:rsidR="003F0044" w:rsidRPr="00CE101A">
        <w:rPr>
          <w:sz w:val="26"/>
          <w:szCs w:val="26"/>
        </w:rPr>
        <w:t xml:space="preserve"> Settlement</w:t>
      </w:r>
      <w:r w:rsidR="003F0044">
        <w:rPr>
          <w:sz w:val="26"/>
          <w:szCs w:val="26"/>
        </w:rPr>
        <w:t xml:space="preserve"> and Equitable’s Comments thereto</w:t>
      </w:r>
      <w:r w:rsidR="003F0044" w:rsidRPr="00CE101A">
        <w:rPr>
          <w:sz w:val="26"/>
          <w:szCs w:val="26"/>
        </w:rPr>
        <w:t xml:space="preserve">, we </w:t>
      </w:r>
      <w:r w:rsidR="003F0044">
        <w:rPr>
          <w:sz w:val="26"/>
          <w:szCs w:val="26"/>
        </w:rPr>
        <w:t xml:space="preserve">continue to </w:t>
      </w:r>
      <w:r w:rsidR="003F0044" w:rsidRPr="00CE101A">
        <w:rPr>
          <w:sz w:val="26"/>
          <w:szCs w:val="26"/>
        </w:rPr>
        <w:t>believe that the nature of</w:t>
      </w:r>
      <w:r w:rsidR="003F0044" w:rsidRPr="0029644D">
        <w:rPr>
          <w:sz w:val="26"/>
          <w:szCs w:val="26"/>
        </w:rPr>
        <w:t xml:space="preserve"> the incident</w:t>
      </w:r>
      <w:r>
        <w:rPr>
          <w:sz w:val="26"/>
          <w:szCs w:val="26"/>
        </w:rPr>
        <w:t>[s]</w:t>
      </w:r>
      <w:r w:rsidR="003F0044" w:rsidRPr="0029644D">
        <w:rPr>
          <w:sz w:val="26"/>
          <w:szCs w:val="26"/>
        </w:rPr>
        <w:t xml:space="preserve"> and the alleged violations of federal and state gas safety regulations merit a greater penalty</w:t>
      </w:r>
      <w:r w:rsidR="003F0044">
        <w:rPr>
          <w:sz w:val="26"/>
          <w:szCs w:val="26"/>
        </w:rPr>
        <w:t xml:space="preserve"> than that agreed to by the Parties</w:t>
      </w:r>
      <w:r w:rsidR="003F0044" w:rsidRPr="0029644D">
        <w:rPr>
          <w:sz w:val="26"/>
          <w:szCs w:val="26"/>
        </w:rPr>
        <w:t xml:space="preserve">.  Ensuring that our public utilities operate safely is of the utmost importance to us and is a task that the Legislature has entrusted to this Commission.  </w:t>
      </w:r>
    </w:p>
    <w:p w:rsidR="008B1F56" w:rsidRDefault="008B1F56" w:rsidP="005C4347">
      <w:pPr>
        <w:ind w:left="1440" w:right="1440"/>
        <w:rPr>
          <w:sz w:val="26"/>
          <w:szCs w:val="26"/>
        </w:rPr>
      </w:pPr>
    </w:p>
    <w:p w:rsidR="002C4480" w:rsidRPr="00B85E66" w:rsidRDefault="003F0044" w:rsidP="002C4480">
      <w:pPr>
        <w:pStyle w:val="BlockText"/>
      </w:pPr>
      <w:r w:rsidRPr="0029644D">
        <w:t xml:space="preserve">Based on our review of the </w:t>
      </w:r>
      <w:r>
        <w:t>a</w:t>
      </w:r>
      <w:r w:rsidRPr="0029644D">
        <w:t xml:space="preserve">lleged violations, </w:t>
      </w:r>
      <w:r>
        <w:t xml:space="preserve">but because </w:t>
      </w:r>
      <w:r w:rsidRPr="0029644D">
        <w:t xml:space="preserve">it is in the public interest to settle this matter to avoid the expense of litigation, we </w:t>
      </w:r>
      <w:r>
        <w:t xml:space="preserve">are of the opinion that it is reasonable to assess a penalty totaling </w:t>
      </w:r>
      <w:r w:rsidRPr="0029644D">
        <w:t>$1</w:t>
      </w:r>
      <w:r>
        <w:t>3</w:t>
      </w:r>
      <w:r w:rsidRPr="0029644D">
        <w:t>0,000</w:t>
      </w:r>
      <w:r>
        <w:t xml:space="preserve">, rather than the $65,000 penalty agreed to by the Parties of the </w:t>
      </w:r>
      <w:r w:rsidR="002E1E18">
        <w:t xml:space="preserve">[Initial] </w:t>
      </w:r>
      <w:r>
        <w:t xml:space="preserve">Settlement and as set forth in our of </w:t>
      </w:r>
      <w:r w:rsidRPr="0085632B">
        <w:rPr>
          <w:i/>
        </w:rPr>
        <w:t>November 25, 2009</w:t>
      </w:r>
      <w:r w:rsidR="0085632B">
        <w:rPr>
          <w:i/>
        </w:rPr>
        <w:t xml:space="preserve"> </w:t>
      </w:r>
      <w:r w:rsidR="0085632B" w:rsidRPr="0085632B">
        <w:rPr>
          <w:i/>
        </w:rPr>
        <w:t>Order</w:t>
      </w:r>
      <w:r w:rsidR="008A56D8">
        <w:t>.</w:t>
      </w:r>
    </w:p>
    <w:p w:rsidR="002C4480" w:rsidRDefault="002C4480" w:rsidP="00380A1A">
      <w:pPr>
        <w:spacing w:line="360" w:lineRule="auto"/>
        <w:ind w:left="1440" w:right="1440"/>
        <w:rPr>
          <w:sz w:val="26"/>
          <w:szCs w:val="26"/>
        </w:rPr>
      </w:pPr>
    </w:p>
    <w:p w:rsidR="00380A1A" w:rsidRDefault="008A56D8" w:rsidP="00CD0D96">
      <w:pPr>
        <w:pStyle w:val="BodyText3"/>
        <w:ind w:firstLine="90"/>
      </w:pPr>
      <w:r>
        <w:rPr>
          <w:i/>
        </w:rPr>
        <w:t>May 2010 Order</w:t>
      </w:r>
      <w:r>
        <w:t xml:space="preserve"> at 12-13.  </w:t>
      </w:r>
      <w:r w:rsidR="00B4693A">
        <w:t xml:space="preserve">As such, </w:t>
      </w:r>
      <w:r w:rsidR="00E501FB">
        <w:t>we</w:t>
      </w:r>
      <w:r w:rsidR="00B4693A">
        <w:t xml:space="preserve"> directed Equitable, </w:t>
      </w:r>
      <w:r w:rsidR="00B4693A">
        <w:rPr>
          <w:i/>
        </w:rPr>
        <w:t>inter alia</w:t>
      </w:r>
      <w:r w:rsidR="00B4693A">
        <w:t xml:space="preserve">, to pay a civil penalty of $65,000 and also to pay </w:t>
      </w:r>
      <w:r w:rsidR="00E501FB">
        <w:t xml:space="preserve">an additional </w:t>
      </w:r>
      <w:r w:rsidR="00B4693A">
        <w:t>$65,000 into the Equitable Hardship Repair Fund</w:t>
      </w:r>
      <w:r w:rsidR="00532E15">
        <w:rPr>
          <w:rStyle w:val="FootnoteReference"/>
        </w:rPr>
        <w:footnoteReference w:id="3"/>
      </w:r>
      <w:r w:rsidR="00B4693A">
        <w:t xml:space="preserve"> within thirty days </w:t>
      </w:r>
      <w:r w:rsidR="00E501FB">
        <w:t xml:space="preserve">of </w:t>
      </w:r>
      <w:r w:rsidR="00B4693A">
        <w:t xml:space="preserve">the date of entry of the </w:t>
      </w:r>
      <w:r w:rsidR="00B4693A" w:rsidRPr="00DB3041">
        <w:rPr>
          <w:i/>
        </w:rPr>
        <w:t>May 10, 2010 Order</w:t>
      </w:r>
      <w:r w:rsidR="00B4693A">
        <w:t>.</w:t>
      </w:r>
    </w:p>
    <w:p w:rsidR="00380A1A" w:rsidRDefault="00380A1A" w:rsidP="00380A1A">
      <w:pPr>
        <w:pStyle w:val="BodyText3"/>
        <w:ind w:firstLine="1440"/>
      </w:pPr>
    </w:p>
    <w:p w:rsidR="009303FB" w:rsidRDefault="00FC7C71" w:rsidP="0072784C">
      <w:pPr>
        <w:pStyle w:val="BodyText3"/>
        <w:ind w:firstLine="1440"/>
      </w:pPr>
      <w:r>
        <w:t xml:space="preserve">On June 9, 2010, </w:t>
      </w:r>
      <w:r w:rsidR="001574C4">
        <w:t>Equitable</w:t>
      </w:r>
      <w:r>
        <w:t xml:space="preserve"> filed a letter stating that it was exercising its option to withdr</w:t>
      </w:r>
      <w:r w:rsidR="006E47C6">
        <w:t xml:space="preserve">aw from the </w:t>
      </w:r>
      <w:r w:rsidR="007F05EB">
        <w:t>Initial Settlement Agreement</w:t>
      </w:r>
      <w:r w:rsidR="006E47C6">
        <w:t>.</w:t>
      </w:r>
    </w:p>
    <w:p w:rsidR="009303FB" w:rsidRDefault="009303FB" w:rsidP="0072784C">
      <w:pPr>
        <w:pStyle w:val="BodyText3"/>
        <w:ind w:firstLine="1440"/>
      </w:pPr>
    </w:p>
    <w:p w:rsidR="009303FB" w:rsidRDefault="009303FB" w:rsidP="0072784C">
      <w:pPr>
        <w:pStyle w:val="BodyText3"/>
        <w:ind w:firstLine="1440"/>
      </w:pPr>
      <w:r>
        <w:lastRenderedPageBreak/>
        <w:t xml:space="preserve">By Secretarial Letter dated February 22, 2011, </w:t>
      </w:r>
      <w:r w:rsidR="009A26EA">
        <w:t>we</w:t>
      </w:r>
      <w:r>
        <w:t xml:space="preserve"> acknowledged Equitable’s withdrawal from the Initial Settlement Agreement noting the following:</w:t>
      </w:r>
    </w:p>
    <w:p w:rsidR="009303FB" w:rsidRDefault="009303FB" w:rsidP="009303FB">
      <w:pPr>
        <w:pStyle w:val="BodyText3"/>
        <w:spacing w:line="240" w:lineRule="auto"/>
        <w:jc w:val="center"/>
      </w:pPr>
    </w:p>
    <w:p w:rsidR="009303FB" w:rsidRDefault="009303FB" w:rsidP="009303FB">
      <w:pPr>
        <w:pStyle w:val="BodyText3"/>
        <w:spacing w:line="240" w:lineRule="auto"/>
        <w:ind w:left="1440" w:right="1440"/>
      </w:pPr>
      <w:r w:rsidRPr="009303FB">
        <w:t xml:space="preserve">Upon Equitable’s withdrawal from the Settlement Agreement on June 9, 2010, this proceeding reverted to its status as an Informal Investigation.  The conditions and any penalties mandated and assessed by the May 10, 2010 Opinion and Order have been effectively nullified by Equitable’s withdrawal from the Settlement Agreement, a possibility recognized in the May 10, 2010 Opinion and Order.  </w:t>
      </w:r>
      <w:r w:rsidR="008C4830">
        <w:t xml:space="preserve">        </w:t>
      </w:r>
      <w:r w:rsidRPr="009303FB">
        <w:t>May 10, 2010 Opinion and Order at 9.  At this point in time, the matter is returned to the Law Bureau Prosecutory Staff to examine the facts and issues raised in the Informal Investigation and take whatever further action may be warranted.</w:t>
      </w:r>
    </w:p>
    <w:p w:rsidR="009303FB" w:rsidRDefault="009303FB" w:rsidP="0072784C">
      <w:pPr>
        <w:pStyle w:val="BodyText3"/>
        <w:ind w:firstLine="1440"/>
      </w:pPr>
    </w:p>
    <w:p w:rsidR="009303FB" w:rsidRDefault="009303FB" w:rsidP="0072784C">
      <w:pPr>
        <w:pStyle w:val="BodyText3"/>
        <w:ind w:firstLine="1440"/>
      </w:pPr>
      <w:r>
        <w:t>On October 27, 2011, the Parties filed a Renegotiated Settlement Agreement (RSA), which is the subject of this Opinion and Order.</w:t>
      </w:r>
    </w:p>
    <w:p w:rsidR="009303FB" w:rsidRDefault="009303FB" w:rsidP="0072784C">
      <w:pPr>
        <w:pStyle w:val="BodyText3"/>
        <w:ind w:firstLine="1440"/>
      </w:pPr>
    </w:p>
    <w:p w:rsidR="00DB3041" w:rsidRPr="00DB3041" w:rsidRDefault="00DB3041" w:rsidP="00DB3041">
      <w:pPr>
        <w:pStyle w:val="BodyText3"/>
        <w:jc w:val="center"/>
        <w:rPr>
          <w:b/>
        </w:rPr>
      </w:pPr>
      <w:r w:rsidRPr="00DB3041">
        <w:rPr>
          <w:b/>
        </w:rPr>
        <w:t>Discussion</w:t>
      </w:r>
    </w:p>
    <w:p w:rsidR="002D417E" w:rsidRDefault="002D417E" w:rsidP="00DB3041">
      <w:pPr>
        <w:tabs>
          <w:tab w:val="center" w:pos="0"/>
        </w:tabs>
        <w:suppressAutoHyphens/>
        <w:spacing w:line="360" w:lineRule="auto"/>
        <w:rPr>
          <w:sz w:val="26"/>
          <w:szCs w:val="26"/>
        </w:rPr>
      </w:pPr>
    </w:p>
    <w:p w:rsidR="00205078" w:rsidRDefault="00A36F41" w:rsidP="00B75A6F">
      <w:pPr>
        <w:pStyle w:val="Heading2"/>
        <w:keepNext w:val="0"/>
        <w:widowControl w:val="0"/>
        <w:tabs>
          <w:tab w:val="center" w:pos="0"/>
        </w:tabs>
      </w:pPr>
      <w:r>
        <w:t>A.</w:t>
      </w:r>
      <w:r>
        <w:tab/>
      </w:r>
      <w:r w:rsidR="00304A30">
        <w:t xml:space="preserve">The </w:t>
      </w:r>
      <w:r w:rsidR="00065934">
        <w:t>R</w:t>
      </w:r>
      <w:r w:rsidR="007F05EB">
        <w:t>enegotiated Settlement Agreement</w:t>
      </w:r>
    </w:p>
    <w:p w:rsidR="002D417E" w:rsidRPr="002D417E" w:rsidRDefault="002D417E" w:rsidP="0072784C">
      <w:pPr>
        <w:ind w:firstLine="1440"/>
      </w:pPr>
    </w:p>
    <w:p w:rsidR="002D417E" w:rsidRDefault="00532E15" w:rsidP="0072784C">
      <w:pPr>
        <w:tabs>
          <w:tab w:val="left" w:pos="-720"/>
        </w:tabs>
        <w:suppressAutoHyphens/>
        <w:spacing w:line="360" w:lineRule="auto"/>
        <w:ind w:firstLine="1440"/>
        <w:rPr>
          <w:sz w:val="26"/>
          <w:szCs w:val="26"/>
        </w:rPr>
      </w:pPr>
      <w:r>
        <w:rPr>
          <w:sz w:val="26"/>
          <w:szCs w:val="26"/>
        </w:rPr>
        <w:t xml:space="preserve">The Renegotiated Settlement Agreement pertains to exactly the same </w:t>
      </w:r>
      <w:r w:rsidR="00552C9A">
        <w:rPr>
          <w:sz w:val="26"/>
          <w:szCs w:val="26"/>
        </w:rPr>
        <w:t xml:space="preserve">alleged </w:t>
      </w:r>
      <w:r>
        <w:rPr>
          <w:sz w:val="26"/>
          <w:szCs w:val="26"/>
        </w:rPr>
        <w:t xml:space="preserve">violations that were included in the Initial Settlement Agreement.  </w:t>
      </w:r>
      <w:r w:rsidR="00552C9A">
        <w:rPr>
          <w:sz w:val="26"/>
          <w:szCs w:val="26"/>
        </w:rPr>
        <w:t xml:space="preserve">As such, we will not discuss the specific violations herein; rather we refer the reader to our </w:t>
      </w:r>
      <w:r w:rsidR="00552C9A" w:rsidRPr="008A56D8">
        <w:rPr>
          <w:i/>
          <w:sz w:val="26"/>
          <w:szCs w:val="26"/>
        </w:rPr>
        <w:t>May 201</w:t>
      </w:r>
      <w:r w:rsidR="008A56D8" w:rsidRPr="008A56D8">
        <w:rPr>
          <w:i/>
          <w:sz w:val="26"/>
          <w:szCs w:val="26"/>
        </w:rPr>
        <w:t>0</w:t>
      </w:r>
      <w:r w:rsidR="00552C9A" w:rsidRPr="008A56D8">
        <w:rPr>
          <w:i/>
          <w:sz w:val="26"/>
          <w:szCs w:val="26"/>
        </w:rPr>
        <w:t xml:space="preserve"> Order </w:t>
      </w:r>
      <w:r w:rsidR="00552C9A">
        <w:rPr>
          <w:sz w:val="26"/>
          <w:szCs w:val="26"/>
        </w:rPr>
        <w:t>for a detailed discussion of the specific alleged violations.  Nevertheless, a</w:t>
      </w:r>
      <w:r>
        <w:rPr>
          <w:sz w:val="26"/>
          <w:szCs w:val="26"/>
        </w:rPr>
        <w:t xml:space="preserve">s will be discussed in more detail below, </w:t>
      </w:r>
      <w:r w:rsidR="00552C9A">
        <w:rPr>
          <w:sz w:val="26"/>
          <w:szCs w:val="26"/>
        </w:rPr>
        <w:t xml:space="preserve">it is important to note at the onset of this discussion that </w:t>
      </w:r>
      <w:r>
        <w:rPr>
          <w:sz w:val="26"/>
          <w:szCs w:val="26"/>
        </w:rPr>
        <w:t xml:space="preserve">the primary difference between the two </w:t>
      </w:r>
      <w:r w:rsidR="008A56D8">
        <w:rPr>
          <w:sz w:val="26"/>
          <w:szCs w:val="26"/>
        </w:rPr>
        <w:t xml:space="preserve">Settlement </w:t>
      </w:r>
      <w:r>
        <w:rPr>
          <w:sz w:val="26"/>
          <w:szCs w:val="26"/>
        </w:rPr>
        <w:t xml:space="preserve">Agreements is that under the terms of the Renegotiated Settlement Agreement, Equitable </w:t>
      </w:r>
      <w:r w:rsidR="00552C9A">
        <w:rPr>
          <w:sz w:val="26"/>
          <w:szCs w:val="26"/>
        </w:rPr>
        <w:t xml:space="preserve">is </w:t>
      </w:r>
      <w:r>
        <w:rPr>
          <w:sz w:val="26"/>
          <w:szCs w:val="26"/>
        </w:rPr>
        <w:t>now agree</w:t>
      </w:r>
      <w:r w:rsidR="00552C9A">
        <w:rPr>
          <w:sz w:val="26"/>
          <w:szCs w:val="26"/>
        </w:rPr>
        <w:t>ing</w:t>
      </w:r>
      <w:r>
        <w:rPr>
          <w:sz w:val="26"/>
          <w:szCs w:val="26"/>
        </w:rPr>
        <w:t xml:space="preserve"> to pay a civil penalty of $5,000 in addition to a $65,000 payment to its Hardship Repair Fund.  </w:t>
      </w:r>
      <w:r w:rsidR="00552C9A" w:rsidRPr="00F13984">
        <w:rPr>
          <w:sz w:val="26"/>
        </w:rPr>
        <w:t>As previously noted, the terms of the Initial Settlement Agreement required Equitable to only make a payment of $65,000 to its Hardship Repair Fund</w:t>
      </w:r>
      <w:r w:rsidR="008A56D8">
        <w:rPr>
          <w:sz w:val="26"/>
        </w:rPr>
        <w:t>;</w:t>
      </w:r>
      <w:r w:rsidR="00552C9A">
        <w:rPr>
          <w:sz w:val="26"/>
        </w:rPr>
        <w:t xml:space="preserve"> the t</w:t>
      </w:r>
      <w:r w:rsidR="00552C9A" w:rsidRPr="00F13984">
        <w:rPr>
          <w:sz w:val="26"/>
        </w:rPr>
        <w:t xml:space="preserve">erms of the Commission-modified </w:t>
      </w:r>
      <w:r w:rsidR="00552C9A" w:rsidRPr="00F13984">
        <w:rPr>
          <w:sz w:val="26"/>
        </w:rPr>
        <w:lastRenderedPageBreak/>
        <w:t>Initial Settlement Agreement required Equitable to make a payment of $65,000 to its Hardship Repair Fund an</w:t>
      </w:r>
      <w:r w:rsidR="00920FD4">
        <w:rPr>
          <w:sz w:val="26"/>
        </w:rPr>
        <w:t>d</w:t>
      </w:r>
      <w:r w:rsidR="00552C9A" w:rsidRPr="00F13984">
        <w:rPr>
          <w:sz w:val="26"/>
        </w:rPr>
        <w:t xml:space="preserve"> also to pay a $65,000 penalty to the Commonwealth of Pennsylvania’s General Fund.</w:t>
      </w:r>
      <w:r w:rsidR="00552C9A">
        <w:rPr>
          <w:sz w:val="26"/>
        </w:rPr>
        <w:t xml:space="preserve">  Similar to its position in the </w:t>
      </w:r>
      <w:r w:rsidR="00A36F41">
        <w:rPr>
          <w:sz w:val="26"/>
          <w:szCs w:val="26"/>
        </w:rPr>
        <w:t xml:space="preserve">Initial Settlement Agreement, Equitable does not admit </w:t>
      </w:r>
      <w:r w:rsidR="002D417E">
        <w:rPr>
          <w:sz w:val="26"/>
          <w:szCs w:val="26"/>
        </w:rPr>
        <w:t xml:space="preserve">to any </w:t>
      </w:r>
      <w:r w:rsidR="00552C9A">
        <w:rPr>
          <w:sz w:val="26"/>
          <w:szCs w:val="26"/>
        </w:rPr>
        <w:t xml:space="preserve">of the alleged federal or Commission </w:t>
      </w:r>
      <w:r w:rsidR="002D417E">
        <w:rPr>
          <w:sz w:val="26"/>
          <w:szCs w:val="26"/>
        </w:rPr>
        <w:t>violations</w:t>
      </w:r>
      <w:r w:rsidR="00D95B28">
        <w:rPr>
          <w:sz w:val="26"/>
          <w:szCs w:val="26"/>
        </w:rPr>
        <w:t>.</w:t>
      </w:r>
      <w:r w:rsidR="00A36F41">
        <w:rPr>
          <w:sz w:val="26"/>
          <w:szCs w:val="26"/>
        </w:rPr>
        <w:t xml:space="preserve">  H</w:t>
      </w:r>
      <w:r w:rsidR="002D417E">
        <w:rPr>
          <w:sz w:val="26"/>
          <w:szCs w:val="26"/>
        </w:rPr>
        <w:t xml:space="preserve">owever, the Parties </w:t>
      </w:r>
      <w:r w:rsidR="00D95B28">
        <w:rPr>
          <w:sz w:val="26"/>
          <w:szCs w:val="26"/>
        </w:rPr>
        <w:t xml:space="preserve">do </w:t>
      </w:r>
      <w:r w:rsidR="002D417E">
        <w:rPr>
          <w:sz w:val="26"/>
          <w:szCs w:val="26"/>
        </w:rPr>
        <w:t>agree</w:t>
      </w:r>
      <w:r w:rsidR="00D95B28">
        <w:rPr>
          <w:sz w:val="26"/>
          <w:szCs w:val="26"/>
        </w:rPr>
        <w:t>,</w:t>
      </w:r>
      <w:r w:rsidR="005D687E">
        <w:rPr>
          <w:sz w:val="26"/>
          <w:szCs w:val="26"/>
        </w:rPr>
        <w:t xml:space="preserve"> in the interest of compromise and cooperation</w:t>
      </w:r>
      <w:r w:rsidR="00D95B28">
        <w:rPr>
          <w:sz w:val="26"/>
          <w:szCs w:val="26"/>
        </w:rPr>
        <w:t>,</w:t>
      </w:r>
      <w:r w:rsidR="005D687E">
        <w:rPr>
          <w:sz w:val="26"/>
          <w:szCs w:val="26"/>
        </w:rPr>
        <w:t xml:space="preserve"> that </w:t>
      </w:r>
      <w:r w:rsidR="0084372C">
        <w:rPr>
          <w:sz w:val="26"/>
          <w:szCs w:val="26"/>
        </w:rPr>
        <w:t xml:space="preserve">the </w:t>
      </w:r>
      <w:r w:rsidR="005D687E">
        <w:rPr>
          <w:sz w:val="26"/>
          <w:szCs w:val="26"/>
        </w:rPr>
        <w:t xml:space="preserve">Renegotiated Settlement Agreement is in the public interest because it would eliminate costly and time consuming litigation that may have uncertain results.  </w:t>
      </w:r>
      <w:r w:rsidR="008C4830">
        <w:rPr>
          <w:sz w:val="26"/>
          <w:szCs w:val="26"/>
        </w:rPr>
        <w:t xml:space="preserve">                          </w:t>
      </w:r>
      <w:r w:rsidR="00010B70">
        <w:rPr>
          <w:sz w:val="26"/>
          <w:szCs w:val="26"/>
        </w:rPr>
        <w:t>RSA at 15, ¶¶ 47, 48.</w:t>
      </w:r>
    </w:p>
    <w:p w:rsidR="002D417E" w:rsidRDefault="002D417E" w:rsidP="0072784C">
      <w:pPr>
        <w:tabs>
          <w:tab w:val="left" w:pos="-720"/>
        </w:tabs>
        <w:suppressAutoHyphens/>
        <w:spacing w:line="360" w:lineRule="auto"/>
        <w:ind w:firstLine="1440"/>
        <w:rPr>
          <w:sz w:val="26"/>
          <w:szCs w:val="26"/>
        </w:rPr>
      </w:pPr>
    </w:p>
    <w:p w:rsidR="00DD01E2" w:rsidRPr="007C4DFB" w:rsidRDefault="003A2081" w:rsidP="0072784C">
      <w:pPr>
        <w:spacing w:line="360" w:lineRule="auto"/>
        <w:ind w:firstLine="1440"/>
        <w:rPr>
          <w:color w:val="0D0D0D"/>
          <w:sz w:val="26"/>
          <w:szCs w:val="26"/>
        </w:rPr>
      </w:pPr>
      <w:r w:rsidRPr="007C4DFB">
        <w:rPr>
          <w:color w:val="0D0D0D"/>
          <w:sz w:val="26"/>
          <w:szCs w:val="26"/>
        </w:rPr>
        <w:t>The Parties</w:t>
      </w:r>
      <w:r w:rsidR="00FC7C71">
        <w:rPr>
          <w:color w:val="0D0D0D"/>
          <w:sz w:val="26"/>
          <w:szCs w:val="26"/>
        </w:rPr>
        <w:t xml:space="preserve"> further assert</w:t>
      </w:r>
      <w:r w:rsidRPr="007C4DFB">
        <w:rPr>
          <w:color w:val="0D0D0D"/>
          <w:sz w:val="26"/>
          <w:szCs w:val="26"/>
        </w:rPr>
        <w:t xml:space="preserve"> the </w:t>
      </w:r>
      <w:r w:rsidR="007F05EB">
        <w:rPr>
          <w:color w:val="0D0D0D"/>
          <w:sz w:val="26"/>
          <w:szCs w:val="26"/>
        </w:rPr>
        <w:t>Renegotiated Settlement Agreement</w:t>
      </w:r>
      <w:r w:rsidRPr="007C4DFB">
        <w:rPr>
          <w:color w:val="0D0D0D"/>
          <w:sz w:val="26"/>
          <w:szCs w:val="26"/>
        </w:rPr>
        <w:t xml:space="preserve"> is proper, reasonable, and in the public interest because, </w:t>
      </w:r>
      <w:r w:rsidRPr="007C4DFB">
        <w:rPr>
          <w:i/>
          <w:color w:val="0D0D0D"/>
          <w:sz w:val="26"/>
          <w:szCs w:val="26"/>
        </w:rPr>
        <w:t>inter alia</w:t>
      </w:r>
      <w:r w:rsidRPr="007C4DFB">
        <w:rPr>
          <w:color w:val="0D0D0D"/>
          <w:sz w:val="26"/>
          <w:szCs w:val="26"/>
        </w:rPr>
        <w:t xml:space="preserve">, </w:t>
      </w:r>
      <w:r w:rsidR="00D95B28">
        <w:rPr>
          <w:color w:val="0D0D0D"/>
          <w:sz w:val="26"/>
          <w:szCs w:val="26"/>
        </w:rPr>
        <w:t xml:space="preserve">Equitable </w:t>
      </w:r>
      <w:r w:rsidRPr="007C4DFB">
        <w:rPr>
          <w:color w:val="0D0D0D"/>
          <w:sz w:val="26"/>
          <w:szCs w:val="26"/>
        </w:rPr>
        <w:t>has undertaken and completed to the satisfaction of the</w:t>
      </w:r>
      <w:r w:rsidR="00F846C0">
        <w:rPr>
          <w:color w:val="0D0D0D"/>
          <w:sz w:val="26"/>
          <w:szCs w:val="26"/>
        </w:rPr>
        <w:t xml:space="preserve"> Commission’s</w:t>
      </w:r>
      <w:r w:rsidRPr="007C4DFB">
        <w:rPr>
          <w:color w:val="0D0D0D"/>
          <w:sz w:val="26"/>
          <w:szCs w:val="26"/>
        </w:rPr>
        <w:t xml:space="preserve"> Gas Safety Division all of the procedural</w:t>
      </w:r>
      <w:r w:rsidR="00F35F4E">
        <w:rPr>
          <w:color w:val="0D0D0D"/>
          <w:sz w:val="26"/>
          <w:szCs w:val="26"/>
        </w:rPr>
        <w:t xml:space="preserve"> and training requirements that</w:t>
      </w:r>
      <w:r w:rsidRPr="007C4DFB">
        <w:rPr>
          <w:color w:val="0D0D0D"/>
          <w:sz w:val="26"/>
          <w:szCs w:val="26"/>
        </w:rPr>
        <w:t xml:space="preserve"> were agreed to in the Initial Settlement</w:t>
      </w:r>
      <w:r w:rsidR="008A56D8">
        <w:rPr>
          <w:color w:val="0D0D0D"/>
          <w:sz w:val="26"/>
          <w:szCs w:val="26"/>
        </w:rPr>
        <w:t xml:space="preserve"> Agreement</w:t>
      </w:r>
      <w:r w:rsidRPr="007C4DFB">
        <w:rPr>
          <w:color w:val="0D0D0D"/>
          <w:sz w:val="26"/>
          <w:szCs w:val="26"/>
        </w:rPr>
        <w:t xml:space="preserve"> and affirmed by the Commission as appropriate in its 2009 and 2010 </w:t>
      </w:r>
      <w:r w:rsidR="008A56D8">
        <w:rPr>
          <w:color w:val="0D0D0D"/>
          <w:sz w:val="26"/>
          <w:szCs w:val="26"/>
        </w:rPr>
        <w:t>O</w:t>
      </w:r>
      <w:r w:rsidRPr="007C4DFB">
        <w:rPr>
          <w:color w:val="0D0D0D"/>
          <w:sz w:val="26"/>
          <w:szCs w:val="26"/>
        </w:rPr>
        <w:t>rders.</w:t>
      </w:r>
      <w:r w:rsidRPr="007C4DFB">
        <w:rPr>
          <w:rStyle w:val="FootnoteReference"/>
          <w:color w:val="0D0D0D"/>
          <w:sz w:val="26"/>
          <w:szCs w:val="26"/>
        </w:rPr>
        <w:footnoteReference w:id="4"/>
      </w:r>
      <w:r w:rsidRPr="007C4DFB">
        <w:rPr>
          <w:color w:val="0D0D0D"/>
          <w:sz w:val="26"/>
          <w:szCs w:val="26"/>
        </w:rPr>
        <w:t xml:space="preserve">  </w:t>
      </w:r>
      <w:r w:rsidR="001F37D7" w:rsidRPr="007C4DFB">
        <w:rPr>
          <w:color w:val="0D0D0D"/>
          <w:sz w:val="26"/>
          <w:szCs w:val="26"/>
        </w:rPr>
        <w:t>RSA at 15-16, ¶ 49.</w:t>
      </w:r>
    </w:p>
    <w:p w:rsidR="007C4DFB" w:rsidRPr="007C4DFB" w:rsidRDefault="007C4DFB" w:rsidP="0072784C">
      <w:pPr>
        <w:spacing w:line="360" w:lineRule="auto"/>
        <w:ind w:firstLine="1440"/>
        <w:rPr>
          <w:color w:val="0D0D0D"/>
          <w:sz w:val="26"/>
          <w:szCs w:val="26"/>
        </w:rPr>
      </w:pPr>
    </w:p>
    <w:p w:rsidR="00CC53AC" w:rsidRPr="005D4FF8" w:rsidRDefault="008A56D8" w:rsidP="0072784C">
      <w:pPr>
        <w:spacing w:line="360" w:lineRule="auto"/>
        <w:ind w:firstLine="1440"/>
        <w:rPr>
          <w:color w:val="0D0D0D"/>
          <w:sz w:val="26"/>
          <w:szCs w:val="26"/>
        </w:rPr>
      </w:pPr>
      <w:r>
        <w:rPr>
          <w:color w:val="0D0D0D"/>
          <w:sz w:val="26"/>
          <w:szCs w:val="26"/>
        </w:rPr>
        <w:t xml:space="preserve">The </w:t>
      </w:r>
      <w:r w:rsidR="007C4DFB" w:rsidRPr="001649B5">
        <w:rPr>
          <w:color w:val="0D0D0D"/>
          <w:sz w:val="26"/>
          <w:szCs w:val="26"/>
        </w:rPr>
        <w:t>Prosecutory Staff</w:t>
      </w:r>
      <w:r w:rsidR="00F846C0" w:rsidRPr="001649B5">
        <w:rPr>
          <w:color w:val="0D0D0D"/>
          <w:sz w:val="26"/>
          <w:szCs w:val="26"/>
        </w:rPr>
        <w:t xml:space="preserve"> further</w:t>
      </w:r>
      <w:r w:rsidR="007C4DFB" w:rsidRPr="001649B5">
        <w:rPr>
          <w:color w:val="0D0D0D"/>
          <w:sz w:val="26"/>
          <w:szCs w:val="26"/>
        </w:rPr>
        <w:t xml:space="preserve"> </w:t>
      </w:r>
      <w:r w:rsidR="00943100">
        <w:rPr>
          <w:color w:val="0D0D0D"/>
          <w:sz w:val="26"/>
          <w:szCs w:val="26"/>
        </w:rPr>
        <w:t>believes</w:t>
      </w:r>
      <w:r w:rsidR="00BE7678" w:rsidRPr="001649B5">
        <w:rPr>
          <w:color w:val="0D0D0D"/>
          <w:sz w:val="26"/>
          <w:szCs w:val="26"/>
        </w:rPr>
        <w:t xml:space="preserve"> that</w:t>
      </w:r>
      <w:r w:rsidR="007C4DFB" w:rsidRPr="001649B5">
        <w:rPr>
          <w:color w:val="0D0D0D"/>
          <w:sz w:val="26"/>
          <w:szCs w:val="26"/>
        </w:rPr>
        <w:t xml:space="preserve"> Equitable’s cooperation and efforts in response to the Gas Safety Division’s concerns relative to a number of natural gas service users that are not Equitable’s customers, who faced potentially questionable supply in the 2011-2012 heating season</w:t>
      </w:r>
      <w:r>
        <w:rPr>
          <w:color w:val="0D0D0D"/>
          <w:sz w:val="26"/>
          <w:szCs w:val="26"/>
        </w:rPr>
        <w:t>,</w:t>
      </w:r>
      <w:r w:rsidR="00BE7678" w:rsidRPr="001649B5">
        <w:rPr>
          <w:color w:val="0D0D0D"/>
          <w:sz w:val="26"/>
          <w:szCs w:val="26"/>
        </w:rPr>
        <w:t xml:space="preserve"> provides further justification to adopt the </w:t>
      </w:r>
      <w:r w:rsidR="007F05EB">
        <w:rPr>
          <w:color w:val="0D0D0D"/>
          <w:sz w:val="26"/>
          <w:szCs w:val="26"/>
        </w:rPr>
        <w:t>Renegotiated Settlement Agreement</w:t>
      </w:r>
      <w:r w:rsidR="007C4DFB" w:rsidRPr="001649B5">
        <w:rPr>
          <w:color w:val="0D0D0D"/>
          <w:sz w:val="26"/>
          <w:szCs w:val="26"/>
        </w:rPr>
        <w:t>.</w:t>
      </w:r>
      <w:r w:rsidR="00BE7678" w:rsidRPr="001649B5">
        <w:rPr>
          <w:color w:val="0D0D0D"/>
          <w:sz w:val="26"/>
          <w:szCs w:val="26"/>
        </w:rPr>
        <w:t xml:space="preserve">  RSA at 18, ¶</w:t>
      </w:r>
      <w:r w:rsidR="000966DA">
        <w:rPr>
          <w:color w:val="0D0D0D"/>
          <w:sz w:val="26"/>
          <w:szCs w:val="26"/>
        </w:rPr>
        <w:t xml:space="preserve"> </w:t>
      </w:r>
      <w:r w:rsidR="00BE7678" w:rsidRPr="001649B5">
        <w:rPr>
          <w:color w:val="0D0D0D"/>
          <w:sz w:val="26"/>
          <w:szCs w:val="26"/>
        </w:rPr>
        <w:t>51.</w:t>
      </w:r>
      <w:r w:rsidR="007C4DFB" w:rsidRPr="001649B5">
        <w:rPr>
          <w:color w:val="0D0D0D"/>
          <w:sz w:val="26"/>
          <w:szCs w:val="26"/>
        </w:rPr>
        <w:t xml:space="preserve">  </w:t>
      </w:r>
      <w:r w:rsidR="0097452C" w:rsidRPr="001649B5">
        <w:rPr>
          <w:color w:val="0D0D0D"/>
          <w:sz w:val="26"/>
          <w:szCs w:val="26"/>
        </w:rPr>
        <w:t>With Equitable’s time and effort invested,</w:t>
      </w:r>
      <w:r w:rsidR="007C4DFB" w:rsidRPr="001649B5">
        <w:rPr>
          <w:color w:val="0D0D0D"/>
          <w:sz w:val="26"/>
          <w:szCs w:val="26"/>
        </w:rPr>
        <w:t xml:space="preserve"> </w:t>
      </w:r>
      <w:r w:rsidR="0097452C" w:rsidRPr="001649B5">
        <w:rPr>
          <w:color w:val="0D0D0D"/>
          <w:sz w:val="26"/>
          <w:szCs w:val="26"/>
        </w:rPr>
        <w:t>t</w:t>
      </w:r>
      <w:r w:rsidR="007C4DFB" w:rsidRPr="001649B5">
        <w:rPr>
          <w:color w:val="0D0D0D"/>
          <w:sz w:val="26"/>
          <w:szCs w:val="26"/>
        </w:rPr>
        <w:t xml:space="preserve">he Gas Safety Division was able to gather sufficient information to independently address the situation </w:t>
      </w:r>
      <w:r w:rsidR="0097452C" w:rsidRPr="001649B5">
        <w:rPr>
          <w:color w:val="0D0D0D"/>
          <w:sz w:val="26"/>
          <w:szCs w:val="26"/>
        </w:rPr>
        <w:t>to its own</w:t>
      </w:r>
      <w:r w:rsidR="007C4DFB" w:rsidRPr="001649B5">
        <w:rPr>
          <w:color w:val="0D0D0D"/>
          <w:sz w:val="26"/>
          <w:szCs w:val="26"/>
        </w:rPr>
        <w:t xml:space="preserve"> satisfaction</w:t>
      </w:r>
      <w:r w:rsidR="0097452C" w:rsidRPr="001649B5">
        <w:rPr>
          <w:color w:val="0D0D0D"/>
          <w:sz w:val="26"/>
          <w:szCs w:val="26"/>
        </w:rPr>
        <w:t xml:space="preserve">.  </w:t>
      </w:r>
      <w:r w:rsidR="0097452C" w:rsidRPr="001649B5">
        <w:rPr>
          <w:i/>
          <w:color w:val="0D0D0D"/>
          <w:sz w:val="26"/>
          <w:szCs w:val="26"/>
        </w:rPr>
        <w:t>Id</w:t>
      </w:r>
      <w:r w:rsidR="00D95B28">
        <w:rPr>
          <w:i/>
          <w:color w:val="0D0D0D"/>
          <w:sz w:val="26"/>
          <w:szCs w:val="26"/>
        </w:rPr>
        <w:t>.</w:t>
      </w:r>
    </w:p>
    <w:p w:rsidR="00CC53AC" w:rsidRDefault="00CC53AC" w:rsidP="0072784C">
      <w:pPr>
        <w:spacing w:line="360" w:lineRule="auto"/>
        <w:ind w:firstLine="1440"/>
        <w:rPr>
          <w:color w:val="0D0D0D"/>
          <w:sz w:val="26"/>
          <w:szCs w:val="26"/>
        </w:rPr>
      </w:pPr>
    </w:p>
    <w:p w:rsidR="00884817" w:rsidRDefault="00050669" w:rsidP="0072784C">
      <w:pPr>
        <w:pStyle w:val="BodyText2"/>
        <w:ind w:firstLine="1440"/>
      </w:pPr>
      <w:r>
        <w:t>T</w:t>
      </w:r>
      <w:r w:rsidR="00884817">
        <w:t xml:space="preserve">he Parties </w:t>
      </w:r>
      <w:r>
        <w:t xml:space="preserve">further </w:t>
      </w:r>
      <w:r w:rsidR="00884817">
        <w:t>state that</w:t>
      </w:r>
      <w:r w:rsidR="008A56D8">
        <w:t>,</w:t>
      </w:r>
      <w:r w:rsidR="00884817">
        <w:t xml:space="preserve"> in the process of renegotiation, the factors set forth in 52 Pa. Code § 69.1201 were considered.  </w:t>
      </w:r>
      <w:r w:rsidR="008A56D8">
        <w:t>52 Pa. Code § 69.1201 (</w:t>
      </w:r>
      <w:r w:rsidR="008A56D8" w:rsidRPr="00C750CE">
        <w:rPr>
          <w:i/>
        </w:rPr>
        <w:t xml:space="preserve">Factors and standards for evaluating litigated and settled proceedings involving violations of the </w:t>
      </w:r>
      <w:r w:rsidR="008A56D8" w:rsidRPr="00C750CE">
        <w:rPr>
          <w:i/>
        </w:rPr>
        <w:lastRenderedPageBreak/>
        <w:t>Public Utility Code and Commission regulations—statement of policy</w:t>
      </w:r>
      <w:r w:rsidR="008A56D8">
        <w:t>) (</w:t>
      </w:r>
      <w:r w:rsidR="008A56D8" w:rsidRPr="00E14436">
        <w:rPr>
          <w:i/>
        </w:rPr>
        <w:t>Policy Statement</w:t>
      </w:r>
      <w:r w:rsidR="008A56D8">
        <w:t xml:space="preserve">).  </w:t>
      </w:r>
      <w:r w:rsidR="00884817">
        <w:t>Specifically, the Parties reviewed the nature and consequences of the alleged conduct, the number of customers affected, Equitable’s compliance history and the corrective procedures Equitable has implemented, Equitable’s cooperation with the Commission, and the amount necessary not only to deter future violations but to recognize possible violations in the past.  T</w:t>
      </w:r>
      <w:r w:rsidR="009A26EA">
        <w:t>hus t</w:t>
      </w:r>
      <w:r w:rsidR="00884817">
        <w:t>he</w:t>
      </w:r>
      <w:r w:rsidR="009A26EA">
        <w:t xml:space="preserve"> Parties aver that the</w:t>
      </w:r>
      <w:r w:rsidR="00884817">
        <w:t xml:space="preserve"> </w:t>
      </w:r>
      <w:r w:rsidR="007F05EB">
        <w:t>Renegotiated Settlement Agreement</w:t>
      </w:r>
      <w:r w:rsidR="00884817">
        <w:t xml:space="preserve"> was negotiated over a long period of time and recognizes Equitable’s good faith efforts to comply with the regulations.  RSA at 19, </w:t>
      </w:r>
      <w:r w:rsidR="00C46D76">
        <w:t xml:space="preserve">¶ </w:t>
      </w:r>
      <w:r w:rsidR="00884817">
        <w:t>56.</w:t>
      </w:r>
    </w:p>
    <w:p w:rsidR="002733A5" w:rsidRDefault="002733A5" w:rsidP="008D3B3E">
      <w:pPr>
        <w:pStyle w:val="BodyText2"/>
        <w:ind w:firstLine="1440"/>
      </w:pPr>
    </w:p>
    <w:p w:rsidR="00A22819" w:rsidRDefault="00F846C0" w:rsidP="0072784C">
      <w:pPr>
        <w:pStyle w:val="BodyText2"/>
        <w:ind w:firstLine="1440"/>
      </w:pPr>
      <w:r>
        <w:t>Equitable believes</w:t>
      </w:r>
      <w:r w:rsidR="00F30E93">
        <w:t xml:space="preserve"> that the Prosecutory Staff’s willingness to accept a civil penalty of $5,000 takes into consideration the efforts of Equitable since the commencement of the informal investigation and following the </w:t>
      </w:r>
      <w:r w:rsidR="00F30E93" w:rsidRPr="001D386F">
        <w:rPr>
          <w:i/>
        </w:rPr>
        <w:t xml:space="preserve">May </w:t>
      </w:r>
      <w:r w:rsidR="0019669A">
        <w:rPr>
          <w:i/>
        </w:rPr>
        <w:t>20</w:t>
      </w:r>
      <w:r w:rsidR="00F30E93" w:rsidRPr="001D386F">
        <w:rPr>
          <w:i/>
        </w:rPr>
        <w:t>10</w:t>
      </w:r>
      <w:r w:rsidR="001D386F">
        <w:rPr>
          <w:i/>
        </w:rPr>
        <w:t xml:space="preserve"> Order</w:t>
      </w:r>
      <w:r w:rsidR="00050669">
        <w:rPr>
          <w:i/>
        </w:rPr>
        <w:t xml:space="preserve"> </w:t>
      </w:r>
      <w:r w:rsidR="00050669">
        <w:t xml:space="preserve">modification to the </w:t>
      </w:r>
      <w:r w:rsidR="007F05EB">
        <w:t>Initial Settlement Agreement</w:t>
      </w:r>
      <w:r w:rsidR="00F30E93">
        <w:t>.</w:t>
      </w:r>
      <w:r w:rsidR="0091457E">
        <w:t xml:space="preserve">  RSA at 19, 20, ¶ 57.</w:t>
      </w:r>
      <w:r w:rsidR="00F30E93">
        <w:t xml:space="preserve">  </w:t>
      </w:r>
      <w:r w:rsidR="0091457E">
        <w:t xml:space="preserve">The Parties </w:t>
      </w:r>
      <w:r>
        <w:t>also</w:t>
      </w:r>
      <w:r w:rsidR="0091457E">
        <w:t xml:space="preserve"> </w:t>
      </w:r>
      <w:r w:rsidR="00B82796">
        <w:t>believe</w:t>
      </w:r>
      <w:r w:rsidR="0091457E">
        <w:t xml:space="preserve"> that the </w:t>
      </w:r>
      <w:r w:rsidR="007F05EB">
        <w:t>Renegotiated Settlement Agreement</w:t>
      </w:r>
      <w:r w:rsidR="0091457E">
        <w:t xml:space="preserve"> </w:t>
      </w:r>
      <w:r w:rsidR="00F30E93">
        <w:t xml:space="preserve">is reflective of </w:t>
      </w:r>
      <w:r w:rsidR="0091457E">
        <w:t xml:space="preserve">Equitable’s compliance with the other conditions of the </w:t>
      </w:r>
      <w:r w:rsidR="007F05EB">
        <w:t>Initial Settlement Agreement</w:t>
      </w:r>
      <w:r w:rsidR="0091457E">
        <w:t xml:space="preserve"> which</w:t>
      </w:r>
      <w:r w:rsidR="00573531">
        <w:t xml:space="preserve"> required</w:t>
      </w:r>
      <w:r w:rsidR="00F30E93">
        <w:t xml:space="preserve"> modif</w:t>
      </w:r>
      <w:r w:rsidR="00573531">
        <w:t>ication of</w:t>
      </w:r>
      <w:r w:rsidR="00F30E93">
        <w:t xml:space="preserve"> internal procedures to prevent problems in the future, including, </w:t>
      </w:r>
      <w:r w:rsidR="00F30E93" w:rsidRPr="00722F93">
        <w:rPr>
          <w:i/>
        </w:rPr>
        <w:t>inter alia</w:t>
      </w:r>
      <w:r w:rsidR="00F30E93">
        <w:t>, the establishment of appropriate written procedures for preventive and mitigative measures and the retraining of employees and contractors in the requirements of such procedures.</w:t>
      </w:r>
      <w:r w:rsidR="0091457E">
        <w:t xml:space="preserve">  </w:t>
      </w:r>
      <w:r w:rsidR="0091457E">
        <w:rPr>
          <w:i/>
        </w:rPr>
        <w:t>Id.</w:t>
      </w:r>
      <w:r w:rsidR="00F30E93">
        <w:t xml:space="preserve">  </w:t>
      </w:r>
    </w:p>
    <w:p w:rsidR="002A37D4" w:rsidRDefault="002A37D4" w:rsidP="0072784C">
      <w:pPr>
        <w:pStyle w:val="BodyText2"/>
        <w:ind w:firstLine="1440"/>
      </w:pPr>
    </w:p>
    <w:p w:rsidR="002733A5" w:rsidRDefault="002A37D4" w:rsidP="002A37D4">
      <w:pPr>
        <w:pStyle w:val="BodyTextIndent2"/>
      </w:pPr>
      <w:r w:rsidRPr="00F7117F">
        <w:t>The Parties</w:t>
      </w:r>
      <w:r>
        <w:t xml:space="preserve"> further</w:t>
      </w:r>
      <w:r w:rsidRPr="00F7117F">
        <w:t xml:space="preserve"> contend that</w:t>
      </w:r>
      <w:r>
        <w:t>,</w:t>
      </w:r>
      <w:r w:rsidRPr="00F7117F">
        <w:t xml:space="preserve"> in light of the actions taken and commitments made by Equitable </w:t>
      </w:r>
      <w:r>
        <w:t>subsequent to</w:t>
      </w:r>
      <w:r w:rsidRPr="00F7117F">
        <w:t xml:space="preserve"> the incidents in question and the entry of the </w:t>
      </w:r>
      <w:r w:rsidRPr="00520B09">
        <w:rPr>
          <w:i/>
        </w:rPr>
        <w:t xml:space="preserve">November 2009 </w:t>
      </w:r>
      <w:r w:rsidRPr="00520B09">
        <w:t>and</w:t>
      </w:r>
      <w:r w:rsidRPr="00520B09">
        <w:rPr>
          <w:i/>
        </w:rPr>
        <w:t xml:space="preserve"> May 2010 Orders</w:t>
      </w:r>
      <w:r w:rsidRPr="00F7117F">
        <w:t xml:space="preserve">, it is appropriate and in the public interest to resolve and close this informal investigation as represented in the </w:t>
      </w:r>
      <w:r>
        <w:t>Renegotiated Settlement Agreement</w:t>
      </w:r>
      <w:r w:rsidRPr="00F7117F">
        <w:t>, with Equitable making a payment of $65,000 to the Hardship Repair Fund</w:t>
      </w:r>
      <w:r>
        <w:t>, as agreed to in the Initial Settlement Agreement,</w:t>
      </w:r>
      <w:r w:rsidRPr="00F7117F">
        <w:t xml:space="preserve"> and the imposition of a</w:t>
      </w:r>
      <w:r w:rsidR="00B148D9">
        <w:t xml:space="preserve">n additional but reduced amount </w:t>
      </w:r>
      <w:r w:rsidRPr="00F7117F">
        <w:t>of $5,000</w:t>
      </w:r>
      <w:r w:rsidR="00B148D9">
        <w:t xml:space="preserve"> as a civil penalty</w:t>
      </w:r>
      <w:r w:rsidRPr="00F7117F">
        <w:t>.</w:t>
      </w:r>
      <w:r>
        <w:t xml:space="preserve">  RSA at 18, ¶ 52.  </w:t>
      </w:r>
      <w:r w:rsidR="00E13539">
        <w:t>A</w:t>
      </w:r>
      <w:r w:rsidR="00F30E93">
        <w:t xml:space="preserve">lthough </w:t>
      </w:r>
      <w:r w:rsidR="0091457E">
        <w:t>Equitable</w:t>
      </w:r>
      <w:r w:rsidR="00F30E93">
        <w:t xml:space="preserve"> </w:t>
      </w:r>
      <w:r w:rsidR="00F30E93" w:rsidRPr="00F07381">
        <w:t>continues to disagree with the Commission</w:t>
      </w:r>
      <w:r w:rsidR="0091457E">
        <w:t>’s</w:t>
      </w:r>
      <w:r w:rsidR="00F30E93" w:rsidRPr="00F07381">
        <w:t xml:space="preserve"> </w:t>
      </w:r>
      <w:r w:rsidR="0091457E">
        <w:t>modification</w:t>
      </w:r>
      <w:r w:rsidR="00F30E93" w:rsidRPr="00F07381">
        <w:t xml:space="preserve"> </w:t>
      </w:r>
      <w:r w:rsidR="006A67F0">
        <w:t xml:space="preserve">to </w:t>
      </w:r>
      <w:r w:rsidR="00F30E93" w:rsidRPr="00F07381">
        <w:t xml:space="preserve">the </w:t>
      </w:r>
      <w:r w:rsidR="007F05EB">
        <w:t>Initial Settlement Agreement</w:t>
      </w:r>
      <w:r w:rsidR="0091457E">
        <w:t>,</w:t>
      </w:r>
      <w:r w:rsidR="00F30E93">
        <w:t xml:space="preserve"> </w:t>
      </w:r>
      <w:r w:rsidR="0091457E">
        <w:t>Equitable</w:t>
      </w:r>
      <w:r w:rsidR="00F30E93">
        <w:t xml:space="preserve"> </w:t>
      </w:r>
      <w:r>
        <w:t xml:space="preserve">claims it </w:t>
      </w:r>
      <w:r w:rsidR="00F30E93">
        <w:t>has fully cooperated with</w:t>
      </w:r>
      <w:r w:rsidR="00032925">
        <w:t xml:space="preserve"> the</w:t>
      </w:r>
      <w:r w:rsidR="00F30E93">
        <w:t xml:space="preserve"> Prosecutory </w:t>
      </w:r>
      <w:r w:rsidR="00F30E93">
        <w:lastRenderedPageBreak/>
        <w:t xml:space="preserve">Staff and accepts the additional civil </w:t>
      </w:r>
      <w:r w:rsidR="002D56D5">
        <w:t>monetary</w:t>
      </w:r>
      <w:r w:rsidR="00F30E93">
        <w:t xml:space="preserve"> obligation of $5,000 in </w:t>
      </w:r>
      <w:r w:rsidR="00F30E93" w:rsidRPr="00F07381">
        <w:t xml:space="preserve">the interest of </w:t>
      </w:r>
      <w:r w:rsidR="00F30E93">
        <w:t xml:space="preserve">continued </w:t>
      </w:r>
      <w:r w:rsidR="00F30E93" w:rsidRPr="00F07381">
        <w:t>compromise and cooperation</w:t>
      </w:r>
      <w:r w:rsidR="00F30E93">
        <w:t xml:space="preserve"> with </w:t>
      </w:r>
      <w:r w:rsidR="00032925">
        <w:t xml:space="preserve">the </w:t>
      </w:r>
      <w:r w:rsidR="00F30E93">
        <w:t>Prosecutory Staff.  RSA at 19, 20, ¶ 57.</w:t>
      </w:r>
    </w:p>
    <w:p w:rsidR="00573531" w:rsidRDefault="00573531" w:rsidP="003D59D6">
      <w:pPr>
        <w:pStyle w:val="BodyText2"/>
        <w:widowControl w:val="0"/>
        <w:ind w:firstLine="1440"/>
      </w:pPr>
    </w:p>
    <w:p w:rsidR="002A37D4" w:rsidRDefault="002A37D4" w:rsidP="002A37D4">
      <w:pPr>
        <w:tabs>
          <w:tab w:val="left" w:pos="-720"/>
        </w:tabs>
        <w:suppressAutoHyphens/>
        <w:spacing w:line="360" w:lineRule="auto"/>
        <w:ind w:firstLine="1440"/>
        <w:rPr>
          <w:sz w:val="26"/>
          <w:szCs w:val="26"/>
        </w:rPr>
      </w:pPr>
      <w:r>
        <w:rPr>
          <w:sz w:val="26"/>
          <w:szCs w:val="26"/>
        </w:rPr>
        <w:t xml:space="preserve">The Parties also submit that the proposed Renegotiated Settlement Agreement is in the public interest and complies with the Commission’s </w:t>
      </w:r>
      <w:r w:rsidRPr="008A56D8">
        <w:rPr>
          <w:i/>
          <w:sz w:val="26"/>
          <w:szCs w:val="26"/>
        </w:rPr>
        <w:t>Policy Statement</w:t>
      </w:r>
      <w:r w:rsidR="008A56D8">
        <w:rPr>
          <w:sz w:val="26"/>
          <w:szCs w:val="26"/>
        </w:rPr>
        <w:t xml:space="preserve">.  </w:t>
      </w:r>
      <w:r>
        <w:rPr>
          <w:sz w:val="26"/>
          <w:szCs w:val="26"/>
        </w:rPr>
        <w:t>RSA at 18, ¶ 54.  The Renegotiated Settlement Agreement is contingent upon Commission approval without modification, and if modified, either Party may elect to withdraw from the Renegotiated Settlement Agreement.  RSA at 21; ¶ ¶ 59, 60.</w:t>
      </w:r>
    </w:p>
    <w:p w:rsidR="00A36F41" w:rsidRPr="00A36F41" w:rsidRDefault="00A36F41" w:rsidP="00A36F41"/>
    <w:p w:rsidR="00D616AD" w:rsidRPr="007B38DA" w:rsidRDefault="00D616AD" w:rsidP="00D616AD">
      <w:pPr>
        <w:pStyle w:val="Heading1"/>
        <w:keepNext w:val="0"/>
        <w:widowControl w:val="0"/>
        <w:spacing w:line="360" w:lineRule="auto"/>
        <w:rPr>
          <w:rFonts w:ascii="Times New Roman" w:hAnsi="Times New Roman"/>
          <w:szCs w:val="26"/>
        </w:rPr>
      </w:pPr>
      <w:r w:rsidRPr="007B38DA">
        <w:rPr>
          <w:rFonts w:ascii="Times New Roman" w:hAnsi="Times New Roman"/>
          <w:szCs w:val="26"/>
        </w:rPr>
        <w:t>Disposition</w:t>
      </w:r>
    </w:p>
    <w:p w:rsidR="00D616AD" w:rsidRDefault="00D616AD" w:rsidP="00556989">
      <w:pPr>
        <w:spacing w:line="360" w:lineRule="auto"/>
        <w:ind w:firstLine="1440"/>
        <w:rPr>
          <w:sz w:val="26"/>
          <w:szCs w:val="26"/>
        </w:rPr>
      </w:pPr>
    </w:p>
    <w:p w:rsidR="002A37D4" w:rsidRDefault="002A37D4" w:rsidP="00556989">
      <w:pPr>
        <w:spacing w:line="360" w:lineRule="auto"/>
        <w:ind w:firstLine="1440"/>
        <w:rPr>
          <w:sz w:val="26"/>
          <w:szCs w:val="26"/>
        </w:rPr>
      </w:pPr>
      <w:r>
        <w:rPr>
          <w:sz w:val="26"/>
          <w:szCs w:val="26"/>
        </w:rPr>
        <w:t>Upon our review of the Renegotiated Settlement Agreement, we are of the opinion that the $5,000 penalty is inadequate in light of the circumstances in this proceeding and, for the reasons that follow, we will reject the Renegotiated Settlement Agreement.</w:t>
      </w:r>
    </w:p>
    <w:p w:rsidR="002A37D4" w:rsidRDefault="002A37D4" w:rsidP="00556989">
      <w:pPr>
        <w:spacing w:line="360" w:lineRule="auto"/>
        <w:ind w:firstLine="1440"/>
        <w:rPr>
          <w:sz w:val="26"/>
          <w:szCs w:val="26"/>
        </w:rPr>
      </w:pPr>
    </w:p>
    <w:p w:rsidR="002A37D4" w:rsidRDefault="002A37D4" w:rsidP="00D95B28">
      <w:pPr>
        <w:pStyle w:val="BodyText2"/>
        <w:ind w:firstLine="1440"/>
      </w:pPr>
      <w:r>
        <w:t>First, it is important to note that one of the alleged violations as presented in the Initial Settlement Agreement and Renegotiated Settlement Agreement is as follows:</w:t>
      </w:r>
    </w:p>
    <w:p w:rsidR="002A37D4" w:rsidRDefault="002A37D4" w:rsidP="00D95B28">
      <w:pPr>
        <w:spacing w:line="360" w:lineRule="auto"/>
        <w:ind w:left="1440"/>
        <w:rPr>
          <w:sz w:val="26"/>
          <w:szCs w:val="26"/>
        </w:rPr>
      </w:pPr>
    </w:p>
    <w:p w:rsidR="002A37D4" w:rsidRDefault="00D95B28" w:rsidP="00D95B28">
      <w:pPr>
        <w:pStyle w:val="BodyTextIndent3"/>
        <w:tabs>
          <w:tab w:val="left" w:pos="1080"/>
        </w:tabs>
        <w:spacing w:after="0" w:line="240" w:lineRule="auto"/>
        <w:ind w:left="1440" w:right="1440" w:firstLine="0"/>
        <w:jc w:val="left"/>
        <w:rPr>
          <w:sz w:val="26"/>
        </w:rPr>
      </w:pPr>
      <w:r>
        <w:rPr>
          <w:sz w:val="26"/>
        </w:rPr>
        <w:t>a.</w:t>
      </w:r>
      <w:r>
        <w:rPr>
          <w:sz w:val="26"/>
        </w:rPr>
        <w:tab/>
      </w:r>
      <w:r w:rsidR="002A37D4" w:rsidRPr="004B5697">
        <w:rPr>
          <w:sz w:val="26"/>
        </w:rPr>
        <w:t>From on or before June 21, 2007, up to and including August</w:t>
      </w:r>
      <w:r>
        <w:rPr>
          <w:sz w:val="26"/>
        </w:rPr>
        <w:t> </w:t>
      </w:r>
      <w:r w:rsidR="002A37D4" w:rsidRPr="004B5697">
        <w:rPr>
          <w:sz w:val="26"/>
        </w:rPr>
        <w:t xml:space="preserve">16, 2007, the date of Mr. Graeser’s last inspection, Respondent’s </w:t>
      </w:r>
      <w:r>
        <w:rPr>
          <w:sz w:val="26"/>
        </w:rPr>
        <w:t xml:space="preserve">[Equitable’s] </w:t>
      </w:r>
      <w:r w:rsidR="002A37D4" w:rsidRPr="004B5697">
        <w:rPr>
          <w:sz w:val="26"/>
        </w:rPr>
        <w:t xml:space="preserve">integrity management program did not have a written procedure for preventive and mitigative measures to prevent damages to transmission pipelines operating at less than 30% of SMYS in class 3 and class 4 areas as required by the federal regulations, even though Respondent </w:t>
      </w:r>
      <w:r w:rsidRPr="00D95B28">
        <w:rPr>
          <w:sz w:val="26"/>
        </w:rPr>
        <w:t>[Equitable]</w:t>
      </w:r>
      <w:r>
        <w:rPr>
          <w:sz w:val="26"/>
        </w:rPr>
        <w:t xml:space="preserve"> </w:t>
      </w:r>
      <w:r w:rsidR="002A37D4" w:rsidRPr="004B5697">
        <w:rPr>
          <w:sz w:val="26"/>
        </w:rPr>
        <w:t>knew that such a procedure was required.</w:t>
      </w:r>
    </w:p>
    <w:p w:rsidR="002A37D4" w:rsidRDefault="002A37D4" w:rsidP="002A37D4">
      <w:pPr>
        <w:pStyle w:val="BodyTextIndent3"/>
        <w:tabs>
          <w:tab w:val="left" w:pos="1080"/>
        </w:tabs>
        <w:spacing w:after="0" w:line="240" w:lineRule="auto"/>
        <w:ind w:left="1440" w:right="1440" w:firstLine="0"/>
        <w:rPr>
          <w:sz w:val="26"/>
        </w:rPr>
      </w:pPr>
    </w:p>
    <w:p w:rsidR="00611215" w:rsidRDefault="00611215" w:rsidP="002A37D4">
      <w:pPr>
        <w:pStyle w:val="BodyTextIndent3"/>
        <w:tabs>
          <w:tab w:val="left" w:pos="1080"/>
        </w:tabs>
        <w:spacing w:after="0" w:line="240" w:lineRule="auto"/>
        <w:ind w:left="1440" w:right="1440" w:firstLine="0"/>
        <w:rPr>
          <w:sz w:val="26"/>
        </w:rPr>
      </w:pPr>
    </w:p>
    <w:p w:rsidR="00611215" w:rsidRPr="004B5697" w:rsidRDefault="00611215" w:rsidP="002A37D4">
      <w:pPr>
        <w:pStyle w:val="BodyTextIndent3"/>
        <w:tabs>
          <w:tab w:val="left" w:pos="1080"/>
        </w:tabs>
        <w:spacing w:after="0" w:line="240" w:lineRule="auto"/>
        <w:ind w:left="1440" w:right="1440" w:firstLine="0"/>
        <w:rPr>
          <w:sz w:val="26"/>
        </w:rPr>
      </w:pPr>
    </w:p>
    <w:p w:rsidR="002A37D4" w:rsidRPr="008D3B3E" w:rsidRDefault="002A37D4" w:rsidP="002A37D4">
      <w:pPr>
        <w:pStyle w:val="BlockText"/>
        <w:tabs>
          <w:tab w:val="left" w:pos="1080"/>
          <w:tab w:val="left" w:pos="4500"/>
        </w:tabs>
      </w:pPr>
      <w:r w:rsidRPr="008D3B3E">
        <w:lastRenderedPageBreak/>
        <w:t xml:space="preserve">If proven, the above omission by Respondent </w:t>
      </w:r>
      <w:r w:rsidR="00D95B28" w:rsidRPr="00D95B28">
        <w:t>[Equitable]</w:t>
      </w:r>
      <w:r w:rsidR="00D95B28">
        <w:t xml:space="preserve"> </w:t>
      </w:r>
      <w:r w:rsidRPr="008D3B3E">
        <w:t>would constitute a violation of 49 CFR § 192.907(a) implementation of integrity manageme</w:t>
      </w:r>
      <w:r>
        <w:t>nt plan and 52 Pa. Code § 59.33-</w:t>
      </w:r>
      <w:r w:rsidRPr="008D3B3E">
        <w:t>Safety.</w:t>
      </w:r>
    </w:p>
    <w:p w:rsidR="002A37D4" w:rsidRPr="008D3B3E" w:rsidRDefault="002A37D4" w:rsidP="002A37D4">
      <w:pPr>
        <w:tabs>
          <w:tab w:val="left" w:pos="1080"/>
          <w:tab w:val="left" w:pos="4500"/>
        </w:tabs>
        <w:ind w:left="1440" w:right="1440"/>
        <w:rPr>
          <w:sz w:val="26"/>
          <w:szCs w:val="26"/>
        </w:rPr>
      </w:pPr>
    </w:p>
    <w:p w:rsidR="002A37D4" w:rsidRPr="008D3B3E" w:rsidRDefault="002A37D4" w:rsidP="002A37D4">
      <w:pPr>
        <w:tabs>
          <w:tab w:val="left" w:pos="1080"/>
        </w:tabs>
        <w:ind w:left="1440" w:right="1440"/>
        <w:rPr>
          <w:sz w:val="26"/>
          <w:szCs w:val="26"/>
        </w:rPr>
      </w:pPr>
      <w:r>
        <w:rPr>
          <w:sz w:val="26"/>
          <w:szCs w:val="26"/>
        </w:rPr>
        <w:t>b.</w:t>
      </w:r>
      <w:r>
        <w:rPr>
          <w:sz w:val="26"/>
          <w:szCs w:val="26"/>
        </w:rPr>
        <w:tab/>
      </w:r>
      <w:r w:rsidRPr="008D3B3E">
        <w:rPr>
          <w:sz w:val="26"/>
          <w:szCs w:val="26"/>
        </w:rPr>
        <w:t xml:space="preserve">If proven, each day of non-compliance would constitute a separate violation pursuant to 66 Pa. </w:t>
      </w:r>
      <w:r w:rsidR="008C4830">
        <w:rPr>
          <w:sz w:val="26"/>
          <w:szCs w:val="26"/>
        </w:rPr>
        <w:t xml:space="preserve">               </w:t>
      </w:r>
      <w:r w:rsidRPr="008D3B3E">
        <w:rPr>
          <w:sz w:val="26"/>
          <w:szCs w:val="26"/>
        </w:rPr>
        <w:t>C.S. §</w:t>
      </w:r>
      <w:r w:rsidR="00D95B28">
        <w:rPr>
          <w:sz w:val="26"/>
          <w:szCs w:val="26"/>
        </w:rPr>
        <w:t> </w:t>
      </w:r>
      <w:r w:rsidRPr="008D3B3E">
        <w:rPr>
          <w:sz w:val="26"/>
          <w:szCs w:val="26"/>
        </w:rPr>
        <w:t>3301(b) Civil Penalties, Continuing Violations.</w:t>
      </w:r>
    </w:p>
    <w:p w:rsidR="002A37D4" w:rsidRPr="008D3B3E" w:rsidRDefault="002A37D4" w:rsidP="002A37D4">
      <w:pPr>
        <w:tabs>
          <w:tab w:val="left" w:pos="1080"/>
        </w:tabs>
        <w:ind w:left="1440" w:right="1440"/>
        <w:rPr>
          <w:sz w:val="26"/>
          <w:szCs w:val="26"/>
        </w:rPr>
      </w:pPr>
    </w:p>
    <w:p w:rsidR="002A37D4" w:rsidRPr="008D3B3E" w:rsidRDefault="002A37D4" w:rsidP="002A37D4">
      <w:pPr>
        <w:tabs>
          <w:tab w:val="left" w:pos="1080"/>
        </w:tabs>
        <w:ind w:right="1440"/>
        <w:rPr>
          <w:sz w:val="26"/>
          <w:szCs w:val="26"/>
        </w:rPr>
      </w:pPr>
      <w:r w:rsidRPr="008D3B3E">
        <w:rPr>
          <w:sz w:val="26"/>
          <w:szCs w:val="26"/>
        </w:rPr>
        <w:t>RSA at 5, ¶</w:t>
      </w:r>
      <w:r w:rsidR="00D95B28" w:rsidRPr="008D3B3E">
        <w:rPr>
          <w:sz w:val="26"/>
          <w:szCs w:val="26"/>
        </w:rPr>
        <w:t>¶</w:t>
      </w:r>
      <w:r w:rsidRPr="008D3B3E">
        <w:rPr>
          <w:sz w:val="26"/>
          <w:szCs w:val="26"/>
        </w:rPr>
        <w:t xml:space="preserve"> 19</w:t>
      </w:r>
      <w:r w:rsidR="00D95B28">
        <w:rPr>
          <w:sz w:val="26"/>
          <w:szCs w:val="26"/>
        </w:rPr>
        <w:t>.a. – 19.b</w:t>
      </w:r>
      <w:r w:rsidRPr="008D3B3E">
        <w:rPr>
          <w:sz w:val="26"/>
          <w:szCs w:val="26"/>
        </w:rPr>
        <w:t>.</w:t>
      </w:r>
    </w:p>
    <w:p w:rsidR="002A37D4" w:rsidRPr="008D3B3E" w:rsidRDefault="002A37D4" w:rsidP="002A37D4">
      <w:pPr>
        <w:tabs>
          <w:tab w:val="left" w:pos="1080"/>
        </w:tabs>
        <w:ind w:right="1440"/>
        <w:rPr>
          <w:sz w:val="26"/>
          <w:szCs w:val="26"/>
        </w:rPr>
      </w:pPr>
    </w:p>
    <w:p w:rsidR="002A37D4" w:rsidRPr="008D3B3E" w:rsidRDefault="002A37D4" w:rsidP="002A37D4">
      <w:pPr>
        <w:pStyle w:val="BodyTextIndent2"/>
        <w:spacing w:line="240" w:lineRule="auto"/>
      </w:pPr>
      <w:r w:rsidRPr="008D3B3E">
        <w:t>The applicable section of the federal regulations provides as follows:</w:t>
      </w:r>
    </w:p>
    <w:p w:rsidR="002A37D4" w:rsidRPr="008D3B3E" w:rsidRDefault="002A37D4" w:rsidP="002A37D4">
      <w:pPr>
        <w:tabs>
          <w:tab w:val="left" w:pos="1080"/>
        </w:tabs>
        <w:ind w:right="1440" w:firstLine="720"/>
        <w:rPr>
          <w:sz w:val="26"/>
          <w:szCs w:val="26"/>
        </w:rPr>
      </w:pPr>
    </w:p>
    <w:p w:rsidR="002A37D4" w:rsidRPr="008D3B3E" w:rsidRDefault="002A37D4" w:rsidP="002A37D4">
      <w:pPr>
        <w:pStyle w:val="BlockText"/>
      </w:pPr>
      <w:r w:rsidRPr="008D3B3E">
        <w:t xml:space="preserve">(a) No later than December 17, 2004, an operator of a covered pipeline segment must develop and follow a written integrity management program that contains all the elements described in §192.911 and that addresses the risks on each covered transmission pipeline segment. </w:t>
      </w:r>
      <w:r w:rsidR="00D95B28">
        <w:t xml:space="preserve"> </w:t>
      </w:r>
      <w:r w:rsidRPr="008D3B3E">
        <w:t xml:space="preserve">The initial integrity management program must consist, at a minimum, of a framework that describes the process for implementing each program element, how relevant decisions will be made and by whom, a time line for completing the work to implement the program element, and how information gained from experience will be continuously incorporated into the program. </w:t>
      </w:r>
      <w:r w:rsidR="00D95B28">
        <w:t xml:space="preserve"> </w:t>
      </w:r>
      <w:r w:rsidRPr="008D3B3E">
        <w:t xml:space="preserve">The framework will evolve into a more detailed and comprehensive program. </w:t>
      </w:r>
      <w:r w:rsidR="00D95B28">
        <w:t xml:space="preserve"> </w:t>
      </w:r>
      <w:r w:rsidRPr="008D3B3E">
        <w:t xml:space="preserve">An operator must make continual improvements to the program. </w:t>
      </w:r>
    </w:p>
    <w:p w:rsidR="002A37D4" w:rsidRDefault="002A37D4" w:rsidP="002A37D4">
      <w:pPr>
        <w:spacing w:line="360" w:lineRule="auto"/>
        <w:ind w:firstLine="1440"/>
        <w:rPr>
          <w:sz w:val="26"/>
          <w:szCs w:val="26"/>
        </w:rPr>
      </w:pPr>
    </w:p>
    <w:p w:rsidR="00FC0162" w:rsidRPr="00F8566F" w:rsidRDefault="00FC0162" w:rsidP="00B147E7">
      <w:pPr>
        <w:spacing w:line="360" w:lineRule="auto"/>
        <w:rPr>
          <w:sz w:val="26"/>
          <w:szCs w:val="26"/>
        </w:rPr>
      </w:pPr>
      <w:r w:rsidRPr="00F8566F">
        <w:rPr>
          <w:sz w:val="26"/>
          <w:szCs w:val="26"/>
        </w:rPr>
        <w:t>49 C.F.R. § 192.907(a).</w:t>
      </w:r>
    </w:p>
    <w:p w:rsidR="008D1C79" w:rsidRDefault="008D1C79" w:rsidP="00B147E7">
      <w:pPr>
        <w:spacing w:line="360" w:lineRule="auto"/>
        <w:ind w:firstLine="1440"/>
        <w:rPr>
          <w:sz w:val="26"/>
          <w:szCs w:val="26"/>
        </w:rPr>
      </w:pPr>
    </w:p>
    <w:p w:rsidR="002A37D4" w:rsidRPr="00F8566F" w:rsidRDefault="002A37D4" w:rsidP="00B147E7">
      <w:pPr>
        <w:spacing w:line="360" w:lineRule="auto"/>
        <w:ind w:firstLine="1440"/>
        <w:rPr>
          <w:sz w:val="26"/>
          <w:szCs w:val="26"/>
        </w:rPr>
      </w:pPr>
      <w:r>
        <w:rPr>
          <w:sz w:val="26"/>
          <w:szCs w:val="26"/>
        </w:rPr>
        <w:t xml:space="preserve">The Prosecutory Staff alleges that from December 17, </w:t>
      </w:r>
      <w:r w:rsidRPr="00F8566F">
        <w:rPr>
          <w:sz w:val="26"/>
          <w:szCs w:val="26"/>
        </w:rPr>
        <w:t>2004, Equitable was not in compliance with 49 C</w:t>
      </w:r>
      <w:r w:rsidR="00FC0162" w:rsidRPr="00F8566F">
        <w:rPr>
          <w:sz w:val="26"/>
          <w:szCs w:val="26"/>
        </w:rPr>
        <w:t>.</w:t>
      </w:r>
      <w:r w:rsidRPr="00F8566F">
        <w:rPr>
          <w:sz w:val="26"/>
          <w:szCs w:val="26"/>
        </w:rPr>
        <w:t>F</w:t>
      </w:r>
      <w:r w:rsidR="00FC0162" w:rsidRPr="00F8566F">
        <w:rPr>
          <w:sz w:val="26"/>
          <w:szCs w:val="26"/>
        </w:rPr>
        <w:t>.</w:t>
      </w:r>
      <w:r w:rsidRPr="00F8566F">
        <w:rPr>
          <w:sz w:val="26"/>
          <w:szCs w:val="26"/>
        </w:rPr>
        <w:t>R</w:t>
      </w:r>
      <w:r w:rsidR="00FC0162" w:rsidRPr="00F8566F">
        <w:rPr>
          <w:sz w:val="26"/>
          <w:szCs w:val="26"/>
        </w:rPr>
        <w:t>.</w:t>
      </w:r>
      <w:r w:rsidRPr="00F8566F">
        <w:rPr>
          <w:sz w:val="26"/>
          <w:szCs w:val="26"/>
        </w:rPr>
        <w:t xml:space="preserve"> § 192.907(a) regarding a written integrity management program, until after the Commission’s gas safety inspection on August 16, 2007.</w:t>
      </w:r>
    </w:p>
    <w:p w:rsidR="002A37D4" w:rsidRPr="008D3B3E" w:rsidRDefault="002A37D4" w:rsidP="002A37D4">
      <w:pPr>
        <w:spacing w:line="360" w:lineRule="auto"/>
        <w:ind w:firstLine="1440"/>
        <w:rPr>
          <w:sz w:val="26"/>
          <w:szCs w:val="26"/>
        </w:rPr>
      </w:pPr>
      <w:r>
        <w:t xml:space="preserve"> </w:t>
      </w:r>
    </w:p>
    <w:p w:rsidR="002A37D4" w:rsidRDefault="002A37D4" w:rsidP="002A37D4">
      <w:pPr>
        <w:pStyle w:val="BodyTextIndent2"/>
      </w:pPr>
      <w:r w:rsidRPr="008D3B3E">
        <w:t>As stated above,</w:t>
      </w:r>
      <w:r>
        <w:t xml:space="preserve"> the Prosecutory Staff alleges that</w:t>
      </w:r>
      <w:r w:rsidRPr="008D3B3E">
        <w:t xml:space="preserve"> Equitable was in non-compliance with 49 C</w:t>
      </w:r>
      <w:r w:rsidR="00FC0162">
        <w:t>.</w:t>
      </w:r>
      <w:r w:rsidRPr="008D3B3E">
        <w:t>F</w:t>
      </w:r>
      <w:r w:rsidR="00FC0162">
        <w:t>.</w:t>
      </w:r>
      <w:r w:rsidRPr="008D3B3E">
        <w:t>R</w:t>
      </w:r>
      <w:r w:rsidR="00FC0162">
        <w:t>.</w:t>
      </w:r>
      <w:r w:rsidRPr="008D3B3E">
        <w:t xml:space="preserve"> § 192.907(a)</w:t>
      </w:r>
      <w:r>
        <w:t>-Implementation of Integrity Management Plan</w:t>
      </w:r>
      <w:r w:rsidR="00FC0162">
        <w:t>,</w:t>
      </w:r>
      <w:r w:rsidRPr="008D3B3E">
        <w:t xml:space="preserve"> as well as 52 Pa. Code § 59.33 – Safety, from on or before June 21</w:t>
      </w:r>
      <w:r>
        <w:t>, 2007,</w:t>
      </w:r>
      <w:r w:rsidRPr="008D3B3E">
        <w:t xml:space="preserve"> until</w:t>
      </w:r>
      <w:r>
        <w:t xml:space="preserve"> </w:t>
      </w:r>
      <w:r w:rsidR="008D1C79">
        <w:t xml:space="preserve">      </w:t>
      </w:r>
      <w:r>
        <w:t xml:space="preserve">August 16, 2007, or for a minimum of approximately fifty-five days.  An argument could </w:t>
      </w:r>
      <w:r>
        <w:lastRenderedPageBreak/>
        <w:t>be made that Equitable was not in compliance with this federal regulation from its effective date of December 17, 2004</w:t>
      </w:r>
      <w:r w:rsidR="00FC0162">
        <w:t>,</w:t>
      </w:r>
      <w:r>
        <w:t xml:space="preserve"> until sometime after the Commission’s gas safety inspection on August 16</w:t>
      </w:r>
      <w:r w:rsidR="00FC7005">
        <w:t>, 2007, or for approximately 972</w:t>
      </w:r>
      <w:r>
        <w:t xml:space="preserve"> days.  The potential maximum penalty for </w:t>
      </w:r>
      <w:r w:rsidR="00FC0162">
        <w:t xml:space="preserve">a violation of </w:t>
      </w:r>
      <w:r>
        <w:t xml:space="preserve">this duration under Section 3301(b) of the </w:t>
      </w:r>
      <w:r w:rsidR="00FC0162">
        <w:t>Public Utility Code (</w:t>
      </w:r>
      <w:r>
        <w:t>Code</w:t>
      </w:r>
      <w:r w:rsidR="00FC0162">
        <w:t>) 66 Pa. C.S. § 3301(b),</w:t>
      </w:r>
      <w:r>
        <w:t xml:space="preserve"> could be significantly greater than the amount imposed by the Commission’s </w:t>
      </w:r>
      <w:r>
        <w:rPr>
          <w:i/>
        </w:rPr>
        <w:t>May 2010 Order.</w:t>
      </w:r>
      <w:r>
        <w:t xml:space="preserve">  However, the Parties’ reliance on Section 3301(b) relative to continuing offences is incorrect.  The proper section of the Code relative to non-compliance with gas pipeline safety regulations is Section 3301(c) which states:</w:t>
      </w:r>
    </w:p>
    <w:p w:rsidR="002A37D4" w:rsidRPr="007B38DA" w:rsidRDefault="002A37D4" w:rsidP="002A37D4">
      <w:pPr>
        <w:spacing w:line="360" w:lineRule="auto"/>
        <w:ind w:firstLine="720"/>
        <w:rPr>
          <w:sz w:val="26"/>
          <w:szCs w:val="26"/>
        </w:rPr>
      </w:pPr>
    </w:p>
    <w:p w:rsidR="002A37D4" w:rsidRPr="007B38DA" w:rsidRDefault="002A37D4" w:rsidP="002A37D4">
      <w:pPr>
        <w:spacing w:line="231" w:lineRule="auto"/>
        <w:ind w:left="1440" w:right="1440" w:firstLine="437"/>
        <w:rPr>
          <w:sz w:val="26"/>
          <w:szCs w:val="26"/>
        </w:rPr>
      </w:pPr>
      <w:r w:rsidRPr="007B38DA">
        <w:rPr>
          <w:b/>
          <w:sz w:val="26"/>
          <w:szCs w:val="26"/>
        </w:rPr>
        <w:t xml:space="preserve"> (c)  Gas pipeline safety violations.--</w:t>
      </w:r>
      <w:r w:rsidRPr="007B38DA">
        <w:rPr>
          <w:sz w:val="26"/>
          <w:szCs w:val="26"/>
        </w:rPr>
        <w:t>Any person or corporation, defined as a public utility in this part, who violates any provisions of this part governing the safety of pipeline or conduit facilities in the transportation of natural gas, flammable gas, or gas which is toxic or corrosive, or of any regulation or order issued thereunder, shall be subject to a civil penalty of not to exceed $10,000 for each violation for each day that the violation persists, except that the maximum civil penalty shall not exceed $500,000 for any related series of violations.</w:t>
      </w:r>
      <w:r>
        <w:rPr>
          <w:sz w:val="26"/>
          <w:szCs w:val="26"/>
        </w:rPr>
        <w:t xml:space="preserve">  </w:t>
      </w:r>
    </w:p>
    <w:p w:rsidR="002A37D4" w:rsidRPr="007B38DA" w:rsidRDefault="002A37D4" w:rsidP="002A37D4">
      <w:pPr>
        <w:spacing w:line="360" w:lineRule="auto"/>
        <w:ind w:left="1440" w:right="1440"/>
        <w:rPr>
          <w:sz w:val="26"/>
          <w:szCs w:val="26"/>
        </w:rPr>
      </w:pPr>
    </w:p>
    <w:p w:rsidR="00FC0162" w:rsidRDefault="00FC0162" w:rsidP="00FC0162">
      <w:pPr>
        <w:pStyle w:val="Heading1"/>
        <w:keepNext w:val="0"/>
        <w:widowControl w:val="0"/>
        <w:spacing w:line="360" w:lineRule="auto"/>
        <w:jc w:val="left"/>
        <w:rPr>
          <w:b w:val="0"/>
          <w:szCs w:val="26"/>
        </w:rPr>
      </w:pPr>
      <w:r w:rsidRPr="00FC0162">
        <w:rPr>
          <w:b w:val="0"/>
          <w:szCs w:val="26"/>
        </w:rPr>
        <w:t>66 Pa. C.S. § 3301(c).</w:t>
      </w:r>
    </w:p>
    <w:p w:rsidR="00FC0162" w:rsidRPr="00FC0162" w:rsidRDefault="00FC0162" w:rsidP="00FC0162"/>
    <w:p w:rsidR="002A37D4" w:rsidRDefault="002A37D4" w:rsidP="002A37D4">
      <w:pPr>
        <w:pStyle w:val="Heading1"/>
        <w:keepNext w:val="0"/>
        <w:widowControl w:val="0"/>
        <w:spacing w:line="360" w:lineRule="auto"/>
        <w:ind w:firstLine="1440"/>
        <w:jc w:val="left"/>
        <w:rPr>
          <w:rFonts w:ascii="Times New Roman" w:hAnsi="Times New Roman"/>
          <w:b w:val="0"/>
          <w:szCs w:val="26"/>
        </w:rPr>
      </w:pPr>
      <w:r>
        <w:rPr>
          <w:rFonts w:ascii="Times New Roman" w:hAnsi="Times New Roman"/>
          <w:b w:val="0"/>
          <w:szCs w:val="26"/>
        </w:rPr>
        <w:t xml:space="preserve">If this section of the Code were used to calculate an appropriate penalty, the resulting penalty would greatly exceed that imposed by our </w:t>
      </w:r>
      <w:r>
        <w:rPr>
          <w:rFonts w:ascii="Times New Roman" w:hAnsi="Times New Roman"/>
          <w:b w:val="0"/>
          <w:i/>
          <w:szCs w:val="26"/>
        </w:rPr>
        <w:t>May 2010 Order</w:t>
      </w:r>
      <w:r w:rsidR="00FC0162">
        <w:rPr>
          <w:rFonts w:ascii="Times New Roman" w:hAnsi="Times New Roman"/>
          <w:b w:val="0"/>
          <w:szCs w:val="26"/>
        </w:rPr>
        <w:t xml:space="preserve"> even if the shorter fifty-five-day period is used.</w:t>
      </w:r>
    </w:p>
    <w:p w:rsidR="002A37D4" w:rsidRDefault="002A37D4" w:rsidP="00556989">
      <w:pPr>
        <w:spacing w:line="360" w:lineRule="auto"/>
        <w:ind w:firstLine="1440"/>
        <w:rPr>
          <w:sz w:val="26"/>
          <w:szCs w:val="26"/>
        </w:rPr>
      </w:pPr>
    </w:p>
    <w:p w:rsidR="00A92499" w:rsidRDefault="003417AB" w:rsidP="004A072D">
      <w:pPr>
        <w:pStyle w:val="BodyTextIndent2"/>
      </w:pPr>
      <w:r w:rsidRPr="004A072D">
        <w:t xml:space="preserve">We agree that the </w:t>
      </w:r>
      <w:r w:rsidR="007F05EB">
        <w:t>Renegotiated Settlement Agreement</w:t>
      </w:r>
      <w:r w:rsidRPr="004A072D">
        <w:t xml:space="preserve"> at ¶¶ 49, 50 support</w:t>
      </w:r>
      <w:r w:rsidR="009D1D05">
        <w:t>s</w:t>
      </w:r>
      <w:r w:rsidRPr="004A072D">
        <w:t xml:space="preserve"> Equitable’s compliance with the </w:t>
      </w:r>
      <w:r w:rsidR="008A3176">
        <w:t>non-financial</w:t>
      </w:r>
      <w:r w:rsidRPr="004A072D">
        <w:t xml:space="preserve"> conditions of the </w:t>
      </w:r>
      <w:r w:rsidR="007F05EB">
        <w:t>Initial Settlement Agreement</w:t>
      </w:r>
      <w:r w:rsidR="00D87BE6" w:rsidRPr="004A072D">
        <w:t xml:space="preserve">. </w:t>
      </w:r>
      <w:r w:rsidRPr="004A072D">
        <w:t xml:space="preserve"> </w:t>
      </w:r>
      <w:r w:rsidR="00595ADD">
        <w:t>However,</w:t>
      </w:r>
      <w:r w:rsidR="00D87BE6" w:rsidRPr="004A072D">
        <w:t xml:space="preserve"> t</w:t>
      </w:r>
      <w:r w:rsidRPr="004A072D">
        <w:t xml:space="preserve">he alleged safety violations initially </w:t>
      </w:r>
      <w:r w:rsidR="00FC0162">
        <w:t xml:space="preserve">were </w:t>
      </w:r>
      <w:r w:rsidRPr="004A072D">
        <w:t xml:space="preserve">discovered in </w:t>
      </w:r>
      <w:r w:rsidR="008D1C79">
        <w:t xml:space="preserve">      </w:t>
      </w:r>
      <w:r w:rsidR="00D87BE6" w:rsidRPr="004A072D">
        <w:t>August</w:t>
      </w:r>
      <w:r w:rsidRPr="004A072D">
        <w:t xml:space="preserve"> of 2007,</w:t>
      </w:r>
      <w:r w:rsidR="00D87BE6" w:rsidRPr="004A072D">
        <w:t xml:space="preserve"> </w:t>
      </w:r>
      <w:r w:rsidR="00595ADD">
        <w:t xml:space="preserve">and </w:t>
      </w:r>
      <w:r w:rsidR="00D87BE6" w:rsidRPr="004A072D">
        <w:t xml:space="preserve">there is no evidence that </w:t>
      </w:r>
      <w:r w:rsidR="00F846C0" w:rsidRPr="004A072D">
        <w:t xml:space="preserve">Equitable attempted to remedy </w:t>
      </w:r>
      <w:r w:rsidR="00D87BE6" w:rsidRPr="004A072D">
        <w:t>any of those alleg</w:t>
      </w:r>
      <w:r w:rsidR="008A3176">
        <w:t>ed violation</w:t>
      </w:r>
      <w:r w:rsidR="00D87BE6" w:rsidRPr="004A072D">
        <w:t>s</w:t>
      </w:r>
      <w:r w:rsidR="00F846C0" w:rsidRPr="004A072D">
        <w:t xml:space="preserve"> between their </w:t>
      </w:r>
      <w:r w:rsidR="00595ADD">
        <w:t xml:space="preserve">2007 </w:t>
      </w:r>
      <w:r w:rsidR="00F846C0" w:rsidRPr="004A072D">
        <w:t xml:space="preserve">discovery during a gas safety investigation and the issuance of the Commission’s </w:t>
      </w:r>
      <w:r w:rsidR="00595ADD" w:rsidRPr="00D118B1">
        <w:rPr>
          <w:i/>
        </w:rPr>
        <w:t>November 2009 Order</w:t>
      </w:r>
      <w:r w:rsidR="00595ADD" w:rsidRPr="004A072D">
        <w:t xml:space="preserve"> </w:t>
      </w:r>
      <w:r w:rsidR="00F846C0" w:rsidRPr="004A072D">
        <w:t>in this matter.</w:t>
      </w:r>
      <w:r w:rsidR="002A37D4">
        <w:t xml:space="preserve">  </w:t>
      </w:r>
      <w:r w:rsidR="00164CBB" w:rsidRPr="00164CBB">
        <w:t xml:space="preserve">Although we </w:t>
      </w:r>
      <w:r w:rsidR="00164CBB">
        <w:t xml:space="preserve">extend our appreciation to Equitable </w:t>
      </w:r>
      <w:r w:rsidR="00164CBB" w:rsidRPr="00164CBB">
        <w:t>for its recent c</w:t>
      </w:r>
      <w:r w:rsidR="00FC0162">
        <w:t>ooperation in resolving</w:t>
      </w:r>
      <w:r w:rsidR="00164CBB">
        <w:t xml:space="preserve"> </w:t>
      </w:r>
      <w:r w:rsidR="00164CBB" w:rsidRPr="00164CBB">
        <w:t xml:space="preserve">various issues to the </w:t>
      </w:r>
      <w:r w:rsidR="00164CBB" w:rsidRPr="00164CBB">
        <w:lastRenderedPageBreak/>
        <w:t xml:space="preserve">satisfaction of our Gas Safety Division, we note that such recent cooperation and resulting remedies do not absolve </w:t>
      </w:r>
      <w:r w:rsidR="00164CBB">
        <w:t xml:space="preserve">Equitable </w:t>
      </w:r>
      <w:r w:rsidR="00164CBB" w:rsidRPr="00164CBB">
        <w:t xml:space="preserve">from the </w:t>
      </w:r>
      <w:r w:rsidR="00FC0162">
        <w:t xml:space="preserve">alleged </w:t>
      </w:r>
      <w:r w:rsidR="00164CBB" w:rsidRPr="00164CBB">
        <w:t xml:space="preserve">inadequacies of its </w:t>
      </w:r>
      <w:r w:rsidR="00164CBB">
        <w:t xml:space="preserve">past </w:t>
      </w:r>
      <w:r w:rsidR="00164CBB" w:rsidRPr="00164CBB">
        <w:t>procedures and practices.</w:t>
      </w:r>
      <w:r w:rsidR="00164CBB">
        <w:t xml:space="preserve">  In this regard, the $65,000 penalty was assessed based on Equitable’s past </w:t>
      </w:r>
      <w:r w:rsidR="00231E9F">
        <w:t xml:space="preserve">alleged </w:t>
      </w:r>
      <w:r w:rsidR="00164CBB">
        <w:t>violations and we are of the opinion that i</w:t>
      </w:r>
      <w:r w:rsidR="00BD027E">
        <w:t xml:space="preserve">t is not prudent to </w:t>
      </w:r>
      <w:r w:rsidR="00164CBB">
        <w:t xml:space="preserve">reduce this </w:t>
      </w:r>
      <w:r w:rsidR="00BB40AA">
        <w:t>penalty</w:t>
      </w:r>
      <w:r w:rsidR="00164CBB">
        <w:t xml:space="preserve"> </w:t>
      </w:r>
      <w:r w:rsidR="00BD027E">
        <w:t xml:space="preserve">based on </w:t>
      </w:r>
      <w:r w:rsidR="00164CBB">
        <w:t xml:space="preserve">the </w:t>
      </w:r>
      <w:r w:rsidR="00BB40AA">
        <w:t xml:space="preserve">ensuing </w:t>
      </w:r>
      <w:r w:rsidR="00BD027E">
        <w:t xml:space="preserve">actions </w:t>
      </w:r>
      <w:r w:rsidR="00FC0162">
        <w:t xml:space="preserve">Equitable has undertaken.  </w:t>
      </w:r>
      <w:r w:rsidR="002A37D4" w:rsidRPr="002E2838">
        <w:t xml:space="preserve">We do not want to establish </w:t>
      </w:r>
      <w:r w:rsidR="00EA2458" w:rsidRPr="002E2838">
        <w:t xml:space="preserve">a precedent </w:t>
      </w:r>
      <w:r w:rsidR="00FC0162">
        <w:t>whereby</w:t>
      </w:r>
      <w:r w:rsidR="00164CBB" w:rsidRPr="002E2838">
        <w:t xml:space="preserve"> a </w:t>
      </w:r>
      <w:r w:rsidR="00EA2458" w:rsidRPr="002E2838">
        <w:t xml:space="preserve">utility </w:t>
      </w:r>
      <w:r w:rsidR="002E2838" w:rsidRPr="002E2838">
        <w:t xml:space="preserve">that has been assessed a penalty </w:t>
      </w:r>
      <w:r w:rsidR="00164CBB" w:rsidRPr="002E2838">
        <w:t xml:space="preserve">could forego </w:t>
      </w:r>
      <w:r w:rsidR="002E2838" w:rsidRPr="002E2838">
        <w:t>the payment of</w:t>
      </w:r>
      <w:r w:rsidR="002E2838">
        <w:t xml:space="preserve"> that</w:t>
      </w:r>
      <w:r w:rsidR="002E2838" w:rsidRPr="002E2838">
        <w:t xml:space="preserve"> penalty based on its </w:t>
      </w:r>
      <w:r w:rsidR="00FC0162">
        <w:t>subsequent</w:t>
      </w:r>
      <w:r w:rsidR="002E2838" w:rsidRPr="002E2838">
        <w:t xml:space="preserve"> actions.</w:t>
      </w:r>
      <w:r w:rsidR="002E2838">
        <w:t xml:space="preserve">  As such, we remain of the opinion that, in accordance with </w:t>
      </w:r>
      <w:r w:rsidR="00733803">
        <w:t xml:space="preserve">the rationale in our </w:t>
      </w:r>
      <w:r w:rsidR="00733803" w:rsidRPr="00CC1E1B">
        <w:rPr>
          <w:i/>
        </w:rPr>
        <w:t>May 2010 Order</w:t>
      </w:r>
      <w:r w:rsidR="00733803">
        <w:t>, as restated below, the $65,000 penalty is warranted.</w:t>
      </w:r>
    </w:p>
    <w:p w:rsidR="00FD7C07" w:rsidRDefault="00FD7C07" w:rsidP="004A072D">
      <w:pPr>
        <w:pStyle w:val="BodyTextIndent2"/>
      </w:pPr>
    </w:p>
    <w:p w:rsidR="00FD7C07" w:rsidRPr="007E1E1B" w:rsidRDefault="00FD7C07" w:rsidP="00FD7C07">
      <w:pPr>
        <w:pStyle w:val="BodyText2"/>
        <w:spacing w:line="240" w:lineRule="auto"/>
        <w:rPr>
          <w:b/>
        </w:rPr>
      </w:pPr>
      <w:r>
        <w:rPr>
          <w:b/>
        </w:rPr>
        <w:t>Compliance with Commission’s Policy Statement</w:t>
      </w:r>
    </w:p>
    <w:p w:rsidR="00733803" w:rsidRDefault="00733803" w:rsidP="00733803">
      <w:pPr>
        <w:pStyle w:val="BodyTextIndent2"/>
        <w:ind w:firstLine="0"/>
      </w:pPr>
    </w:p>
    <w:p w:rsidR="008F4726" w:rsidRDefault="008F4726" w:rsidP="00FC0162">
      <w:pPr>
        <w:widowControl w:val="0"/>
        <w:tabs>
          <w:tab w:val="center" w:pos="720"/>
        </w:tabs>
        <w:spacing w:line="360" w:lineRule="auto"/>
        <w:ind w:firstLine="1440"/>
        <w:rPr>
          <w:i/>
          <w:sz w:val="26"/>
          <w:szCs w:val="26"/>
        </w:rPr>
      </w:pPr>
      <w:r w:rsidRPr="00594B1B">
        <w:rPr>
          <w:sz w:val="26"/>
          <w:szCs w:val="26"/>
        </w:rPr>
        <w:t xml:space="preserve">Pursuant to our Regulations at 52 Pa. Code § 5.231, it is the Commission’s policy to promote settlements.  The Prosecutory Staff and Equitable provided a detailed analysis of the proposed </w:t>
      </w:r>
      <w:r>
        <w:rPr>
          <w:sz w:val="26"/>
          <w:szCs w:val="26"/>
        </w:rPr>
        <w:t>R</w:t>
      </w:r>
      <w:r w:rsidR="00C9553A">
        <w:rPr>
          <w:sz w:val="26"/>
          <w:szCs w:val="26"/>
        </w:rPr>
        <w:t xml:space="preserve">enegotiated </w:t>
      </w:r>
      <w:r w:rsidRPr="00594B1B">
        <w:rPr>
          <w:sz w:val="26"/>
          <w:szCs w:val="26"/>
        </w:rPr>
        <w:t>S</w:t>
      </w:r>
      <w:r w:rsidR="00C9553A">
        <w:rPr>
          <w:sz w:val="26"/>
          <w:szCs w:val="26"/>
        </w:rPr>
        <w:t xml:space="preserve">ettlement </w:t>
      </w:r>
      <w:r>
        <w:rPr>
          <w:sz w:val="26"/>
          <w:szCs w:val="26"/>
        </w:rPr>
        <w:t>A</w:t>
      </w:r>
      <w:r w:rsidR="00C9553A">
        <w:rPr>
          <w:sz w:val="26"/>
          <w:szCs w:val="26"/>
        </w:rPr>
        <w:t>greement</w:t>
      </w:r>
      <w:r>
        <w:rPr>
          <w:sz w:val="26"/>
          <w:szCs w:val="26"/>
        </w:rPr>
        <w:t xml:space="preserve"> </w:t>
      </w:r>
      <w:r w:rsidRPr="00594B1B">
        <w:rPr>
          <w:sz w:val="26"/>
          <w:szCs w:val="26"/>
        </w:rPr>
        <w:t xml:space="preserve">in light of the Commission’s </w:t>
      </w:r>
      <w:r>
        <w:rPr>
          <w:i/>
          <w:sz w:val="26"/>
          <w:szCs w:val="26"/>
        </w:rPr>
        <w:t>Policy Statement</w:t>
      </w:r>
      <w:r w:rsidRPr="00594B1B">
        <w:rPr>
          <w:sz w:val="26"/>
          <w:szCs w:val="26"/>
        </w:rPr>
        <w:t>.</w:t>
      </w:r>
      <w:r>
        <w:rPr>
          <w:sz w:val="26"/>
          <w:szCs w:val="26"/>
        </w:rPr>
        <w:t xml:space="preserve"> </w:t>
      </w:r>
      <w:r w:rsidRPr="00594B1B">
        <w:rPr>
          <w:sz w:val="26"/>
          <w:szCs w:val="26"/>
        </w:rPr>
        <w:t xml:space="preserve"> However, the Commission must review proposed settlements to determine whether the terms are in the public interest.  </w:t>
      </w:r>
      <w:r w:rsidRPr="00594B1B">
        <w:rPr>
          <w:i/>
          <w:sz w:val="26"/>
          <w:szCs w:val="26"/>
        </w:rPr>
        <w:t>Pa. PUC v. Philadelphia Gas Works</w:t>
      </w:r>
      <w:r w:rsidRPr="00594B1B">
        <w:rPr>
          <w:sz w:val="26"/>
          <w:szCs w:val="26"/>
        </w:rPr>
        <w:t xml:space="preserve">, </w:t>
      </w:r>
      <w:r>
        <w:rPr>
          <w:sz w:val="26"/>
          <w:szCs w:val="26"/>
        </w:rPr>
        <w:t xml:space="preserve">Docket No. </w:t>
      </w:r>
      <w:r w:rsidRPr="00594B1B">
        <w:rPr>
          <w:sz w:val="26"/>
          <w:szCs w:val="26"/>
        </w:rPr>
        <w:t>M-00031768 (</w:t>
      </w:r>
      <w:r>
        <w:rPr>
          <w:sz w:val="26"/>
          <w:szCs w:val="26"/>
        </w:rPr>
        <w:t xml:space="preserve">Order entered </w:t>
      </w:r>
      <w:r w:rsidRPr="00594B1B">
        <w:rPr>
          <w:sz w:val="26"/>
          <w:szCs w:val="26"/>
        </w:rPr>
        <w:t xml:space="preserve">January 7, 2004); </w:t>
      </w:r>
      <w:r>
        <w:rPr>
          <w:sz w:val="26"/>
          <w:szCs w:val="26"/>
        </w:rPr>
        <w:t xml:space="preserve"> </w:t>
      </w:r>
      <w:r w:rsidRPr="00594B1B">
        <w:rPr>
          <w:sz w:val="26"/>
          <w:szCs w:val="26"/>
        </w:rPr>
        <w:t>52 Pa. Code § 69.1201</w:t>
      </w:r>
      <w:r w:rsidRPr="00005EDE">
        <w:rPr>
          <w:sz w:val="26"/>
          <w:szCs w:val="26"/>
        </w:rPr>
        <w:t>.  In</w:t>
      </w:r>
      <w:r>
        <w:rPr>
          <w:sz w:val="26"/>
          <w:szCs w:val="26"/>
        </w:rPr>
        <w:t xml:space="preserve"> the process of negotiating the</w:t>
      </w:r>
      <w:r w:rsidRPr="00005EDE">
        <w:rPr>
          <w:sz w:val="26"/>
          <w:szCs w:val="26"/>
        </w:rPr>
        <w:t xml:space="preserve"> R</w:t>
      </w:r>
      <w:r>
        <w:rPr>
          <w:sz w:val="26"/>
          <w:szCs w:val="26"/>
        </w:rPr>
        <w:t>SA</w:t>
      </w:r>
      <w:r w:rsidRPr="00005EDE">
        <w:rPr>
          <w:sz w:val="26"/>
          <w:szCs w:val="26"/>
        </w:rPr>
        <w:t>,</w:t>
      </w:r>
      <w:r>
        <w:rPr>
          <w:sz w:val="26"/>
          <w:szCs w:val="26"/>
        </w:rPr>
        <w:t xml:space="preserve"> the Parties assert that</w:t>
      </w:r>
      <w:r w:rsidRPr="00005EDE">
        <w:rPr>
          <w:sz w:val="26"/>
          <w:szCs w:val="26"/>
        </w:rPr>
        <w:t xml:space="preserve"> the factors set forth in 52 Pa. Code § 69.1201 were considered.</w:t>
      </w:r>
      <w:r>
        <w:rPr>
          <w:sz w:val="26"/>
          <w:szCs w:val="26"/>
        </w:rPr>
        <w:t xml:space="preserve">  RSA at 19, ¶ 56.  </w:t>
      </w:r>
    </w:p>
    <w:p w:rsidR="008F4726" w:rsidRDefault="008F4726" w:rsidP="008F4726">
      <w:pPr>
        <w:pStyle w:val="BodyText2"/>
        <w:spacing w:line="240" w:lineRule="auto"/>
        <w:ind w:firstLine="1440"/>
      </w:pPr>
    </w:p>
    <w:p w:rsidR="008F4726" w:rsidRDefault="008F4726" w:rsidP="008F4726">
      <w:pPr>
        <w:suppressAutoHyphens/>
        <w:spacing w:line="360" w:lineRule="auto"/>
        <w:ind w:firstLine="1440"/>
        <w:rPr>
          <w:sz w:val="26"/>
          <w:szCs w:val="26"/>
        </w:rPr>
      </w:pPr>
      <w:r w:rsidRPr="0018044B">
        <w:rPr>
          <w:sz w:val="26"/>
          <w:szCs w:val="26"/>
        </w:rPr>
        <w:t>The first factor we consider is whether the conduct at issue is of a serious nature.  52 Pa. Code § 69.1201(c)(1).  “When conduct of a serious nature is involved, such as willful fraud or misrepresentation, the conduct may warrant a higher penalty.  When the conduct is less egregious, such as administrative filing or technical errors, it</w:t>
      </w:r>
      <w:r>
        <w:rPr>
          <w:sz w:val="26"/>
          <w:szCs w:val="26"/>
        </w:rPr>
        <w:t xml:space="preserve"> may warrant a lower penalty.”</w:t>
      </w:r>
    </w:p>
    <w:p w:rsidR="008F4726" w:rsidRDefault="008F4726" w:rsidP="008F4726">
      <w:pPr>
        <w:suppressAutoHyphens/>
        <w:spacing w:line="360" w:lineRule="auto"/>
        <w:ind w:firstLine="1440"/>
        <w:rPr>
          <w:sz w:val="26"/>
          <w:szCs w:val="26"/>
        </w:rPr>
      </w:pPr>
    </w:p>
    <w:p w:rsidR="008F4726" w:rsidRDefault="008F4726" w:rsidP="008F4726">
      <w:pPr>
        <w:suppressAutoHyphens/>
        <w:spacing w:line="360" w:lineRule="auto"/>
        <w:ind w:firstLine="1440"/>
        <w:rPr>
          <w:sz w:val="26"/>
          <w:szCs w:val="26"/>
        </w:rPr>
      </w:pPr>
      <w:r>
        <w:rPr>
          <w:sz w:val="26"/>
          <w:szCs w:val="26"/>
        </w:rPr>
        <w:t xml:space="preserve">In our </w:t>
      </w:r>
      <w:r w:rsidRPr="004143E1">
        <w:rPr>
          <w:i/>
          <w:sz w:val="26"/>
          <w:szCs w:val="26"/>
        </w:rPr>
        <w:t xml:space="preserve">May </w:t>
      </w:r>
      <w:r>
        <w:rPr>
          <w:i/>
          <w:sz w:val="26"/>
          <w:szCs w:val="26"/>
        </w:rPr>
        <w:t>2010</w:t>
      </w:r>
      <w:r w:rsidRPr="004143E1">
        <w:rPr>
          <w:i/>
          <w:sz w:val="26"/>
          <w:szCs w:val="26"/>
        </w:rPr>
        <w:t xml:space="preserve"> Order</w:t>
      </w:r>
      <w:r>
        <w:rPr>
          <w:sz w:val="26"/>
          <w:szCs w:val="26"/>
        </w:rPr>
        <w:t xml:space="preserve">, we found that the conduct at issue was of a serious nature as contemplated by 52 Pa. Code § 69.1201(c)(1).  </w:t>
      </w:r>
      <w:r w:rsidRPr="004143E1">
        <w:rPr>
          <w:i/>
          <w:sz w:val="26"/>
          <w:szCs w:val="26"/>
        </w:rPr>
        <w:t xml:space="preserve">May </w:t>
      </w:r>
      <w:r>
        <w:rPr>
          <w:i/>
          <w:sz w:val="26"/>
          <w:szCs w:val="26"/>
        </w:rPr>
        <w:t>2010</w:t>
      </w:r>
      <w:r w:rsidRPr="004143E1">
        <w:rPr>
          <w:i/>
          <w:sz w:val="26"/>
          <w:szCs w:val="26"/>
        </w:rPr>
        <w:t xml:space="preserve"> Order</w:t>
      </w:r>
      <w:r>
        <w:rPr>
          <w:sz w:val="26"/>
          <w:szCs w:val="26"/>
        </w:rPr>
        <w:t xml:space="preserve"> at 11.  The </w:t>
      </w:r>
      <w:r>
        <w:rPr>
          <w:sz w:val="26"/>
          <w:szCs w:val="26"/>
        </w:rPr>
        <w:lastRenderedPageBreak/>
        <w:t xml:space="preserve">serious nature of Equitable’s non-compliance with federal gas pipeline safety regulations </w:t>
      </w:r>
      <w:r w:rsidRPr="008D1C79">
        <w:rPr>
          <w:sz w:val="26"/>
          <w:szCs w:val="26"/>
        </w:rPr>
        <w:t>at 49 C.F.R. § 192.907(a) - Implementation of Integrity Management Plan,</w:t>
      </w:r>
      <w:r>
        <w:rPr>
          <w:sz w:val="26"/>
          <w:szCs w:val="26"/>
        </w:rPr>
        <w:t xml:space="preserve"> was not, in our opinion, mitigated by Equitable’s compliance with other non-financial requirements of the I</w:t>
      </w:r>
      <w:r w:rsidR="00FC0162">
        <w:rPr>
          <w:sz w:val="26"/>
          <w:szCs w:val="26"/>
        </w:rPr>
        <w:t xml:space="preserve">nitial </w:t>
      </w:r>
      <w:r>
        <w:rPr>
          <w:sz w:val="26"/>
          <w:szCs w:val="26"/>
        </w:rPr>
        <w:t>S</w:t>
      </w:r>
      <w:r w:rsidR="00FC0162">
        <w:rPr>
          <w:sz w:val="26"/>
          <w:szCs w:val="26"/>
        </w:rPr>
        <w:t xml:space="preserve">ettlement </w:t>
      </w:r>
      <w:r>
        <w:rPr>
          <w:sz w:val="26"/>
          <w:szCs w:val="26"/>
        </w:rPr>
        <w:t>A</w:t>
      </w:r>
      <w:r w:rsidR="00FC0162">
        <w:rPr>
          <w:sz w:val="26"/>
          <w:szCs w:val="26"/>
        </w:rPr>
        <w:t>greement</w:t>
      </w:r>
      <w:r>
        <w:rPr>
          <w:sz w:val="26"/>
          <w:szCs w:val="26"/>
        </w:rPr>
        <w:t xml:space="preserve">.  This federal regulation was to be implemented by Equitable no later than December 17, 2004.  It appears that Equitable may have been in non-compliance from December 17, 2004, until discovered on August 16, 2007, or for approximately two years and eight months, or 972 days.  </w:t>
      </w:r>
    </w:p>
    <w:p w:rsidR="008F4726" w:rsidRDefault="008F4726" w:rsidP="008F4726">
      <w:pPr>
        <w:tabs>
          <w:tab w:val="center" w:pos="720"/>
        </w:tabs>
        <w:suppressAutoHyphens/>
        <w:spacing w:line="360" w:lineRule="auto"/>
        <w:rPr>
          <w:sz w:val="26"/>
          <w:szCs w:val="26"/>
        </w:rPr>
      </w:pPr>
    </w:p>
    <w:p w:rsidR="008F4726" w:rsidRDefault="008F4726" w:rsidP="008F4726">
      <w:pPr>
        <w:pStyle w:val="BodyTextIndent2"/>
        <w:suppressAutoHyphens/>
      </w:pPr>
      <w:r>
        <w:t>Due to an earlier incident, on July 20, 2007,</w:t>
      </w:r>
      <w:r w:rsidRPr="00CC1E1B">
        <w:t xml:space="preserve"> Commission</w:t>
      </w:r>
      <w:r>
        <w:t xml:space="preserve"> Gas Safety Division personnel</w:t>
      </w:r>
      <w:r w:rsidRPr="00CC1E1B">
        <w:t xml:space="preserve"> inspected Equitable’s records and </w:t>
      </w:r>
      <w:r>
        <w:t xml:space="preserve">visited </w:t>
      </w:r>
      <w:r w:rsidRPr="00CC1E1B">
        <w:t xml:space="preserve">the site relative to the </w:t>
      </w:r>
      <w:r w:rsidR="008D1C79">
        <w:t xml:space="preserve">     </w:t>
      </w:r>
      <w:r w:rsidRPr="00CC1E1B">
        <w:t xml:space="preserve">May 29, 2007 natural gas release and fire.  </w:t>
      </w:r>
      <w:r w:rsidRPr="00CC1E1B">
        <w:rPr>
          <w:i/>
        </w:rPr>
        <w:t>May 2010 Order</w:t>
      </w:r>
      <w:r w:rsidRPr="00CC1E1B">
        <w:t xml:space="preserve"> at 5.  </w:t>
      </w:r>
      <w:r>
        <w:t>Based upon the site inspection, t</w:t>
      </w:r>
      <w:r w:rsidRPr="00CC1E1B">
        <w:t>he Commission</w:t>
      </w:r>
      <w:r>
        <w:t xml:space="preserve"> Staff</w:t>
      </w:r>
      <w:r w:rsidRPr="00CC1E1B">
        <w:t xml:space="preserve"> concluded that Equitable did not have sufficient and necessary anchors and support on the installed coupling assembly </w:t>
      </w:r>
      <w:r>
        <w:t>which</w:t>
      </w:r>
      <w:r w:rsidRPr="00CC1E1B">
        <w:t xml:space="preserve"> caused the coupling assembly to fail.  </w:t>
      </w:r>
      <w:r w:rsidRPr="00CC1E1B">
        <w:rPr>
          <w:i/>
        </w:rPr>
        <w:t>Id.</w:t>
      </w:r>
      <w:r w:rsidRPr="00CC1E1B">
        <w:t xml:space="preserve">  </w:t>
      </w:r>
      <w:r>
        <w:t>Commission Staff</w:t>
      </w:r>
      <w:r w:rsidRPr="00CC1E1B">
        <w:t xml:space="preserve"> further concluded that Equitable did not prevent undue strain on the coupling assembly and did not have enough supports or anchors to protect the exposed pipe joints from the maximum longitudinal forces caused by a bend or offset in the pipe.  </w:t>
      </w:r>
      <w:r w:rsidRPr="00CC1E1B">
        <w:rPr>
          <w:i/>
        </w:rPr>
        <w:t>Id.</w:t>
      </w:r>
      <w:r w:rsidRPr="00CC1E1B">
        <w:t xml:space="preserve">  At all times relevant to this matter, Commission</w:t>
      </w:r>
      <w:r>
        <w:t xml:space="preserve"> Staff</w:t>
      </w:r>
      <w:r w:rsidRPr="00CC1E1B">
        <w:t xml:space="preserve"> found that Equitable failed to have an established written procedure for adequate support and anchors to resist longitudinal forces caused by a bend or offset in the pipe as mandated by Federal Pipeline Safety Regulations at 49 C.F.R. § 192.161</w:t>
      </w:r>
      <w:r w:rsidR="002F13E0">
        <w:t>.</w:t>
      </w:r>
      <w:r w:rsidRPr="00CC1E1B">
        <w:rPr>
          <w:rStyle w:val="FootnoteReference"/>
        </w:rPr>
        <w:footnoteReference w:id="5"/>
      </w:r>
      <w:r w:rsidRPr="00CC1E1B">
        <w:t xml:space="preserve">  </w:t>
      </w:r>
      <w:r w:rsidRPr="00CC1E1B">
        <w:rPr>
          <w:i/>
        </w:rPr>
        <w:t>Id.</w:t>
      </w:r>
      <w:r w:rsidRPr="00CC1E1B">
        <w:t xml:space="preserve">  </w:t>
      </w:r>
      <w:r>
        <w:t xml:space="preserve">Additionally, Commission Staff alleges that Equitable failed to reduce the pressure on the line in the face of the impending emergency in violation of 52 Pa. Code § 59.33-Safety.  </w:t>
      </w:r>
      <w:r w:rsidRPr="00CC1E1B">
        <w:t>If proven, the foregoing conduct would be in violatio</w:t>
      </w:r>
      <w:r w:rsidR="002F13E0">
        <w:t>n of: 49 C.F.R. § 192.143-</w:t>
      </w:r>
      <w:r w:rsidRPr="00CC1E1B">
        <w:t>General Requi</w:t>
      </w:r>
      <w:r w:rsidR="002F13E0">
        <w:t>rements and 52 Pa. Code § 59.33-</w:t>
      </w:r>
      <w:r w:rsidRPr="002F13E0">
        <w:t>Safety</w:t>
      </w:r>
      <w:r w:rsidR="002F13E0">
        <w:t>; 49 C.F.R. § 192.161-</w:t>
      </w:r>
      <w:r w:rsidRPr="00CC1E1B">
        <w:t xml:space="preserve">Supports and </w:t>
      </w:r>
      <w:r w:rsidR="002F13E0">
        <w:t>Anchors and 52 Pa. Code § 59.33-</w:t>
      </w:r>
      <w:r w:rsidRPr="002F13E0">
        <w:t>Safety</w:t>
      </w:r>
      <w:r w:rsidR="002F13E0">
        <w:t>; 49 C.F.R. § 192.30-</w:t>
      </w:r>
      <w:r w:rsidRPr="00CC1E1B">
        <w:t xml:space="preserve"> Compliance with Specifications or St</w:t>
      </w:r>
      <w:r w:rsidR="002F13E0">
        <w:t>andards and 52 Pa. Code § 59.33-</w:t>
      </w:r>
      <w:r w:rsidRPr="00CC1E1B">
        <w:t>Safety</w:t>
      </w:r>
      <w:r w:rsidRPr="00B16BD1">
        <w:t xml:space="preserve">.  </w:t>
      </w:r>
    </w:p>
    <w:p w:rsidR="008F4726" w:rsidRPr="00B16BD1" w:rsidRDefault="008F4726" w:rsidP="008F4726">
      <w:pPr>
        <w:pStyle w:val="BodyTextIndent2"/>
        <w:suppressAutoHyphens/>
      </w:pPr>
    </w:p>
    <w:p w:rsidR="008F4726" w:rsidRPr="00AC7869" w:rsidRDefault="008F4726" w:rsidP="008F4726">
      <w:pPr>
        <w:pStyle w:val="BodyTextIndent2"/>
        <w:suppressAutoHyphens/>
      </w:pPr>
      <w:r>
        <w:t xml:space="preserve">As in our </w:t>
      </w:r>
      <w:r w:rsidRPr="004143E1">
        <w:rPr>
          <w:i/>
        </w:rPr>
        <w:t xml:space="preserve">May </w:t>
      </w:r>
      <w:r>
        <w:rPr>
          <w:i/>
        </w:rPr>
        <w:t>2010</w:t>
      </w:r>
      <w:r w:rsidRPr="004143E1">
        <w:rPr>
          <w:i/>
        </w:rPr>
        <w:t xml:space="preserve"> Order</w:t>
      </w:r>
      <w:r>
        <w:t xml:space="preserve">, we continue to believe that the alleged violations at issue are of a serious nature as contemplated by 52 Pa. </w:t>
      </w:r>
      <w:r w:rsidR="002F13E0">
        <w:t xml:space="preserve">                            </w:t>
      </w:r>
      <w:r>
        <w:t xml:space="preserve">Code § 69.1201(c)(1).  </w:t>
      </w:r>
      <w:r w:rsidRPr="004143E1">
        <w:rPr>
          <w:i/>
        </w:rPr>
        <w:t xml:space="preserve">May </w:t>
      </w:r>
      <w:r>
        <w:rPr>
          <w:i/>
        </w:rPr>
        <w:t>2010</w:t>
      </w:r>
      <w:r w:rsidRPr="004143E1">
        <w:rPr>
          <w:i/>
        </w:rPr>
        <w:t xml:space="preserve"> Order</w:t>
      </w:r>
      <w:r>
        <w:t xml:space="preserve"> at 11.  The serious nature of Equitable’s alleged non-compliance with </w:t>
      </w:r>
      <w:r w:rsidR="002F13E0">
        <w:t xml:space="preserve">the </w:t>
      </w:r>
      <w:r>
        <w:t xml:space="preserve">federal gas pipeline safety regulations at </w:t>
      </w:r>
      <w:r w:rsidRPr="008D3B3E">
        <w:t>49 C</w:t>
      </w:r>
      <w:r>
        <w:t>.</w:t>
      </w:r>
      <w:r w:rsidRPr="008D3B3E">
        <w:t>F</w:t>
      </w:r>
      <w:r>
        <w:t>.</w:t>
      </w:r>
      <w:r w:rsidRPr="008D3B3E">
        <w:t>R</w:t>
      </w:r>
      <w:r>
        <w:t>. § 192.161-</w:t>
      </w:r>
      <w:r w:rsidRPr="008D3B3E">
        <w:t xml:space="preserve"> </w:t>
      </w:r>
      <w:r>
        <w:t>Supports and Anchors, was not, in our opinion, mitigated by Equitable’s compliance with other requirements of the now defunct Initial Settlement</w:t>
      </w:r>
      <w:r w:rsidR="002F13E0">
        <w:t xml:space="preserve"> Agreement</w:t>
      </w:r>
      <w:r>
        <w:t xml:space="preserve">.  Section 192.161 of the federal </w:t>
      </w:r>
      <w:r w:rsidR="002F13E0">
        <w:t xml:space="preserve">gas pipeline safety </w:t>
      </w:r>
      <w:r>
        <w:t xml:space="preserve">regulations has been in its most recent form since </w:t>
      </w:r>
      <w:r w:rsidR="008D1C79">
        <w:t xml:space="preserve">   </w:t>
      </w:r>
      <w:r>
        <w:t>January 21, 1988</w:t>
      </w:r>
      <w:r w:rsidRPr="00CC1E1B">
        <w:t>.   We believe that Equitable’s</w:t>
      </w:r>
      <w:r>
        <w:t xml:space="preserve"> alleged</w:t>
      </w:r>
      <w:r w:rsidRPr="00CC1E1B">
        <w:t xml:space="preserve"> failure, apparently since 1988, to have an established written procedure for adequate support and anchors as mandated by </w:t>
      </w:r>
      <w:r w:rsidR="002F13E0">
        <w:t>f</w:t>
      </w:r>
      <w:r w:rsidRPr="00CC1E1B">
        <w:t xml:space="preserve">ederal </w:t>
      </w:r>
      <w:r w:rsidR="002F13E0">
        <w:t>gas p</w:t>
      </w:r>
      <w:r w:rsidRPr="00CC1E1B">
        <w:t xml:space="preserve">ipeline </w:t>
      </w:r>
      <w:r w:rsidR="002F13E0">
        <w:t>safety r</w:t>
      </w:r>
      <w:r w:rsidRPr="00CC1E1B">
        <w:t>egulations represented a conscious decision</w:t>
      </w:r>
      <w:r>
        <w:t>.  Based upon the limited record of this proceeding</w:t>
      </w:r>
      <w:r w:rsidR="002F13E0">
        <w:t xml:space="preserve"> it appears that</w:t>
      </w:r>
      <w:r>
        <w:t xml:space="preserve"> Equitable’s non-compliance with this federal regulation</w:t>
      </w:r>
      <w:r w:rsidR="002F13E0">
        <w:t xml:space="preserve"> may have</w:t>
      </w:r>
      <w:r>
        <w:t xml:space="preserve"> persisted from January 18, 1988 until July 20, 2007, or for approximately 7,113 days</w:t>
      </w:r>
      <w:r w:rsidR="002F13E0">
        <w:t>.  This</w:t>
      </w:r>
      <w:r>
        <w:t xml:space="preserve"> could</w:t>
      </w:r>
      <w:r w:rsidRPr="00CC1E1B">
        <w:t xml:space="preserve"> warrant </w:t>
      </w:r>
      <w:r>
        <w:t xml:space="preserve">the imposition of </w:t>
      </w:r>
      <w:r w:rsidRPr="00CC1E1B">
        <w:t>a higher</w:t>
      </w:r>
      <w:r>
        <w:t xml:space="preserve"> or perhaps the maximum civil penalty for each day of non-compliance.</w:t>
      </w:r>
    </w:p>
    <w:p w:rsidR="008F4726" w:rsidRDefault="008F4726" w:rsidP="008F4726">
      <w:pPr>
        <w:suppressAutoHyphens/>
        <w:spacing w:line="360" w:lineRule="auto"/>
        <w:ind w:firstLine="1440"/>
        <w:rPr>
          <w:sz w:val="26"/>
          <w:szCs w:val="26"/>
        </w:rPr>
      </w:pPr>
    </w:p>
    <w:p w:rsidR="008F4726" w:rsidRPr="0018044B" w:rsidRDefault="008F4726" w:rsidP="008F4726">
      <w:pPr>
        <w:suppressAutoHyphens/>
        <w:spacing w:line="360" w:lineRule="auto"/>
        <w:ind w:firstLine="1440"/>
        <w:rPr>
          <w:sz w:val="26"/>
          <w:szCs w:val="26"/>
        </w:rPr>
      </w:pPr>
      <w:r w:rsidRPr="0018044B">
        <w:rPr>
          <w:sz w:val="26"/>
          <w:szCs w:val="26"/>
        </w:rPr>
        <w:t>The second factor we consider is whether the resulting cons</w:t>
      </w:r>
      <w:r>
        <w:rPr>
          <w:sz w:val="26"/>
          <w:szCs w:val="26"/>
        </w:rPr>
        <w:t>equences of the conduct are</w:t>
      </w:r>
      <w:r w:rsidRPr="0018044B">
        <w:rPr>
          <w:sz w:val="26"/>
          <w:szCs w:val="26"/>
        </w:rPr>
        <w:t xml:space="preserve"> serious</w:t>
      </w:r>
      <w:r>
        <w:rPr>
          <w:sz w:val="26"/>
          <w:szCs w:val="26"/>
        </w:rPr>
        <w:t xml:space="preserve"> in</w:t>
      </w:r>
      <w:r w:rsidRPr="0018044B">
        <w:rPr>
          <w:sz w:val="26"/>
          <w:szCs w:val="26"/>
        </w:rPr>
        <w:t xml:space="preserve"> nature.  52 Pa. Code § 69.1201(c)(2).  </w:t>
      </w:r>
      <w:r>
        <w:rPr>
          <w:sz w:val="26"/>
          <w:szCs w:val="26"/>
        </w:rPr>
        <w:t xml:space="preserve">In our </w:t>
      </w:r>
      <w:r w:rsidRPr="004143E1">
        <w:rPr>
          <w:i/>
          <w:sz w:val="26"/>
          <w:szCs w:val="26"/>
        </w:rPr>
        <w:t xml:space="preserve">May </w:t>
      </w:r>
      <w:r>
        <w:rPr>
          <w:i/>
          <w:sz w:val="26"/>
          <w:szCs w:val="26"/>
        </w:rPr>
        <w:t>2010</w:t>
      </w:r>
      <w:r w:rsidRPr="004143E1">
        <w:rPr>
          <w:i/>
          <w:sz w:val="26"/>
          <w:szCs w:val="26"/>
        </w:rPr>
        <w:t xml:space="preserve"> Order</w:t>
      </w:r>
      <w:r>
        <w:rPr>
          <w:sz w:val="26"/>
          <w:szCs w:val="26"/>
        </w:rPr>
        <w:t xml:space="preserve">, we found that the resulting consequences of the two incidents described above were of a serious nature as contemplated by 52 Pa. Code § 69.1201(c)(1).  </w:t>
      </w:r>
      <w:r w:rsidRPr="004143E1">
        <w:rPr>
          <w:i/>
          <w:sz w:val="26"/>
          <w:szCs w:val="26"/>
        </w:rPr>
        <w:t xml:space="preserve">May </w:t>
      </w:r>
      <w:r>
        <w:rPr>
          <w:i/>
          <w:sz w:val="26"/>
          <w:szCs w:val="26"/>
        </w:rPr>
        <w:t>2010</w:t>
      </w:r>
      <w:r w:rsidRPr="004143E1">
        <w:rPr>
          <w:i/>
          <w:sz w:val="26"/>
          <w:szCs w:val="26"/>
        </w:rPr>
        <w:t xml:space="preserve"> Order</w:t>
      </w:r>
      <w:r>
        <w:rPr>
          <w:sz w:val="26"/>
          <w:szCs w:val="26"/>
        </w:rPr>
        <w:t xml:space="preserve"> at 11.   Consequently, we believe that the Parties</w:t>
      </w:r>
      <w:r w:rsidR="002F13E0">
        <w:rPr>
          <w:sz w:val="26"/>
          <w:szCs w:val="26"/>
        </w:rPr>
        <w:t>’</w:t>
      </w:r>
      <w:r>
        <w:rPr>
          <w:sz w:val="26"/>
          <w:szCs w:val="26"/>
        </w:rPr>
        <w:t xml:space="preserve"> agreement to reduce the $65,000 civil penalty is not</w:t>
      </w:r>
      <w:r w:rsidR="002F13E0">
        <w:rPr>
          <w:sz w:val="26"/>
          <w:szCs w:val="26"/>
        </w:rPr>
        <w:t xml:space="preserve"> in the public interest.  T</w:t>
      </w:r>
      <w:r>
        <w:rPr>
          <w:sz w:val="26"/>
          <w:szCs w:val="26"/>
        </w:rPr>
        <w:t>his factor supports a higher penalty.</w:t>
      </w:r>
    </w:p>
    <w:p w:rsidR="008F4726" w:rsidRPr="00B16BD1" w:rsidRDefault="008F4726" w:rsidP="008F4726">
      <w:pPr>
        <w:suppressAutoHyphens/>
        <w:spacing w:line="360" w:lineRule="auto"/>
        <w:ind w:firstLine="1440"/>
        <w:rPr>
          <w:sz w:val="26"/>
          <w:szCs w:val="26"/>
        </w:rPr>
      </w:pPr>
    </w:p>
    <w:p w:rsidR="008F4726" w:rsidRPr="0018044B" w:rsidRDefault="008F4726" w:rsidP="008F4726">
      <w:pPr>
        <w:tabs>
          <w:tab w:val="center" w:pos="720"/>
        </w:tabs>
        <w:suppressAutoHyphens/>
        <w:spacing w:line="360" w:lineRule="auto"/>
        <w:ind w:firstLine="1440"/>
        <w:rPr>
          <w:sz w:val="26"/>
          <w:szCs w:val="26"/>
        </w:rPr>
      </w:pPr>
      <w:r w:rsidRPr="0018044B">
        <w:rPr>
          <w:sz w:val="26"/>
          <w:szCs w:val="26"/>
        </w:rPr>
        <w:t xml:space="preserve">The third factor, whether the conduct was intentional or unintentional, is not applicable here because it pertains only to litigated proceedings.  </w:t>
      </w:r>
    </w:p>
    <w:p w:rsidR="008F4726" w:rsidRDefault="008F4726" w:rsidP="008F4726">
      <w:pPr>
        <w:tabs>
          <w:tab w:val="center" w:pos="720"/>
        </w:tabs>
        <w:suppressAutoHyphens/>
        <w:spacing w:line="360" w:lineRule="auto"/>
        <w:rPr>
          <w:sz w:val="26"/>
          <w:szCs w:val="26"/>
        </w:rPr>
      </w:pPr>
      <w:r w:rsidRPr="0018044B">
        <w:rPr>
          <w:sz w:val="26"/>
          <w:szCs w:val="26"/>
        </w:rPr>
        <w:t xml:space="preserve">52 Pa. Code § 69.1201(c)(3). </w:t>
      </w:r>
    </w:p>
    <w:p w:rsidR="008F4726" w:rsidRPr="0018044B" w:rsidRDefault="008F4726" w:rsidP="008F4726">
      <w:pPr>
        <w:tabs>
          <w:tab w:val="center" w:pos="720"/>
        </w:tabs>
        <w:suppressAutoHyphens/>
        <w:spacing w:line="360" w:lineRule="auto"/>
        <w:rPr>
          <w:sz w:val="26"/>
          <w:szCs w:val="26"/>
        </w:rPr>
      </w:pPr>
    </w:p>
    <w:p w:rsidR="008F4726" w:rsidRPr="0000359D" w:rsidRDefault="008F4726" w:rsidP="008F4726">
      <w:pPr>
        <w:pStyle w:val="BodyTextIndent2"/>
        <w:suppressAutoHyphens/>
      </w:pPr>
      <w:r w:rsidRPr="0018044B">
        <w:t xml:space="preserve">The fourth factor we consider is whether the regulated entity made efforts to modify internal practices and procedures to address the conduct at issue and prevent </w:t>
      </w:r>
      <w:r w:rsidRPr="0018044B">
        <w:lastRenderedPageBreak/>
        <w:t xml:space="preserve">similar conduct in the future.  The amount of time it took the utility to correct the conduct once it was discovered and the involvement of top-level management in correcting the conduct may be considered.  52 Pa. Code § 69.1201(c)(4).  </w:t>
      </w:r>
      <w:r w:rsidRPr="0000359D">
        <w:t xml:space="preserve">This factor has been affirmatively addressed by the proposed </w:t>
      </w:r>
      <w:r>
        <w:t>R</w:t>
      </w:r>
      <w:r w:rsidRPr="0000359D">
        <w:t>S</w:t>
      </w:r>
      <w:r>
        <w:t>A</w:t>
      </w:r>
      <w:r w:rsidR="002F13E0">
        <w:t xml:space="preserve">. </w:t>
      </w:r>
      <w:r w:rsidRPr="0000359D">
        <w:t xml:space="preserve"> </w:t>
      </w:r>
      <w:r>
        <w:t>Equitable</w:t>
      </w:r>
      <w:r w:rsidRPr="0000359D">
        <w:t xml:space="preserve"> has complied with the Prosecutory Staff’s requests to review and, where necessary, to revise its procedures and/or retrain its workforce.</w:t>
      </w:r>
      <w:r>
        <w:t xml:space="preserve">  RSA at 16, 17,</w:t>
      </w:r>
      <w:r w:rsidRPr="0000359D">
        <w:t xml:space="preserve"> ¶ 49.  We agree that Equitable has made efforts to modify and improve its internal practices an</w:t>
      </w:r>
      <w:r>
        <w:t>d procedures as a result of the ISA</w:t>
      </w:r>
      <w:r w:rsidRPr="0000359D">
        <w:t>.  This factor</w:t>
      </w:r>
      <w:r>
        <w:t xml:space="preserve"> however, does not support</w:t>
      </w:r>
      <w:r w:rsidRPr="0000359D">
        <w:t xml:space="preserve"> a lower penalty amount</w:t>
      </w:r>
      <w:r>
        <w:t xml:space="preserve"> due to the length of time it appears that Equitable was not in compliance with the federal </w:t>
      </w:r>
      <w:r w:rsidR="002F13E0">
        <w:t xml:space="preserve">gas pipeline safety </w:t>
      </w:r>
      <w:r>
        <w:t>regulations</w:t>
      </w:r>
      <w:r w:rsidRPr="0000359D">
        <w:t>.</w:t>
      </w:r>
    </w:p>
    <w:p w:rsidR="008F4726" w:rsidRPr="0000359D" w:rsidRDefault="008F4726" w:rsidP="008F4726">
      <w:pPr>
        <w:suppressAutoHyphens/>
        <w:spacing w:line="360" w:lineRule="auto"/>
        <w:ind w:firstLine="1440"/>
        <w:rPr>
          <w:sz w:val="26"/>
          <w:szCs w:val="26"/>
        </w:rPr>
      </w:pPr>
    </w:p>
    <w:p w:rsidR="008F4726" w:rsidRPr="00942DB9" w:rsidRDefault="008F4726" w:rsidP="008F4726">
      <w:pPr>
        <w:suppressAutoHyphens/>
        <w:spacing w:line="360" w:lineRule="auto"/>
        <w:ind w:firstLine="1440"/>
        <w:rPr>
          <w:sz w:val="26"/>
          <w:szCs w:val="26"/>
        </w:rPr>
      </w:pPr>
      <w:r w:rsidRPr="0018044B">
        <w:rPr>
          <w:sz w:val="26"/>
          <w:szCs w:val="26"/>
        </w:rPr>
        <w:t xml:space="preserve">The fifth factor we consider is the number of customers affected and the duration of the violation.  52 Pa. Code § 69.1201(c)(5).  </w:t>
      </w:r>
      <w:r w:rsidRPr="00942DB9">
        <w:rPr>
          <w:sz w:val="26"/>
          <w:szCs w:val="26"/>
        </w:rPr>
        <w:t xml:space="preserve">Here, only one customer was affected.  </w:t>
      </w:r>
      <w:r>
        <w:rPr>
          <w:sz w:val="26"/>
          <w:szCs w:val="26"/>
        </w:rPr>
        <w:t>T</w:t>
      </w:r>
      <w:r w:rsidR="002F13E0">
        <w:rPr>
          <w:sz w:val="26"/>
          <w:szCs w:val="26"/>
        </w:rPr>
        <w:t xml:space="preserve">his factor supports </w:t>
      </w:r>
      <w:r w:rsidRPr="00942DB9">
        <w:rPr>
          <w:sz w:val="26"/>
          <w:szCs w:val="26"/>
        </w:rPr>
        <w:t>a lower penalty amount.</w:t>
      </w:r>
    </w:p>
    <w:p w:rsidR="008F4726" w:rsidRPr="008D5234" w:rsidRDefault="008F4726" w:rsidP="008F4726">
      <w:pPr>
        <w:tabs>
          <w:tab w:val="center" w:pos="720"/>
        </w:tabs>
        <w:suppressAutoHyphens/>
        <w:spacing w:line="360" w:lineRule="auto"/>
        <w:rPr>
          <w:sz w:val="26"/>
          <w:szCs w:val="26"/>
        </w:rPr>
      </w:pPr>
    </w:p>
    <w:p w:rsidR="008F4726" w:rsidRPr="00634016" w:rsidRDefault="008F4726" w:rsidP="008F4726">
      <w:pPr>
        <w:suppressAutoHyphens/>
        <w:spacing w:line="360" w:lineRule="auto"/>
        <w:ind w:firstLine="1440"/>
        <w:rPr>
          <w:sz w:val="26"/>
          <w:szCs w:val="26"/>
        </w:rPr>
      </w:pPr>
      <w:r w:rsidRPr="0018044B">
        <w:rPr>
          <w:sz w:val="26"/>
          <w:szCs w:val="26"/>
        </w:rPr>
        <w:t>The sixth factor relates t</w:t>
      </w:r>
      <w:r>
        <w:rPr>
          <w:sz w:val="26"/>
          <w:szCs w:val="26"/>
        </w:rPr>
        <w:t>o Equitable</w:t>
      </w:r>
      <w:r w:rsidRPr="0018044B">
        <w:rPr>
          <w:sz w:val="26"/>
          <w:szCs w:val="26"/>
        </w:rPr>
        <w:t>’s compliance history with the Commission.  An isolated incident from an otherwise compliant utility may result in a lower penalty, whereas frequent, recurrent violations by a utility may result in a higher penalty.  52 Pa. Code § 69.1201(c)(6).</w:t>
      </w:r>
      <w:r w:rsidRPr="00634016">
        <w:rPr>
          <w:sz w:val="26"/>
          <w:szCs w:val="26"/>
        </w:rPr>
        <w:t xml:space="preserve">  Equitable has an excellent compliance history with the Commission, which supports a lower penalty amount.</w:t>
      </w:r>
    </w:p>
    <w:p w:rsidR="008F4726" w:rsidRPr="00634016" w:rsidRDefault="008F4726" w:rsidP="008F4726">
      <w:pPr>
        <w:tabs>
          <w:tab w:val="center" w:pos="720"/>
        </w:tabs>
        <w:suppressAutoHyphens/>
        <w:spacing w:line="360" w:lineRule="auto"/>
        <w:rPr>
          <w:sz w:val="26"/>
          <w:szCs w:val="26"/>
        </w:rPr>
      </w:pPr>
    </w:p>
    <w:p w:rsidR="008F4726" w:rsidRPr="00DA2455" w:rsidRDefault="008F4726" w:rsidP="008F4726">
      <w:pPr>
        <w:pStyle w:val="BodyTextIndent2"/>
        <w:suppressAutoHyphens/>
      </w:pPr>
      <w:r w:rsidRPr="0018044B">
        <w:t>The seventh factor relates to whether the utility cooperated with the Commission’s investigation.  52 Pa. Code § 69.1201(c)(7</w:t>
      </w:r>
      <w:r w:rsidRPr="00DA2455">
        <w:t xml:space="preserve">).  The </w:t>
      </w:r>
      <w:r>
        <w:t>RSA</w:t>
      </w:r>
      <w:r w:rsidRPr="00DA2455">
        <w:t xml:space="preserve"> was </w:t>
      </w:r>
      <w:r>
        <w:t>accomplished in a cooperative manner through Equitable’s work with the Prosecutory Staff and the Commission’s Gas Safety Division.  RSA at 15, ¶ 49.</w:t>
      </w:r>
      <w:r w:rsidRPr="00DA2455">
        <w:t xml:space="preserve">  This factor supports a lower penalty amount.</w:t>
      </w:r>
    </w:p>
    <w:p w:rsidR="008F4726" w:rsidRPr="00DA2455" w:rsidRDefault="008F4726" w:rsidP="008F4726">
      <w:pPr>
        <w:tabs>
          <w:tab w:val="center" w:pos="720"/>
        </w:tabs>
        <w:suppressAutoHyphens/>
        <w:spacing w:line="360" w:lineRule="auto"/>
        <w:rPr>
          <w:sz w:val="26"/>
          <w:szCs w:val="26"/>
        </w:rPr>
      </w:pPr>
    </w:p>
    <w:p w:rsidR="008F4726" w:rsidRPr="004C014D" w:rsidRDefault="008F4726" w:rsidP="008F4726">
      <w:pPr>
        <w:widowControl w:val="0"/>
        <w:suppressAutoHyphens/>
        <w:spacing w:line="360" w:lineRule="auto"/>
        <w:ind w:firstLine="1440"/>
        <w:rPr>
          <w:sz w:val="26"/>
          <w:szCs w:val="26"/>
        </w:rPr>
      </w:pPr>
      <w:r w:rsidRPr="0018044B">
        <w:rPr>
          <w:sz w:val="26"/>
          <w:szCs w:val="26"/>
        </w:rPr>
        <w:t>The eighth factor involves consideration of whether the penalty amount is sufficient to help deter future violations.  52 Pa. Code § 69.1201(c)(8</w:t>
      </w:r>
      <w:r w:rsidRPr="004C014D">
        <w:rPr>
          <w:sz w:val="26"/>
          <w:szCs w:val="26"/>
        </w:rPr>
        <w:t xml:space="preserve">).  Here, Equitable </w:t>
      </w:r>
      <w:r w:rsidRPr="004C014D">
        <w:rPr>
          <w:sz w:val="26"/>
          <w:szCs w:val="26"/>
        </w:rPr>
        <w:lastRenderedPageBreak/>
        <w:t>has agreed to pay a civil penalty of $5,000 and to contribute $65,000 to its Hardship Repair Fund.  Additionally, Equitable has complied with the other conditions of the I</w:t>
      </w:r>
      <w:r>
        <w:rPr>
          <w:sz w:val="26"/>
          <w:szCs w:val="26"/>
        </w:rPr>
        <w:t>SA</w:t>
      </w:r>
      <w:r w:rsidRPr="004C014D">
        <w:rPr>
          <w:sz w:val="26"/>
          <w:szCs w:val="26"/>
        </w:rPr>
        <w:t>.  We find</w:t>
      </w:r>
      <w:r>
        <w:rPr>
          <w:sz w:val="26"/>
          <w:szCs w:val="26"/>
        </w:rPr>
        <w:t xml:space="preserve"> however,</w:t>
      </w:r>
      <w:r w:rsidRPr="004C014D">
        <w:rPr>
          <w:sz w:val="26"/>
          <w:szCs w:val="26"/>
        </w:rPr>
        <w:t xml:space="preserve"> that</w:t>
      </w:r>
      <w:r>
        <w:rPr>
          <w:sz w:val="26"/>
          <w:szCs w:val="26"/>
        </w:rPr>
        <w:t xml:space="preserve"> based upon the duration of the alleged violations discussed above</w:t>
      </w:r>
      <w:r w:rsidR="00C87846">
        <w:rPr>
          <w:sz w:val="26"/>
          <w:szCs w:val="26"/>
        </w:rPr>
        <w:t>,</w:t>
      </w:r>
      <w:r>
        <w:rPr>
          <w:sz w:val="26"/>
          <w:szCs w:val="26"/>
        </w:rPr>
        <w:t xml:space="preserve"> </w:t>
      </w:r>
      <w:r w:rsidRPr="004C014D">
        <w:rPr>
          <w:sz w:val="26"/>
          <w:szCs w:val="26"/>
        </w:rPr>
        <w:t>the proposed civil penalty of $5,000 is insufficient to help deter</w:t>
      </w:r>
      <w:r>
        <w:rPr>
          <w:sz w:val="26"/>
          <w:szCs w:val="26"/>
        </w:rPr>
        <w:t xml:space="preserve"> similar</w:t>
      </w:r>
      <w:r w:rsidRPr="004C014D">
        <w:rPr>
          <w:sz w:val="26"/>
          <w:szCs w:val="26"/>
        </w:rPr>
        <w:t xml:space="preserve"> future violations.</w:t>
      </w:r>
    </w:p>
    <w:p w:rsidR="008F4726" w:rsidRPr="004C014D" w:rsidRDefault="008F4726" w:rsidP="008F4726">
      <w:pPr>
        <w:widowControl w:val="0"/>
        <w:tabs>
          <w:tab w:val="center" w:pos="720"/>
        </w:tabs>
        <w:suppressAutoHyphens/>
        <w:spacing w:line="360" w:lineRule="auto"/>
        <w:rPr>
          <w:sz w:val="26"/>
          <w:szCs w:val="26"/>
        </w:rPr>
      </w:pPr>
    </w:p>
    <w:p w:rsidR="00C87846" w:rsidRDefault="008F4726" w:rsidP="008F4726">
      <w:pPr>
        <w:pStyle w:val="BodyTextIndent2"/>
        <w:widowControl w:val="0"/>
        <w:suppressAutoHyphens/>
      </w:pPr>
      <w:r w:rsidRPr="0018044B">
        <w:t xml:space="preserve">The ninth factor examines whether the results of a proposed settlement are consistent with past Commission decisions in similar situations.  52 Pa. </w:t>
      </w:r>
    </w:p>
    <w:p w:rsidR="008F4726" w:rsidRPr="0060477D" w:rsidRDefault="008F4726" w:rsidP="00C87846">
      <w:pPr>
        <w:pStyle w:val="BodyTextIndent2"/>
        <w:widowControl w:val="0"/>
        <w:suppressAutoHyphens/>
        <w:ind w:firstLine="0"/>
      </w:pPr>
      <w:r w:rsidRPr="0018044B">
        <w:t>Code §</w:t>
      </w:r>
      <w:r w:rsidRPr="0060477D">
        <w:t xml:space="preserve"> 69.1201(c)(9).  Based on our review of recent Commission-approved settlements, we find the viola</w:t>
      </w:r>
      <w:r w:rsidR="00C87846">
        <w:t>tions at issue here</w:t>
      </w:r>
      <w:r w:rsidR="008D1C79">
        <w:t xml:space="preserve"> are</w:t>
      </w:r>
      <w:r w:rsidR="00C87846">
        <w:t xml:space="preserve"> </w:t>
      </w:r>
      <w:r w:rsidRPr="0060477D">
        <w:t>unique to the ISA and RSA</w:t>
      </w:r>
      <w:r w:rsidR="00C87846">
        <w:t>.</w:t>
      </w:r>
      <w:r w:rsidRPr="0060477D">
        <w:t xml:space="preserve">  </w:t>
      </w:r>
      <w:r w:rsidR="00C87846">
        <w:t>A</w:t>
      </w:r>
      <w:r w:rsidRPr="0060477D">
        <w:t xml:space="preserve">s such </w:t>
      </w:r>
      <w:r w:rsidR="00C87846">
        <w:t xml:space="preserve">similar situations </w:t>
      </w:r>
      <w:r w:rsidRPr="0060477D">
        <w:t>have not been previously addressed by the Commission.</w:t>
      </w:r>
    </w:p>
    <w:p w:rsidR="008F4726" w:rsidRPr="0060477D" w:rsidRDefault="008F4726" w:rsidP="008F4726">
      <w:pPr>
        <w:tabs>
          <w:tab w:val="center" w:pos="720"/>
        </w:tabs>
        <w:suppressAutoHyphens/>
        <w:spacing w:line="360" w:lineRule="auto"/>
        <w:rPr>
          <w:sz w:val="26"/>
          <w:szCs w:val="26"/>
        </w:rPr>
      </w:pPr>
    </w:p>
    <w:p w:rsidR="008F4726" w:rsidRPr="004C014D" w:rsidRDefault="008F4726" w:rsidP="008F4726">
      <w:pPr>
        <w:pStyle w:val="BodyTextIndent2"/>
        <w:suppressAutoHyphens/>
      </w:pPr>
      <w:r w:rsidRPr="0018044B">
        <w:t>The tenth standard provides that the Commission may consider other relevant factors in assessing a penalty.  52 Pa. Code § 69.1201(c)(10</w:t>
      </w:r>
      <w:r w:rsidRPr="004C014D">
        <w:t>).  We are not aware of any other relevant factors.</w:t>
      </w:r>
    </w:p>
    <w:p w:rsidR="008F4726" w:rsidRPr="004C014D" w:rsidRDefault="008F4726" w:rsidP="008F4726">
      <w:pPr>
        <w:tabs>
          <w:tab w:val="center" w:pos="720"/>
        </w:tabs>
        <w:suppressAutoHyphens/>
        <w:spacing w:line="360" w:lineRule="auto"/>
        <w:rPr>
          <w:sz w:val="26"/>
          <w:szCs w:val="26"/>
        </w:rPr>
      </w:pPr>
    </w:p>
    <w:p w:rsidR="008F4726" w:rsidRPr="009569FC" w:rsidRDefault="008F4726" w:rsidP="008F4726">
      <w:pPr>
        <w:suppressAutoHyphens/>
        <w:spacing w:line="360" w:lineRule="auto"/>
        <w:ind w:firstLine="1440"/>
        <w:rPr>
          <w:sz w:val="26"/>
          <w:szCs w:val="26"/>
        </w:rPr>
      </w:pPr>
      <w:r w:rsidRPr="006E234B">
        <w:rPr>
          <w:sz w:val="26"/>
          <w:szCs w:val="26"/>
        </w:rPr>
        <w:t>When considering the propri</w:t>
      </w:r>
      <w:r w:rsidR="00623862">
        <w:rPr>
          <w:sz w:val="26"/>
          <w:szCs w:val="26"/>
        </w:rPr>
        <w:t>e</w:t>
      </w:r>
      <w:r w:rsidRPr="006E234B">
        <w:rPr>
          <w:sz w:val="26"/>
          <w:szCs w:val="26"/>
        </w:rPr>
        <w:t>t</w:t>
      </w:r>
      <w:r w:rsidR="00623862">
        <w:rPr>
          <w:sz w:val="26"/>
          <w:szCs w:val="26"/>
        </w:rPr>
        <w:t>y</w:t>
      </w:r>
      <w:r w:rsidRPr="006E234B">
        <w:rPr>
          <w:sz w:val="26"/>
          <w:szCs w:val="26"/>
        </w:rPr>
        <w:t xml:space="preserve"> of a financial penalty, we are cognizant of the fact that the primary purpose of a penalty is to influence future behavior and to ensure that similar events are avoided in the future</w:t>
      </w:r>
      <w:r>
        <w:rPr>
          <w:sz w:val="26"/>
          <w:szCs w:val="26"/>
        </w:rPr>
        <w:t>.  We do not agree with the lesser amount of civil penalty as proposed by the R</w:t>
      </w:r>
      <w:r w:rsidR="00623862">
        <w:rPr>
          <w:sz w:val="26"/>
          <w:szCs w:val="26"/>
        </w:rPr>
        <w:t xml:space="preserve">enegotiated </w:t>
      </w:r>
      <w:r>
        <w:rPr>
          <w:sz w:val="26"/>
          <w:szCs w:val="26"/>
        </w:rPr>
        <w:t>S</w:t>
      </w:r>
      <w:r w:rsidR="00623862">
        <w:rPr>
          <w:sz w:val="26"/>
          <w:szCs w:val="26"/>
        </w:rPr>
        <w:t xml:space="preserve">ettlement </w:t>
      </w:r>
      <w:r>
        <w:rPr>
          <w:sz w:val="26"/>
          <w:szCs w:val="26"/>
        </w:rPr>
        <w:t>A</w:t>
      </w:r>
      <w:r w:rsidR="00623862">
        <w:rPr>
          <w:sz w:val="26"/>
          <w:szCs w:val="26"/>
        </w:rPr>
        <w:t>greement</w:t>
      </w:r>
      <w:r>
        <w:rPr>
          <w:sz w:val="26"/>
          <w:szCs w:val="26"/>
        </w:rPr>
        <w:t xml:space="preserve"> and do not believe that any reduction from the civil penalty </w:t>
      </w:r>
      <w:r w:rsidR="00623862">
        <w:rPr>
          <w:sz w:val="26"/>
          <w:szCs w:val="26"/>
        </w:rPr>
        <w:t xml:space="preserve">proposed </w:t>
      </w:r>
      <w:r>
        <w:rPr>
          <w:sz w:val="26"/>
          <w:szCs w:val="26"/>
        </w:rPr>
        <w:t xml:space="preserve">by our </w:t>
      </w:r>
      <w:r>
        <w:rPr>
          <w:i/>
          <w:sz w:val="26"/>
          <w:szCs w:val="26"/>
        </w:rPr>
        <w:t>May 2010 Order</w:t>
      </w:r>
      <w:r>
        <w:rPr>
          <w:sz w:val="26"/>
          <w:szCs w:val="26"/>
        </w:rPr>
        <w:t xml:space="preserve"> </w:t>
      </w:r>
      <w:r w:rsidR="00623862">
        <w:rPr>
          <w:sz w:val="26"/>
          <w:szCs w:val="26"/>
        </w:rPr>
        <w:t>is</w:t>
      </w:r>
      <w:r>
        <w:rPr>
          <w:sz w:val="26"/>
          <w:szCs w:val="26"/>
        </w:rPr>
        <w:t xml:space="preserve"> in the public interest.  As explained above, Equitable </w:t>
      </w:r>
      <w:r w:rsidR="00C87846">
        <w:rPr>
          <w:sz w:val="26"/>
          <w:szCs w:val="26"/>
        </w:rPr>
        <w:t xml:space="preserve">allegedly </w:t>
      </w:r>
      <w:r>
        <w:rPr>
          <w:sz w:val="26"/>
          <w:szCs w:val="26"/>
        </w:rPr>
        <w:t xml:space="preserve">was non-compliant with several </w:t>
      </w:r>
      <w:r w:rsidR="00C87846">
        <w:rPr>
          <w:sz w:val="26"/>
          <w:szCs w:val="26"/>
        </w:rPr>
        <w:t xml:space="preserve">important </w:t>
      </w:r>
      <w:r>
        <w:rPr>
          <w:sz w:val="26"/>
          <w:szCs w:val="26"/>
        </w:rPr>
        <w:t xml:space="preserve">federal </w:t>
      </w:r>
      <w:r w:rsidR="00C87846">
        <w:rPr>
          <w:sz w:val="26"/>
          <w:szCs w:val="26"/>
        </w:rPr>
        <w:t xml:space="preserve">gas pipeline safety </w:t>
      </w:r>
      <w:r>
        <w:rPr>
          <w:sz w:val="26"/>
          <w:szCs w:val="26"/>
        </w:rPr>
        <w:t>regulations for extended periods of time.</w:t>
      </w:r>
    </w:p>
    <w:p w:rsidR="00FD7C07" w:rsidRPr="00733803" w:rsidRDefault="00FD7C07" w:rsidP="00733803">
      <w:pPr>
        <w:pStyle w:val="BodyTextIndent2"/>
        <w:ind w:firstLine="0"/>
      </w:pPr>
    </w:p>
    <w:p w:rsidR="00A92499" w:rsidRDefault="008A3176" w:rsidP="004A072D">
      <w:pPr>
        <w:pStyle w:val="BodyTextIndent2"/>
      </w:pPr>
      <w:r>
        <w:t xml:space="preserve">Additionally, </w:t>
      </w:r>
      <w:r w:rsidR="00BE1E0E">
        <w:t xml:space="preserve">it appears from </w:t>
      </w:r>
      <w:r>
        <w:t>t</w:t>
      </w:r>
      <w:r w:rsidR="00A92499">
        <w:t>he record that</w:t>
      </w:r>
      <w:r w:rsidR="00CD7074">
        <w:t>,</w:t>
      </w:r>
      <w:r w:rsidR="00A92499">
        <w:t xml:space="preserve"> beginning on </w:t>
      </w:r>
      <w:r w:rsidR="00F8566F">
        <w:t xml:space="preserve">            </w:t>
      </w:r>
      <w:r w:rsidR="00A92499">
        <w:t xml:space="preserve">December 17, 2004, Equitable’s </w:t>
      </w:r>
      <w:r w:rsidR="00A92499" w:rsidRPr="004B5697">
        <w:t>integrity</w:t>
      </w:r>
      <w:r w:rsidR="00A92499">
        <w:t xml:space="preserve"> management program </w:t>
      </w:r>
      <w:r w:rsidR="00BE1E0E">
        <w:t>did not have</w:t>
      </w:r>
      <w:r w:rsidR="00A92499" w:rsidRPr="004B5697">
        <w:t xml:space="preserve"> a written procedure for preventive and mitigative measures to prevent damages to transmission pipelines operating at less than </w:t>
      </w:r>
      <w:r w:rsidR="00CD7074">
        <w:t>thirty percent</w:t>
      </w:r>
      <w:r w:rsidR="00A92499" w:rsidRPr="004B5697">
        <w:t xml:space="preserve"> of </w:t>
      </w:r>
      <w:r w:rsidR="00C96363">
        <w:t>Specified Minimum Yield Strength (</w:t>
      </w:r>
      <w:r w:rsidR="00A92499" w:rsidRPr="004B5697">
        <w:t>SMYS</w:t>
      </w:r>
      <w:r w:rsidR="00C96363">
        <w:t>)</w:t>
      </w:r>
      <w:r w:rsidR="00A92499" w:rsidRPr="004B5697">
        <w:t xml:space="preserve"> in class 3 and class 4 areas as required by</w:t>
      </w:r>
      <w:r w:rsidR="009D1D05">
        <w:t xml:space="preserve"> section </w:t>
      </w:r>
      <w:r w:rsidR="009D1D05" w:rsidRPr="008D3B3E">
        <w:t>192.907(a)</w:t>
      </w:r>
      <w:r w:rsidR="00A92499" w:rsidRPr="004B5697">
        <w:t xml:space="preserve"> </w:t>
      </w:r>
      <w:r w:rsidR="009D1D05">
        <w:t xml:space="preserve">of </w:t>
      </w:r>
      <w:r w:rsidR="00A92499" w:rsidRPr="004B5697">
        <w:t xml:space="preserve">the federal </w:t>
      </w:r>
      <w:r w:rsidR="00A92499" w:rsidRPr="004B5697">
        <w:lastRenderedPageBreak/>
        <w:t>regulations,</w:t>
      </w:r>
      <w:r w:rsidR="009D1D05">
        <w:t xml:space="preserve"> </w:t>
      </w:r>
      <w:r w:rsidR="00A92FF8">
        <w:t>49</w:t>
      </w:r>
      <w:r w:rsidR="00733803">
        <w:t> </w:t>
      </w:r>
      <w:r w:rsidR="009D1D05" w:rsidRPr="008D3B3E">
        <w:t>C</w:t>
      </w:r>
      <w:r w:rsidR="00C87846">
        <w:t>.</w:t>
      </w:r>
      <w:r w:rsidR="009D1D05" w:rsidRPr="008D3B3E">
        <w:t>F</w:t>
      </w:r>
      <w:r w:rsidR="00C87846">
        <w:t>.</w:t>
      </w:r>
      <w:r w:rsidR="009D1D05" w:rsidRPr="008D3B3E">
        <w:t>R</w:t>
      </w:r>
      <w:r w:rsidR="00C87846">
        <w:t>.</w:t>
      </w:r>
      <w:r w:rsidR="009D1D05" w:rsidRPr="008D3B3E">
        <w:t xml:space="preserve"> § 192.907(a)</w:t>
      </w:r>
      <w:r w:rsidR="009D1D05">
        <w:t>,</w:t>
      </w:r>
      <w:r w:rsidR="00A92499" w:rsidRPr="004B5697">
        <w:t xml:space="preserve"> even though </w:t>
      </w:r>
      <w:r w:rsidR="00031E99">
        <w:t>Equitable</w:t>
      </w:r>
      <w:r w:rsidR="00A92499" w:rsidRPr="004B5697">
        <w:t xml:space="preserve"> knew that such a procedure was required</w:t>
      </w:r>
      <w:r w:rsidR="00A92499">
        <w:t>.</w:t>
      </w:r>
      <w:r w:rsidR="009D1D05">
        <w:t xml:space="preserve">  RSA at 5, ¶ 19a.</w:t>
      </w:r>
    </w:p>
    <w:p w:rsidR="00611215" w:rsidRDefault="00611215" w:rsidP="004A072D">
      <w:pPr>
        <w:pStyle w:val="BodyTextIndent2"/>
      </w:pPr>
    </w:p>
    <w:p w:rsidR="00C87846" w:rsidRDefault="00524F31" w:rsidP="004A072D">
      <w:pPr>
        <w:pStyle w:val="BodyTextIndent"/>
        <w:rPr>
          <w:color w:val="auto"/>
        </w:rPr>
      </w:pPr>
      <w:r>
        <w:rPr>
          <w:color w:val="auto"/>
        </w:rPr>
        <w:t xml:space="preserve">It is important to recognize that </w:t>
      </w:r>
      <w:r w:rsidR="00596954" w:rsidRPr="004A072D">
        <w:rPr>
          <w:color w:val="auto"/>
        </w:rPr>
        <w:t>the alleged violations</w:t>
      </w:r>
      <w:r w:rsidR="00EE68A3">
        <w:rPr>
          <w:color w:val="auto"/>
        </w:rPr>
        <w:t xml:space="preserve"> remain unchanged</w:t>
      </w:r>
      <w:r w:rsidR="00EE1F09">
        <w:rPr>
          <w:color w:val="auto"/>
        </w:rPr>
        <w:t xml:space="preserve"> from the </w:t>
      </w:r>
      <w:r w:rsidR="007F05EB">
        <w:rPr>
          <w:color w:val="auto"/>
        </w:rPr>
        <w:t>Initial Settlement Agreement</w:t>
      </w:r>
      <w:r w:rsidR="00C96363">
        <w:rPr>
          <w:color w:val="auto"/>
        </w:rPr>
        <w:t>, and that</w:t>
      </w:r>
      <w:r w:rsidR="00EE68A3">
        <w:rPr>
          <w:color w:val="auto"/>
        </w:rPr>
        <w:t xml:space="preserve"> the only </w:t>
      </w:r>
      <w:r w:rsidR="00C87846">
        <w:rPr>
          <w:color w:val="auto"/>
        </w:rPr>
        <w:t>s</w:t>
      </w:r>
      <w:r w:rsidR="00EB3FE9">
        <w:rPr>
          <w:color w:val="auto"/>
        </w:rPr>
        <w:t>ettlement term</w:t>
      </w:r>
      <w:r w:rsidR="00EE68A3">
        <w:rPr>
          <w:color w:val="auto"/>
        </w:rPr>
        <w:t xml:space="preserve"> renegotiated </w:t>
      </w:r>
      <w:r w:rsidR="00FC3A86">
        <w:rPr>
          <w:color w:val="auto"/>
        </w:rPr>
        <w:t xml:space="preserve">by the Parties </w:t>
      </w:r>
      <w:r w:rsidR="00C87846">
        <w:rPr>
          <w:color w:val="auto"/>
        </w:rPr>
        <w:t>is</w:t>
      </w:r>
      <w:r w:rsidR="00EE68A3">
        <w:rPr>
          <w:color w:val="auto"/>
        </w:rPr>
        <w:t xml:space="preserve"> the </w:t>
      </w:r>
      <w:r w:rsidR="00FC3A86">
        <w:rPr>
          <w:color w:val="auto"/>
        </w:rPr>
        <w:t xml:space="preserve">amount of the </w:t>
      </w:r>
      <w:r w:rsidR="00EE68A3">
        <w:rPr>
          <w:color w:val="auto"/>
        </w:rPr>
        <w:t xml:space="preserve">civil penalty.  </w:t>
      </w:r>
      <w:r w:rsidR="002224F7">
        <w:rPr>
          <w:color w:val="auto"/>
        </w:rPr>
        <w:t>Additionally,</w:t>
      </w:r>
      <w:r w:rsidR="00596954" w:rsidRPr="004A072D">
        <w:rPr>
          <w:color w:val="auto"/>
        </w:rPr>
        <w:t xml:space="preserve"> the Commission would be well within its discretion to impose a</w:t>
      </w:r>
      <w:r w:rsidR="008A3176">
        <w:rPr>
          <w:color w:val="auto"/>
        </w:rPr>
        <w:t>n even more</w:t>
      </w:r>
      <w:r w:rsidR="00596954" w:rsidRPr="004A072D">
        <w:rPr>
          <w:color w:val="auto"/>
        </w:rPr>
        <w:t xml:space="preserve"> substantial civil penalty</w:t>
      </w:r>
      <w:r w:rsidR="00DA0A15" w:rsidRPr="004A072D">
        <w:rPr>
          <w:color w:val="auto"/>
        </w:rPr>
        <w:t xml:space="preserve"> pursuant to Section 3301(c) </w:t>
      </w:r>
      <w:r w:rsidR="00C96363">
        <w:rPr>
          <w:color w:val="auto"/>
        </w:rPr>
        <w:t>of the Code, 66 Pa. C.S. § 3301(c)</w:t>
      </w:r>
      <w:r w:rsidR="00596954" w:rsidRPr="004A072D">
        <w:rPr>
          <w:color w:val="auto"/>
        </w:rPr>
        <w:t xml:space="preserve">.  </w:t>
      </w:r>
      <w:r w:rsidR="00DA0A15" w:rsidRPr="004A072D">
        <w:rPr>
          <w:color w:val="auto"/>
        </w:rPr>
        <w:t>W</w:t>
      </w:r>
      <w:r w:rsidR="00596954" w:rsidRPr="004A072D">
        <w:rPr>
          <w:color w:val="auto"/>
        </w:rPr>
        <w:t>e understand that it is in the public interest to settle this matter to avoid the expense of litigation</w:t>
      </w:r>
      <w:r w:rsidR="00F04A7C">
        <w:rPr>
          <w:color w:val="auto"/>
        </w:rPr>
        <w:t>;</w:t>
      </w:r>
      <w:r w:rsidR="00117AE7">
        <w:rPr>
          <w:color w:val="auto"/>
        </w:rPr>
        <w:t xml:space="preserve"> </w:t>
      </w:r>
      <w:r w:rsidR="00C96363">
        <w:rPr>
          <w:color w:val="auto"/>
        </w:rPr>
        <w:t>however, we are not persuaded that</w:t>
      </w:r>
      <w:r w:rsidR="00117AE7">
        <w:rPr>
          <w:color w:val="auto"/>
        </w:rPr>
        <w:t xml:space="preserve"> Equitable’s compliance with the terms of the </w:t>
      </w:r>
      <w:r w:rsidR="007F05EB">
        <w:rPr>
          <w:color w:val="auto"/>
        </w:rPr>
        <w:t>Initial Settlement Agreement</w:t>
      </w:r>
      <w:r w:rsidR="00117AE7">
        <w:rPr>
          <w:color w:val="auto"/>
        </w:rPr>
        <w:t xml:space="preserve"> </w:t>
      </w:r>
      <w:r w:rsidR="00C87846">
        <w:rPr>
          <w:color w:val="auto"/>
        </w:rPr>
        <w:t>is</w:t>
      </w:r>
      <w:r w:rsidR="00117AE7">
        <w:rPr>
          <w:color w:val="auto"/>
        </w:rPr>
        <w:t xml:space="preserve"> relevant to </w:t>
      </w:r>
      <w:r w:rsidR="00EE1F09">
        <w:rPr>
          <w:color w:val="auto"/>
        </w:rPr>
        <w:t>the</w:t>
      </w:r>
      <w:r w:rsidR="00117AE7">
        <w:rPr>
          <w:color w:val="auto"/>
        </w:rPr>
        <w:t xml:space="preserve"> reduc</w:t>
      </w:r>
      <w:r w:rsidR="00EE1F09">
        <w:rPr>
          <w:color w:val="auto"/>
        </w:rPr>
        <w:t>tion of</w:t>
      </w:r>
      <w:r w:rsidR="00C96363">
        <w:rPr>
          <w:color w:val="auto"/>
        </w:rPr>
        <w:t xml:space="preserve"> the civil penalty imposed</w:t>
      </w:r>
      <w:r w:rsidR="00117AE7">
        <w:rPr>
          <w:color w:val="auto"/>
        </w:rPr>
        <w:t xml:space="preserve"> by our </w:t>
      </w:r>
      <w:r w:rsidR="00C96363">
        <w:rPr>
          <w:i/>
          <w:color w:val="auto"/>
        </w:rPr>
        <w:t>May</w:t>
      </w:r>
      <w:r w:rsidR="00117AE7" w:rsidRPr="00117AE7">
        <w:rPr>
          <w:i/>
          <w:color w:val="auto"/>
        </w:rPr>
        <w:t xml:space="preserve"> 2010 Order</w:t>
      </w:r>
      <w:r w:rsidR="00117AE7">
        <w:rPr>
          <w:i/>
          <w:color w:val="auto"/>
        </w:rPr>
        <w:t>.</w:t>
      </w:r>
      <w:r w:rsidR="00117AE7">
        <w:rPr>
          <w:color w:val="auto"/>
        </w:rPr>
        <w:t xml:space="preserve"> </w:t>
      </w:r>
      <w:r w:rsidR="00F8566F">
        <w:rPr>
          <w:color w:val="auto"/>
        </w:rPr>
        <w:t xml:space="preserve">   </w:t>
      </w:r>
      <w:r w:rsidR="00117AE7">
        <w:rPr>
          <w:color w:val="auto"/>
        </w:rPr>
        <w:t xml:space="preserve"> </w:t>
      </w:r>
      <w:r w:rsidR="00C96363">
        <w:rPr>
          <w:color w:val="auto"/>
        </w:rPr>
        <w:t>Section 192.907(a) of t</w:t>
      </w:r>
      <w:r w:rsidR="00117AE7">
        <w:rPr>
          <w:color w:val="auto"/>
        </w:rPr>
        <w:t xml:space="preserve">he federal </w:t>
      </w:r>
      <w:r w:rsidR="00C87846">
        <w:rPr>
          <w:color w:val="auto"/>
        </w:rPr>
        <w:t xml:space="preserve">gas pipeline safety </w:t>
      </w:r>
      <w:r w:rsidR="00117AE7">
        <w:rPr>
          <w:color w:val="auto"/>
        </w:rPr>
        <w:t>re</w:t>
      </w:r>
      <w:r w:rsidR="00556989">
        <w:rPr>
          <w:color w:val="auto"/>
        </w:rPr>
        <w:t>gulations</w:t>
      </w:r>
      <w:r w:rsidR="00C96363">
        <w:rPr>
          <w:color w:val="auto"/>
        </w:rPr>
        <w:t>,</w:t>
      </w:r>
      <w:r w:rsidR="00556989">
        <w:rPr>
          <w:color w:val="auto"/>
        </w:rPr>
        <w:t xml:space="preserve"> addressed </w:t>
      </w:r>
      <w:r w:rsidR="00556989" w:rsidRPr="00C96363">
        <w:rPr>
          <w:color w:val="auto"/>
        </w:rPr>
        <w:t>above</w:t>
      </w:r>
      <w:r w:rsidR="003373EF">
        <w:rPr>
          <w:color w:val="auto"/>
        </w:rPr>
        <w:t>,</w:t>
      </w:r>
      <w:r w:rsidR="00C96363" w:rsidRPr="00C96363">
        <w:rPr>
          <w:color w:val="auto"/>
        </w:rPr>
        <w:t xml:space="preserve"> </w:t>
      </w:r>
    </w:p>
    <w:p w:rsidR="00596954" w:rsidRDefault="00C96363" w:rsidP="00C87846">
      <w:pPr>
        <w:pStyle w:val="BodyTextIndent"/>
        <w:ind w:firstLine="0"/>
        <w:rPr>
          <w:color w:val="auto"/>
        </w:rPr>
      </w:pPr>
      <w:r w:rsidRPr="00C96363">
        <w:rPr>
          <w:color w:val="auto"/>
        </w:rPr>
        <w:t>49 C</w:t>
      </w:r>
      <w:r w:rsidR="00C87846">
        <w:rPr>
          <w:color w:val="auto"/>
        </w:rPr>
        <w:t>.</w:t>
      </w:r>
      <w:r w:rsidRPr="00C96363">
        <w:rPr>
          <w:color w:val="auto"/>
        </w:rPr>
        <w:t>F</w:t>
      </w:r>
      <w:r w:rsidR="00C87846">
        <w:rPr>
          <w:color w:val="auto"/>
        </w:rPr>
        <w:t>.</w:t>
      </w:r>
      <w:r w:rsidRPr="00C96363">
        <w:rPr>
          <w:color w:val="auto"/>
        </w:rPr>
        <w:t>R</w:t>
      </w:r>
      <w:r w:rsidR="00C87846">
        <w:rPr>
          <w:color w:val="auto"/>
        </w:rPr>
        <w:t>.</w:t>
      </w:r>
      <w:r w:rsidRPr="00C96363">
        <w:rPr>
          <w:color w:val="auto"/>
        </w:rPr>
        <w:t xml:space="preserve"> § 192.907(a),</w:t>
      </w:r>
      <w:r w:rsidRPr="004B5697">
        <w:t xml:space="preserve"> </w:t>
      </w:r>
      <w:r w:rsidR="00556989">
        <w:rPr>
          <w:color w:val="auto"/>
        </w:rPr>
        <w:t>ha</w:t>
      </w:r>
      <w:r w:rsidR="00C87846">
        <w:rPr>
          <w:color w:val="auto"/>
        </w:rPr>
        <w:t>s</w:t>
      </w:r>
      <w:r w:rsidR="00556989">
        <w:rPr>
          <w:color w:val="auto"/>
        </w:rPr>
        <w:t xml:space="preserve"> </w:t>
      </w:r>
      <w:r w:rsidR="00117AE7">
        <w:rPr>
          <w:color w:val="auto"/>
        </w:rPr>
        <w:t xml:space="preserve">been in place </w:t>
      </w:r>
      <w:r w:rsidR="00556989">
        <w:rPr>
          <w:color w:val="auto"/>
        </w:rPr>
        <w:t>for several years</w:t>
      </w:r>
      <w:r w:rsidR="0060383C">
        <w:rPr>
          <w:color w:val="auto"/>
        </w:rPr>
        <w:t xml:space="preserve"> and there is no evidence that Equitable began to address compliance with </w:t>
      </w:r>
      <w:r w:rsidR="00C87846">
        <w:rPr>
          <w:color w:val="auto"/>
        </w:rPr>
        <w:t>this</w:t>
      </w:r>
      <w:r w:rsidR="0060383C">
        <w:rPr>
          <w:color w:val="auto"/>
        </w:rPr>
        <w:t xml:space="preserve"> regulation until som</w:t>
      </w:r>
      <w:r w:rsidR="00556989">
        <w:rPr>
          <w:color w:val="auto"/>
        </w:rPr>
        <w:t>etime</w:t>
      </w:r>
      <w:r w:rsidR="00D51F5F">
        <w:rPr>
          <w:color w:val="auto"/>
        </w:rPr>
        <w:t xml:space="preserve"> after our </w:t>
      </w:r>
      <w:r>
        <w:rPr>
          <w:i/>
          <w:color w:val="auto"/>
        </w:rPr>
        <w:t xml:space="preserve">November </w:t>
      </w:r>
      <w:r w:rsidR="00D51F5F">
        <w:rPr>
          <w:i/>
          <w:color w:val="auto"/>
        </w:rPr>
        <w:t>2009</w:t>
      </w:r>
      <w:r w:rsidR="00D51F5F">
        <w:rPr>
          <w:color w:val="auto"/>
        </w:rPr>
        <w:t xml:space="preserve"> </w:t>
      </w:r>
      <w:r w:rsidR="00D51F5F" w:rsidRPr="00D76022">
        <w:rPr>
          <w:i/>
          <w:color w:val="auto"/>
        </w:rPr>
        <w:t>Order</w:t>
      </w:r>
      <w:r w:rsidR="00C87846">
        <w:rPr>
          <w:color w:val="auto"/>
        </w:rPr>
        <w:t>.  If proven, t</w:t>
      </w:r>
      <w:r w:rsidR="00D51F5F">
        <w:rPr>
          <w:color w:val="auto"/>
        </w:rPr>
        <w:t xml:space="preserve">his </w:t>
      </w:r>
      <w:r w:rsidR="00C87846">
        <w:rPr>
          <w:color w:val="auto"/>
        </w:rPr>
        <w:t>would be</w:t>
      </w:r>
      <w:r w:rsidR="00D51F5F">
        <w:rPr>
          <w:color w:val="auto"/>
        </w:rPr>
        <w:t xml:space="preserve"> </w:t>
      </w:r>
      <w:r w:rsidR="00852749">
        <w:rPr>
          <w:color w:val="auto"/>
        </w:rPr>
        <w:t>simp</w:t>
      </w:r>
      <w:r w:rsidR="00D51F5F">
        <w:rPr>
          <w:color w:val="auto"/>
        </w:rPr>
        <w:t>ly unacceptable behavior by Equitable</w:t>
      </w:r>
      <w:r w:rsidR="00BD0DCE">
        <w:rPr>
          <w:color w:val="auto"/>
        </w:rPr>
        <w:t>.</w:t>
      </w:r>
      <w:r w:rsidR="00DA0A15" w:rsidRPr="004A072D">
        <w:rPr>
          <w:color w:val="auto"/>
        </w:rPr>
        <w:t xml:space="preserve"> </w:t>
      </w:r>
    </w:p>
    <w:p w:rsidR="00A36F41" w:rsidRDefault="00A36F41" w:rsidP="004A072D">
      <w:pPr>
        <w:pStyle w:val="BodyTextIndent"/>
        <w:rPr>
          <w:color w:val="auto"/>
        </w:rPr>
      </w:pPr>
    </w:p>
    <w:p w:rsidR="00596954" w:rsidRDefault="00D57D0E" w:rsidP="00BB182D">
      <w:pPr>
        <w:spacing w:line="360" w:lineRule="auto"/>
        <w:ind w:firstLine="1440"/>
        <w:rPr>
          <w:sz w:val="26"/>
          <w:szCs w:val="26"/>
        </w:rPr>
      </w:pPr>
      <w:r w:rsidRPr="00F30E93">
        <w:rPr>
          <w:sz w:val="26"/>
          <w:szCs w:val="26"/>
        </w:rPr>
        <w:t xml:space="preserve">As stated in our </w:t>
      </w:r>
      <w:r w:rsidR="00C96363">
        <w:rPr>
          <w:i/>
          <w:sz w:val="26"/>
          <w:szCs w:val="26"/>
        </w:rPr>
        <w:t>November</w:t>
      </w:r>
      <w:r w:rsidRPr="00BD0DCE">
        <w:rPr>
          <w:i/>
          <w:sz w:val="26"/>
          <w:szCs w:val="26"/>
        </w:rPr>
        <w:t xml:space="preserve"> 2009</w:t>
      </w:r>
      <w:r w:rsidR="00BD0DCE">
        <w:rPr>
          <w:i/>
          <w:sz w:val="26"/>
          <w:szCs w:val="26"/>
        </w:rPr>
        <w:t xml:space="preserve"> Order</w:t>
      </w:r>
      <w:r w:rsidRPr="00F30E93">
        <w:rPr>
          <w:sz w:val="26"/>
          <w:szCs w:val="26"/>
        </w:rPr>
        <w:t xml:space="preserve">, </w:t>
      </w:r>
      <w:r w:rsidR="00596954" w:rsidRPr="00F30E93">
        <w:rPr>
          <w:sz w:val="26"/>
          <w:szCs w:val="26"/>
        </w:rPr>
        <w:t xml:space="preserve">we strongly caution Equitable and our other jurisdictional utilities that we monitor safety violations carefully and track any trends in unsafe operational practices.  We intend to fully utilize </w:t>
      </w:r>
      <w:r w:rsidR="00246362">
        <w:rPr>
          <w:sz w:val="26"/>
          <w:szCs w:val="26"/>
        </w:rPr>
        <w:t>our</w:t>
      </w:r>
      <w:r w:rsidR="00596954" w:rsidRPr="00F30E93">
        <w:rPr>
          <w:sz w:val="26"/>
          <w:szCs w:val="26"/>
        </w:rPr>
        <w:t xml:space="preserve"> authority </w:t>
      </w:r>
      <w:r w:rsidR="00C96363">
        <w:rPr>
          <w:sz w:val="26"/>
          <w:szCs w:val="26"/>
        </w:rPr>
        <w:t>under</w:t>
      </w:r>
      <w:r w:rsidR="00596954" w:rsidRPr="00F30E93">
        <w:rPr>
          <w:sz w:val="26"/>
          <w:szCs w:val="26"/>
        </w:rPr>
        <w:t xml:space="preserve"> the Code and our </w:t>
      </w:r>
      <w:r w:rsidR="00C96363">
        <w:rPr>
          <w:sz w:val="26"/>
          <w:szCs w:val="26"/>
        </w:rPr>
        <w:t>R</w:t>
      </w:r>
      <w:r w:rsidR="00596954" w:rsidRPr="00F30E93">
        <w:rPr>
          <w:sz w:val="26"/>
          <w:szCs w:val="26"/>
        </w:rPr>
        <w:t>egulations to deter unsafe practices.</w:t>
      </w:r>
    </w:p>
    <w:p w:rsidR="00FC7C8F" w:rsidRPr="008D3B3E" w:rsidRDefault="00FC7C8F" w:rsidP="00BB182D">
      <w:pPr>
        <w:spacing w:line="360" w:lineRule="auto"/>
        <w:ind w:firstLine="1440"/>
        <w:rPr>
          <w:sz w:val="26"/>
          <w:szCs w:val="26"/>
        </w:rPr>
      </w:pPr>
    </w:p>
    <w:p w:rsidR="00B45FF4" w:rsidRDefault="002B5489" w:rsidP="002B5489">
      <w:pPr>
        <w:pStyle w:val="BodyTextIndent2"/>
      </w:pPr>
      <w:r>
        <w:t>Accordingly, b</w:t>
      </w:r>
      <w:r w:rsidR="00B45FF4" w:rsidRPr="009F16E1">
        <w:t xml:space="preserve">ased on our review of the </w:t>
      </w:r>
      <w:r w:rsidR="007F05EB">
        <w:t>Renegotiated Settlement Agreement</w:t>
      </w:r>
      <w:r w:rsidR="009F3A39" w:rsidRPr="009F16E1">
        <w:t xml:space="preserve">, </w:t>
      </w:r>
      <w:r w:rsidR="00FC7C8F">
        <w:t xml:space="preserve">which renegotiated only the civil penalty portion of the </w:t>
      </w:r>
      <w:r w:rsidR="007F05EB">
        <w:t>Initial Settlement Agreement</w:t>
      </w:r>
      <w:r w:rsidR="00C87846">
        <w:t>,</w:t>
      </w:r>
      <w:r w:rsidR="00187B06">
        <w:t xml:space="preserve"> </w:t>
      </w:r>
      <w:r w:rsidR="00FB5192">
        <w:t xml:space="preserve">we </w:t>
      </w:r>
      <w:r w:rsidR="00187B06">
        <w:t>believe</w:t>
      </w:r>
      <w:r w:rsidR="00754133">
        <w:t xml:space="preserve"> that the </w:t>
      </w:r>
      <w:r w:rsidR="00187B06">
        <w:t>civil penalty of $5,000 is inadequate to deter future violations and</w:t>
      </w:r>
      <w:r w:rsidR="00754133">
        <w:t xml:space="preserve"> is</w:t>
      </w:r>
      <w:r w:rsidR="00FB5192">
        <w:t xml:space="preserve"> not</w:t>
      </w:r>
      <w:r w:rsidR="00754133">
        <w:t xml:space="preserve"> in the public interest</w:t>
      </w:r>
      <w:r w:rsidR="00FB5192">
        <w:t xml:space="preserve">.  </w:t>
      </w:r>
      <w:r w:rsidR="00BB182D">
        <w:t>Thus, ba</w:t>
      </w:r>
      <w:r w:rsidR="00E80C77">
        <w:t>sed on the factors</w:t>
      </w:r>
      <w:r w:rsidR="00BB182D">
        <w:t xml:space="preserve"> </w:t>
      </w:r>
      <w:r w:rsidR="00B009FC">
        <w:t>regarding</w:t>
      </w:r>
      <w:r w:rsidR="00BB182D">
        <w:t xml:space="preserve"> the alleged violations discussed above and the potential for the imposition of a much greater</w:t>
      </w:r>
      <w:r w:rsidR="008A3176">
        <w:t xml:space="preserve"> civil</w:t>
      </w:r>
      <w:r w:rsidR="00BB182D">
        <w:t xml:space="preserve"> penalty, we shall </w:t>
      </w:r>
      <w:r w:rsidR="00BE50CB">
        <w:t xml:space="preserve">reject the </w:t>
      </w:r>
      <w:r w:rsidR="007F05EB">
        <w:t>Renegotiated Settlement Agreement</w:t>
      </w:r>
      <w:r w:rsidR="00BE50CB">
        <w:t xml:space="preserve"> and </w:t>
      </w:r>
      <w:r w:rsidR="00B009FC">
        <w:t>return th</w:t>
      </w:r>
      <w:r w:rsidR="00BE50CB">
        <w:t>e</w:t>
      </w:r>
      <w:r w:rsidR="00B009FC">
        <w:t xml:space="preserve"> matter</w:t>
      </w:r>
      <w:r w:rsidR="00556989">
        <w:t xml:space="preserve"> to </w:t>
      </w:r>
      <w:r w:rsidR="00B009FC">
        <w:t xml:space="preserve">the </w:t>
      </w:r>
      <w:r w:rsidR="00556989">
        <w:t xml:space="preserve">Prosecutory Staff </w:t>
      </w:r>
      <w:r w:rsidR="00BE50CB">
        <w:t>to</w:t>
      </w:r>
      <w:r w:rsidR="00556989">
        <w:t xml:space="preserve"> take whatever further action may be warranted.</w:t>
      </w:r>
    </w:p>
    <w:p w:rsidR="00B35151" w:rsidRDefault="005F113D" w:rsidP="002B5489">
      <w:pPr>
        <w:pStyle w:val="BodyTextIndent2"/>
      </w:pPr>
      <w:r>
        <w:lastRenderedPageBreak/>
        <w:t xml:space="preserve">Lastly, since we are not approving the </w:t>
      </w:r>
      <w:r w:rsidR="007F05EB">
        <w:t>Renegotiated Settlement Agreement</w:t>
      </w:r>
      <w:r>
        <w:t xml:space="preserve">, we will not be issuing this Order for comment from interested parties as provided by our regulations at Section 3.113(b)(3).  As stated above, </w:t>
      </w:r>
      <w:r w:rsidR="00946D69">
        <w:t>our proposed modif</w:t>
      </w:r>
      <w:r w:rsidR="00105B8C">
        <w:t>ic</w:t>
      </w:r>
      <w:r w:rsidR="00946D69">
        <w:t xml:space="preserve">ation to the </w:t>
      </w:r>
      <w:r w:rsidR="007F05EB">
        <w:t>Initial Settlement Agreement</w:t>
      </w:r>
      <w:r>
        <w:t xml:space="preserve"> was issued for comment on November 25, 2009.  Equitable filed comments in opposition to the proposed modification </w:t>
      </w:r>
      <w:r w:rsidR="00946D69">
        <w:t>and withdrew its participation in the Initial Settlement Agreement. N</w:t>
      </w:r>
      <w:r>
        <w:t>o comments were filed by any other interested parties.</w:t>
      </w:r>
    </w:p>
    <w:p w:rsidR="00611215" w:rsidRDefault="00611215" w:rsidP="002B5489">
      <w:pPr>
        <w:pStyle w:val="BodyTextIndent2"/>
      </w:pPr>
    </w:p>
    <w:p w:rsidR="00C636EB" w:rsidRDefault="00201C65" w:rsidP="002B5489">
      <w:pPr>
        <w:pStyle w:val="BodyTextIndent2"/>
      </w:pPr>
      <w:r>
        <w:t xml:space="preserve">In order to avoid a remand of this matter, we will allow Equitable to accept the $65,000 civil penalty originally set forth in the Commission’s November 25, 2009 Order.  If Equitable </w:t>
      </w:r>
      <w:r w:rsidR="00360693">
        <w:t>chooses</w:t>
      </w:r>
      <w:r>
        <w:t xml:space="preserve"> to exercise this option, it should notify the Secretary of the Commission within 20 days of the</w:t>
      </w:r>
      <w:r w:rsidR="00360693">
        <w:t xml:space="preserve"> date of</w:t>
      </w:r>
      <w:r>
        <w:t xml:space="preserve"> entry of this </w:t>
      </w:r>
      <w:r w:rsidR="00360693">
        <w:t xml:space="preserve">Opinion and </w:t>
      </w:r>
      <w:r>
        <w:t>Order.  If no such notice is received, this matter will be returned to the Bureau of Investigations and Enforcement</w:t>
      </w:r>
      <w:r w:rsidR="00DF13E3">
        <w:t xml:space="preserve"> to reexamine the facts and issues raised in the informal investigation and to take whatever further action may be warranted.</w:t>
      </w:r>
    </w:p>
    <w:p w:rsidR="00DF13E3" w:rsidRDefault="00DF13E3" w:rsidP="002B5489">
      <w:pPr>
        <w:pStyle w:val="BodyTextIndent2"/>
      </w:pPr>
    </w:p>
    <w:p w:rsidR="006E0CFD" w:rsidRPr="009F16E1" w:rsidRDefault="006E0CFD" w:rsidP="006E0CFD">
      <w:pPr>
        <w:spacing w:line="360" w:lineRule="auto"/>
        <w:jc w:val="center"/>
        <w:rPr>
          <w:sz w:val="26"/>
          <w:szCs w:val="26"/>
        </w:rPr>
      </w:pPr>
      <w:r w:rsidRPr="009F16E1">
        <w:rPr>
          <w:b/>
          <w:sz w:val="26"/>
          <w:szCs w:val="26"/>
        </w:rPr>
        <w:t>Conclusion</w:t>
      </w:r>
    </w:p>
    <w:p w:rsidR="006E0CFD" w:rsidRPr="009F16E1" w:rsidRDefault="006E0CFD" w:rsidP="006E0CFD">
      <w:pPr>
        <w:spacing w:line="360" w:lineRule="auto"/>
        <w:ind w:firstLine="1440"/>
        <w:rPr>
          <w:sz w:val="26"/>
          <w:szCs w:val="26"/>
        </w:rPr>
      </w:pPr>
    </w:p>
    <w:p w:rsidR="006E0CFD" w:rsidRPr="009F16E1" w:rsidRDefault="00596954" w:rsidP="00596954">
      <w:pPr>
        <w:spacing w:line="360" w:lineRule="auto"/>
        <w:ind w:firstLine="1440"/>
        <w:rPr>
          <w:sz w:val="26"/>
          <w:szCs w:val="26"/>
        </w:rPr>
      </w:pPr>
      <w:r w:rsidRPr="009F16E1">
        <w:rPr>
          <w:sz w:val="26"/>
          <w:szCs w:val="26"/>
        </w:rPr>
        <w:t xml:space="preserve">For the reasons set forth above, after reviewing the terms of the </w:t>
      </w:r>
      <w:r w:rsidR="007F05EB">
        <w:rPr>
          <w:sz w:val="26"/>
          <w:szCs w:val="26"/>
        </w:rPr>
        <w:t>Renegotiated Settlement Agreement</w:t>
      </w:r>
      <w:r w:rsidR="009F3A39" w:rsidRPr="009F16E1">
        <w:rPr>
          <w:sz w:val="26"/>
          <w:szCs w:val="26"/>
        </w:rPr>
        <w:t>,</w:t>
      </w:r>
      <w:r w:rsidRPr="009F16E1">
        <w:rPr>
          <w:sz w:val="26"/>
          <w:szCs w:val="26"/>
        </w:rPr>
        <w:t xml:space="preserve"> we conclude that approval </w:t>
      </w:r>
      <w:r w:rsidR="009F3A39" w:rsidRPr="009F16E1">
        <w:rPr>
          <w:sz w:val="26"/>
          <w:szCs w:val="26"/>
        </w:rPr>
        <w:t>there</w:t>
      </w:r>
      <w:r w:rsidRPr="009F16E1">
        <w:rPr>
          <w:sz w:val="26"/>
          <w:szCs w:val="26"/>
        </w:rPr>
        <w:t>of</w:t>
      </w:r>
      <w:r w:rsidR="00194E1F">
        <w:rPr>
          <w:sz w:val="26"/>
          <w:szCs w:val="26"/>
        </w:rPr>
        <w:t xml:space="preserve"> would not be in the </w:t>
      </w:r>
      <w:r w:rsidR="00884411">
        <w:rPr>
          <w:sz w:val="26"/>
          <w:szCs w:val="26"/>
        </w:rPr>
        <w:t>public interest and would be</w:t>
      </w:r>
      <w:r w:rsidRPr="009F16E1">
        <w:rPr>
          <w:sz w:val="26"/>
          <w:szCs w:val="26"/>
        </w:rPr>
        <w:t xml:space="preserve"> </w:t>
      </w:r>
      <w:r w:rsidR="009F3A39" w:rsidRPr="009F16E1">
        <w:rPr>
          <w:sz w:val="26"/>
          <w:szCs w:val="26"/>
        </w:rPr>
        <w:t>in</w:t>
      </w:r>
      <w:r w:rsidRPr="009F16E1">
        <w:rPr>
          <w:sz w:val="26"/>
          <w:szCs w:val="26"/>
        </w:rPr>
        <w:t xml:space="preserve">consistent with the terms of </w:t>
      </w:r>
      <w:r w:rsidR="00194E1F">
        <w:rPr>
          <w:sz w:val="26"/>
          <w:szCs w:val="26"/>
        </w:rPr>
        <w:t xml:space="preserve">our </w:t>
      </w:r>
      <w:r w:rsidRPr="009F16E1">
        <w:rPr>
          <w:i/>
          <w:sz w:val="26"/>
          <w:szCs w:val="26"/>
        </w:rPr>
        <w:t>Policy Statement</w:t>
      </w:r>
      <w:r w:rsidR="000E2126">
        <w:rPr>
          <w:sz w:val="26"/>
          <w:szCs w:val="26"/>
        </w:rPr>
        <w:t>;</w:t>
      </w:r>
      <w:r w:rsidRPr="009F16E1">
        <w:rPr>
          <w:sz w:val="26"/>
          <w:szCs w:val="26"/>
        </w:rPr>
        <w:t xml:space="preserve">  </w:t>
      </w:r>
      <w:r w:rsidR="006E0CFD" w:rsidRPr="009F16E1">
        <w:rPr>
          <w:b/>
          <w:sz w:val="26"/>
          <w:szCs w:val="26"/>
        </w:rPr>
        <w:t>THEREFORE</w:t>
      </w:r>
      <w:r w:rsidR="006E0CFD" w:rsidRPr="009F16E1">
        <w:rPr>
          <w:sz w:val="26"/>
          <w:szCs w:val="26"/>
        </w:rPr>
        <w:t>,</w:t>
      </w:r>
    </w:p>
    <w:p w:rsidR="00605EBC" w:rsidRDefault="00605EBC" w:rsidP="006E0CFD">
      <w:pPr>
        <w:spacing w:line="360" w:lineRule="auto"/>
        <w:rPr>
          <w:sz w:val="26"/>
          <w:szCs w:val="26"/>
        </w:rPr>
      </w:pPr>
    </w:p>
    <w:p w:rsidR="006E0CFD" w:rsidRPr="009F3A39" w:rsidRDefault="006E0CFD" w:rsidP="006E0CFD">
      <w:pPr>
        <w:spacing w:line="360" w:lineRule="auto"/>
        <w:rPr>
          <w:b/>
          <w:sz w:val="26"/>
          <w:szCs w:val="26"/>
        </w:rPr>
      </w:pPr>
      <w:r w:rsidRPr="009F3A39">
        <w:rPr>
          <w:b/>
          <w:sz w:val="26"/>
          <w:szCs w:val="26"/>
        </w:rPr>
        <w:tab/>
      </w:r>
      <w:r w:rsidRPr="009F3A39">
        <w:rPr>
          <w:b/>
          <w:sz w:val="26"/>
          <w:szCs w:val="26"/>
        </w:rPr>
        <w:tab/>
        <w:t>IT IS ORDERED:</w:t>
      </w:r>
    </w:p>
    <w:p w:rsidR="006E0CFD" w:rsidRPr="009F3A39" w:rsidRDefault="006E0CFD" w:rsidP="006E0CFD">
      <w:pPr>
        <w:spacing w:line="360" w:lineRule="auto"/>
        <w:rPr>
          <w:sz w:val="26"/>
          <w:szCs w:val="26"/>
        </w:rPr>
      </w:pPr>
    </w:p>
    <w:p w:rsidR="00596954" w:rsidRPr="009F3A39" w:rsidRDefault="00596954" w:rsidP="00596954">
      <w:pPr>
        <w:spacing w:line="360" w:lineRule="auto"/>
        <w:rPr>
          <w:sz w:val="26"/>
          <w:szCs w:val="26"/>
        </w:rPr>
      </w:pPr>
      <w:r w:rsidRPr="009F3A39">
        <w:rPr>
          <w:sz w:val="26"/>
          <w:szCs w:val="26"/>
        </w:rPr>
        <w:tab/>
      </w:r>
      <w:r w:rsidRPr="009F3A39">
        <w:rPr>
          <w:sz w:val="26"/>
          <w:szCs w:val="26"/>
        </w:rPr>
        <w:tab/>
      </w:r>
      <w:r w:rsidR="0018029C" w:rsidRPr="009F3A39">
        <w:rPr>
          <w:sz w:val="26"/>
          <w:szCs w:val="26"/>
        </w:rPr>
        <w:t>1.</w:t>
      </w:r>
      <w:r w:rsidR="0018029C" w:rsidRPr="009F3A39">
        <w:rPr>
          <w:sz w:val="26"/>
          <w:szCs w:val="26"/>
        </w:rPr>
        <w:tab/>
      </w:r>
      <w:r w:rsidRPr="009F3A39">
        <w:rPr>
          <w:sz w:val="26"/>
          <w:szCs w:val="26"/>
        </w:rPr>
        <w:t xml:space="preserve">That </w:t>
      </w:r>
      <w:r w:rsidR="00984B58" w:rsidRPr="009F3A39">
        <w:rPr>
          <w:sz w:val="26"/>
          <w:szCs w:val="26"/>
        </w:rPr>
        <w:t xml:space="preserve">the </w:t>
      </w:r>
      <w:r w:rsidR="009F3A39" w:rsidRPr="009F3A39">
        <w:rPr>
          <w:sz w:val="26"/>
          <w:szCs w:val="26"/>
        </w:rPr>
        <w:t>Renegotiated Settlement Agreement</w:t>
      </w:r>
      <w:r w:rsidR="000E2126">
        <w:rPr>
          <w:sz w:val="26"/>
          <w:szCs w:val="26"/>
        </w:rPr>
        <w:t xml:space="preserve"> filed on </w:t>
      </w:r>
      <w:r w:rsidR="00F8566F">
        <w:rPr>
          <w:sz w:val="26"/>
          <w:szCs w:val="26"/>
        </w:rPr>
        <w:t xml:space="preserve">            </w:t>
      </w:r>
      <w:r w:rsidR="000E2126">
        <w:rPr>
          <w:sz w:val="26"/>
          <w:szCs w:val="26"/>
        </w:rPr>
        <w:t xml:space="preserve">October 27, 2011, by the </w:t>
      </w:r>
      <w:r w:rsidR="00194E1F">
        <w:rPr>
          <w:sz w:val="26"/>
          <w:szCs w:val="26"/>
        </w:rPr>
        <w:t xml:space="preserve">Commission’s </w:t>
      </w:r>
      <w:r w:rsidR="00194E1F" w:rsidRPr="00194E1F">
        <w:rPr>
          <w:sz w:val="26"/>
          <w:szCs w:val="26"/>
        </w:rPr>
        <w:t xml:space="preserve">Law Bureau Prosecutory Staff and </w:t>
      </w:r>
      <w:r w:rsidR="00C87846">
        <w:rPr>
          <w:sz w:val="26"/>
          <w:szCs w:val="26"/>
        </w:rPr>
        <w:t xml:space="preserve">the </w:t>
      </w:r>
      <w:r w:rsidR="00194E1F" w:rsidRPr="00194E1F">
        <w:rPr>
          <w:sz w:val="26"/>
          <w:szCs w:val="26"/>
        </w:rPr>
        <w:t xml:space="preserve">Gas Safety Division </w:t>
      </w:r>
      <w:r w:rsidRPr="009F3A39">
        <w:rPr>
          <w:sz w:val="26"/>
          <w:szCs w:val="26"/>
        </w:rPr>
        <w:t xml:space="preserve">is </w:t>
      </w:r>
      <w:r w:rsidR="009F3A39" w:rsidRPr="009F3A39">
        <w:rPr>
          <w:sz w:val="26"/>
          <w:szCs w:val="26"/>
        </w:rPr>
        <w:t>rejected</w:t>
      </w:r>
      <w:r w:rsidRPr="009F3A39">
        <w:rPr>
          <w:sz w:val="26"/>
          <w:szCs w:val="26"/>
        </w:rPr>
        <w:t xml:space="preserve">, </w:t>
      </w:r>
      <w:r w:rsidR="009F3A39" w:rsidRPr="009F3A39">
        <w:rPr>
          <w:sz w:val="26"/>
          <w:szCs w:val="26"/>
        </w:rPr>
        <w:t>consistent with</w:t>
      </w:r>
      <w:r w:rsidRPr="009F3A39">
        <w:rPr>
          <w:sz w:val="26"/>
          <w:szCs w:val="26"/>
        </w:rPr>
        <w:t xml:space="preserve"> this Opinion and Order.</w:t>
      </w:r>
    </w:p>
    <w:p w:rsidR="00596954" w:rsidRPr="00F8566F" w:rsidRDefault="00596954" w:rsidP="00596954">
      <w:pPr>
        <w:spacing w:line="360" w:lineRule="auto"/>
        <w:rPr>
          <w:sz w:val="26"/>
          <w:szCs w:val="26"/>
        </w:rPr>
      </w:pPr>
    </w:p>
    <w:p w:rsidR="00C83A0E" w:rsidRPr="009F3A39" w:rsidRDefault="00976EE5" w:rsidP="00596954">
      <w:pPr>
        <w:spacing w:line="360" w:lineRule="auto"/>
        <w:ind w:firstLine="1440"/>
        <w:rPr>
          <w:sz w:val="26"/>
          <w:szCs w:val="26"/>
        </w:rPr>
      </w:pPr>
      <w:r>
        <w:rPr>
          <w:sz w:val="26"/>
          <w:szCs w:val="26"/>
        </w:rPr>
        <w:lastRenderedPageBreak/>
        <w:t>2.</w:t>
      </w:r>
      <w:r>
        <w:rPr>
          <w:sz w:val="26"/>
          <w:szCs w:val="26"/>
        </w:rPr>
        <w:tab/>
        <w:t xml:space="preserve">That </w:t>
      </w:r>
      <w:r w:rsidR="00DF13E3">
        <w:rPr>
          <w:sz w:val="26"/>
          <w:szCs w:val="26"/>
        </w:rPr>
        <w:t xml:space="preserve">if Equitable Gas Company does not choose to accept our proposed modification to the Initial Settlement Agreement by notice to the Secretary of the Commission within 20 days of the date of entry of this Opinion and Order, </w:t>
      </w:r>
      <w:r>
        <w:rPr>
          <w:sz w:val="26"/>
          <w:szCs w:val="26"/>
        </w:rPr>
        <w:t>the matter s</w:t>
      </w:r>
      <w:r w:rsidR="00DF13E3">
        <w:rPr>
          <w:sz w:val="26"/>
          <w:szCs w:val="26"/>
        </w:rPr>
        <w:t>hall be</w:t>
      </w:r>
      <w:r>
        <w:rPr>
          <w:sz w:val="26"/>
          <w:szCs w:val="26"/>
        </w:rPr>
        <w:t xml:space="preserve"> returned to </w:t>
      </w:r>
      <w:r w:rsidR="00605EBC">
        <w:rPr>
          <w:sz w:val="26"/>
          <w:szCs w:val="26"/>
        </w:rPr>
        <w:t xml:space="preserve">the </w:t>
      </w:r>
      <w:r>
        <w:rPr>
          <w:sz w:val="26"/>
          <w:szCs w:val="26"/>
        </w:rPr>
        <w:t xml:space="preserve">Bureau </w:t>
      </w:r>
      <w:r w:rsidR="00605EBC">
        <w:rPr>
          <w:sz w:val="26"/>
          <w:szCs w:val="26"/>
        </w:rPr>
        <w:t xml:space="preserve">of Investigation and Enforcement </w:t>
      </w:r>
      <w:r>
        <w:rPr>
          <w:sz w:val="26"/>
          <w:szCs w:val="26"/>
        </w:rPr>
        <w:t xml:space="preserve">Prosecutory Staff to reexamine the facts and issues raised in the </w:t>
      </w:r>
      <w:r w:rsidR="00194E1F">
        <w:rPr>
          <w:sz w:val="26"/>
          <w:szCs w:val="26"/>
        </w:rPr>
        <w:t>i</w:t>
      </w:r>
      <w:r>
        <w:rPr>
          <w:sz w:val="26"/>
          <w:szCs w:val="26"/>
        </w:rPr>
        <w:t xml:space="preserve">nformal </w:t>
      </w:r>
      <w:r w:rsidR="00194E1F">
        <w:rPr>
          <w:sz w:val="26"/>
          <w:szCs w:val="26"/>
        </w:rPr>
        <w:t>investigation</w:t>
      </w:r>
      <w:r>
        <w:rPr>
          <w:sz w:val="26"/>
          <w:szCs w:val="26"/>
        </w:rPr>
        <w:t xml:space="preserve"> and </w:t>
      </w:r>
      <w:r w:rsidR="00194E1F">
        <w:rPr>
          <w:sz w:val="26"/>
          <w:szCs w:val="26"/>
        </w:rPr>
        <w:t>to tak</w:t>
      </w:r>
      <w:r>
        <w:rPr>
          <w:sz w:val="26"/>
          <w:szCs w:val="26"/>
        </w:rPr>
        <w:t>e whatever further action may be warranted.</w:t>
      </w:r>
    </w:p>
    <w:p w:rsidR="006E0CFD" w:rsidRDefault="006E0CFD" w:rsidP="006E0CFD">
      <w:pPr>
        <w:rPr>
          <w:sz w:val="26"/>
          <w:szCs w:val="26"/>
        </w:rPr>
      </w:pPr>
    </w:p>
    <w:p w:rsidR="00194E1F" w:rsidRPr="009F3A39" w:rsidRDefault="00194E1F" w:rsidP="006E0CFD">
      <w:pPr>
        <w:rPr>
          <w:sz w:val="26"/>
          <w:szCs w:val="26"/>
        </w:rPr>
      </w:pPr>
    </w:p>
    <w:p w:rsidR="006E0CFD" w:rsidRPr="009F3A39" w:rsidRDefault="00127629" w:rsidP="006E0CFD">
      <w:pPr>
        <w:tabs>
          <w:tab w:val="left" w:pos="-720"/>
        </w:tabs>
        <w:rPr>
          <w:sz w:val="26"/>
          <w:szCs w:val="26"/>
        </w:rPr>
      </w:pPr>
      <w:r>
        <w:rPr>
          <w:noProof/>
        </w:rPr>
        <w:drawing>
          <wp:anchor distT="0" distB="0" distL="114300" distR="114300" simplePos="0" relativeHeight="251659264" behindDoc="1" locked="0" layoutInCell="1" allowOverlap="1" wp14:anchorId="10B90BC5" wp14:editId="26054B73">
            <wp:simplePos x="0" y="0"/>
            <wp:positionH relativeFrom="column">
              <wp:posOffset>2914650</wp:posOffset>
            </wp:positionH>
            <wp:positionV relativeFrom="paragraph">
              <wp:posOffset>6985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E0CFD" w:rsidRPr="009F3A39">
        <w:rPr>
          <w:sz w:val="26"/>
          <w:szCs w:val="26"/>
        </w:rPr>
        <w:tab/>
      </w:r>
      <w:r w:rsidR="006E0CFD" w:rsidRPr="009F3A39">
        <w:rPr>
          <w:sz w:val="26"/>
          <w:szCs w:val="26"/>
        </w:rPr>
        <w:tab/>
      </w:r>
      <w:r w:rsidR="006E0CFD" w:rsidRPr="009F3A39">
        <w:rPr>
          <w:sz w:val="26"/>
          <w:szCs w:val="26"/>
        </w:rPr>
        <w:tab/>
      </w:r>
      <w:r w:rsidR="006E0CFD" w:rsidRPr="009F3A39">
        <w:rPr>
          <w:sz w:val="26"/>
          <w:szCs w:val="26"/>
        </w:rPr>
        <w:tab/>
      </w:r>
      <w:r w:rsidR="006E0CFD" w:rsidRPr="009F3A39">
        <w:rPr>
          <w:sz w:val="26"/>
          <w:szCs w:val="26"/>
        </w:rPr>
        <w:tab/>
      </w:r>
      <w:r w:rsidR="006E0CFD" w:rsidRPr="009F3A39">
        <w:rPr>
          <w:sz w:val="26"/>
          <w:szCs w:val="26"/>
        </w:rPr>
        <w:tab/>
      </w:r>
      <w:r w:rsidR="006E0CFD" w:rsidRPr="009F3A39">
        <w:rPr>
          <w:sz w:val="26"/>
          <w:szCs w:val="26"/>
        </w:rPr>
        <w:tab/>
      </w:r>
      <w:r w:rsidR="006E0CFD" w:rsidRPr="009F3A39">
        <w:rPr>
          <w:b/>
          <w:sz w:val="26"/>
          <w:szCs w:val="26"/>
        </w:rPr>
        <w:t>BY THE COMMISSION,</w:t>
      </w:r>
    </w:p>
    <w:p w:rsidR="006E0CFD" w:rsidRPr="009F3A39" w:rsidRDefault="006E0CFD" w:rsidP="006E0CFD">
      <w:pPr>
        <w:tabs>
          <w:tab w:val="left" w:pos="-720"/>
        </w:tabs>
        <w:rPr>
          <w:sz w:val="26"/>
          <w:szCs w:val="26"/>
        </w:rPr>
      </w:pPr>
    </w:p>
    <w:p w:rsidR="006E0CFD" w:rsidRDefault="006E0CFD" w:rsidP="006E0CFD">
      <w:pPr>
        <w:tabs>
          <w:tab w:val="left" w:pos="-720"/>
        </w:tabs>
        <w:rPr>
          <w:sz w:val="26"/>
          <w:szCs w:val="26"/>
        </w:rPr>
      </w:pPr>
      <w:bookmarkStart w:id="0" w:name="_GoBack"/>
      <w:bookmarkEnd w:id="0"/>
    </w:p>
    <w:p w:rsidR="00851E92" w:rsidRPr="009F3A39" w:rsidRDefault="00851E92" w:rsidP="006E0CFD">
      <w:pPr>
        <w:tabs>
          <w:tab w:val="left" w:pos="-720"/>
        </w:tabs>
        <w:rPr>
          <w:sz w:val="26"/>
          <w:szCs w:val="26"/>
        </w:rPr>
      </w:pPr>
    </w:p>
    <w:p w:rsidR="006E0CFD" w:rsidRPr="009F3A39" w:rsidRDefault="006E0CFD" w:rsidP="006E0CFD">
      <w:pPr>
        <w:tabs>
          <w:tab w:val="left" w:pos="-720"/>
        </w:tabs>
        <w:rPr>
          <w:sz w:val="26"/>
          <w:szCs w:val="26"/>
        </w:rPr>
      </w:pPr>
      <w:r w:rsidRPr="009F3A39">
        <w:rPr>
          <w:sz w:val="26"/>
          <w:szCs w:val="26"/>
        </w:rPr>
        <w:tab/>
      </w:r>
      <w:r w:rsidRPr="009F3A39">
        <w:rPr>
          <w:sz w:val="26"/>
          <w:szCs w:val="26"/>
        </w:rPr>
        <w:tab/>
      </w:r>
      <w:r w:rsidRPr="009F3A39">
        <w:rPr>
          <w:sz w:val="26"/>
          <w:szCs w:val="26"/>
        </w:rPr>
        <w:tab/>
      </w:r>
      <w:r w:rsidRPr="009F3A39">
        <w:rPr>
          <w:sz w:val="26"/>
          <w:szCs w:val="26"/>
        </w:rPr>
        <w:tab/>
      </w:r>
      <w:r w:rsidRPr="009F3A39">
        <w:rPr>
          <w:sz w:val="26"/>
          <w:szCs w:val="26"/>
        </w:rPr>
        <w:tab/>
      </w:r>
      <w:r w:rsidRPr="009F3A39">
        <w:rPr>
          <w:sz w:val="26"/>
          <w:szCs w:val="26"/>
        </w:rPr>
        <w:tab/>
      </w:r>
      <w:r w:rsidRPr="009F3A39">
        <w:rPr>
          <w:sz w:val="26"/>
          <w:szCs w:val="26"/>
        </w:rPr>
        <w:tab/>
      </w:r>
      <w:r w:rsidR="008477A2" w:rsidRPr="009F3A39">
        <w:rPr>
          <w:sz w:val="26"/>
          <w:szCs w:val="26"/>
        </w:rPr>
        <w:t>Rosemary Chiavetta</w:t>
      </w:r>
    </w:p>
    <w:p w:rsidR="006E0CFD" w:rsidRPr="009F3A39" w:rsidRDefault="006E0CFD" w:rsidP="006E0CFD">
      <w:pPr>
        <w:tabs>
          <w:tab w:val="left" w:pos="-720"/>
        </w:tabs>
        <w:rPr>
          <w:sz w:val="26"/>
          <w:szCs w:val="26"/>
        </w:rPr>
      </w:pPr>
      <w:r w:rsidRPr="009F3A39">
        <w:rPr>
          <w:sz w:val="26"/>
          <w:szCs w:val="26"/>
        </w:rPr>
        <w:tab/>
      </w:r>
      <w:r w:rsidRPr="009F3A39">
        <w:rPr>
          <w:sz w:val="26"/>
          <w:szCs w:val="26"/>
        </w:rPr>
        <w:tab/>
      </w:r>
      <w:r w:rsidRPr="009F3A39">
        <w:rPr>
          <w:sz w:val="26"/>
          <w:szCs w:val="26"/>
        </w:rPr>
        <w:tab/>
      </w:r>
      <w:r w:rsidRPr="009F3A39">
        <w:rPr>
          <w:sz w:val="26"/>
          <w:szCs w:val="26"/>
        </w:rPr>
        <w:tab/>
      </w:r>
      <w:r w:rsidRPr="009F3A39">
        <w:rPr>
          <w:sz w:val="26"/>
          <w:szCs w:val="26"/>
        </w:rPr>
        <w:tab/>
      </w:r>
      <w:r w:rsidRPr="009F3A39">
        <w:rPr>
          <w:sz w:val="26"/>
          <w:szCs w:val="26"/>
        </w:rPr>
        <w:tab/>
      </w:r>
      <w:r w:rsidRPr="009F3A39">
        <w:rPr>
          <w:sz w:val="26"/>
          <w:szCs w:val="26"/>
        </w:rPr>
        <w:tab/>
        <w:t>Secretary</w:t>
      </w:r>
    </w:p>
    <w:p w:rsidR="006E0CFD" w:rsidRDefault="006E0CFD" w:rsidP="006E0CFD">
      <w:pPr>
        <w:tabs>
          <w:tab w:val="left" w:pos="-720"/>
        </w:tabs>
        <w:rPr>
          <w:sz w:val="26"/>
          <w:szCs w:val="26"/>
        </w:rPr>
      </w:pPr>
    </w:p>
    <w:p w:rsidR="00194E1F" w:rsidRPr="009F3A39" w:rsidRDefault="00194E1F" w:rsidP="006E0CFD">
      <w:pPr>
        <w:tabs>
          <w:tab w:val="left" w:pos="-720"/>
        </w:tabs>
        <w:rPr>
          <w:sz w:val="26"/>
          <w:szCs w:val="26"/>
        </w:rPr>
      </w:pPr>
    </w:p>
    <w:p w:rsidR="006E0CFD" w:rsidRPr="009F3A39" w:rsidRDefault="006E0CFD" w:rsidP="006E0CFD">
      <w:pPr>
        <w:tabs>
          <w:tab w:val="left" w:pos="-720"/>
        </w:tabs>
        <w:rPr>
          <w:sz w:val="26"/>
          <w:szCs w:val="26"/>
        </w:rPr>
      </w:pPr>
      <w:r w:rsidRPr="009F3A39">
        <w:rPr>
          <w:sz w:val="26"/>
          <w:szCs w:val="26"/>
        </w:rPr>
        <w:t>(SEAL)</w:t>
      </w:r>
    </w:p>
    <w:p w:rsidR="006E0CFD" w:rsidRPr="009F3A39" w:rsidRDefault="006E0CFD" w:rsidP="006E0CFD">
      <w:pPr>
        <w:tabs>
          <w:tab w:val="left" w:pos="-720"/>
        </w:tabs>
        <w:rPr>
          <w:sz w:val="26"/>
          <w:szCs w:val="26"/>
        </w:rPr>
      </w:pPr>
    </w:p>
    <w:p w:rsidR="006E0CFD" w:rsidRPr="009F3A39" w:rsidRDefault="00605EBC" w:rsidP="006E0CFD">
      <w:pPr>
        <w:tabs>
          <w:tab w:val="left" w:pos="-720"/>
        </w:tabs>
        <w:rPr>
          <w:sz w:val="26"/>
          <w:szCs w:val="26"/>
        </w:rPr>
      </w:pPr>
      <w:r>
        <w:rPr>
          <w:sz w:val="26"/>
          <w:szCs w:val="26"/>
        </w:rPr>
        <w:t xml:space="preserve">ORDER ADOPTED: </w:t>
      </w:r>
      <w:r w:rsidR="001E77F1">
        <w:rPr>
          <w:sz w:val="26"/>
          <w:szCs w:val="26"/>
        </w:rPr>
        <w:t>March</w:t>
      </w:r>
      <w:r w:rsidR="004269D5">
        <w:rPr>
          <w:sz w:val="26"/>
          <w:szCs w:val="26"/>
        </w:rPr>
        <w:t xml:space="preserve"> </w:t>
      </w:r>
      <w:r>
        <w:rPr>
          <w:sz w:val="26"/>
          <w:szCs w:val="26"/>
        </w:rPr>
        <w:t>1</w:t>
      </w:r>
      <w:r w:rsidR="00177ABB" w:rsidRPr="009F3A39">
        <w:rPr>
          <w:sz w:val="26"/>
          <w:szCs w:val="26"/>
        </w:rPr>
        <w:t>, 2012</w:t>
      </w:r>
    </w:p>
    <w:p w:rsidR="00404CE1" w:rsidRPr="009F3A39" w:rsidRDefault="00404CE1" w:rsidP="006E0CFD">
      <w:pPr>
        <w:tabs>
          <w:tab w:val="left" w:pos="-720"/>
        </w:tabs>
        <w:rPr>
          <w:sz w:val="26"/>
          <w:szCs w:val="26"/>
        </w:rPr>
      </w:pPr>
    </w:p>
    <w:p w:rsidR="006E0CFD" w:rsidRPr="009F3A39" w:rsidRDefault="006E0CFD" w:rsidP="006E0CFD">
      <w:pPr>
        <w:tabs>
          <w:tab w:val="left" w:pos="-720"/>
        </w:tabs>
        <w:rPr>
          <w:sz w:val="26"/>
          <w:szCs w:val="26"/>
        </w:rPr>
      </w:pPr>
      <w:r w:rsidRPr="009F3A39">
        <w:rPr>
          <w:sz w:val="26"/>
          <w:szCs w:val="26"/>
        </w:rPr>
        <w:t xml:space="preserve">ORDER ENTERED:  </w:t>
      </w:r>
      <w:r w:rsidR="00127629">
        <w:rPr>
          <w:sz w:val="26"/>
          <w:szCs w:val="26"/>
        </w:rPr>
        <w:t>March 2, 2012</w:t>
      </w:r>
    </w:p>
    <w:p w:rsidR="00F439FE" w:rsidRDefault="00F439FE" w:rsidP="00F65DE0">
      <w:pPr>
        <w:spacing w:line="360" w:lineRule="auto"/>
        <w:ind w:firstLine="1440"/>
        <w:rPr>
          <w:sz w:val="26"/>
          <w:szCs w:val="26"/>
        </w:rPr>
      </w:pPr>
    </w:p>
    <w:sectPr w:rsidR="00F439FE" w:rsidSect="005A3508">
      <w:footerReference w:type="defaul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3574" w:rsidRDefault="000A3574" w:rsidP="005A3508">
      <w:r>
        <w:separator/>
      </w:r>
    </w:p>
  </w:endnote>
  <w:endnote w:type="continuationSeparator" w:id="0">
    <w:p w:rsidR="000A3574" w:rsidRDefault="000A3574" w:rsidP="005A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W1)">
    <w:altName w:val="Times New Roman"/>
    <w:charset w:val="00"/>
    <w:family w:val="roman"/>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7595"/>
      <w:docPartObj>
        <w:docPartGallery w:val="Page Numbers (Bottom of Page)"/>
        <w:docPartUnique/>
      </w:docPartObj>
    </w:sdtPr>
    <w:sdtEndPr/>
    <w:sdtContent>
      <w:p w:rsidR="00FC0162" w:rsidRDefault="00FC0162">
        <w:pPr>
          <w:pStyle w:val="Footer"/>
          <w:jc w:val="center"/>
        </w:pPr>
        <w:r>
          <w:fldChar w:fldCharType="begin"/>
        </w:r>
        <w:r>
          <w:instrText xml:space="preserve"> PAGE   \* MERGEFORMAT </w:instrText>
        </w:r>
        <w:r>
          <w:fldChar w:fldCharType="separate"/>
        </w:r>
        <w:r w:rsidR="00127629">
          <w:rPr>
            <w:noProof/>
          </w:rPr>
          <w:t>17</w:t>
        </w:r>
        <w:r>
          <w:rPr>
            <w:noProof/>
          </w:rPr>
          <w:fldChar w:fldCharType="end"/>
        </w:r>
      </w:p>
    </w:sdtContent>
  </w:sdt>
  <w:p w:rsidR="00FC0162" w:rsidRDefault="00FC01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357594"/>
      <w:docPartObj>
        <w:docPartGallery w:val="Page Numbers (Bottom of Page)"/>
        <w:docPartUnique/>
      </w:docPartObj>
    </w:sdtPr>
    <w:sdtEndPr/>
    <w:sdtContent>
      <w:p w:rsidR="00FC0162" w:rsidRDefault="000A3574">
        <w:pPr>
          <w:pStyle w:val="Footer"/>
          <w:jc w:val="center"/>
        </w:pPr>
      </w:p>
    </w:sdtContent>
  </w:sdt>
  <w:p w:rsidR="00FC0162" w:rsidRDefault="00FC01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3574" w:rsidRDefault="000A3574" w:rsidP="005A3508">
      <w:r>
        <w:separator/>
      </w:r>
    </w:p>
  </w:footnote>
  <w:footnote w:type="continuationSeparator" w:id="0">
    <w:p w:rsidR="000A3574" w:rsidRDefault="000A3574" w:rsidP="005A3508">
      <w:r>
        <w:continuationSeparator/>
      </w:r>
    </w:p>
  </w:footnote>
  <w:footnote w:id="1">
    <w:p w:rsidR="00FC0162" w:rsidRPr="00CD0D96" w:rsidRDefault="00FC0162" w:rsidP="000E6404">
      <w:pPr>
        <w:pStyle w:val="FootnoteText"/>
        <w:rPr>
          <w:rFonts w:ascii="Times New Roman" w:hAnsi="Times New Roman"/>
          <w:sz w:val="26"/>
        </w:rPr>
      </w:pPr>
      <w:r w:rsidRPr="00CD0D96">
        <w:rPr>
          <w:rStyle w:val="FootnoteReference"/>
          <w:rFonts w:ascii="Times New Roman" w:hAnsi="Times New Roman"/>
          <w:sz w:val="26"/>
        </w:rPr>
        <w:footnoteRef/>
      </w:r>
      <w:r w:rsidRPr="00CD0D96">
        <w:rPr>
          <w:rFonts w:ascii="Times New Roman" w:hAnsi="Times New Roman"/>
          <w:sz w:val="26"/>
        </w:rPr>
        <w:tab/>
        <w:t xml:space="preserve">By Order entered August 11, 2011, at Docket No. M-2008-2071852, the Commission transferred </w:t>
      </w:r>
      <w:r w:rsidR="00251EF6" w:rsidRPr="00CD0D96">
        <w:rPr>
          <w:rFonts w:ascii="Times New Roman" w:hAnsi="Times New Roman"/>
          <w:sz w:val="26"/>
        </w:rPr>
        <w:t xml:space="preserve">certain </w:t>
      </w:r>
      <w:r w:rsidRPr="00CD0D96">
        <w:rPr>
          <w:rFonts w:ascii="Times New Roman" w:hAnsi="Times New Roman"/>
          <w:sz w:val="26"/>
        </w:rPr>
        <w:t>legal staff of the Law Bureau and the technical staff of the former Bureau of Transportation and Safety’s Gas Safety Division to the Bureau of Investigation and Enforcement (BI&amp;E).  As such, the term “Prosecutory Staff” will be used throughout this Opinion and Order to refer to the legal and technical staff who previously were assigned to the Law Bureau and the former Bureau of Transportation and Safety, respectively, and who are now currently assigned to BI&amp;E.</w:t>
      </w:r>
    </w:p>
  </w:footnote>
  <w:footnote w:id="2">
    <w:p w:rsidR="00FC0162" w:rsidRPr="00D32D60" w:rsidRDefault="00FC0162" w:rsidP="000E6404">
      <w:pPr>
        <w:pStyle w:val="FootnoteText"/>
        <w:rPr>
          <w:sz w:val="26"/>
        </w:rPr>
      </w:pPr>
      <w:r w:rsidRPr="00CD0D96">
        <w:rPr>
          <w:rStyle w:val="FootnoteReference"/>
          <w:rFonts w:ascii="Times New Roman" w:hAnsi="Times New Roman"/>
          <w:sz w:val="26"/>
        </w:rPr>
        <w:footnoteRef/>
      </w:r>
      <w:r w:rsidRPr="00CD0D96">
        <w:rPr>
          <w:rFonts w:ascii="Times New Roman" w:hAnsi="Times New Roman"/>
          <w:sz w:val="26"/>
        </w:rPr>
        <w:tab/>
        <w:t xml:space="preserve">Equitable Gas Company, LLC was formerly a division of Equitable Resources. Inc., prior to a reorganization approved by the Commission at Docket No. A-121100F0006.  The incidents in question and the violations alleged herein </w:t>
      </w:r>
      <w:r w:rsidRPr="00D32D60">
        <w:rPr>
          <w:sz w:val="26"/>
        </w:rPr>
        <w:t>took place prior to the reorganization.</w:t>
      </w:r>
    </w:p>
  </w:footnote>
  <w:footnote w:id="3">
    <w:p w:rsidR="00FC0162" w:rsidRDefault="00FC0162">
      <w:pPr>
        <w:pStyle w:val="FootnoteText"/>
      </w:pPr>
      <w:r>
        <w:rPr>
          <w:rStyle w:val="FootnoteReference"/>
        </w:rPr>
        <w:footnoteRef/>
      </w:r>
      <w:r>
        <w:tab/>
      </w:r>
      <w:r w:rsidRPr="00F66DCB">
        <w:rPr>
          <w:sz w:val="26"/>
          <w:szCs w:val="26"/>
        </w:rPr>
        <w:t xml:space="preserve">The Hardship Repair Fund </w:t>
      </w:r>
      <w:r>
        <w:rPr>
          <w:sz w:val="26"/>
          <w:szCs w:val="26"/>
        </w:rPr>
        <w:t>assists</w:t>
      </w:r>
      <w:r w:rsidRPr="00F66DCB">
        <w:rPr>
          <w:sz w:val="26"/>
          <w:szCs w:val="26"/>
        </w:rPr>
        <w:t xml:space="preserve"> customers with house line, service line, and furnace repairs and replacements, a</w:t>
      </w:r>
      <w:r>
        <w:rPr>
          <w:sz w:val="26"/>
          <w:szCs w:val="26"/>
        </w:rPr>
        <w:t>nd</w:t>
      </w:r>
      <w:r w:rsidRPr="00F66DCB">
        <w:rPr>
          <w:sz w:val="26"/>
          <w:szCs w:val="26"/>
        </w:rPr>
        <w:t xml:space="preserve"> with installation of thermostats for the visually impaired.  Th</w:t>
      </w:r>
      <w:r>
        <w:rPr>
          <w:sz w:val="26"/>
          <w:szCs w:val="26"/>
        </w:rPr>
        <w:t>is</w:t>
      </w:r>
      <w:r w:rsidRPr="00F66DCB">
        <w:rPr>
          <w:sz w:val="26"/>
          <w:szCs w:val="26"/>
        </w:rPr>
        <w:t xml:space="preserve"> is a fund of last resort and is </w:t>
      </w:r>
      <w:r>
        <w:rPr>
          <w:sz w:val="26"/>
          <w:szCs w:val="26"/>
        </w:rPr>
        <w:t>used</w:t>
      </w:r>
      <w:r w:rsidRPr="00F66DCB">
        <w:rPr>
          <w:sz w:val="26"/>
          <w:szCs w:val="26"/>
        </w:rPr>
        <w:t xml:space="preserve"> when the Commonwealth’s Crisis Program is closed.  Recipients must qualify as low income but need not be in </w:t>
      </w:r>
      <w:r>
        <w:rPr>
          <w:sz w:val="26"/>
          <w:szCs w:val="26"/>
        </w:rPr>
        <w:t>Equitable</w:t>
      </w:r>
      <w:r w:rsidRPr="00F66DCB">
        <w:rPr>
          <w:sz w:val="26"/>
          <w:szCs w:val="26"/>
        </w:rPr>
        <w:t xml:space="preserve">’s customer assistance program. </w:t>
      </w:r>
    </w:p>
  </w:footnote>
  <w:footnote w:id="4">
    <w:p w:rsidR="00FC0162" w:rsidRPr="003A2081" w:rsidRDefault="00FC0162">
      <w:pPr>
        <w:pStyle w:val="FootnoteText"/>
        <w:rPr>
          <w:rFonts w:ascii="Times New Roman" w:hAnsi="Times New Roman"/>
          <w:sz w:val="26"/>
          <w:szCs w:val="26"/>
        </w:rPr>
      </w:pPr>
      <w:r w:rsidRPr="003A2081">
        <w:rPr>
          <w:rStyle w:val="FootnoteReference"/>
          <w:rFonts w:ascii="Times New Roman" w:hAnsi="Times New Roman"/>
          <w:sz w:val="26"/>
          <w:szCs w:val="26"/>
        </w:rPr>
        <w:footnoteRef/>
      </w:r>
      <w:r>
        <w:rPr>
          <w:rFonts w:ascii="Times New Roman" w:hAnsi="Times New Roman"/>
          <w:sz w:val="26"/>
          <w:szCs w:val="26"/>
        </w:rPr>
        <w:tab/>
      </w:r>
      <w:r>
        <w:rPr>
          <w:rFonts w:ascii="Times New Roman" w:hAnsi="Times New Roman"/>
          <w:i/>
          <w:sz w:val="26"/>
          <w:szCs w:val="26"/>
        </w:rPr>
        <w:t>See,</w:t>
      </w:r>
      <w:r>
        <w:rPr>
          <w:rFonts w:ascii="Times New Roman" w:hAnsi="Times New Roman"/>
          <w:sz w:val="26"/>
          <w:szCs w:val="26"/>
        </w:rPr>
        <w:t xml:space="preserve"> </w:t>
      </w:r>
      <w:r>
        <w:rPr>
          <w:rFonts w:ascii="Times New Roman" w:hAnsi="Times New Roman"/>
          <w:i/>
          <w:sz w:val="26"/>
          <w:szCs w:val="26"/>
        </w:rPr>
        <w:t xml:space="preserve">May </w:t>
      </w:r>
      <w:r w:rsidRPr="003A2081">
        <w:rPr>
          <w:rFonts w:ascii="Times New Roman" w:hAnsi="Times New Roman"/>
          <w:i/>
          <w:sz w:val="26"/>
          <w:szCs w:val="26"/>
        </w:rPr>
        <w:t>2010 Order</w:t>
      </w:r>
      <w:r>
        <w:rPr>
          <w:rFonts w:ascii="Times New Roman" w:hAnsi="Times New Roman"/>
          <w:sz w:val="26"/>
          <w:szCs w:val="26"/>
        </w:rPr>
        <w:t xml:space="preserve"> at 7-10; RSA at 16-17, ¶ 49.</w:t>
      </w:r>
    </w:p>
  </w:footnote>
  <w:footnote w:id="5">
    <w:p w:rsidR="00FC0162" w:rsidRPr="006818D4" w:rsidRDefault="00FC0162" w:rsidP="008F4726">
      <w:pPr>
        <w:ind w:right="54"/>
      </w:pPr>
      <w:r>
        <w:tab/>
      </w:r>
      <w:r w:rsidRPr="00F8566F">
        <w:rPr>
          <w:rStyle w:val="FootnoteReference"/>
          <w:sz w:val="26"/>
          <w:szCs w:val="26"/>
        </w:rPr>
        <w:footnoteRef/>
      </w:r>
      <w:r>
        <w:tab/>
      </w:r>
      <w:r w:rsidRPr="002F13E0">
        <w:rPr>
          <w:sz w:val="26"/>
          <w:szCs w:val="26"/>
        </w:rPr>
        <w:t xml:space="preserve"> Part 192 - Org., Aug. 19, 1970, as amended by Amdt. 192-27, 41 FR 34598, Aug. 16, 1976; Amdt. 192-58, 53 FR 1633, Jan. 21, 1988</w:t>
      </w:r>
      <w:r w:rsidR="002F13E0" w:rsidRPr="002F13E0">
        <w:rPr>
          <w:sz w:val="26"/>
          <w:szCs w:val="26"/>
        </w:rPr>
        <w:t>.</w:t>
      </w:r>
    </w:p>
    <w:p w:rsidR="00FC0162" w:rsidRDefault="00FC0162" w:rsidP="008F4726">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B42DA"/>
    <w:multiLevelType w:val="hybridMultilevel"/>
    <w:tmpl w:val="EFD20ED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9B603B4"/>
    <w:multiLevelType w:val="hybridMultilevel"/>
    <w:tmpl w:val="14AC6ED0"/>
    <w:lvl w:ilvl="0" w:tplc="93944256">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nsid w:val="25670F6D"/>
    <w:multiLevelType w:val="hybridMultilevel"/>
    <w:tmpl w:val="E3F49C56"/>
    <w:lvl w:ilvl="0" w:tplc="594ABE26">
      <w:start w:val="1"/>
      <w:numFmt w:val="upperLetter"/>
      <w:lvlText w:val="%1."/>
      <w:legacy w:legacy="1" w:legacySpace="0" w:legacyIndent="0"/>
      <w:lvlJc w:val="left"/>
      <w:rPr>
        <w:rFonts w:ascii="Times New Roman" w:hAnsi="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BD30E4"/>
    <w:multiLevelType w:val="hybridMultilevel"/>
    <w:tmpl w:val="A5FE8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76707F"/>
    <w:multiLevelType w:val="singleLevel"/>
    <w:tmpl w:val="2A823A38"/>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5">
    <w:nsid w:val="2BA45CD4"/>
    <w:multiLevelType w:val="hybridMultilevel"/>
    <w:tmpl w:val="E1982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660384"/>
    <w:multiLevelType w:val="hybridMultilevel"/>
    <w:tmpl w:val="2F4A76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4F3E4B4B"/>
    <w:multiLevelType w:val="singleLevel"/>
    <w:tmpl w:val="FB20B622"/>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8">
    <w:nsid w:val="56D741E0"/>
    <w:multiLevelType w:val="hybridMultilevel"/>
    <w:tmpl w:val="CB8AFF08"/>
    <w:lvl w:ilvl="0" w:tplc="6786D79A">
      <w:start w:val="17"/>
      <w:numFmt w:val="decimal"/>
      <w:lvlText w:val="%1."/>
      <w:lvlJc w:val="left"/>
      <w:pPr>
        <w:tabs>
          <w:tab w:val="num" w:pos="1368"/>
        </w:tabs>
        <w:ind w:left="0" w:firstLine="72"/>
      </w:pPr>
      <w:rPr>
        <w:rFonts w:hint="default"/>
      </w:rPr>
    </w:lvl>
    <w:lvl w:ilvl="1" w:tplc="00923C38">
      <w:start w:val="17"/>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A134EF9"/>
    <w:multiLevelType w:val="hybridMultilevel"/>
    <w:tmpl w:val="E474E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356041"/>
    <w:multiLevelType w:val="singleLevel"/>
    <w:tmpl w:val="DFE606FA"/>
    <w:lvl w:ilvl="0">
      <w:start w:val="2"/>
      <w:numFmt w:val="decimal"/>
      <w:lvlText w:val="%1."/>
      <w:legacy w:legacy="1" w:legacySpace="0" w:legacyIndent="0"/>
      <w:lvlJc w:val="left"/>
      <w:rPr>
        <w:rFonts w:ascii="Times New Roman" w:hAnsi="Times New Roman" w:cs="Times New Roman" w:hint="default"/>
        <w:color w:val="000000"/>
      </w:rPr>
    </w:lvl>
  </w:abstractNum>
  <w:abstractNum w:abstractNumId="11">
    <w:nsid w:val="60893820"/>
    <w:multiLevelType w:val="hybridMultilevel"/>
    <w:tmpl w:val="191A3A4E"/>
    <w:lvl w:ilvl="0" w:tplc="FF089216">
      <w:start w:val="45"/>
      <w:numFmt w:val="decimal"/>
      <w:lvlText w:val="%1."/>
      <w:lvlJc w:val="left"/>
      <w:pPr>
        <w:tabs>
          <w:tab w:val="num" w:pos="720"/>
        </w:tabs>
        <w:ind w:left="0" w:firstLine="720"/>
      </w:pPr>
      <w:rPr>
        <w:rFonts w:hint="default"/>
      </w:rPr>
    </w:lvl>
    <w:lvl w:ilvl="1" w:tplc="04090019">
      <w:start w:val="1"/>
      <w:numFmt w:val="lowerLetter"/>
      <w:lvlText w:val="%2."/>
      <w:lvlJc w:val="left"/>
      <w:pPr>
        <w:tabs>
          <w:tab w:val="num" w:pos="1440"/>
        </w:tabs>
        <w:ind w:left="1440" w:hanging="360"/>
      </w:pPr>
    </w:lvl>
    <w:lvl w:ilvl="2" w:tplc="A9024C86">
      <w:start w:val="54"/>
      <w:numFmt w:val="decimal"/>
      <w:lvlText w:val="%3."/>
      <w:lvlJc w:val="left"/>
      <w:pPr>
        <w:tabs>
          <w:tab w:val="num" w:pos="1980"/>
        </w:tabs>
        <w:ind w:left="1260" w:firstLine="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2551EF9"/>
    <w:multiLevelType w:val="hybridMultilevel"/>
    <w:tmpl w:val="4768C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4EA3EA">
      <w:start w:val="1"/>
      <w:numFmt w:val="bullet"/>
      <w:lvlText w:val=""/>
      <w:lvlJc w:val="left"/>
      <w:pPr>
        <w:ind w:left="2880" w:hanging="360"/>
      </w:pPr>
      <w:rPr>
        <w:rFonts w:ascii="Symbol" w:hAnsi="Symbol" w:hint="default"/>
        <w:sz w:val="26"/>
        <w:szCs w:val="26"/>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9D18F5"/>
    <w:multiLevelType w:val="singleLevel"/>
    <w:tmpl w:val="594ABE26"/>
    <w:lvl w:ilvl="0">
      <w:start w:val="1"/>
      <w:numFmt w:val="upperLetter"/>
      <w:lvlText w:val="%1."/>
      <w:legacy w:legacy="1" w:legacySpace="0" w:legacyIndent="0"/>
      <w:lvlJc w:val="left"/>
      <w:rPr>
        <w:rFonts w:ascii="Times New Roman" w:hAnsi="Times New Roman" w:cs="Times New Roman" w:hint="default"/>
        <w:color w:val="000000"/>
      </w:rPr>
    </w:lvl>
  </w:abstractNum>
  <w:abstractNum w:abstractNumId="14">
    <w:nsid w:val="711A423A"/>
    <w:multiLevelType w:val="singleLevel"/>
    <w:tmpl w:val="DFA0B1F2"/>
    <w:lvl w:ilvl="0">
      <w:start w:val="1"/>
      <w:numFmt w:val="lowerLetter"/>
      <w:lvlText w:val="%1."/>
      <w:legacy w:legacy="1" w:legacySpace="0" w:legacyIndent="0"/>
      <w:lvlJc w:val="left"/>
      <w:rPr>
        <w:rFonts w:ascii="Times New Roman" w:hAnsi="Times New Roman" w:cs="Times New Roman" w:hint="default"/>
        <w:color w:val="000000"/>
      </w:rPr>
    </w:lvl>
  </w:abstractNum>
  <w:abstractNum w:abstractNumId="15">
    <w:nsid w:val="735B4345"/>
    <w:multiLevelType w:val="singleLevel"/>
    <w:tmpl w:val="DC8097DE"/>
    <w:lvl w:ilvl="0">
      <w:start w:val="2"/>
      <w:numFmt w:val="lowerLetter"/>
      <w:lvlText w:val="%1."/>
      <w:legacy w:legacy="1" w:legacySpace="0" w:legacyIndent="0"/>
      <w:lvlJc w:val="left"/>
      <w:rPr>
        <w:rFonts w:ascii="Times New Roman" w:hAnsi="Times New Roman" w:cs="Times New Roman" w:hint="default"/>
        <w:color w:val="000000"/>
      </w:rPr>
    </w:lvl>
  </w:abstractNum>
  <w:abstractNum w:abstractNumId="16">
    <w:nsid w:val="77FC4AE3"/>
    <w:multiLevelType w:val="hybridMultilevel"/>
    <w:tmpl w:val="1FEC0C02"/>
    <w:lvl w:ilvl="0" w:tplc="52D403B8">
      <w:start w:val="1"/>
      <w:numFmt w:val="decimal"/>
      <w:lvlText w:val="%1."/>
      <w:lvlJc w:val="left"/>
      <w:pPr>
        <w:ind w:left="3120" w:hanging="9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nsid w:val="7AEA3874"/>
    <w:multiLevelType w:val="hybridMultilevel"/>
    <w:tmpl w:val="02FA6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D80CE4"/>
    <w:multiLevelType w:val="hybridMultilevel"/>
    <w:tmpl w:val="54689C0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0"/>
  </w:num>
  <w:num w:numId="2">
    <w:abstractNumId w:val="6"/>
  </w:num>
  <w:num w:numId="3">
    <w:abstractNumId w:val="12"/>
  </w:num>
  <w:num w:numId="4">
    <w:abstractNumId w:val="9"/>
  </w:num>
  <w:num w:numId="5">
    <w:abstractNumId w:val="16"/>
  </w:num>
  <w:num w:numId="6">
    <w:abstractNumId w:val="10"/>
  </w:num>
  <w:num w:numId="7">
    <w:abstractNumId w:val="3"/>
  </w:num>
  <w:num w:numId="8">
    <w:abstractNumId w:val="17"/>
  </w:num>
  <w:num w:numId="9">
    <w:abstractNumId w:val="5"/>
  </w:num>
  <w:num w:numId="10">
    <w:abstractNumId w:val="18"/>
  </w:num>
  <w:num w:numId="11">
    <w:abstractNumId w:val="13"/>
  </w:num>
  <w:num w:numId="12">
    <w:abstractNumId w:val="4"/>
  </w:num>
  <w:num w:numId="13">
    <w:abstractNumId w:val="15"/>
  </w:num>
  <w:num w:numId="14">
    <w:abstractNumId w:val="15"/>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15">
    <w:abstractNumId w:val="7"/>
  </w:num>
  <w:num w:numId="16">
    <w:abstractNumId w:val="14"/>
  </w:num>
  <w:num w:numId="17">
    <w:abstractNumId w:val="14"/>
    <w:lvlOverride w:ilvl="0">
      <w:lvl w:ilvl="0">
        <w:start w:val="2"/>
        <w:numFmt w:val="lowerLetter"/>
        <w:lvlText w:val="%1."/>
        <w:legacy w:legacy="1" w:legacySpace="0" w:legacyIndent="0"/>
        <w:lvlJc w:val="left"/>
        <w:rPr>
          <w:rFonts w:ascii="Times New Roman" w:hAnsi="Times New Roman" w:cs="Times New Roman" w:hint="default"/>
          <w:color w:val="000000"/>
        </w:rPr>
      </w:lvl>
    </w:lvlOverride>
  </w:num>
  <w:num w:numId="18">
    <w:abstractNumId w:val="14"/>
    <w:lvlOverride w:ilvl="0">
      <w:lvl w:ilvl="0">
        <w:start w:val="3"/>
        <w:numFmt w:val="lowerLetter"/>
        <w:lvlText w:val="%1."/>
        <w:legacy w:legacy="1" w:legacySpace="0" w:legacyIndent="0"/>
        <w:lvlJc w:val="left"/>
        <w:rPr>
          <w:rFonts w:ascii="Times New Roman" w:hAnsi="Times New Roman" w:cs="Times New Roman" w:hint="default"/>
          <w:color w:val="000000"/>
        </w:rPr>
      </w:lvl>
    </w:lvlOverride>
  </w:num>
  <w:num w:numId="19">
    <w:abstractNumId w:val="14"/>
    <w:lvlOverride w:ilvl="0">
      <w:lvl w:ilvl="0">
        <w:start w:val="4"/>
        <w:numFmt w:val="lowerLetter"/>
        <w:lvlText w:val="%1."/>
        <w:legacy w:legacy="1" w:legacySpace="0" w:legacyIndent="0"/>
        <w:lvlJc w:val="left"/>
        <w:rPr>
          <w:rFonts w:ascii="Times New Roman" w:hAnsi="Times New Roman" w:cs="Times New Roman" w:hint="default"/>
          <w:color w:val="000000"/>
        </w:rPr>
      </w:lvl>
    </w:lvlOverride>
  </w:num>
  <w:num w:numId="20">
    <w:abstractNumId w:val="14"/>
    <w:lvlOverride w:ilvl="0">
      <w:lvl w:ilvl="0">
        <w:start w:val="5"/>
        <w:numFmt w:val="lowerLetter"/>
        <w:lvlText w:val="%1."/>
        <w:legacy w:legacy="1" w:legacySpace="0" w:legacyIndent="0"/>
        <w:lvlJc w:val="left"/>
        <w:rPr>
          <w:rFonts w:ascii="Times New Roman" w:hAnsi="Times New Roman" w:cs="Times New Roman" w:hint="default"/>
          <w:color w:val="000000"/>
        </w:rPr>
      </w:lvl>
    </w:lvlOverride>
  </w:num>
  <w:num w:numId="21">
    <w:abstractNumId w:val="1"/>
  </w:num>
  <w:num w:numId="22">
    <w:abstractNumId w:val="2"/>
  </w:num>
  <w:num w:numId="23">
    <w:abstractNumId w:val="11"/>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B65"/>
    <w:rsid w:val="000002C5"/>
    <w:rsid w:val="000009C9"/>
    <w:rsid w:val="00000D30"/>
    <w:rsid w:val="00002EE7"/>
    <w:rsid w:val="0000359D"/>
    <w:rsid w:val="00003D98"/>
    <w:rsid w:val="0000559C"/>
    <w:rsid w:val="00005DCE"/>
    <w:rsid w:val="00005EDE"/>
    <w:rsid w:val="00010B70"/>
    <w:rsid w:val="000113B7"/>
    <w:rsid w:val="0001422F"/>
    <w:rsid w:val="0001518B"/>
    <w:rsid w:val="00016D57"/>
    <w:rsid w:val="00017852"/>
    <w:rsid w:val="00021E46"/>
    <w:rsid w:val="00022B74"/>
    <w:rsid w:val="000241B2"/>
    <w:rsid w:val="0002535E"/>
    <w:rsid w:val="00025F3F"/>
    <w:rsid w:val="00031E99"/>
    <w:rsid w:val="00032925"/>
    <w:rsid w:val="00033B45"/>
    <w:rsid w:val="00040AEA"/>
    <w:rsid w:val="00045355"/>
    <w:rsid w:val="00046D62"/>
    <w:rsid w:val="00047874"/>
    <w:rsid w:val="00047F4A"/>
    <w:rsid w:val="00050669"/>
    <w:rsid w:val="00050B0B"/>
    <w:rsid w:val="00051979"/>
    <w:rsid w:val="00052B8F"/>
    <w:rsid w:val="00053091"/>
    <w:rsid w:val="00054612"/>
    <w:rsid w:val="00055068"/>
    <w:rsid w:val="00056286"/>
    <w:rsid w:val="00057466"/>
    <w:rsid w:val="0005746B"/>
    <w:rsid w:val="000577E0"/>
    <w:rsid w:val="000628B1"/>
    <w:rsid w:val="0006427B"/>
    <w:rsid w:val="000649EC"/>
    <w:rsid w:val="00065934"/>
    <w:rsid w:val="000700CB"/>
    <w:rsid w:val="000704CA"/>
    <w:rsid w:val="000733C0"/>
    <w:rsid w:val="0007343F"/>
    <w:rsid w:val="000748CA"/>
    <w:rsid w:val="00075B79"/>
    <w:rsid w:val="00084AF9"/>
    <w:rsid w:val="000856D8"/>
    <w:rsid w:val="00086F87"/>
    <w:rsid w:val="000870A9"/>
    <w:rsid w:val="000915FA"/>
    <w:rsid w:val="000918D4"/>
    <w:rsid w:val="000966DA"/>
    <w:rsid w:val="00096F69"/>
    <w:rsid w:val="00097504"/>
    <w:rsid w:val="000A0AC1"/>
    <w:rsid w:val="000A1A9E"/>
    <w:rsid w:val="000A3574"/>
    <w:rsid w:val="000A365D"/>
    <w:rsid w:val="000A4534"/>
    <w:rsid w:val="000A46FF"/>
    <w:rsid w:val="000A570D"/>
    <w:rsid w:val="000B216D"/>
    <w:rsid w:val="000B27C7"/>
    <w:rsid w:val="000B2B1C"/>
    <w:rsid w:val="000B3382"/>
    <w:rsid w:val="000B4EAE"/>
    <w:rsid w:val="000B607A"/>
    <w:rsid w:val="000B6B15"/>
    <w:rsid w:val="000C2AE3"/>
    <w:rsid w:val="000C4C2E"/>
    <w:rsid w:val="000C6867"/>
    <w:rsid w:val="000D4FDF"/>
    <w:rsid w:val="000D5BD1"/>
    <w:rsid w:val="000D5D0D"/>
    <w:rsid w:val="000E0DFB"/>
    <w:rsid w:val="000E0E77"/>
    <w:rsid w:val="000E2126"/>
    <w:rsid w:val="000E4D25"/>
    <w:rsid w:val="000E6404"/>
    <w:rsid w:val="000F09E9"/>
    <w:rsid w:val="000F508B"/>
    <w:rsid w:val="0010158F"/>
    <w:rsid w:val="001041DA"/>
    <w:rsid w:val="00104750"/>
    <w:rsid w:val="00104D9B"/>
    <w:rsid w:val="00105888"/>
    <w:rsid w:val="00105B8C"/>
    <w:rsid w:val="00116B2A"/>
    <w:rsid w:val="00117AE7"/>
    <w:rsid w:val="00117CB2"/>
    <w:rsid w:val="00121BD8"/>
    <w:rsid w:val="00123A2E"/>
    <w:rsid w:val="00124A6F"/>
    <w:rsid w:val="001267D4"/>
    <w:rsid w:val="00127629"/>
    <w:rsid w:val="00133D1F"/>
    <w:rsid w:val="00135972"/>
    <w:rsid w:val="001360FC"/>
    <w:rsid w:val="00137DD9"/>
    <w:rsid w:val="001435BE"/>
    <w:rsid w:val="0014497F"/>
    <w:rsid w:val="001455C5"/>
    <w:rsid w:val="00147145"/>
    <w:rsid w:val="00151132"/>
    <w:rsid w:val="00152400"/>
    <w:rsid w:val="001541FB"/>
    <w:rsid w:val="00155E85"/>
    <w:rsid w:val="00156DA2"/>
    <w:rsid w:val="001574C4"/>
    <w:rsid w:val="00157DC4"/>
    <w:rsid w:val="001649B5"/>
    <w:rsid w:val="00164CBB"/>
    <w:rsid w:val="00164DA4"/>
    <w:rsid w:val="00164F0E"/>
    <w:rsid w:val="001663C8"/>
    <w:rsid w:val="00167390"/>
    <w:rsid w:val="001677D8"/>
    <w:rsid w:val="00170A2D"/>
    <w:rsid w:val="001716F9"/>
    <w:rsid w:val="00173A67"/>
    <w:rsid w:val="00173A7B"/>
    <w:rsid w:val="0017480C"/>
    <w:rsid w:val="00174D3D"/>
    <w:rsid w:val="00175CD5"/>
    <w:rsid w:val="00177ABB"/>
    <w:rsid w:val="0018029C"/>
    <w:rsid w:val="0018044B"/>
    <w:rsid w:val="001819EC"/>
    <w:rsid w:val="0018588F"/>
    <w:rsid w:val="00186A97"/>
    <w:rsid w:val="00187B06"/>
    <w:rsid w:val="00191404"/>
    <w:rsid w:val="0019177F"/>
    <w:rsid w:val="00194E1F"/>
    <w:rsid w:val="00195B08"/>
    <w:rsid w:val="00196280"/>
    <w:rsid w:val="00196301"/>
    <w:rsid w:val="0019669A"/>
    <w:rsid w:val="0019693A"/>
    <w:rsid w:val="001A1E57"/>
    <w:rsid w:val="001A50B8"/>
    <w:rsid w:val="001A7E0C"/>
    <w:rsid w:val="001B1DB4"/>
    <w:rsid w:val="001B4495"/>
    <w:rsid w:val="001B5DB9"/>
    <w:rsid w:val="001B6772"/>
    <w:rsid w:val="001C1782"/>
    <w:rsid w:val="001C3767"/>
    <w:rsid w:val="001C4978"/>
    <w:rsid w:val="001D386F"/>
    <w:rsid w:val="001D4E27"/>
    <w:rsid w:val="001D551A"/>
    <w:rsid w:val="001D7353"/>
    <w:rsid w:val="001E065F"/>
    <w:rsid w:val="001E1276"/>
    <w:rsid w:val="001E40A4"/>
    <w:rsid w:val="001E77F1"/>
    <w:rsid w:val="001F37D7"/>
    <w:rsid w:val="001F39F4"/>
    <w:rsid w:val="001F6CC4"/>
    <w:rsid w:val="00201C65"/>
    <w:rsid w:val="00202524"/>
    <w:rsid w:val="00203CB6"/>
    <w:rsid w:val="00205078"/>
    <w:rsid w:val="002062E5"/>
    <w:rsid w:val="00210043"/>
    <w:rsid w:val="00210F81"/>
    <w:rsid w:val="00211622"/>
    <w:rsid w:val="00211A5E"/>
    <w:rsid w:val="00213734"/>
    <w:rsid w:val="00213A1B"/>
    <w:rsid w:val="00214AD0"/>
    <w:rsid w:val="00214E9B"/>
    <w:rsid w:val="00217975"/>
    <w:rsid w:val="002209FB"/>
    <w:rsid w:val="002224F7"/>
    <w:rsid w:val="0022610F"/>
    <w:rsid w:val="00226E3B"/>
    <w:rsid w:val="00231E9F"/>
    <w:rsid w:val="00236911"/>
    <w:rsid w:val="0023692B"/>
    <w:rsid w:val="00240D7B"/>
    <w:rsid w:val="00241DB8"/>
    <w:rsid w:val="00246362"/>
    <w:rsid w:val="0025034D"/>
    <w:rsid w:val="00250A48"/>
    <w:rsid w:val="00251EF6"/>
    <w:rsid w:val="00254F2B"/>
    <w:rsid w:val="00260957"/>
    <w:rsid w:val="00260DE2"/>
    <w:rsid w:val="00263136"/>
    <w:rsid w:val="00263C63"/>
    <w:rsid w:val="00265F89"/>
    <w:rsid w:val="002673F1"/>
    <w:rsid w:val="0026797C"/>
    <w:rsid w:val="0027095B"/>
    <w:rsid w:val="00271697"/>
    <w:rsid w:val="0027232D"/>
    <w:rsid w:val="002733A5"/>
    <w:rsid w:val="00274B88"/>
    <w:rsid w:val="00274DE5"/>
    <w:rsid w:val="0027591F"/>
    <w:rsid w:val="00281E34"/>
    <w:rsid w:val="00290A06"/>
    <w:rsid w:val="00291F68"/>
    <w:rsid w:val="002935B1"/>
    <w:rsid w:val="002A37D4"/>
    <w:rsid w:val="002A3A9B"/>
    <w:rsid w:val="002A4450"/>
    <w:rsid w:val="002B046A"/>
    <w:rsid w:val="002B5489"/>
    <w:rsid w:val="002B67B7"/>
    <w:rsid w:val="002C0429"/>
    <w:rsid w:val="002C0D3C"/>
    <w:rsid w:val="002C4480"/>
    <w:rsid w:val="002C4875"/>
    <w:rsid w:val="002C517C"/>
    <w:rsid w:val="002C65B4"/>
    <w:rsid w:val="002D13C4"/>
    <w:rsid w:val="002D275E"/>
    <w:rsid w:val="002D417E"/>
    <w:rsid w:val="002D508A"/>
    <w:rsid w:val="002D56D5"/>
    <w:rsid w:val="002D6357"/>
    <w:rsid w:val="002E1AF0"/>
    <w:rsid w:val="002E1E18"/>
    <w:rsid w:val="002E2838"/>
    <w:rsid w:val="002E3026"/>
    <w:rsid w:val="002E3E1A"/>
    <w:rsid w:val="002E3F06"/>
    <w:rsid w:val="002E4B6B"/>
    <w:rsid w:val="002E5B9F"/>
    <w:rsid w:val="002F13E0"/>
    <w:rsid w:val="002F22EE"/>
    <w:rsid w:val="002F3F04"/>
    <w:rsid w:val="002F41BA"/>
    <w:rsid w:val="002F6F8E"/>
    <w:rsid w:val="002F7CF0"/>
    <w:rsid w:val="00301890"/>
    <w:rsid w:val="003018AA"/>
    <w:rsid w:val="00301A19"/>
    <w:rsid w:val="00303B99"/>
    <w:rsid w:val="00304A30"/>
    <w:rsid w:val="00304BED"/>
    <w:rsid w:val="0030714F"/>
    <w:rsid w:val="00314A43"/>
    <w:rsid w:val="003159CB"/>
    <w:rsid w:val="003209F4"/>
    <w:rsid w:val="003373EF"/>
    <w:rsid w:val="003417AB"/>
    <w:rsid w:val="003453FD"/>
    <w:rsid w:val="00353396"/>
    <w:rsid w:val="00353937"/>
    <w:rsid w:val="00360693"/>
    <w:rsid w:val="00361C2D"/>
    <w:rsid w:val="003622CA"/>
    <w:rsid w:val="00363030"/>
    <w:rsid w:val="0036462C"/>
    <w:rsid w:val="00364A42"/>
    <w:rsid w:val="003755FB"/>
    <w:rsid w:val="0037577C"/>
    <w:rsid w:val="00375FE4"/>
    <w:rsid w:val="0037684F"/>
    <w:rsid w:val="00377763"/>
    <w:rsid w:val="00377B0A"/>
    <w:rsid w:val="00380A1A"/>
    <w:rsid w:val="00381F17"/>
    <w:rsid w:val="003829AD"/>
    <w:rsid w:val="00385502"/>
    <w:rsid w:val="00385E48"/>
    <w:rsid w:val="00390811"/>
    <w:rsid w:val="00390AB7"/>
    <w:rsid w:val="003A02E7"/>
    <w:rsid w:val="003A2081"/>
    <w:rsid w:val="003A3E2E"/>
    <w:rsid w:val="003B0611"/>
    <w:rsid w:val="003B3B69"/>
    <w:rsid w:val="003B6CB0"/>
    <w:rsid w:val="003C3140"/>
    <w:rsid w:val="003C3E02"/>
    <w:rsid w:val="003C3FE8"/>
    <w:rsid w:val="003C5E3E"/>
    <w:rsid w:val="003D21C5"/>
    <w:rsid w:val="003D59D6"/>
    <w:rsid w:val="003D6AB5"/>
    <w:rsid w:val="003D6C96"/>
    <w:rsid w:val="003D78BF"/>
    <w:rsid w:val="003E376C"/>
    <w:rsid w:val="003E40A7"/>
    <w:rsid w:val="003F0044"/>
    <w:rsid w:val="003F6190"/>
    <w:rsid w:val="004029BB"/>
    <w:rsid w:val="00403D6E"/>
    <w:rsid w:val="0040480A"/>
    <w:rsid w:val="00404CE1"/>
    <w:rsid w:val="00405E36"/>
    <w:rsid w:val="00414170"/>
    <w:rsid w:val="004143E1"/>
    <w:rsid w:val="004172DE"/>
    <w:rsid w:val="00421DE5"/>
    <w:rsid w:val="004266B4"/>
    <w:rsid w:val="004269D5"/>
    <w:rsid w:val="0043068A"/>
    <w:rsid w:val="00432D69"/>
    <w:rsid w:val="00436BD3"/>
    <w:rsid w:val="00440DF9"/>
    <w:rsid w:val="00441207"/>
    <w:rsid w:val="0044539E"/>
    <w:rsid w:val="004462F7"/>
    <w:rsid w:val="00450109"/>
    <w:rsid w:val="00451423"/>
    <w:rsid w:val="00454AD0"/>
    <w:rsid w:val="00457280"/>
    <w:rsid w:val="0046019D"/>
    <w:rsid w:val="00460483"/>
    <w:rsid w:val="00460F3D"/>
    <w:rsid w:val="0046514E"/>
    <w:rsid w:val="004662B5"/>
    <w:rsid w:val="00472D9E"/>
    <w:rsid w:val="0047475D"/>
    <w:rsid w:val="00474E22"/>
    <w:rsid w:val="00475608"/>
    <w:rsid w:val="0047608F"/>
    <w:rsid w:val="00476554"/>
    <w:rsid w:val="00477E17"/>
    <w:rsid w:val="004812B7"/>
    <w:rsid w:val="0049040E"/>
    <w:rsid w:val="00491D91"/>
    <w:rsid w:val="00491DB3"/>
    <w:rsid w:val="00491E00"/>
    <w:rsid w:val="004931FA"/>
    <w:rsid w:val="0049381F"/>
    <w:rsid w:val="0049768F"/>
    <w:rsid w:val="004A04E5"/>
    <w:rsid w:val="004A072D"/>
    <w:rsid w:val="004A2165"/>
    <w:rsid w:val="004B1052"/>
    <w:rsid w:val="004B373F"/>
    <w:rsid w:val="004B4A57"/>
    <w:rsid w:val="004B4B8E"/>
    <w:rsid w:val="004B5697"/>
    <w:rsid w:val="004B5B65"/>
    <w:rsid w:val="004B6B64"/>
    <w:rsid w:val="004C014D"/>
    <w:rsid w:val="004C019F"/>
    <w:rsid w:val="004D0910"/>
    <w:rsid w:val="004D1E1B"/>
    <w:rsid w:val="004D4559"/>
    <w:rsid w:val="004D5567"/>
    <w:rsid w:val="004D721F"/>
    <w:rsid w:val="004E09AB"/>
    <w:rsid w:val="004E42E2"/>
    <w:rsid w:val="004E459B"/>
    <w:rsid w:val="004E514F"/>
    <w:rsid w:val="004E56D6"/>
    <w:rsid w:val="004E737F"/>
    <w:rsid w:val="004F22DA"/>
    <w:rsid w:val="004F3F7C"/>
    <w:rsid w:val="00504834"/>
    <w:rsid w:val="00505AEE"/>
    <w:rsid w:val="0050632E"/>
    <w:rsid w:val="00511EF3"/>
    <w:rsid w:val="00514507"/>
    <w:rsid w:val="005164A3"/>
    <w:rsid w:val="00520B09"/>
    <w:rsid w:val="00521350"/>
    <w:rsid w:val="005234BE"/>
    <w:rsid w:val="00524F31"/>
    <w:rsid w:val="00527171"/>
    <w:rsid w:val="005308EA"/>
    <w:rsid w:val="00532E15"/>
    <w:rsid w:val="00533074"/>
    <w:rsid w:val="00533B13"/>
    <w:rsid w:val="00536011"/>
    <w:rsid w:val="00540789"/>
    <w:rsid w:val="00547216"/>
    <w:rsid w:val="00547633"/>
    <w:rsid w:val="00551AEB"/>
    <w:rsid w:val="00551E45"/>
    <w:rsid w:val="0055239D"/>
    <w:rsid w:val="00552C9A"/>
    <w:rsid w:val="005532F9"/>
    <w:rsid w:val="0055440B"/>
    <w:rsid w:val="005547BD"/>
    <w:rsid w:val="005551EA"/>
    <w:rsid w:val="00556989"/>
    <w:rsid w:val="0055708D"/>
    <w:rsid w:val="00561CA6"/>
    <w:rsid w:val="005627F4"/>
    <w:rsid w:val="00566C6A"/>
    <w:rsid w:val="00572E70"/>
    <w:rsid w:val="00573531"/>
    <w:rsid w:val="0058292F"/>
    <w:rsid w:val="005869FB"/>
    <w:rsid w:val="00586C11"/>
    <w:rsid w:val="00594B1B"/>
    <w:rsid w:val="00595ADD"/>
    <w:rsid w:val="00596954"/>
    <w:rsid w:val="00596A0B"/>
    <w:rsid w:val="00596CDB"/>
    <w:rsid w:val="00596E05"/>
    <w:rsid w:val="005970FA"/>
    <w:rsid w:val="005A0D25"/>
    <w:rsid w:val="005A2298"/>
    <w:rsid w:val="005A3508"/>
    <w:rsid w:val="005A64EB"/>
    <w:rsid w:val="005A72FC"/>
    <w:rsid w:val="005A7DD7"/>
    <w:rsid w:val="005B0388"/>
    <w:rsid w:val="005B109A"/>
    <w:rsid w:val="005B7EAA"/>
    <w:rsid w:val="005C0856"/>
    <w:rsid w:val="005C2D17"/>
    <w:rsid w:val="005C4347"/>
    <w:rsid w:val="005C5D48"/>
    <w:rsid w:val="005C7970"/>
    <w:rsid w:val="005D040A"/>
    <w:rsid w:val="005D11A9"/>
    <w:rsid w:val="005D2AB9"/>
    <w:rsid w:val="005D4FF8"/>
    <w:rsid w:val="005D687E"/>
    <w:rsid w:val="005D7960"/>
    <w:rsid w:val="005E6960"/>
    <w:rsid w:val="005E7D75"/>
    <w:rsid w:val="005F113D"/>
    <w:rsid w:val="005F28CD"/>
    <w:rsid w:val="005F33EC"/>
    <w:rsid w:val="005F7B32"/>
    <w:rsid w:val="0060383C"/>
    <w:rsid w:val="0060477D"/>
    <w:rsid w:val="00605EBC"/>
    <w:rsid w:val="00606C57"/>
    <w:rsid w:val="00607840"/>
    <w:rsid w:val="00610106"/>
    <w:rsid w:val="00611215"/>
    <w:rsid w:val="006167B1"/>
    <w:rsid w:val="00623862"/>
    <w:rsid w:val="00624400"/>
    <w:rsid w:val="0062547D"/>
    <w:rsid w:val="00626162"/>
    <w:rsid w:val="00626DD6"/>
    <w:rsid w:val="00630F4E"/>
    <w:rsid w:val="00633131"/>
    <w:rsid w:val="00634016"/>
    <w:rsid w:val="00644176"/>
    <w:rsid w:val="00644AA6"/>
    <w:rsid w:val="00644E93"/>
    <w:rsid w:val="00650452"/>
    <w:rsid w:val="00650975"/>
    <w:rsid w:val="00653611"/>
    <w:rsid w:val="00653C64"/>
    <w:rsid w:val="00654A29"/>
    <w:rsid w:val="0065545A"/>
    <w:rsid w:val="0065699C"/>
    <w:rsid w:val="00661056"/>
    <w:rsid w:val="0066255E"/>
    <w:rsid w:val="006626D3"/>
    <w:rsid w:val="00663ED4"/>
    <w:rsid w:val="00665D85"/>
    <w:rsid w:val="00670C5B"/>
    <w:rsid w:val="00671765"/>
    <w:rsid w:val="0067214D"/>
    <w:rsid w:val="00676A20"/>
    <w:rsid w:val="0067794B"/>
    <w:rsid w:val="00681CEC"/>
    <w:rsid w:val="00682469"/>
    <w:rsid w:val="00682B88"/>
    <w:rsid w:val="00682E96"/>
    <w:rsid w:val="00686B5C"/>
    <w:rsid w:val="00695D34"/>
    <w:rsid w:val="006A67F0"/>
    <w:rsid w:val="006B3629"/>
    <w:rsid w:val="006C2F82"/>
    <w:rsid w:val="006C3FEA"/>
    <w:rsid w:val="006D01B3"/>
    <w:rsid w:val="006D5072"/>
    <w:rsid w:val="006D7CA2"/>
    <w:rsid w:val="006E0678"/>
    <w:rsid w:val="006E0CFD"/>
    <w:rsid w:val="006E1E6C"/>
    <w:rsid w:val="006E234B"/>
    <w:rsid w:val="006E47C6"/>
    <w:rsid w:val="006E5505"/>
    <w:rsid w:val="006E6025"/>
    <w:rsid w:val="006F187B"/>
    <w:rsid w:val="006F1EA6"/>
    <w:rsid w:val="006F240A"/>
    <w:rsid w:val="006F2D51"/>
    <w:rsid w:val="006F2FB3"/>
    <w:rsid w:val="006F62BC"/>
    <w:rsid w:val="006F7D1D"/>
    <w:rsid w:val="00700917"/>
    <w:rsid w:val="00711531"/>
    <w:rsid w:val="007121C2"/>
    <w:rsid w:val="00712D59"/>
    <w:rsid w:val="007141AE"/>
    <w:rsid w:val="00714F3B"/>
    <w:rsid w:val="00715DAC"/>
    <w:rsid w:val="007164D8"/>
    <w:rsid w:val="007166F7"/>
    <w:rsid w:val="00716953"/>
    <w:rsid w:val="00716AEF"/>
    <w:rsid w:val="00717076"/>
    <w:rsid w:val="00722E78"/>
    <w:rsid w:val="00723B78"/>
    <w:rsid w:val="007254C6"/>
    <w:rsid w:val="0072699C"/>
    <w:rsid w:val="00727370"/>
    <w:rsid w:val="0072784C"/>
    <w:rsid w:val="00732AD4"/>
    <w:rsid w:val="00733803"/>
    <w:rsid w:val="0073431C"/>
    <w:rsid w:val="00735D9E"/>
    <w:rsid w:val="0074109C"/>
    <w:rsid w:val="0074284D"/>
    <w:rsid w:val="007525A7"/>
    <w:rsid w:val="00754133"/>
    <w:rsid w:val="007541ED"/>
    <w:rsid w:val="007543B0"/>
    <w:rsid w:val="00754580"/>
    <w:rsid w:val="0075495C"/>
    <w:rsid w:val="007551E5"/>
    <w:rsid w:val="007568A9"/>
    <w:rsid w:val="00761514"/>
    <w:rsid w:val="00762215"/>
    <w:rsid w:val="00762EAA"/>
    <w:rsid w:val="00763CE7"/>
    <w:rsid w:val="0077278C"/>
    <w:rsid w:val="0077639A"/>
    <w:rsid w:val="007773CB"/>
    <w:rsid w:val="0078100C"/>
    <w:rsid w:val="00782ACF"/>
    <w:rsid w:val="00783BCB"/>
    <w:rsid w:val="00786F48"/>
    <w:rsid w:val="0078772C"/>
    <w:rsid w:val="007878E4"/>
    <w:rsid w:val="007939A5"/>
    <w:rsid w:val="00793BC8"/>
    <w:rsid w:val="00795050"/>
    <w:rsid w:val="007963BD"/>
    <w:rsid w:val="007A1E5A"/>
    <w:rsid w:val="007A497E"/>
    <w:rsid w:val="007A5191"/>
    <w:rsid w:val="007A538F"/>
    <w:rsid w:val="007A5549"/>
    <w:rsid w:val="007A637C"/>
    <w:rsid w:val="007B38DA"/>
    <w:rsid w:val="007B3AE8"/>
    <w:rsid w:val="007B3FA5"/>
    <w:rsid w:val="007B4418"/>
    <w:rsid w:val="007B5F62"/>
    <w:rsid w:val="007B66B3"/>
    <w:rsid w:val="007B7E81"/>
    <w:rsid w:val="007C46DF"/>
    <w:rsid w:val="007C4DFB"/>
    <w:rsid w:val="007C6426"/>
    <w:rsid w:val="007D2970"/>
    <w:rsid w:val="007D3AA0"/>
    <w:rsid w:val="007D3FE2"/>
    <w:rsid w:val="007E0659"/>
    <w:rsid w:val="007E1E0B"/>
    <w:rsid w:val="007E1E1B"/>
    <w:rsid w:val="007E4D99"/>
    <w:rsid w:val="007F05EB"/>
    <w:rsid w:val="007F0EE4"/>
    <w:rsid w:val="007F232D"/>
    <w:rsid w:val="007F6A8C"/>
    <w:rsid w:val="008042EF"/>
    <w:rsid w:val="00804D79"/>
    <w:rsid w:val="00805665"/>
    <w:rsid w:val="00810603"/>
    <w:rsid w:val="008108D9"/>
    <w:rsid w:val="00813219"/>
    <w:rsid w:val="00817710"/>
    <w:rsid w:val="00820FEC"/>
    <w:rsid w:val="00824AD0"/>
    <w:rsid w:val="008322AD"/>
    <w:rsid w:val="00832F5F"/>
    <w:rsid w:val="0083324D"/>
    <w:rsid w:val="00834742"/>
    <w:rsid w:val="00836C56"/>
    <w:rsid w:val="008410B6"/>
    <w:rsid w:val="00841733"/>
    <w:rsid w:val="0084372C"/>
    <w:rsid w:val="00844D38"/>
    <w:rsid w:val="00844D85"/>
    <w:rsid w:val="008477A2"/>
    <w:rsid w:val="00850DBE"/>
    <w:rsid w:val="00851E92"/>
    <w:rsid w:val="008524BE"/>
    <w:rsid w:val="00852749"/>
    <w:rsid w:val="00853BC2"/>
    <w:rsid w:val="00854278"/>
    <w:rsid w:val="00854E47"/>
    <w:rsid w:val="008557C6"/>
    <w:rsid w:val="0085632B"/>
    <w:rsid w:val="0086236A"/>
    <w:rsid w:val="00864C6E"/>
    <w:rsid w:val="00870143"/>
    <w:rsid w:val="0087035A"/>
    <w:rsid w:val="00873A67"/>
    <w:rsid w:val="00882DAD"/>
    <w:rsid w:val="00884411"/>
    <w:rsid w:val="00884817"/>
    <w:rsid w:val="008874BA"/>
    <w:rsid w:val="008922DA"/>
    <w:rsid w:val="008941C9"/>
    <w:rsid w:val="008949B1"/>
    <w:rsid w:val="0089713E"/>
    <w:rsid w:val="008A2CB4"/>
    <w:rsid w:val="008A3176"/>
    <w:rsid w:val="008A4B83"/>
    <w:rsid w:val="008A53B7"/>
    <w:rsid w:val="008A56D8"/>
    <w:rsid w:val="008B1F56"/>
    <w:rsid w:val="008B6C3D"/>
    <w:rsid w:val="008C09C4"/>
    <w:rsid w:val="008C1F44"/>
    <w:rsid w:val="008C4081"/>
    <w:rsid w:val="008C4830"/>
    <w:rsid w:val="008D1C79"/>
    <w:rsid w:val="008D3B3E"/>
    <w:rsid w:val="008D5234"/>
    <w:rsid w:val="008E06A8"/>
    <w:rsid w:val="008E64E9"/>
    <w:rsid w:val="008E7710"/>
    <w:rsid w:val="008F0CE6"/>
    <w:rsid w:val="008F4726"/>
    <w:rsid w:val="008F61E2"/>
    <w:rsid w:val="008F765B"/>
    <w:rsid w:val="00903F34"/>
    <w:rsid w:val="00905C0A"/>
    <w:rsid w:val="00906913"/>
    <w:rsid w:val="00907832"/>
    <w:rsid w:val="00913DD3"/>
    <w:rsid w:val="0091457E"/>
    <w:rsid w:val="00915634"/>
    <w:rsid w:val="00920FD4"/>
    <w:rsid w:val="00922D8D"/>
    <w:rsid w:val="009247F5"/>
    <w:rsid w:val="0092576D"/>
    <w:rsid w:val="0092609D"/>
    <w:rsid w:val="009264CF"/>
    <w:rsid w:val="00927B91"/>
    <w:rsid w:val="009303FB"/>
    <w:rsid w:val="00936976"/>
    <w:rsid w:val="00942436"/>
    <w:rsid w:val="00942DB9"/>
    <w:rsid w:val="00943100"/>
    <w:rsid w:val="00946D69"/>
    <w:rsid w:val="00947881"/>
    <w:rsid w:val="009520E5"/>
    <w:rsid w:val="00954FC0"/>
    <w:rsid w:val="009569FC"/>
    <w:rsid w:val="00957A1D"/>
    <w:rsid w:val="0096487B"/>
    <w:rsid w:val="00965D48"/>
    <w:rsid w:val="0097452C"/>
    <w:rsid w:val="00976EE5"/>
    <w:rsid w:val="0098053F"/>
    <w:rsid w:val="0098097D"/>
    <w:rsid w:val="00984B58"/>
    <w:rsid w:val="00985537"/>
    <w:rsid w:val="009903D9"/>
    <w:rsid w:val="009923AD"/>
    <w:rsid w:val="00992D1E"/>
    <w:rsid w:val="0099704B"/>
    <w:rsid w:val="009A06F5"/>
    <w:rsid w:val="009A0788"/>
    <w:rsid w:val="009A1A22"/>
    <w:rsid w:val="009A26EA"/>
    <w:rsid w:val="009A5FAF"/>
    <w:rsid w:val="009A7E4F"/>
    <w:rsid w:val="009B03DF"/>
    <w:rsid w:val="009B0B79"/>
    <w:rsid w:val="009B40D5"/>
    <w:rsid w:val="009B6AF0"/>
    <w:rsid w:val="009B6DA4"/>
    <w:rsid w:val="009B76D8"/>
    <w:rsid w:val="009B7768"/>
    <w:rsid w:val="009C07CE"/>
    <w:rsid w:val="009D04FB"/>
    <w:rsid w:val="009D1035"/>
    <w:rsid w:val="009D1D05"/>
    <w:rsid w:val="009D6BD1"/>
    <w:rsid w:val="009D7D33"/>
    <w:rsid w:val="009F1547"/>
    <w:rsid w:val="009F16E1"/>
    <w:rsid w:val="009F3A39"/>
    <w:rsid w:val="009F4562"/>
    <w:rsid w:val="009F7422"/>
    <w:rsid w:val="00A00E8B"/>
    <w:rsid w:val="00A03060"/>
    <w:rsid w:val="00A03133"/>
    <w:rsid w:val="00A05F20"/>
    <w:rsid w:val="00A06667"/>
    <w:rsid w:val="00A066AE"/>
    <w:rsid w:val="00A12B84"/>
    <w:rsid w:val="00A14147"/>
    <w:rsid w:val="00A20F78"/>
    <w:rsid w:val="00A225C4"/>
    <w:rsid w:val="00A22819"/>
    <w:rsid w:val="00A22C47"/>
    <w:rsid w:val="00A24B65"/>
    <w:rsid w:val="00A27DEE"/>
    <w:rsid w:val="00A312C4"/>
    <w:rsid w:val="00A33CF8"/>
    <w:rsid w:val="00A369D1"/>
    <w:rsid w:val="00A36F41"/>
    <w:rsid w:val="00A406C7"/>
    <w:rsid w:val="00A415BD"/>
    <w:rsid w:val="00A44150"/>
    <w:rsid w:val="00A45270"/>
    <w:rsid w:val="00A47CF0"/>
    <w:rsid w:val="00A54AFD"/>
    <w:rsid w:val="00A54BC1"/>
    <w:rsid w:val="00A60FC6"/>
    <w:rsid w:val="00A62113"/>
    <w:rsid w:val="00A67923"/>
    <w:rsid w:val="00A70626"/>
    <w:rsid w:val="00A70AE3"/>
    <w:rsid w:val="00A714B8"/>
    <w:rsid w:val="00A74DA3"/>
    <w:rsid w:val="00A7702E"/>
    <w:rsid w:val="00A81384"/>
    <w:rsid w:val="00A8158A"/>
    <w:rsid w:val="00A82058"/>
    <w:rsid w:val="00A83CEF"/>
    <w:rsid w:val="00A869B0"/>
    <w:rsid w:val="00A9203B"/>
    <w:rsid w:val="00A92499"/>
    <w:rsid w:val="00A92FF8"/>
    <w:rsid w:val="00A95879"/>
    <w:rsid w:val="00A95BC9"/>
    <w:rsid w:val="00A973FA"/>
    <w:rsid w:val="00AA012E"/>
    <w:rsid w:val="00AA0150"/>
    <w:rsid w:val="00AA204C"/>
    <w:rsid w:val="00AA2D57"/>
    <w:rsid w:val="00AB143A"/>
    <w:rsid w:val="00AB15AE"/>
    <w:rsid w:val="00AB5ED5"/>
    <w:rsid w:val="00AC2C39"/>
    <w:rsid w:val="00AC62C9"/>
    <w:rsid w:val="00AC7869"/>
    <w:rsid w:val="00AD2FE7"/>
    <w:rsid w:val="00AD489B"/>
    <w:rsid w:val="00AD6968"/>
    <w:rsid w:val="00AD76DF"/>
    <w:rsid w:val="00AE1A4A"/>
    <w:rsid w:val="00AE2851"/>
    <w:rsid w:val="00AE3014"/>
    <w:rsid w:val="00AE33FF"/>
    <w:rsid w:val="00AF06D5"/>
    <w:rsid w:val="00AF09DD"/>
    <w:rsid w:val="00AF286F"/>
    <w:rsid w:val="00B009FC"/>
    <w:rsid w:val="00B02655"/>
    <w:rsid w:val="00B0350F"/>
    <w:rsid w:val="00B05102"/>
    <w:rsid w:val="00B05D97"/>
    <w:rsid w:val="00B06FF0"/>
    <w:rsid w:val="00B0711B"/>
    <w:rsid w:val="00B0782F"/>
    <w:rsid w:val="00B147E7"/>
    <w:rsid w:val="00B148D9"/>
    <w:rsid w:val="00B16A34"/>
    <w:rsid w:val="00B16BD1"/>
    <w:rsid w:val="00B17564"/>
    <w:rsid w:val="00B208AD"/>
    <w:rsid w:val="00B21C63"/>
    <w:rsid w:val="00B31B9C"/>
    <w:rsid w:val="00B321AE"/>
    <w:rsid w:val="00B33E87"/>
    <w:rsid w:val="00B35151"/>
    <w:rsid w:val="00B36185"/>
    <w:rsid w:val="00B42A05"/>
    <w:rsid w:val="00B43BA8"/>
    <w:rsid w:val="00B45F8D"/>
    <w:rsid w:val="00B45FF4"/>
    <w:rsid w:val="00B46883"/>
    <w:rsid w:val="00B4693A"/>
    <w:rsid w:val="00B469D5"/>
    <w:rsid w:val="00B506AB"/>
    <w:rsid w:val="00B52E5A"/>
    <w:rsid w:val="00B53EC5"/>
    <w:rsid w:val="00B5431C"/>
    <w:rsid w:val="00B5544F"/>
    <w:rsid w:val="00B55E5D"/>
    <w:rsid w:val="00B60A36"/>
    <w:rsid w:val="00B66867"/>
    <w:rsid w:val="00B67034"/>
    <w:rsid w:val="00B70439"/>
    <w:rsid w:val="00B713B8"/>
    <w:rsid w:val="00B73E0C"/>
    <w:rsid w:val="00B756AA"/>
    <w:rsid w:val="00B75A6F"/>
    <w:rsid w:val="00B76B20"/>
    <w:rsid w:val="00B80A84"/>
    <w:rsid w:val="00B80F7D"/>
    <w:rsid w:val="00B82635"/>
    <w:rsid w:val="00B82796"/>
    <w:rsid w:val="00B8393F"/>
    <w:rsid w:val="00B85E66"/>
    <w:rsid w:val="00B86446"/>
    <w:rsid w:val="00B86A99"/>
    <w:rsid w:val="00B905CD"/>
    <w:rsid w:val="00B91C45"/>
    <w:rsid w:val="00B94653"/>
    <w:rsid w:val="00B94786"/>
    <w:rsid w:val="00B95A3C"/>
    <w:rsid w:val="00B978CC"/>
    <w:rsid w:val="00BA56F2"/>
    <w:rsid w:val="00BA5CE9"/>
    <w:rsid w:val="00BA74D3"/>
    <w:rsid w:val="00BB182D"/>
    <w:rsid w:val="00BB26AD"/>
    <w:rsid w:val="00BB40AA"/>
    <w:rsid w:val="00BB7F4C"/>
    <w:rsid w:val="00BC1A8E"/>
    <w:rsid w:val="00BC2083"/>
    <w:rsid w:val="00BC7102"/>
    <w:rsid w:val="00BC7208"/>
    <w:rsid w:val="00BD027E"/>
    <w:rsid w:val="00BD0DCE"/>
    <w:rsid w:val="00BD19FF"/>
    <w:rsid w:val="00BD1B6E"/>
    <w:rsid w:val="00BD1ED8"/>
    <w:rsid w:val="00BD7C68"/>
    <w:rsid w:val="00BE1E0E"/>
    <w:rsid w:val="00BE3079"/>
    <w:rsid w:val="00BE34C0"/>
    <w:rsid w:val="00BE4290"/>
    <w:rsid w:val="00BE50CB"/>
    <w:rsid w:val="00BE510A"/>
    <w:rsid w:val="00BE7552"/>
    <w:rsid w:val="00BE7678"/>
    <w:rsid w:val="00C020B1"/>
    <w:rsid w:val="00C03776"/>
    <w:rsid w:val="00C07F61"/>
    <w:rsid w:val="00C13821"/>
    <w:rsid w:val="00C15F73"/>
    <w:rsid w:val="00C16789"/>
    <w:rsid w:val="00C2037B"/>
    <w:rsid w:val="00C215B8"/>
    <w:rsid w:val="00C227C0"/>
    <w:rsid w:val="00C30DA4"/>
    <w:rsid w:val="00C328C5"/>
    <w:rsid w:val="00C33B7E"/>
    <w:rsid w:val="00C37CA1"/>
    <w:rsid w:val="00C433D7"/>
    <w:rsid w:val="00C4461F"/>
    <w:rsid w:val="00C45052"/>
    <w:rsid w:val="00C45582"/>
    <w:rsid w:val="00C46D76"/>
    <w:rsid w:val="00C50108"/>
    <w:rsid w:val="00C53F02"/>
    <w:rsid w:val="00C56929"/>
    <w:rsid w:val="00C57C35"/>
    <w:rsid w:val="00C636EB"/>
    <w:rsid w:val="00C63868"/>
    <w:rsid w:val="00C63E29"/>
    <w:rsid w:val="00C71653"/>
    <w:rsid w:val="00C75655"/>
    <w:rsid w:val="00C83A0E"/>
    <w:rsid w:val="00C84586"/>
    <w:rsid w:val="00C868F6"/>
    <w:rsid w:val="00C87846"/>
    <w:rsid w:val="00C9137C"/>
    <w:rsid w:val="00C91FE6"/>
    <w:rsid w:val="00C941F5"/>
    <w:rsid w:val="00C9553A"/>
    <w:rsid w:val="00C96363"/>
    <w:rsid w:val="00C9663B"/>
    <w:rsid w:val="00CA06DA"/>
    <w:rsid w:val="00CB4F7C"/>
    <w:rsid w:val="00CB7302"/>
    <w:rsid w:val="00CC1E1B"/>
    <w:rsid w:val="00CC53AC"/>
    <w:rsid w:val="00CC55F4"/>
    <w:rsid w:val="00CD0D96"/>
    <w:rsid w:val="00CD3DEF"/>
    <w:rsid w:val="00CD5EDE"/>
    <w:rsid w:val="00CD7074"/>
    <w:rsid w:val="00CE13BE"/>
    <w:rsid w:val="00CE15D9"/>
    <w:rsid w:val="00CE2CFE"/>
    <w:rsid w:val="00CE5721"/>
    <w:rsid w:val="00CE5769"/>
    <w:rsid w:val="00CE6070"/>
    <w:rsid w:val="00CE7599"/>
    <w:rsid w:val="00CF5B47"/>
    <w:rsid w:val="00D118B1"/>
    <w:rsid w:val="00D141B9"/>
    <w:rsid w:val="00D16008"/>
    <w:rsid w:val="00D17737"/>
    <w:rsid w:val="00D1778B"/>
    <w:rsid w:val="00D32D60"/>
    <w:rsid w:val="00D33D87"/>
    <w:rsid w:val="00D36CF7"/>
    <w:rsid w:val="00D40BA7"/>
    <w:rsid w:val="00D460BF"/>
    <w:rsid w:val="00D46202"/>
    <w:rsid w:val="00D46972"/>
    <w:rsid w:val="00D47D0C"/>
    <w:rsid w:val="00D51F5F"/>
    <w:rsid w:val="00D5204B"/>
    <w:rsid w:val="00D54C10"/>
    <w:rsid w:val="00D56A79"/>
    <w:rsid w:val="00D57D0E"/>
    <w:rsid w:val="00D616AD"/>
    <w:rsid w:val="00D659F0"/>
    <w:rsid w:val="00D674A2"/>
    <w:rsid w:val="00D722DF"/>
    <w:rsid w:val="00D7487A"/>
    <w:rsid w:val="00D75908"/>
    <w:rsid w:val="00D76022"/>
    <w:rsid w:val="00D81207"/>
    <w:rsid w:val="00D82814"/>
    <w:rsid w:val="00D84675"/>
    <w:rsid w:val="00D863D8"/>
    <w:rsid w:val="00D87BE6"/>
    <w:rsid w:val="00D95B28"/>
    <w:rsid w:val="00DA0A15"/>
    <w:rsid w:val="00DA2455"/>
    <w:rsid w:val="00DA3AF3"/>
    <w:rsid w:val="00DA5455"/>
    <w:rsid w:val="00DA5C2B"/>
    <w:rsid w:val="00DB1B46"/>
    <w:rsid w:val="00DB222B"/>
    <w:rsid w:val="00DB29BF"/>
    <w:rsid w:val="00DB3041"/>
    <w:rsid w:val="00DB5EFB"/>
    <w:rsid w:val="00DC2787"/>
    <w:rsid w:val="00DC7625"/>
    <w:rsid w:val="00DD01E2"/>
    <w:rsid w:val="00DD5D90"/>
    <w:rsid w:val="00DD7F90"/>
    <w:rsid w:val="00DE1703"/>
    <w:rsid w:val="00DE7004"/>
    <w:rsid w:val="00DF13E3"/>
    <w:rsid w:val="00DF568D"/>
    <w:rsid w:val="00DF5BA1"/>
    <w:rsid w:val="00E008C6"/>
    <w:rsid w:val="00E00CCB"/>
    <w:rsid w:val="00E0445D"/>
    <w:rsid w:val="00E04A42"/>
    <w:rsid w:val="00E10F18"/>
    <w:rsid w:val="00E13539"/>
    <w:rsid w:val="00E14436"/>
    <w:rsid w:val="00E175A7"/>
    <w:rsid w:val="00E20168"/>
    <w:rsid w:val="00E20740"/>
    <w:rsid w:val="00E20E92"/>
    <w:rsid w:val="00E22EDB"/>
    <w:rsid w:val="00E24645"/>
    <w:rsid w:val="00E30328"/>
    <w:rsid w:val="00E337BC"/>
    <w:rsid w:val="00E35032"/>
    <w:rsid w:val="00E350CD"/>
    <w:rsid w:val="00E35611"/>
    <w:rsid w:val="00E452ED"/>
    <w:rsid w:val="00E501FB"/>
    <w:rsid w:val="00E537E7"/>
    <w:rsid w:val="00E56050"/>
    <w:rsid w:val="00E60557"/>
    <w:rsid w:val="00E6159D"/>
    <w:rsid w:val="00E65E6C"/>
    <w:rsid w:val="00E66ED9"/>
    <w:rsid w:val="00E675B8"/>
    <w:rsid w:val="00E67C8A"/>
    <w:rsid w:val="00E705B7"/>
    <w:rsid w:val="00E71A89"/>
    <w:rsid w:val="00E8045C"/>
    <w:rsid w:val="00E80C77"/>
    <w:rsid w:val="00E81E00"/>
    <w:rsid w:val="00E8429A"/>
    <w:rsid w:val="00E84952"/>
    <w:rsid w:val="00E86FE6"/>
    <w:rsid w:val="00E93B4E"/>
    <w:rsid w:val="00EA0F5E"/>
    <w:rsid w:val="00EA2458"/>
    <w:rsid w:val="00EA2CA0"/>
    <w:rsid w:val="00EA64B7"/>
    <w:rsid w:val="00EA6B92"/>
    <w:rsid w:val="00EB055B"/>
    <w:rsid w:val="00EB0EA2"/>
    <w:rsid w:val="00EB3FE9"/>
    <w:rsid w:val="00EC1212"/>
    <w:rsid w:val="00EC1D3D"/>
    <w:rsid w:val="00EC677E"/>
    <w:rsid w:val="00EC70F6"/>
    <w:rsid w:val="00EC7E67"/>
    <w:rsid w:val="00ED1340"/>
    <w:rsid w:val="00ED1BB9"/>
    <w:rsid w:val="00ED62B3"/>
    <w:rsid w:val="00EE0B3E"/>
    <w:rsid w:val="00EE0D8C"/>
    <w:rsid w:val="00EE1F09"/>
    <w:rsid w:val="00EE1F4E"/>
    <w:rsid w:val="00EE2179"/>
    <w:rsid w:val="00EE68A3"/>
    <w:rsid w:val="00EF3FCF"/>
    <w:rsid w:val="00EF530B"/>
    <w:rsid w:val="00F0011B"/>
    <w:rsid w:val="00F00CF8"/>
    <w:rsid w:val="00F00FB6"/>
    <w:rsid w:val="00F01C4C"/>
    <w:rsid w:val="00F03BB5"/>
    <w:rsid w:val="00F04A7C"/>
    <w:rsid w:val="00F06F0D"/>
    <w:rsid w:val="00F0759D"/>
    <w:rsid w:val="00F13036"/>
    <w:rsid w:val="00F13984"/>
    <w:rsid w:val="00F2083C"/>
    <w:rsid w:val="00F246B1"/>
    <w:rsid w:val="00F24D75"/>
    <w:rsid w:val="00F261E3"/>
    <w:rsid w:val="00F26626"/>
    <w:rsid w:val="00F276AE"/>
    <w:rsid w:val="00F30E93"/>
    <w:rsid w:val="00F34F33"/>
    <w:rsid w:val="00F35F4E"/>
    <w:rsid w:val="00F37B6B"/>
    <w:rsid w:val="00F439FE"/>
    <w:rsid w:val="00F46151"/>
    <w:rsid w:val="00F51D4A"/>
    <w:rsid w:val="00F543ED"/>
    <w:rsid w:val="00F5659D"/>
    <w:rsid w:val="00F61C9D"/>
    <w:rsid w:val="00F64AA2"/>
    <w:rsid w:val="00F65DE0"/>
    <w:rsid w:val="00F7117F"/>
    <w:rsid w:val="00F71EED"/>
    <w:rsid w:val="00F754A2"/>
    <w:rsid w:val="00F82E85"/>
    <w:rsid w:val="00F830E6"/>
    <w:rsid w:val="00F846C0"/>
    <w:rsid w:val="00F8546E"/>
    <w:rsid w:val="00F8566F"/>
    <w:rsid w:val="00F95DAF"/>
    <w:rsid w:val="00F96B44"/>
    <w:rsid w:val="00FA0E76"/>
    <w:rsid w:val="00FA3703"/>
    <w:rsid w:val="00FA5451"/>
    <w:rsid w:val="00FB0249"/>
    <w:rsid w:val="00FB0652"/>
    <w:rsid w:val="00FB072C"/>
    <w:rsid w:val="00FB49D4"/>
    <w:rsid w:val="00FB5192"/>
    <w:rsid w:val="00FB5B0C"/>
    <w:rsid w:val="00FB5D47"/>
    <w:rsid w:val="00FC0162"/>
    <w:rsid w:val="00FC06BA"/>
    <w:rsid w:val="00FC322F"/>
    <w:rsid w:val="00FC3A86"/>
    <w:rsid w:val="00FC7005"/>
    <w:rsid w:val="00FC7621"/>
    <w:rsid w:val="00FC7C71"/>
    <w:rsid w:val="00FC7C8F"/>
    <w:rsid w:val="00FD27E5"/>
    <w:rsid w:val="00FD550E"/>
    <w:rsid w:val="00FD663A"/>
    <w:rsid w:val="00FD6657"/>
    <w:rsid w:val="00FD6D4A"/>
    <w:rsid w:val="00FD7C07"/>
    <w:rsid w:val="00FE2006"/>
    <w:rsid w:val="00FF1A54"/>
    <w:rsid w:val="00FF4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7422"/>
    <w:pPr>
      <w:keepNext/>
      <w:jc w:val="center"/>
      <w:outlineLvl w:val="0"/>
    </w:pPr>
    <w:rPr>
      <w:rFonts w:ascii="Times New (W1)" w:hAnsi="Times New (W1)"/>
      <w:b/>
      <w:sz w:val="26"/>
    </w:rPr>
  </w:style>
  <w:style w:type="paragraph" w:styleId="Heading2">
    <w:name w:val="heading 2"/>
    <w:basedOn w:val="Normal"/>
    <w:next w:val="Normal"/>
    <w:link w:val="Heading2Char"/>
    <w:uiPriority w:val="9"/>
    <w:unhideWhenUsed/>
    <w:qFormat/>
    <w:rsid w:val="007E1E0B"/>
    <w:pPr>
      <w:keepNext/>
      <w:spacing w:line="360" w:lineRule="auto"/>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6E0CFD"/>
    <w:pPr>
      <w:spacing w:line="360" w:lineRule="auto"/>
      <w:jc w:val="both"/>
    </w:pPr>
    <w:rPr>
      <w:rFonts w:eastAsia="SimSun"/>
      <w:sz w:val="26"/>
      <w:szCs w:val="20"/>
    </w:rPr>
  </w:style>
  <w:style w:type="character" w:customStyle="1" w:styleId="BodyTextChar">
    <w:name w:val="Body Text Char"/>
    <w:basedOn w:val="DefaultParagraphFont"/>
    <w:link w:val="BodyText"/>
    <w:rsid w:val="006E0CFD"/>
    <w:rPr>
      <w:rFonts w:ascii="Times New Roman" w:eastAsia="SimSun" w:hAnsi="Times New Roman" w:cs="Times New Roman"/>
      <w:sz w:val="26"/>
      <w:szCs w:val="20"/>
    </w:rPr>
  </w:style>
  <w:style w:type="paragraph" w:styleId="FootnoteText">
    <w:name w:val="footnote text"/>
    <w:basedOn w:val="Normal"/>
    <w:link w:val="FootnoteTextChar"/>
    <w:semiHidden/>
    <w:rsid w:val="00B80F7D"/>
    <w:pPr>
      <w:ind w:firstLine="720"/>
    </w:pPr>
    <w:rPr>
      <w:rFonts w:ascii="CG Times" w:hAnsi="CG Times"/>
      <w:sz w:val="20"/>
      <w:szCs w:val="20"/>
    </w:rPr>
  </w:style>
  <w:style w:type="character" w:customStyle="1" w:styleId="FootnoteTextChar">
    <w:name w:val="Footnote Text Char"/>
    <w:basedOn w:val="DefaultParagraphFont"/>
    <w:link w:val="FootnoteText"/>
    <w:semiHidden/>
    <w:rsid w:val="00B80F7D"/>
    <w:rPr>
      <w:rFonts w:ascii="CG Times" w:eastAsia="Times New Roman" w:hAnsi="CG Times" w:cs="Times New Roman"/>
      <w:sz w:val="20"/>
      <w:szCs w:val="20"/>
    </w:rPr>
  </w:style>
  <w:style w:type="character" w:styleId="FootnoteReference">
    <w:name w:val="footnote reference"/>
    <w:basedOn w:val="DefaultParagraphFont"/>
    <w:rsid w:val="00B80F7D"/>
    <w:rPr>
      <w:vertAlign w:val="superscript"/>
    </w:rPr>
  </w:style>
  <w:style w:type="character" w:customStyle="1" w:styleId="Heading1Char">
    <w:name w:val="Heading 1 Char"/>
    <w:basedOn w:val="DefaultParagraphFont"/>
    <w:link w:val="Heading1"/>
    <w:uiPriority w:val="9"/>
    <w:rsid w:val="009F7422"/>
    <w:rPr>
      <w:rFonts w:ascii="Times New (W1)" w:eastAsia="Times New Roman" w:hAnsi="Times New (W1)" w:cs="Times New Roman"/>
      <w:b/>
      <w:sz w:val="26"/>
      <w:szCs w:val="24"/>
    </w:rPr>
  </w:style>
  <w:style w:type="character" w:styleId="CommentReference">
    <w:name w:val="annotation reference"/>
    <w:basedOn w:val="DefaultParagraphFont"/>
    <w:uiPriority w:val="99"/>
    <w:semiHidden/>
    <w:unhideWhenUsed/>
    <w:rsid w:val="00551E45"/>
    <w:rPr>
      <w:sz w:val="16"/>
      <w:szCs w:val="16"/>
    </w:rPr>
  </w:style>
  <w:style w:type="paragraph" w:styleId="CommentText">
    <w:name w:val="annotation text"/>
    <w:basedOn w:val="Normal"/>
    <w:link w:val="CommentTextChar"/>
    <w:uiPriority w:val="99"/>
    <w:semiHidden/>
    <w:unhideWhenUsed/>
    <w:rsid w:val="00551E45"/>
    <w:rPr>
      <w:sz w:val="20"/>
      <w:szCs w:val="20"/>
    </w:rPr>
  </w:style>
  <w:style w:type="character" w:customStyle="1" w:styleId="CommentTextChar">
    <w:name w:val="Comment Text Char"/>
    <w:basedOn w:val="DefaultParagraphFont"/>
    <w:link w:val="CommentText"/>
    <w:uiPriority w:val="99"/>
    <w:semiHidden/>
    <w:rsid w:val="00551E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E45"/>
    <w:rPr>
      <w:b/>
      <w:bCs/>
    </w:rPr>
  </w:style>
  <w:style w:type="character" w:customStyle="1" w:styleId="CommentSubjectChar">
    <w:name w:val="Comment Subject Char"/>
    <w:basedOn w:val="CommentTextChar"/>
    <w:link w:val="CommentSubject"/>
    <w:uiPriority w:val="99"/>
    <w:semiHidden/>
    <w:rsid w:val="00551E45"/>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7E1E0B"/>
    <w:pPr>
      <w:spacing w:line="360" w:lineRule="auto"/>
    </w:pPr>
    <w:rPr>
      <w:sz w:val="26"/>
      <w:szCs w:val="26"/>
    </w:rPr>
  </w:style>
  <w:style w:type="character" w:customStyle="1" w:styleId="BodyText2Char">
    <w:name w:val="Body Text 2 Char"/>
    <w:basedOn w:val="DefaultParagraphFont"/>
    <w:link w:val="BodyText2"/>
    <w:uiPriority w:val="99"/>
    <w:rsid w:val="007E1E0B"/>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7E1E0B"/>
    <w:rPr>
      <w:rFonts w:ascii="Times New Roman" w:eastAsia="Times New Roman" w:hAnsi="Times New Roman" w:cs="Times New Roman"/>
      <w:b/>
      <w:sz w:val="26"/>
      <w:szCs w:val="26"/>
    </w:rPr>
  </w:style>
  <w:style w:type="paragraph" w:styleId="BlockText">
    <w:name w:val="Block Text"/>
    <w:basedOn w:val="Normal"/>
    <w:uiPriority w:val="99"/>
    <w:unhideWhenUsed/>
    <w:rsid w:val="002C4480"/>
    <w:pPr>
      <w:ind w:left="1440" w:right="1440"/>
    </w:pPr>
    <w:rPr>
      <w:sz w:val="26"/>
      <w:szCs w:val="26"/>
    </w:rPr>
  </w:style>
  <w:style w:type="paragraph" w:styleId="BodyText3">
    <w:name w:val="Body Text 3"/>
    <w:basedOn w:val="Normal"/>
    <w:link w:val="BodyText3Char"/>
    <w:uiPriority w:val="99"/>
    <w:unhideWhenUsed/>
    <w:rsid w:val="007A1E5A"/>
    <w:pPr>
      <w:spacing w:line="360" w:lineRule="auto"/>
    </w:pPr>
    <w:rPr>
      <w:color w:val="0D0D0D"/>
      <w:sz w:val="26"/>
      <w:szCs w:val="26"/>
    </w:rPr>
  </w:style>
  <w:style w:type="character" w:customStyle="1" w:styleId="BodyText3Char">
    <w:name w:val="Body Text 3 Char"/>
    <w:basedOn w:val="DefaultParagraphFont"/>
    <w:link w:val="BodyText3"/>
    <w:uiPriority w:val="99"/>
    <w:rsid w:val="007A1E5A"/>
    <w:rPr>
      <w:rFonts w:ascii="Times New Roman" w:eastAsia="Times New Roman" w:hAnsi="Times New Roman" w:cs="Times New Roman"/>
      <w:color w:val="0D0D0D"/>
      <w:sz w:val="26"/>
      <w:szCs w:val="26"/>
    </w:rPr>
  </w:style>
  <w:style w:type="paragraph" w:styleId="BodyTextIndent">
    <w:name w:val="Body Text Indent"/>
    <w:basedOn w:val="Normal"/>
    <w:link w:val="BodyTextIndentChar"/>
    <w:uiPriority w:val="99"/>
    <w:unhideWhenUsed/>
    <w:rsid w:val="0072784C"/>
    <w:pPr>
      <w:spacing w:line="360" w:lineRule="auto"/>
      <w:ind w:firstLine="1440"/>
    </w:pPr>
    <w:rPr>
      <w:color w:val="0070C0"/>
      <w:sz w:val="26"/>
      <w:szCs w:val="26"/>
    </w:rPr>
  </w:style>
  <w:style w:type="character" w:customStyle="1" w:styleId="BodyTextIndentChar">
    <w:name w:val="Body Text Indent Char"/>
    <w:basedOn w:val="DefaultParagraphFont"/>
    <w:link w:val="BodyTextIndent"/>
    <w:uiPriority w:val="99"/>
    <w:rsid w:val="0072784C"/>
    <w:rPr>
      <w:rFonts w:ascii="Times New Roman" w:eastAsia="Times New Roman" w:hAnsi="Times New Roman" w:cs="Times New Roman"/>
      <w:color w:val="0070C0"/>
      <w:sz w:val="26"/>
      <w:szCs w:val="26"/>
    </w:rPr>
  </w:style>
  <w:style w:type="paragraph" w:styleId="BodyTextIndent2">
    <w:name w:val="Body Text Indent 2"/>
    <w:basedOn w:val="Normal"/>
    <w:link w:val="BodyTextIndent2Char"/>
    <w:uiPriority w:val="99"/>
    <w:unhideWhenUsed/>
    <w:rsid w:val="0072784C"/>
    <w:pPr>
      <w:spacing w:line="360" w:lineRule="auto"/>
      <w:ind w:firstLine="1440"/>
    </w:pPr>
    <w:rPr>
      <w:sz w:val="26"/>
      <w:szCs w:val="26"/>
    </w:rPr>
  </w:style>
  <w:style w:type="character" w:customStyle="1" w:styleId="BodyTextIndent2Char">
    <w:name w:val="Body Text Indent 2 Char"/>
    <w:basedOn w:val="DefaultParagraphFont"/>
    <w:link w:val="BodyTextIndent2"/>
    <w:uiPriority w:val="99"/>
    <w:rsid w:val="0072784C"/>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1649B5"/>
    <w:pPr>
      <w:spacing w:after="360" w:line="360" w:lineRule="auto"/>
      <w:ind w:firstLine="720"/>
      <w:jc w:val="both"/>
    </w:pPr>
    <w:rPr>
      <w:szCs w:val="26"/>
    </w:rPr>
  </w:style>
  <w:style w:type="character" w:customStyle="1" w:styleId="BodyTextIndent3Char">
    <w:name w:val="Body Text Indent 3 Char"/>
    <w:basedOn w:val="DefaultParagraphFont"/>
    <w:link w:val="BodyTextIndent3"/>
    <w:uiPriority w:val="99"/>
    <w:rsid w:val="001649B5"/>
    <w:rPr>
      <w:rFonts w:ascii="Times New Roman" w:eastAsia="Times New Roman" w:hAnsi="Times New Roman" w:cs="Times New Roman"/>
      <w:sz w:val="24"/>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B6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7422"/>
    <w:pPr>
      <w:keepNext/>
      <w:jc w:val="center"/>
      <w:outlineLvl w:val="0"/>
    </w:pPr>
    <w:rPr>
      <w:rFonts w:ascii="Times New (W1)" w:hAnsi="Times New (W1)"/>
      <w:b/>
      <w:sz w:val="26"/>
    </w:rPr>
  </w:style>
  <w:style w:type="paragraph" w:styleId="Heading2">
    <w:name w:val="heading 2"/>
    <w:basedOn w:val="Normal"/>
    <w:next w:val="Normal"/>
    <w:link w:val="Heading2Char"/>
    <w:uiPriority w:val="9"/>
    <w:unhideWhenUsed/>
    <w:qFormat/>
    <w:rsid w:val="007E1E0B"/>
    <w:pPr>
      <w:keepNext/>
      <w:spacing w:line="360" w:lineRule="auto"/>
      <w:outlineLvl w:val="1"/>
    </w:pPr>
    <w:rPr>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508"/>
    <w:pPr>
      <w:tabs>
        <w:tab w:val="center" w:pos="4680"/>
        <w:tab w:val="right" w:pos="9360"/>
      </w:tabs>
    </w:pPr>
  </w:style>
  <w:style w:type="character" w:customStyle="1" w:styleId="HeaderChar">
    <w:name w:val="Header Char"/>
    <w:basedOn w:val="DefaultParagraphFont"/>
    <w:link w:val="Header"/>
    <w:uiPriority w:val="99"/>
    <w:rsid w:val="005A35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3508"/>
    <w:pPr>
      <w:tabs>
        <w:tab w:val="center" w:pos="4680"/>
        <w:tab w:val="right" w:pos="9360"/>
      </w:tabs>
    </w:pPr>
  </w:style>
  <w:style w:type="character" w:customStyle="1" w:styleId="FooterChar">
    <w:name w:val="Footer Char"/>
    <w:basedOn w:val="DefaultParagraphFont"/>
    <w:link w:val="Footer"/>
    <w:uiPriority w:val="99"/>
    <w:rsid w:val="005A3508"/>
    <w:rPr>
      <w:rFonts w:ascii="Times New Roman" w:eastAsia="Times New Roman" w:hAnsi="Times New Roman" w:cs="Times New Roman"/>
      <w:sz w:val="24"/>
      <w:szCs w:val="24"/>
    </w:rPr>
  </w:style>
  <w:style w:type="paragraph" w:styleId="ListParagraph">
    <w:name w:val="List Paragraph"/>
    <w:basedOn w:val="Normal"/>
    <w:uiPriority w:val="34"/>
    <w:qFormat/>
    <w:rsid w:val="00CE13BE"/>
    <w:pPr>
      <w:ind w:left="720"/>
      <w:contextualSpacing/>
    </w:pPr>
  </w:style>
  <w:style w:type="paragraph" w:styleId="BalloonText">
    <w:name w:val="Balloon Text"/>
    <w:basedOn w:val="Normal"/>
    <w:link w:val="BalloonTextChar"/>
    <w:uiPriority w:val="99"/>
    <w:semiHidden/>
    <w:unhideWhenUsed/>
    <w:rsid w:val="00E6159D"/>
    <w:rPr>
      <w:rFonts w:ascii="Tahoma" w:hAnsi="Tahoma" w:cs="Tahoma"/>
      <w:sz w:val="16"/>
      <w:szCs w:val="16"/>
    </w:rPr>
  </w:style>
  <w:style w:type="character" w:customStyle="1" w:styleId="BalloonTextChar">
    <w:name w:val="Balloon Text Char"/>
    <w:basedOn w:val="DefaultParagraphFont"/>
    <w:link w:val="BalloonText"/>
    <w:uiPriority w:val="99"/>
    <w:semiHidden/>
    <w:rsid w:val="00E6159D"/>
    <w:rPr>
      <w:rFonts w:ascii="Tahoma" w:eastAsia="Times New Roman" w:hAnsi="Tahoma" w:cs="Tahoma"/>
      <w:sz w:val="16"/>
      <w:szCs w:val="16"/>
    </w:rPr>
  </w:style>
  <w:style w:type="paragraph" w:customStyle="1" w:styleId="Style">
    <w:name w:val="Style"/>
    <w:rsid w:val="001D4E27"/>
    <w:pPr>
      <w:widowControl w:val="0"/>
      <w:autoSpaceDE w:val="0"/>
      <w:autoSpaceDN w:val="0"/>
      <w:adjustRightInd w:val="0"/>
      <w:spacing w:after="0" w:line="240" w:lineRule="auto"/>
    </w:pPr>
    <w:rPr>
      <w:rFonts w:ascii="Courier New" w:eastAsiaTheme="minorEastAsia" w:hAnsi="Courier New" w:cs="Courier New"/>
      <w:sz w:val="24"/>
      <w:szCs w:val="24"/>
    </w:rPr>
  </w:style>
  <w:style w:type="table" w:styleId="TableGrid">
    <w:name w:val="Table Grid"/>
    <w:basedOn w:val="TableNormal"/>
    <w:uiPriority w:val="59"/>
    <w:rsid w:val="001047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6E0CFD"/>
    <w:pPr>
      <w:spacing w:line="360" w:lineRule="auto"/>
      <w:jc w:val="both"/>
    </w:pPr>
    <w:rPr>
      <w:rFonts w:eastAsia="SimSun"/>
      <w:sz w:val="26"/>
      <w:szCs w:val="20"/>
    </w:rPr>
  </w:style>
  <w:style w:type="character" w:customStyle="1" w:styleId="BodyTextChar">
    <w:name w:val="Body Text Char"/>
    <w:basedOn w:val="DefaultParagraphFont"/>
    <w:link w:val="BodyText"/>
    <w:rsid w:val="006E0CFD"/>
    <w:rPr>
      <w:rFonts w:ascii="Times New Roman" w:eastAsia="SimSun" w:hAnsi="Times New Roman" w:cs="Times New Roman"/>
      <w:sz w:val="26"/>
      <w:szCs w:val="20"/>
    </w:rPr>
  </w:style>
  <w:style w:type="paragraph" w:styleId="FootnoteText">
    <w:name w:val="footnote text"/>
    <w:basedOn w:val="Normal"/>
    <w:link w:val="FootnoteTextChar"/>
    <w:semiHidden/>
    <w:rsid w:val="00B80F7D"/>
    <w:pPr>
      <w:ind w:firstLine="720"/>
    </w:pPr>
    <w:rPr>
      <w:rFonts w:ascii="CG Times" w:hAnsi="CG Times"/>
      <w:sz w:val="20"/>
      <w:szCs w:val="20"/>
    </w:rPr>
  </w:style>
  <w:style w:type="character" w:customStyle="1" w:styleId="FootnoteTextChar">
    <w:name w:val="Footnote Text Char"/>
    <w:basedOn w:val="DefaultParagraphFont"/>
    <w:link w:val="FootnoteText"/>
    <w:semiHidden/>
    <w:rsid w:val="00B80F7D"/>
    <w:rPr>
      <w:rFonts w:ascii="CG Times" w:eastAsia="Times New Roman" w:hAnsi="CG Times" w:cs="Times New Roman"/>
      <w:sz w:val="20"/>
      <w:szCs w:val="20"/>
    </w:rPr>
  </w:style>
  <w:style w:type="character" w:styleId="FootnoteReference">
    <w:name w:val="footnote reference"/>
    <w:basedOn w:val="DefaultParagraphFont"/>
    <w:rsid w:val="00B80F7D"/>
    <w:rPr>
      <w:vertAlign w:val="superscript"/>
    </w:rPr>
  </w:style>
  <w:style w:type="character" w:customStyle="1" w:styleId="Heading1Char">
    <w:name w:val="Heading 1 Char"/>
    <w:basedOn w:val="DefaultParagraphFont"/>
    <w:link w:val="Heading1"/>
    <w:uiPriority w:val="9"/>
    <w:rsid w:val="009F7422"/>
    <w:rPr>
      <w:rFonts w:ascii="Times New (W1)" w:eastAsia="Times New Roman" w:hAnsi="Times New (W1)" w:cs="Times New Roman"/>
      <w:b/>
      <w:sz w:val="26"/>
      <w:szCs w:val="24"/>
    </w:rPr>
  </w:style>
  <w:style w:type="character" w:styleId="CommentReference">
    <w:name w:val="annotation reference"/>
    <w:basedOn w:val="DefaultParagraphFont"/>
    <w:uiPriority w:val="99"/>
    <w:semiHidden/>
    <w:unhideWhenUsed/>
    <w:rsid w:val="00551E45"/>
    <w:rPr>
      <w:sz w:val="16"/>
      <w:szCs w:val="16"/>
    </w:rPr>
  </w:style>
  <w:style w:type="paragraph" w:styleId="CommentText">
    <w:name w:val="annotation text"/>
    <w:basedOn w:val="Normal"/>
    <w:link w:val="CommentTextChar"/>
    <w:uiPriority w:val="99"/>
    <w:semiHidden/>
    <w:unhideWhenUsed/>
    <w:rsid w:val="00551E45"/>
    <w:rPr>
      <w:sz w:val="20"/>
      <w:szCs w:val="20"/>
    </w:rPr>
  </w:style>
  <w:style w:type="character" w:customStyle="1" w:styleId="CommentTextChar">
    <w:name w:val="Comment Text Char"/>
    <w:basedOn w:val="DefaultParagraphFont"/>
    <w:link w:val="CommentText"/>
    <w:uiPriority w:val="99"/>
    <w:semiHidden/>
    <w:rsid w:val="00551E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51E45"/>
    <w:rPr>
      <w:b/>
      <w:bCs/>
    </w:rPr>
  </w:style>
  <w:style w:type="character" w:customStyle="1" w:styleId="CommentSubjectChar">
    <w:name w:val="Comment Subject Char"/>
    <w:basedOn w:val="CommentTextChar"/>
    <w:link w:val="CommentSubject"/>
    <w:uiPriority w:val="99"/>
    <w:semiHidden/>
    <w:rsid w:val="00551E45"/>
    <w:rPr>
      <w:rFonts w:ascii="Times New Roman" w:eastAsia="Times New Roman" w:hAnsi="Times New Roman" w:cs="Times New Roman"/>
      <w:b/>
      <w:bCs/>
      <w:sz w:val="20"/>
      <w:szCs w:val="20"/>
    </w:rPr>
  </w:style>
  <w:style w:type="paragraph" w:styleId="BodyText2">
    <w:name w:val="Body Text 2"/>
    <w:basedOn w:val="Normal"/>
    <w:link w:val="BodyText2Char"/>
    <w:uiPriority w:val="99"/>
    <w:unhideWhenUsed/>
    <w:rsid w:val="007E1E0B"/>
    <w:pPr>
      <w:spacing w:line="360" w:lineRule="auto"/>
    </w:pPr>
    <w:rPr>
      <w:sz w:val="26"/>
      <w:szCs w:val="26"/>
    </w:rPr>
  </w:style>
  <w:style w:type="character" w:customStyle="1" w:styleId="BodyText2Char">
    <w:name w:val="Body Text 2 Char"/>
    <w:basedOn w:val="DefaultParagraphFont"/>
    <w:link w:val="BodyText2"/>
    <w:uiPriority w:val="99"/>
    <w:rsid w:val="007E1E0B"/>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7E1E0B"/>
    <w:rPr>
      <w:rFonts w:ascii="Times New Roman" w:eastAsia="Times New Roman" w:hAnsi="Times New Roman" w:cs="Times New Roman"/>
      <w:b/>
      <w:sz w:val="26"/>
      <w:szCs w:val="26"/>
    </w:rPr>
  </w:style>
  <w:style w:type="paragraph" w:styleId="BlockText">
    <w:name w:val="Block Text"/>
    <w:basedOn w:val="Normal"/>
    <w:uiPriority w:val="99"/>
    <w:unhideWhenUsed/>
    <w:rsid w:val="002C4480"/>
    <w:pPr>
      <w:ind w:left="1440" w:right="1440"/>
    </w:pPr>
    <w:rPr>
      <w:sz w:val="26"/>
      <w:szCs w:val="26"/>
    </w:rPr>
  </w:style>
  <w:style w:type="paragraph" w:styleId="BodyText3">
    <w:name w:val="Body Text 3"/>
    <w:basedOn w:val="Normal"/>
    <w:link w:val="BodyText3Char"/>
    <w:uiPriority w:val="99"/>
    <w:unhideWhenUsed/>
    <w:rsid w:val="007A1E5A"/>
    <w:pPr>
      <w:spacing w:line="360" w:lineRule="auto"/>
    </w:pPr>
    <w:rPr>
      <w:color w:val="0D0D0D"/>
      <w:sz w:val="26"/>
      <w:szCs w:val="26"/>
    </w:rPr>
  </w:style>
  <w:style w:type="character" w:customStyle="1" w:styleId="BodyText3Char">
    <w:name w:val="Body Text 3 Char"/>
    <w:basedOn w:val="DefaultParagraphFont"/>
    <w:link w:val="BodyText3"/>
    <w:uiPriority w:val="99"/>
    <w:rsid w:val="007A1E5A"/>
    <w:rPr>
      <w:rFonts w:ascii="Times New Roman" w:eastAsia="Times New Roman" w:hAnsi="Times New Roman" w:cs="Times New Roman"/>
      <w:color w:val="0D0D0D"/>
      <w:sz w:val="26"/>
      <w:szCs w:val="26"/>
    </w:rPr>
  </w:style>
  <w:style w:type="paragraph" w:styleId="BodyTextIndent">
    <w:name w:val="Body Text Indent"/>
    <w:basedOn w:val="Normal"/>
    <w:link w:val="BodyTextIndentChar"/>
    <w:uiPriority w:val="99"/>
    <w:unhideWhenUsed/>
    <w:rsid w:val="0072784C"/>
    <w:pPr>
      <w:spacing w:line="360" w:lineRule="auto"/>
      <w:ind w:firstLine="1440"/>
    </w:pPr>
    <w:rPr>
      <w:color w:val="0070C0"/>
      <w:sz w:val="26"/>
      <w:szCs w:val="26"/>
    </w:rPr>
  </w:style>
  <w:style w:type="character" w:customStyle="1" w:styleId="BodyTextIndentChar">
    <w:name w:val="Body Text Indent Char"/>
    <w:basedOn w:val="DefaultParagraphFont"/>
    <w:link w:val="BodyTextIndent"/>
    <w:uiPriority w:val="99"/>
    <w:rsid w:val="0072784C"/>
    <w:rPr>
      <w:rFonts w:ascii="Times New Roman" w:eastAsia="Times New Roman" w:hAnsi="Times New Roman" w:cs="Times New Roman"/>
      <w:color w:val="0070C0"/>
      <w:sz w:val="26"/>
      <w:szCs w:val="26"/>
    </w:rPr>
  </w:style>
  <w:style w:type="paragraph" w:styleId="BodyTextIndent2">
    <w:name w:val="Body Text Indent 2"/>
    <w:basedOn w:val="Normal"/>
    <w:link w:val="BodyTextIndent2Char"/>
    <w:uiPriority w:val="99"/>
    <w:unhideWhenUsed/>
    <w:rsid w:val="0072784C"/>
    <w:pPr>
      <w:spacing w:line="360" w:lineRule="auto"/>
      <w:ind w:firstLine="1440"/>
    </w:pPr>
    <w:rPr>
      <w:sz w:val="26"/>
      <w:szCs w:val="26"/>
    </w:rPr>
  </w:style>
  <w:style w:type="character" w:customStyle="1" w:styleId="BodyTextIndent2Char">
    <w:name w:val="Body Text Indent 2 Char"/>
    <w:basedOn w:val="DefaultParagraphFont"/>
    <w:link w:val="BodyTextIndent2"/>
    <w:uiPriority w:val="99"/>
    <w:rsid w:val="0072784C"/>
    <w:rPr>
      <w:rFonts w:ascii="Times New Roman" w:eastAsia="Times New Roman" w:hAnsi="Times New Roman" w:cs="Times New Roman"/>
      <w:sz w:val="26"/>
      <w:szCs w:val="26"/>
    </w:rPr>
  </w:style>
  <w:style w:type="paragraph" w:styleId="BodyTextIndent3">
    <w:name w:val="Body Text Indent 3"/>
    <w:basedOn w:val="Normal"/>
    <w:link w:val="BodyTextIndent3Char"/>
    <w:uiPriority w:val="99"/>
    <w:unhideWhenUsed/>
    <w:rsid w:val="001649B5"/>
    <w:pPr>
      <w:spacing w:after="360" w:line="360" w:lineRule="auto"/>
      <w:ind w:firstLine="720"/>
      <w:jc w:val="both"/>
    </w:pPr>
    <w:rPr>
      <w:szCs w:val="26"/>
    </w:rPr>
  </w:style>
  <w:style w:type="character" w:customStyle="1" w:styleId="BodyTextIndent3Char">
    <w:name w:val="Body Text Indent 3 Char"/>
    <w:basedOn w:val="DefaultParagraphFont"/>
    <w:link w:val="BodyTextIndent3"/>
    <w:uiPriority w:val="99"/>
    <w:rsid w:val="001649B5"/>
    <w:rPr>
      <w:rFonts w:ascii="Times New Roman" w:eastAsia="Times New Roman" w:hAnsi="Times New Roman" w:cs="Times New Roman"/>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A695DA-30BB-423F-A990-2D30DD037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17</Pages>
  <Words>4335</Words>
  <Characters>24716</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May 2010 Order Modifying Settlement</vt:lpstr>
    </vt:vector>
  </TitlesOfParts>
  <Company>PA Public Utility Commission</Company>
  <LinksUpToDate>false</LinksUpToDate>
  <CharactersWithSpaces>28994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2010 Order Modifying Settlement</dc:title>
  <dc:subject>LBPS  Equitable Joint Settlement</dc:subject>
  <dc:creator>jnase</dc:creator>
  <cp:lastModifiedBy>Miller, Sara</cp:lastModifiedBy>
  <cp:revision>31</cp:revision>
  <cp:lastPrinted>2012-03-02T19:06:00Z</cp:lastPrinted>
  <dcterms:created xsi:type="dcterms:W3CDTF">2012-01-30T17:02:00Z</dcterms:created>
  <dcterms:modified xsi:type="dcterms:W3CDTF">2012-03-02T19:06:00Z</dcterms:modified>
</cp:coreProperties>
</file>