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17C" w:rsidRDefault="00B000B0" w:rsidP="00B000B0">
      <w:pPr>
        <w:jc w:val="center"/>
        <w:rPr>
          <w:b/>
        </w:rPr>
      </w:pPr>
      <w:bookmarkStart w:id="0" w:name="_GoBack"/>
      <w:bookmarkEnd w:id="0"/>
      <w:r>
        <w:rPr>
          <w:b/>
        </w:rPr>
        <w:t>BEFORE THE</w:t>
      </w:r>
    </w:p>
    <w:p w:rsidR="00B000B0" w:rsidRDefault="00B000B0" w:rsidP="00B000B0">
      <w:pPr>
        <w:jc w:val="center"/>
      </w:pPr>
      <w:r>
        <w:rPr>
          <w:b/>
        </w:rPr>
        <w:t>PENNSYLVANIA PUBLIC UTILITY COMMISSION</w:t>
      </w:r>
    </w:p>
    <w:p w:rsidR="00B000B0" w:rsidRDefault="00B000B0" w:rsidP="00B000B0"/>
    <w:p w:rsidR="00B000B0" w:rsidRDefault="00B000B0" w:rsidP="00B000B0"/>
    <w:p w:rsidR="00B000B0" w:rsidRDefault="00B000B0" w:rsidP="00B000B0"/>
    <w:p w:rsidR="00B000B0" w:rsidRDefault="00B000B0" w:rsidP="00B000B0">
      <w:r>
        <w:t>George T. Edinger</w:t>
      </w:r>
      <w:r>
        <w:tab/>
      </w:r>
      <w:r>
        <w:tab/>
      </w:r>
      <w:r>
        <w:tab/>
      </w:r>
      <w:r>
        <w:tab/>
      </w:r>
      <w:r>
        <w:tab/>
        <w:t>:</w:t>
      </w:r>
    </w:p>
    <w:p w:rsidR="00B000B0" w:rsidRDefault="00B000B0" w:rsidP="00B000B0">
      <w:r>
        <w:tab/>
      </w:r>
      <w:r>
        <w:tab/>
      </w:r>
      <w:r>
        <w:tab/>
      </w:r>
      <w:r>
        <w:tab/>
      </w:r>
      <w:r>
        <w:tab/>
      </w:r>
      <w:r>
        <w:tab/>
      </w:r>
      <w:r>
        <w:tab/>
        <w:t>:</w:t>
      </w:r>
    </w:p>
    <w:p w:rsidR="00B000B0" w:rsidRDefault="00B000B0" w:rsidP="00B000B0">
      <w:r>
        <w:tab/>
        <w:t>v.</w:t>
      </w:r>
      <w:r>
        <w:tab/>
      </w:r>
      <w:r>
        <w:tab/>
      </w:r>
      <w:r>
        <w:tab/>
      </w:r>
      <w:r>
        <w:tab/>
      </w:r>
      <w:r>
        <w:tab/>
      </w:r>
      <w:r>
        <w:tab/>
        <w:t>:</w:t>
      </w:r>
      <w:r>
        <w:tab/>
      </w:r>
      <w:r>
        <w:tab/>
        <w:t>C-2012-2282851</w:t>
      </w:r>
    </w:p>
    <w:p w:rsidR="00B000B0" w:rsidRDefault="00B000B0" w:rsidP="00B000B0">
      <w:r>
        <w:tab/>
      </w:r>
      <w:r>
        <w:tab/>
      </w:r>
      <w:r>
        <w:tab/>
      </w:r>
      <w:r>
        <w:tab/>
      </w:r>
      <w:r>
        <w:tab/>
      </w:r>
      <w:r>
        <w:tab/>
      </w:r>
      <w:r>
        <w:tab/>
        <w:t>:</w:t>
      </w:r>
    </w:p>
    <w:p w:rsidR="00B000B0" w:rsidRDefault="00B000B0" w:rsidP="00B000B0">
      <w:r>
        <w:t>West Penn Power Company</w:t>
      </w:r>
      <w:r>
        <w:tab/>
      </w:r>
      <w:r>
        <w:tab/>
      </w:r>
      <w:r>
        <w:tab/>
      </w:r>
      <w:r>
        <w:tab/>
        <w:t>:</w:t>
      </w:r>
    </w:p>
    <w:p w:rsidR="00B000B0" w:rsidRDefault="00B000B0" w:rsidP="00B000B0"/>
    <w:p w:rsidR="00B000B0" w:rsidRDefault="00B000B0" w:rsidP="00B000B0"/>
    <w:p w:rsidR="00B000B0" w:rsidRDefault="00B000B0" w:rsidP="00B000B0"/>
    <w:p w:rsidR="00B000B0" w:rsidRDefault="00B000B0" w:rsidP="00B000B0">
      <w:pPr>
        <w:jc w:val="center"/>
      </w:pPr>
      <w:r>
        <w:rPr>
          <w:b/>
          <w:u w:val="single"/>
        </w:rPr>
        <w:t>INITIAL DECISION</w:t>
      </w:r>
    </w:p>
    <w:p w:rsidR="00B000B0" w:rsidRDefault="00B000B0" w:rsidP="00B000B0">
      <w:pPr>
        <w:jc w:val="center"/>
      </w:pPr>
    </w:p>
    <w:p w:rsidR="00B000B0" w:rsidRDefault="00B000B0" w:rsidP="00B000B0">
      <w:pPr>
        <w:jc w:val="center"/>
      </w:pPr>
    </w:p>
    <w:p w:rsidR="00B000B0" w:rsidRDefault="00B000B0" w:rsidP="00B000B0">
      <w:pPr>
        <w:jc w:val="center"/>
      </w:pPr>
      <w:r>
        <w:t>Before</w:t>
      </w:r>
    </w:p>
    <w:p w:rsidR="00B000B0" w:rsidRDefault="00B000B0" w:rsidP="00B000B0">
      <w:pPr>
        <w:jc w:val="center"/>
      </w:pPr>
      <w:r>
        <w:t>John H. Corbett, Jr.</w:t>
      </w:r>
    </w:p>
    <w:p w:rsidR="00B000B0" w:rsidRDefault="00B000B0" w:rsidP="00B000B0">
      <w:pPr>
        <w:jc w:val="center"/>
      </w:pPr>
      <w:r>
        <w:t>Administrative Law Judge</w:t>
      </w:r>
    </w:p>
    <w:p w:rsidR="00B000B0" w:rsidRDefault="00B000B0" w:rsidP="00B000B0">
      <w:pPr>
        <w:jc w:val="center"/>
      </w:pPr>
    </w:p>
    <w:p w:rsidR="00B000B0" w:rsidRDefault="00B000B0" w:rsidP="00B000B0">
      <w:pPr>
        <w:jc w:val="center"/>
      </w:pPr>
    </w:p>
    <w:p w:rsidR="00B000B0" w:rsidRDefault="00B000B0" w:rsidP="00B000B0">
      <w:pPr>
        <w:jc w:val="center"/>
      </w:pPr>
      <w:r>
        <w:rPr>
          <w:u w:val="single"/>
        </w:rPr>
        <w:t>HISTORY OF THE PROCEEDING</w:t>
      </w:r>
    </w:p>
    <w:p w:rsidR="00B000B0" w:rsidRDefault="00B000B0" w:rsidP="00B000B0"/>
    <w:p w:rsidR="00B000B0" w:rsidRDefault="00B000B0" w:rsidP="00B000B0"/>
    <w:p w:rsidR="00B000B0" w:rsidRDefault="00B000B0" w:rsidP="00B000B0">
      <w:pPr>
        <w:spacing w:line="360" w:lineRule="auto"/>
      </w:pPr>
      <w:r>
        <w:tab/>
      </w:r>
      <w:r>
        <w:tab/>
      </w:r>
      <w:r w:rsidR="00FD07B5">
        <w:t>On January 5, 2012, George T. Edinger (“Complainant”) filed a complaint with the Pennsylvania Public Utility Commission (“Commission”) against West Penn Power Company (“Respondent” or “West Penn Power”).  Mr. Edinger</w:t>
      </w:r>
      <w:r w:rsidR="001C0DB9">
        <w:t xml:space="preserve"> avers West Penn Power, in response to a report of a service outage, drove its repair truck over a septic tank system on property that he owns in Slippery Rock, Pennsylvania, causing severe damage.  For relief, Complainant requests an Order from the Commission directing Respondent to pay for the alleged damages.</w:t>
      </w:r>
    </w:p>
    <w:p w:rsidR="000F0F49" w:rsidRDefault="000F0F49" w:rsidP="00B000B0">
      <w:pPr>
        <w:spacing w:line="360" w:lineRule="auto"/>
      </w:pPr>
    </w:p>
    <w:p w:rsidR="000F0F49" w:rsidRDefault="000F0F49" w:rsidP="00B000B0">
      <w:pPr>
        <w:spacing w:line="360" w:lineRule="auto"/>
      </w:pPr>
      <w:r>
        <w:tab/>
      </w:r>
      <w:r>
        <w:tab/>
        <w:t xml:space="preserve">West Penn Power answered the complaint on January 24, 2012 asserting that on July 23, 2011, its personnel responded to a report from Mr. Edinger’s tenant that an electric pole at that location was leaning toward the road.  Respondent denies causing any damage to Complainant’s property.  Also on January 24, 2012, Respondent filed and served </w:t>
      </w:r>
      <w:r w:rsidR="00A2686E">
        <w:t>a preliminary objection</w:t>
      </w:r>
      <w:r>
        <w:t xml:space="preserve">, together with a Notice to Plead, arguing that the Commission does not have primary jurisdiction </w:t>
      </w:r>
      <w:r w:rsidR="007A1C63">
        <w:t xml:space="preserve">over an </w:t>
      </w:r>
      <w:r>
        <w:t xml:space="preserve">allegation of potential negligent driving of a motor vehicle causing property </w:t>
      </w:r>
      <w:r>
        <w:lastRenderedPageBreak/>
        <w:t>damage.  Complainant did not a</w:t>
      </w:r>
      <w:r w:rsidR="00A2686E">
        <w:t>nswer the preliminary objection</w:t>
      </w:r>
      <w:r>
        <w:t>.</w:t>
      </w:r>
      <w:r w:rsidR="00470A40">
        <w:rPr>
          <w:rStyle w:val="FootnoteReference"/>
        </w:rPr>
        <w:footnoteReference w:id="1"/>
      </w:r>
      <w:r>
        <w:t xml:space="preserve">  </w:t>
      </w:r>
      <w:r w:rsidR="00911E03">
        <w:t xml:space="preserve">A telephonic hearing is scheduled for 10:00 a.m. on April 5, 2012.  </w:t>
      </w:r>
      <w:r w:rsidR="007A1C63">
        <w:t>This matter is now ripe for determination.</w:t>
      </w:r>
    </w:p>
    <w:p w:rsidR="007A1C63" w:rsidRDefault="007A1C63" w:rsidP="00B000B0">
      <w:pPr>
        <w:spacing w:line="360" w:lineRule="auto"/>
      </w:pPr>
    </w:p>
    <w:p w:rsidR="007A1C63" w:rsidRDefault="007378FF" w:rsidP="007378FF">
      <w:pPr>
        <w:spacing w:line="360" w:lineRule="auto"/>
        <w:jc w:val="center"/>
      </w:pPr>
      <w:r>
        <w:rPr>
          <w:u w:val="single"/>
        </w:rPr>
        <w:t>DISCUSSION</w:t>
      </w:r>
    </w:p>
    <w:p w:rsidR="007378FF" w:rsidRDefault="007378FF" w:rsidP="007378FF">
      <w:pPr>
        <w:spacing w:line="360" w:lineRule="auto"/>
      </w:pPr>
    </w:p>
    <w:p w:rsidR="007378FF" w:rsidRDefault="007378FF" w:rsidP="007378FF">
      <w:pPr>
        <w:spacing w:line="360" w:lineRule="auto"/>
      </w:pPr>
      <w:r>
        <w:tab/>
      </w:r>
      <w:r>
        <w:tab/>
      </w:r>
      <w:r w:rsidR="006A57D1" w:rsidRPr="00BB3659">
        <w:t xml:space="preserve">The Commission’s Rules of Administrative Practice and Procedure permit the filing of preliminary motions.  52 </w:t>
      </w:r>
      <w:smartTag w:uri="urn:schemas-microsoft-com:office:smarttags" w:element="State">
        <w:smartTag w:uri="urn:schemas-microsoft-com:office:smarttags" w:element="place">
          <w:r w:rsidR="006A57D1" w:rsidRPr="00BB3659">
            <w:t>Pa.</w:t>
          </w:r>
        </w:smartTag>
      </w:smartTag>
      <w:r w:rsidR="006A57D1" w:rsidRPr="00BB3659">
        <w:t xml:space="preserve"> Code §§5.101-103.   </w:t>
      </w:r>
      <w:r w:rsidR="006A57D1">
        <w:t xml:space="preserve">Section 5.101(a) of the Commission’s Rules, </w:t>
      </w:r>
      <w:r w:rsidR="006A57D1" w:rsidRPr="00BB3659">
        <w:t xml:space="preserve">52 </w:t>
      </w:r>
      <w:smartTag w:uri="urn:schemas-microsoft-com:office:smarttags" w:element="State">
        <w:smartTag w:uri="urn:schemas-microsoft-com:office:smarttags" w:element="place">
          <w:r w:rsidR="006A57D1" w:rsidRPr="00BB3659">
            <w:t>Pa.</w:t>
          </w:r>
        </w:smartTag>
      </w:smartTag>
      <w:r w:rsidR="006A57D1">
        <w:t xml:space="preserve"> Code §5.10</w:t>
      </w:r>
      <w:r w:rsidR="0016171E">
        <w:t>1</w:t>
      </w:r>
      <w:r w:rsidR="006A57D1">
        <w:t>(a), specifically permits the filing of preliminary objections:</w:t>
      </w:r>
    </w:p>
    <w:p w:rsidR="006A57D1" w:rsidRDefault="006A57D1" w:rsidP="007378FF">
      <w:pPr>
        <w:spacing w:line="360" w:lineRule="auto"/>
      </w:pPr>
    </w:p>
    <w:p w:rsidR="006A57D1" w:rsidRDefault="006A57D1" w:rsidP="006A57D1">
      <w:pPr>
        <w:ind w:left="1440" w:right="1440"/>
      </w:pPr>
      <w:r>
        <w:t>(a)</w:t>
      </w:r>
      <w:r>
        <w:tab/>
      </w:r>
      <w:r>
        <w:rPr>
          <w:i/>
        </w:rPr>
        <w:t>Grounds</w:t>
      </w:r>
      <w:r>
        <w:t>.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6A57D1" w:rsidRDefault="006A57D1" w:rsidP="006A57D1">
      <w:pPr>
        <w:ind w:left="1440" w:right="1440"/>
      </w:pPr>
    </w:p>
    <w:p w:rsidR="006A57D1" w:rsidRDefault="006A57D1" w:rsidP="006A57D1">
      <w:pPr>
        <w:ind w:left="1440" w:right="1440"/>
      </w:pPr>
      <w:r>
        <w:tab/>
        <w:t>(1)</w:t>
      </w:r>
      <w:r>
        <w:tab/>
        <w:t>Lack of Commission jurisdiction or improper service of the pleading initiating the proceeding.</w:t>
      </w:r>
    </w:p>
    <w:p w:rsidR="006A57D1" w:rsidRDefault="006A57D1" w:rsidP="006A57D1">
      <w:pPr>
        <w:ind w:left="1440" w:right="1440"/>
      </w:pPr>
    </w:p>
    <w:p w:rsidR="006A57D1" w:rsidRDefault="006A57D1" w:rsidP="006A57D1">
      <w:pPr>
        <w:ind w:left="1440" w:right="1440"/>
        <w:jc w:val="center"/>
      </w:pPr>
      <w:r>
        <w:t>*</w:t>
      </w:r>
      <w:r>
        <w:tab/>
        <w:t>*</w:t>
      </w:r>
      <w:r>
        <w:tab/>
        <w:t>*</w:t>
      </w:r>
    </w:p>
    <w:p w:rsidR="006A57D1" w:rsidRDefault="006A57D1" w:rsidP="006A57D1">
      <w:pPr>
        <w:ind w:left="1440" w:right="1440"/>
      </w:pPr>
    </w:p>
    <w:p w:rsidR="006A57D1" w:rsidRDefault="006A57D1" w:rsidP="006A57D1">
      <w:pPr>
        <w:ind w:left="1440" w:right="1440"/>
      </w:pPr>
      <w:r>
        <w:tab/>
        <w:t>(4)</w:t>
      </w:r>
      <w:r>
        <w:tab/>
      </w:r>
      <w:r w:rsidR="00F776ED">
        <w:t>Legal insufficiency of a pleading.</w:t>
      </w:r>
    </w:p>
    <w:p w:rsidR="00F776ED" w:rsidRDefault="00F776ED" w:rsidP="00F776ED"/>
    <w:p w:rsidR="00F776ED" w:rsidRDefault="00F776ED" w:rsidP="00F776ED"/>
    <w:p w:rsidR="00F776ED" w:rsidRDefault="00F776ED" w:rsidP="00F776ED">
      <w:pPr>
        <w:spacing w:line="360" w:lineRule="auto"/>
      </w:pPr>
      <w:r>
        <w:tab/>
      </w:r>
      <w:r>
        <w:tab/>
      </w:r>
      <w:r w:rsidR="008533CE" w:rsidRPr="00BB3659">
        <w:t xml:space="preserve">A preliminary motion </w:t>
      </w:r>
      <w:r w:rsidR="008533CE">
        <w:t xml:space="preserve">seeking </w:t>
      </w:r>
      <w:r w:rsidR="008533CE" w:rsidRPr="00BB3659">
        <w:t xml:space="preserve">to dismiss a complaint </w:t>
      </w:r>
      <w:r w:rsidR="008533CE">
        <w:t xml:space="preserve">before the Commission </w:t>
      </w:r>
      <w:r w:rsidR="008533CE" w:rsidRPr="00BB3659">
        <w:t>is analogous to preliminary objection</w:t>
      </w:r>
      <w:r w:rsidR="008533CE">
        <w:t>s</w:t>
      </w:r>
      <w:r w:rsidR="008533CE" w:rsidRPr="00BB3659">
        <w:t xml:space="preserve"> </w:t>
      </w:r>
      <w:r w:rsidR="008533CE">
        <w:t>practice in civil court</w:t>
      </w:r>
      <w:r w:rsidR="008533CE" w:rsidRPr="00BB3659">
        <w:t xml:space="preserve">.  A preliminary objection seeking dismissal of a pleading will be granted only where relief is clearly warranted and free from doubt.  </w:t>
      </w:r>
      <w:r w:rsidR="008533CE" w:rsidRPr="00BB3659">
        <w:rPr>
          <w:u w:val="single"/>
        </w:rPr>
        <w:t>Interstate Travelers Services, Inc. v. Pa. Dept. of Environmental Resources</w:t>
      </w:r>
      <w:r w:rsidR="008533CE" w:rsidRPr="00BB3659">
        <w:t xml:space="preserve">, 486 Pa. 536, 406 A.2d 1020 (1979); </w:t>
      </w:r>
      <w:r w:rsidR="008533CE" w:rsidRPr="00BB3659">
        <w:rPr>
          <w:u w:val="single"/>
        </w:rPr>
        <w:t>Rivera v. Philadelphia Theological Seminary of St. Charles Borromeo, Inc.</w:t>
      </w:r>
      <w:r w:rsidR="008533CE" w:rsidRPr="00BB3659">
        <w:t xml:space="preserve">, 407 Pa. Superior Ct. 157, 595 A.2d 172 (1991).   In reviewing this record, one must accept as true all well-pleaded facts in the non-moving party’s pleadings, giving the non-moving party the benefit of all reasonable inferences to be drawn from the complaint.  </w:t>
      </w:r>
      <w:r w:rsidR="008533CE" w:rsidRPr="00BB3659">
        <w:rPr>
          <w:u w:val="single"/>
        </w:rPr>
        <w:t>Anderson v. Colonial Country Club</w:t>
      </w:r>
      <w:r w:rsidR="008533CE" w:rsidRPr="00BB3659">
        <w:t xml:space="preserve">, 739 A.2d 1118 (Pa. Cmwlth. 1999); and </w:t>
      </w:r>
      <w:r w:rsidR="008533CE" w:rsidRPr="00BB3659">
        <w:rPr>
          <w:u w:val="single"/>
        </w:rPr>
        <w:t>Morning Call, Inc. v.  Board of Directors of Southern Lehigh School District</w:t>
      </w:r>
      <w:r w:rsidR="008533CE" w:rsidRPr="00BB3659">
        <w:t xml:space="preserve">, 642 A.2d 619 (Pa. Cmwlth. 1994).  The Commission has </w:t>
      </w:r>
      <w:r w:rsidR="008533CE" w:rsidRPr="00BB3659">
        <w:lastRenderedPageBreak/>
        <w:t xml:space="preserve">adopted this standard.  </w:t>
      </w:r>
      <w:r w:rsidR="008533CE" w:rsidRPr="00BB3659">
        <w:rPr>
          <w:u w:val="single"/>
        </w:rPr>
        <w:t>Montague v. Philadelphia Electric Company</w:t>
      </w:r>
      <w:r w:rsidR="008533CE" w:rsidRPr="00BB3659">
        <w:t>, Docket No. C</w:t>
      </w:r>
      <w:r w:rsidR="008533CE" w:rsidRPr="00BB3659">
        <w:noBreakHyphen/>
        <w:t>850323 (Order entered November 11, 1985).</w:t>
      </w:r>
    </w:p>
    <w:p w:rsidR="008533CE" w:rsidRDefault="008533CE" w:rsidP="00F776ED">
      <w:pPr>
        <w:spacing w:line="360" w:lineRule="auto"/>
      </w:pPr>
    </w:p>
    <w:p w:rsidR="00842CE2" w:rsidRDefault="008533CE" w:rsidP="00F776ED">
      <w:pPr>
        <w:spacing w:line="360" w:lineRule="auto"/>
      </w:pPr>
      <w:r>
        <w:tab/>
      </w:r>
      <w:r>
        <w:tab/>
        <w:t>In the present case, Complainant</w:t>
      </w:r>
      <w:r w:rsidR="00CF5ECA" w:rsidRPr="00CF5ECA">
        <w:t xml:space="preserve"> </w:t>
      </w:r>
      <w:r w:rsidR="00CF5ECA">
        <w:t xml:space="preserve">avers West Penn Power, in response to a report of a service outage, drove its repair truck over a septic tank system on his property causing damage.  For relief, he requests payment for his </w:t>
      </w:r>
      <w:r w:rsidR="0020761A">
        <w:t>property damage.</w:t>
      </w:r>
      <w:r w:rsidR="00842CE2">
        <w:t xml:space="preserve">  Clearly, the Commission has no jurisdiction to award mone</w:t>
      </w:r>
      <w:r w:rsidR="002A58F7">
        <w:t>tary</w:t>
      </w:r>
      <w:r w:rsidR="00842CE2">
        <w:t xml:space="preserve"> damages.</w:t>
      </w:r>
    </w:p>
    <w:p w:rsidR="00842CE2" w:rsidRDefault="00842CE2" w:rsidP="00F776ED">
      <w:pPr>
        <w:spacing w:line="360" w:lineRule="auto"/>
      </w:pPr>
    </w:p>
    <w:p w:rsidR="002A58F7" w:rsidRDefault="00B26507" w:rsidP="00F776ED">
      <w:pPr>
        <w:spacing w:line="360" w:lineRule="auto"/>
      </w:pPr>
      <w:r>
        <w:tab/>
      </w:r>
      <w:r>
        <w:tab/>
      </w:r>
      <w:r w:rsidRPr="00A11DFA">
        <w:t xml:space="preserve">As a creature of legislation, the Commission possesses only the authority the State Legislature has specifically granted to it in the Public Utility Code (the “Code”), 66 Pa. C.S. §§101, </w:t>
      </w:r>
      <w:r w:rsidRPr="00A11DFA">
        <w:rPr>
          <w:i/>
        </w:rPr>
        <w:t>et seq</w:t>
      </w:r>
      <w:r w:rsidRPr="00A11DFA">
        <w:t xml:space="preserve">.  Its jurisdiction must arise from the express language of the pertinent enabling legislation or by strong and necessary implication therefrom.  </w:t>
      </w:r>
      <w:r w:rsidRPr="00A11DFA">
        <w:rPr>
          <w:u w:val="single"/>
        </w:rPr>
        <w:t xml:space="preserve">Feingold v. </w:t>
      </w:r>
      <w:smartTag w:uri="urn:schemas-microsoft-com:office:smarttags" w:element="City">
        <w:smartTag w:uri="urn:schemas-microsoft-com:office:smarttags" w:element="place">
          <w:r w:rsidRPr="00A11DFA">
            <w:rPr>
              <w:u w:val="single"/>
            </w:rPr>
            <w:t>Bell</w:t>
          </w:r>
        </w:smartTag>
      </w:smartTag>
      <w:r w:rsidRPr="00A11DFA">
        <w:rPr>
          <w:u w:val="single"/>
        </w:rPr>
        <w:t xml:space="preserve"> of </w:t>
      </w:r>
      <w:smartTag w:uri="urn:schemas-microsoft-com:office:smarttags" w:element="State">
        <w:smartTag w:uri="urn:schemas-microsoft-com:office:smarttags" w:element="place">
          <w:r w:rsidRPr="00A11DFA">
            <w:rPr>
              <w:u w:val="single"/>
            </w:rPr>
            <w:t>Pa.</w:t>
          </w:r>
        </w:smartTag>
      </w:smartTag>
      <w:r w:rsidRPr="00A11DFA">
        <w:t xml:space="preserve">, 477 </w:t>
      </w:r>
      <w:smartTag w:uri="urn:schemas-microsoft-com:office:smarttags" w:element="State">
        <w:smartTag w:uri="urn:schemas-microsoft-com:office:smarttags" w:element="place">
          <w:r w:rsidRPr="00A11DFA">
            <w:t>Pa.</w:t>
          </w:r>
        </w:smartTag>
      </w:smartTag>
      <w:r w:rsidRPr="00A11DFA">
        <w:t xml:space="preserve"> 1, 383 A.2d 791 (1977); </w:t>
      </w:r>
      <w:r w:rsidRPr="00A11DFA">
        <w:rPr>
          <w:u w:val="single"/>
        </w:rPr>
        <w:t xml:space="preserve">Allegheny County Port Authority v. </w:t>
      </w:r>
      <w:smartTag w:uri="urn:schemas-microsoft-com:office:smarttags" w:element="State">
        <w:smartTag w:uri="urn:schemas-microsoft-com:office:smarttags" w:element="place">
          <w:r w:rsidRPr="00A11DFA">
            <w:rPr>
              <w:u w:val="single"/>
            </w:rPr>
            <w:t>Pa.</w:t>
          </w:r>
        </w:smartTag>
      </w:smartTag>
      <w:r w:rsidRPr="00A11DFA">
        <w:rPr>
          <w:u w:val="single"/>
        </w:rPr>
        <w:t xml:space="preserve"> P.U.C.</w:t>
      </w:r>
      <w:r w:rsidRPr="00A11DFA">
        <w:t xml:space="preserve">, 427 </w:t>
      </w:r>
      <w:smartTag w:uri="urn:schemas-microsoft-com:office:smarttags" w:element="State">
        <w:smartTag w:uri="urn:schemas-microsoft-com:office:smarttags" w:element="place">
          <w:r w:rsidRPr="00A11DFA">
            <w:t>Pa.</w:t>
          </w:r>
        </w:smartTag>
      </w:smartTag>
      <w:r w:rsidRPr="00A11DFA">
        <w:t xml:space="preserve"> 562, 237 A.2d 602 (1967); </w:t>
      </w:r>
      <w:r w:rsidRPr="00A11DFA">
        <w:rPr>
          <w:u w:val="single"/>
        </w:rPr>
        <w:t>Behrend v. Bell of Pa.</w:t>
      </w:r>
      <w:r w:rsidRPr="00A11DFA">
        <w:t xml:space="preserve">, 257 Pa. Superior Ct. 35, 390 A.2d 233 (1978); </w:t>
      </w:r>
      <w:r w:rsidRPr="00A11DFA">
        <w:rPr>
          <w:u w:val="single"/>
        </w:rPr>
        <w:t>Harrisburg Taxicab &amp; Baggage Co. v. Pa. P.U.C.</w:t>
      </w:r>
      <w:r w:rsidRPr="00A11DFA">
        <w:t xml:space="preserve">, 786 A.2d 288 (Pa. Cmwlth. 2001); and </w:t>
      </w:r>
      <w:r w:rsidRPr="00A11DFA">
        <w:rPr>
          <w:u w:val="single"/>
        </w:rPr>
        <w:t>City of Erie v. Pa. Electric Co.</w:t>
      </w:r>
      <w:r w:rsidRPr="00A11DFA">
        <w:t>, 383 A.2d 575 (</w:t>
      </w:r>
      <w:smartTag w:uri="urn:schemas-microsoft-com:office:smarttags" w:element="State">
        <w:smartTag w:uri="urn:schemas-microsoft-com:office:smarttags" w:element="place">
          <w:r w:rsidRPr="00A11DFA">
            <w:t>Pa.</w:t>
          </w:r>
        </w:smartTag>
      </w:smartTag>
      <w:r w:rsidRPr="00A11DFA">
        <w:t xml:space="preserve"> Cmwlth. 1978).  Parties to an action may not confer jurisdiction upon a tribunal where none exists.  </w:t>
      </w:r>
      <w:r w:rsidRPr="00A11DFA">
        <w:rPr>
          <w:u w:val="single"/>
        </w:rPr>
        <w:t>Roberts v. Martorano</w:t>
      </w:r>
      <w:r w:rsidRPr="00A11DFA">
        <w:t xml:space="preserve">, 427 Pa. 581, 235 A.2d 602 (1967).  Similarly, a challenge to subject matter jurisdiction is never waived; this jurisdictional question may be raised at any stage of the judicial process.  </w:t>
      </w:r>
      <w:r w:rsidRPr="00A11DFA">
        <w:rPr>
          <w:u w:val="single"/>
        </w:rPr>
        <w:t>Commonwealth v. Atlantic &amp; Gulf Coast Stevedores, Inc.</w:t>
      </w:r>
      <w:r w:rsidRPr="00A11DFA">
        <w:t xml:space="preserve">, 422 Pa. 442, 221 A.2d 128 (1966).  Furthermore, the mere fact that a party to an action qualifies as a regulated utility does not automatically confer subject matter jurisdiction upon the Commission.  </w:t>
      </w:r>
      <w:r w:rsidRPr="00A11DFA">
        <w:rPr>
          <w:u w:val="single"/>
        </w:rPr>
        <w:t>DeFrancesco v. Western Pennsylvania Water Co.</w:t>
      </w:r>
      <w:r w:rsidRPr="00A11DFA">
        <w:t>, 499 Pa. 374, 453 A.2d 595 (1982).</w:t>
      </w:r>
      <w:r w:rsidR="002A58F7">
        <w:t xml:space="preserve">  The law is well settled that</w:t>
      </w:r>
      <w:r w:rsidR="002A58F7" w:rsidRPr="002A58F7">
        <w:t xml:space="preserve"> </w:t>
      </w:r>
      <w:r w:rsidR="002A58F7">
        <w:t>t</w:t>
      </w:r>
      <w:r w:rsidR="002A58F7" w:rsidRPr="00804258">
        <w:t xml:space="preserve">he Commission possesses no jurisdiction to award monetary compensation for violations of the Code.  </w:t>
      </w:r>
      <w:r w:rsidR="002A58F7" w:rsidRPr="00804258">
        <w:rPr>
          <w:i/>
        </w:rPr>
        <w:t>See</w:t>
      </w:r>
      <w:r w:rsidR="002A58F7" w:rsidRPr="00804258">
        <w:t xml:space="preserve">, </w:t>
      </w:r>
      <w:r w:rsidR="002A58F7" w:rsidRPr="00804258">
        <w:rPr>
          <w:u w:val="single"/>
        </w:rPr>
        <w:t>DeFrancesco</w:t>
      </w:r>
      <w:r w:rsidR="00413575">
        <w:t xml:space="preserve">, </w:t>
      </w:r>
      <w:r w:rsidR="00413575">
        <w:rPr>
          <w:i/>
        </w:rPr>
        <w:t>supra</w:t>
      </w:r>
      <w:r w:rsidR="002A58F7" w:rsidRPr="00804258">
        <w:t xml:space="preserve">; </w:t>
      </w:r>
      <w:r w:rsidR="002A58F7" w:rsidRPr="00804258">
        <w:rPr>
          <w:u w:val="single"/>
        </w:rPr>
        <w:t>Elkin v. Bell of Pa.</w:t>
      </w:r>
      <w:r w:rsidR="002A58F7" w:rsidRPr="00804258">
        <w:t xml:space="preserve">, 491 Pa. 123, 420 A.2d 371 (1980); </w:t>
      </w:r>
      <w:r w:rsidR="002A58F7" w:rsidRPr="00804258">
        <w:rPr>
          <w:u w:val="single"/>
        </w:rPr>
        <w:t>Feingold</w:t>
      </w:r>
      <w:r w:rsidR="002A58F7" w:rsidRPr="00804258">
        <w:t xml:space="preserve">, </w:t>
      </w:r>
      <w:r w:rsidR="002A58F7" w:rsidRPr="00804258">
        <w:rPr>
          <w:i/>
        </w:rPr>
        <w:t>supra</w:t>
      </w:r>
      <w:r w:rsidR="002A58F7" w:rsidRPr="00804258">
        <w:t>.  Complainant’s request for compensation for</w:t>
      </w:r>
      <w:r w:rsidR="002A58F7">
        <w:t xml:space="preserve"> property damage</w:t>
      </w:r>
      <w:r w:rsidR="002A58F7" w:rsidRPr="00804258">
        <w:t>, therefore, must be d</w:t>
      </w:r>
      <w:r w:rsidR="002A58F7">
        <w:t>ismissed</w:t>
      </w:r>
      <w:r w:rsidR="002A58F7" w:rsidRPr="00804258">
        <w:t>.</w:t>
      </w:r>
    </w:p>
    <w:p w:rsidR="00413575" w:rsidRDefault="00413575" w:rsidP="00F776ED">
      <w:pPr>
        <w:spacing w:line="360" w:lineRule="auto"/>
      </w:pPr>
    </w:p>
    <w:p w:rsidR="00413575" w:rsidRDefault="00413575" w:rsidP="00F776ED">
      <w:pPr>
        <w:spacing w:line="360" w:lineRule="auto"/>
      </w:pPr>
      <w:r>
        <w:tab/>
      </w:r>
      <w:r>
        <w:tab/>
      </w:r>
      <w:r w:rsidR="00EC0B9E">
        <w:t xml:space="preserve">In </w:t>
      </w:r>
      <w:r w:rsidR="00D97089">
        <w:t xml:space="preserve">this context, </w:t>
      </w:r>
      <w:r w:rsidR="00EC0B9E">
        <w:t xml:space="preserve">the issue of bifurcation </w:t>
      </w:r>
      <w:r w:rsidR="0096696B">
        <w:t xml:space="preserve">rises, </w:t>
      </w:r>
      <w:r w:rsidR="00DD42C4">
        <w:t xml:space="preserve">which necessarily involves the </w:t>
      </w:r>
      <w:r w:rsidR="00EC0B9E">
        <w:t xml:space="preserve">doctrine of primary jurisdiction.  Where a damage claim is dismissed for lack of subject matter jurisdiction before the Commission, but the complaint also raises an issue relating to </w:t>
      </w:r>
      <w:r w:rsidR="0050624E">
        <w:t xml:space="preserve">a public utility’s duty under </w:t>
      </w:r>
      <w:r w:rsidR="004C0F93">
        <w:t>some law the Commission has jurisdiction to administer</w:t>
      </w:r>
      <w:r w:rsidR="0050624E">
        <w:t xml:space="preserve">, </w:t>
      </w:r>
      <w:r w:rsidR="0050624E">
        <w:rPr>
          <w:i/>
        </w:rPr>
        <w:t>e.g.</w:t>
      </w:r>
      <w:r w:rsidR="0050624E">
        <w:t xml:space="preserve">, </w:t>
      </w:r>
      <w:r w:rsidR="00EC0B9E">
        <w:t xml:space="preserve">the </w:t>
      </w:r>
      <w:r w:rsidR="00EC0B9E">
        <w:lastRenderedPageBreak/>
        <w:t xml:space="preserve">reasonableness, adequacy or safety of </w:t>
      </w:r>
      <w:r w:rsidR="0050624E">
        <w:t>public utility service,</w:t>
      </w:r>
      <w:r w:rsidR="0050624E">
        <w:rPr>
          <w:rStyle w:val="FootnoteReference"/>
        </w:rPr>
        <w:footnoteReference w:id="2"/>
      </w:r>
      <w:r w:rsidR="0050624E">
        <w:t xml:space="preserve"> or some regulation or order of the Commission,</w:t>
      </w:r>
      <w:r w:rsidR="004C0F93">
        <w:rPr>
          <w:rStyle w:val="FootnoteReference"/>
        </w:rPr>
        <w:footnoteReference w:id="3"/>
      </w:r>
      <w:r w:rsidR="004C0F93">
        <w:t xml:space="preserve"> the Commission may proceed to hear the merits of the complaint and if the complainant prevails, the complainant may then be heard in a civil court on his/her damage claim.  </w:t>
      </w:r>
      <w:r w:rsidR="004C0F93" w:rsidRPr="00804258">
        <w:rPr>
          <w:u w:val="single"/>
        </w:rPr>
        <w:t>DeFrancesco</w:t>
      </w:r>
      <w:r w:rsidR="004C0F93">
        <w:t xml:space="preserve">, </w:t>
      </w:r>
      <w:r w:rsidR="004C0F93">
        <w:rPr>
          <w:i/>
        </w:rPr>
        <w:t>supra</w:t>
      </w:r>
      <w:r w:rsidR="004C0F93">
        <w:t>.</w:t>
      </w:r>
      <w:r w:rsidR="00F4083F">
        <w:t xml:space="preserve">  </w:t>
      </w:r>
      <w:r w:rsidR="00F4083F" w:rsidRPr="00F4083F">
        <w:t>Th</w:t>
      </w:r>
      <w:r w:rsidR="005872BB">
        <w:t>us, the</w:t>
      </w:r>
      <w:r w:rsidR="00F4083F" w:rsidRPr="00F4083F">
        <w:t xml:space="preserve"> issue of bifurcation encompasses a discussion of what has been referred to as the doctrine of primary jurisdiction, recognizing that both </w:t>
      </w:r>
      <w:r w:rsidR="005872BB">
        <w:t xml:space="preserve">the </w:t>
      </w:r>
      <w:r w:rsidR="00F4083F" w:rsidRPr="00F4083F">
        <w:t xml:space="preserve">courts and administrative agencies each play a role in the adjudication of certain matters. </w:t>
      </w:r>
      <w:r w:rsidR="00F4083F">
        <w:t xml:space="preserve"> </w:t>
      </w:r>
      <w:r w:rsidR="00F4083F">
        <w:rPr>
          <w:u w:val="single"/>
        </w:rPr>
        <w:t>Elkin</w:t>
      </w:r>
      <w:r w:rsidR="00F4083F">
        <w:t xml:space="preserve">, </w:t>
      </w:r>
      <w:r w:rsidR="00F4083F">
        <w:rPr>
          <w:i/>
        </w:rPr>
        <w:t>supra</w:t>
      </w:r>
      <w:r w:rsidR="00F4083F">
        <w:t xml:space="preserve">, </w:t>
      </w:r>
      <w:r w:rsidR="00F4083F" w:rsidRPr="00F4083F">
        <w:t>discussed this doctrine, stating</w:t>
      </w:r>
      <w:r w:rsidR="00F4083F">
        <w:t>:</w:t>
      </w:r>
    </w:p>
    <w:p w:rsidR="00F4083F" w:rsidRDefault="00F4083F" w:rsidP="00F776ED">
      <w:pPr>
        <w:spacing w:line="360" w:lineRule="auto"/>
      </w:pPr>
    </w:p>
    <w:p w:rsidR="00F4083F" w:rsidRDefault="00F4083F" w:rsidP="00F4083F">
      <w:pPr>
        <w:ind w:left="1440" w:right="1440" w:firstLine="720"/>
      </w:pPr>
      <w:r w:rsidRPr="00F4083F">
        <w:t xml:space="preserve">To accommodate the role of the court with that of the agency, the doctrine of primary jurisdiction (or primary exclusive jurisdiction) has been developed. </w:t>
      </w:r>
      <w:r w:rsidR="00EC164D">
        <w:t xml:space="preserve"> </w:t>
      </w:r>
      <w:r w:rsidRPr="00F4083F">
        <w:t>Essentially, the doctrine creates a workable relationship between the courts and administrative agencies wherein, in appropriate circumstances, the courts can have the benefit of the agency</w:t>
      </w:r>
      <w:r w:rsidR="00217FA2">
        <w:t>’</w:t>
      </w:r>
      <w:r w:rsidRPr="00F4083F">
        <w:t>s views on issues within the agency</w:t>
      </w:r>
      <w:r w:rsidR="00217FA2">
        <w:t>’</w:t>
      </w:r>
      <w:r w:rsidRPr="00F4083F">
        <w:t>s competence.</w:t>
      </w:r>
    </w:p>
    <w:p w:rsidR="00F4083F" w:rsidRDefault="00F4083F" w:rsidP="00F4083F">
      <w:pPr>
        <w:ind w:left="1440" w:right="1440"/>
      </w:pPr>
    </w:p>
    <w:p w:rsidR="00F4083F" w:rsidRDefault="00F4083F" w:rsidP="00F4083F">
      <w:pPr>
        <w:ind w:left="1440" w:right="1440"/>
        <w:jc w:val="center"/>
      </w:pPr>
      <w:r>
        <w:t>*</w:t>
      </w:r>
      <w:r>
        <w:tab/>
        <w:t>*</w:t>
      </w:r>
      <w:r>
        <w:tab/>
        <w:t>*</w:t>
      </w:r>
    </w:p>
    <w:p w:rsidR="00F4083F" w:rsidRDefault="00F4083F" w:rsidP="00F4083F">
      <w:pPr>
        <w:ind w:left="1440" w:right="1440"/>
      </w:pPr>
    </w:p>
    <w:p w:rsidR="00F4083F" w:rsidRDefault="00EC164D" w:rsidP="00F4083F">
      <w:pPr>
        <w:ind w:left="1440" w:right="1440"/>
      </w:pPr>
      <w:r>
        <w:tab/>
      </w:r>
      <w:r w:rsidRPr="00EC164D">
        <w:t>The doctrine serves several purposes, chief of which are the benefits to be derived by making use of the agency</w:t>
      </w:r>
      <w:r w:rsidR="00217FA2">
        <w:t>’</w:t>
      </w:r>
      <w:r w:rsidRPr="00EC164D">
        <w:t xml:space="preserve">s special experience and expertise in complex areas with which judges and juries have little familiarity. </w:t>
      </w:r>
      <w:r>
        <w:t xml:space="preserve"> </w:t>
      </w:r>
      <w:r w:rsidRPr="00EC164D">
        <w:t xml:space="preserve">Another important consideration is the statutory purpose in the creation of the agency-the powers granted by the legislature and the powers withheld. </w:t>
      </w:r>
      <w:r>
        <w:t xml:space="preserve"> </w:t>
      </w:r>
      <w:r w:rsidRPr="00EC164D">
        <w:t xml:space="preserve">And, another fundamental concern is the need to promote consistency and uniformity in certain areas of administrative policy. </w:t>
      </w:r>
      <w:r>
        <w:t xml:space="preserve"> </w:t>
      </w:r>
      <w:r w:rsidRPr="00EC164D">
        <w:t xml:space="preserve">It has been noted that these purposes are frequently served in, and the doctrine of primary jurisdiction principally applicable to, the controversies concerning the so-called </w:t>
      </w:r>
      <w:r>
        <w:t>“</w:t>
      </w:r>
      <w:r w:rsidRPr="00EC164D">
        <w:t>regulated industries.</w:t>
      </w:r>
      <w:r>
        <w:t>”</w:t>
      </w:r>
    </w:p>
    <w:p w:rsidR="00EC164D" w:rsidRDefault="00EC164D" w:rsidP="00F4083F">
      <w:pPr>
        <w:ind w:left="1440" w:right="1440"/>
      </w:pPr>
    </w:p>
    <w:p w:rsidR="00EC164D" w:rsidRDefault="00EC164D" w:rsidP="00F4083F">
      <w:pPr>
        <w:ind w:left="1440" w:right="1440"/>
      </w:pPr>
      <w:r>
        <w:tab/>
      </w:r>
      <w:r w:rsidR="00655D71" w:rsidRPr="00655D71">
        <w:t>It is equally important to realize what the doctrine is not-it is not simply a polite gesture of deference to the agency seeking an advisory opinion wherein the court is free to ignore the agency</w:t>
      </w:r>
      <w:r w:rsidR="00655D71">
        <w:t>’</w:t>
      </w:r>
      <w:r w:rsidR="00655D71" w:rsidRPr="00655D71">
        <w:t xml:space="preserve">s determination. </w:t>
      </w:r>
      <w:r w:rsidR="00655D71">
        <w:t xml:space="preserve"> </w:t>
      </w:r>
      <w:r w:rsidR="00655D71" w:rsidRPr="00655D71">
        <w:t>Rather, once the court properly refers a matter or a specific issue to the agency, that agency</w:t>
      </w:r>
      <w:r w:rsidR="00655D71">
        <w:t>’</w:t>
      </w:r>
      <w:r w:rsidR="00655D71" w:rsidRPr="00655D71">
        <w:t>s determination is binding upon the court and the parties (subject, of course, to appellate revi</w:t>
      </w:r>
      <w:r w:rsidR="00655D71">
        <w:t xml:space="preserve">ew through normal channels), </w:t>
      </w:r>
      <w:r w:rsidR="00655D71" w:rsidRPr="00655D71">
        <w:t>and is not subject to collateral attack in the pending court proceeding.</w:t>
      </w:r>
    </w:p>
    <w:p w:rsidR="00655D71" w:rsidRDefault="00655D71" w:rsidP="00F4083F">
      <w:pPr>
        <w:ind w:left="1440" w:right="1440"/>
      </w:pPr>
    </w:p>
    <w:p w:rsidR="00655D71" w:rsidRDefault="009F0A75" w:rsidP="009F0A75">
      <w:pPr>
        <w:ind w:left="1440" w:right="1440"/>
        <w:jc w:val="center"/>
      </w:pPr>
      <w:r>
        <w:lastRenderedPageBreak/>
        <w:t>*</w:t>
      </w:r>
      <w:r>
        <w:tab/>
        <w:t>*</w:t>
      </w:r>
      <w:r>
        <w:tab/>
        <w:t>*</w:t>
      </w:r>
    </w:p>
    <w:p w:rsidR="009F0A75" w:rsidRDefault="009F0A75" w:rsidP="009F0A75">
      <w:pPr>
        <w:ind w:left="1440" w:right="1440"/>
      </w:pPr>
    </w:p>
    <w:p w:rsidR="009F0A75" w:rsidRDefault="009F0A75" w:rsidP="009F0A75">
      <w:pPr>
        <w:ind w:left="1440" w:right="1440"/>
      </w:pPr>
      <w:r w:rsidRPr="009F0A75">
        <w:t>Once the administrative tribunal has determined the issues within its jurisdiction, then the temporarily suspended civil litigation may continue, guided in scope and direction by the nature and outcome of the agency determination.</w:t>
      </w:r>
    </w:p>
    <w:p w:rsidR="009F0A75" w:rsidRDefault="009F0A75" w:rsidP="009F0A75"/>
    <w:p w:rsidR="009F0A75" w:rsidRDefault="009F0A75" w:rsidP="009F0A75"/>
    <w:p w:rsidR="009F0A75" w:rsidRDefault="009F0A75" w:rsidP="009F0A75">
      <w:pPr>
        <w:spacing w:line="360" w:lineRule="auto"/>
      </w:pPr>
      <w:r w:rsidRPr="009F0A75">
        <w:rPr>
          <w:u w:val="single"/>
        </w:rPr>
        <w:t>Elkin</w:t>
      </w:r>
      <w:r w:rsidRPr="009F0A75">
        <w:t>, 491 Pa. at 131-134, 420 A.2d at 376-377 (citations</w:t>
      </w:r>
      <w:r>
        <w:t xml:space="preserve"> and </w:t>
      </w:r>
      <w:r w:rsidRPr="009F0A75">
        <w:t>footnotes omitted).</w:t>
      </w:r>
    </w:p>
    <w:p w:rsidR="009F0A75" w:rsidRDefault="009F0A75" w:rsidP="009F0A75">
      <w:pPr>
        <w:spacing w:line="360" w:lineRule="auto"/>
      </w:pPr>
    </w:p>
    <w:p w:rsidR="009F0A75" w:rsidRDefault="00F86464" w:rsidP="009F0A75">
      <w:pPr>
        <w:spacing w:line="360" w:lineRule="auto"/>
      </w:pPr>
      <w:r>
        <w:tab/>
      </w:r>
      <w:r>
        <w:tab/>
      </w:r>
      <w:r w:rsidRPr="00F86464">
        <w:t xml:space="preserve">Further, </w:t>
      </w:r>
      <w:r w:rsidRPr="00F86464">
        <w:rPr>
          <w:u w:val="single"/>
        </w:rPr>
        <w:t>Elkin</w:t>
      </w:r>
      <w:r w:rsidRPr="00F86464">
        <w:t xml:space="preserve"> enunciated the following test to be applied to determine whether bifurcation is appropriate:</w:t>
      </w:r>
    </w:p>
    <w:p w:rsidR="00F86464" w:rsidRDefault="00F86464" w:rsidP="009F0A75">
      <w:pPr>
        <w:spacing w:line="360" w:lineRule="auto"/>
      </w:pPr>
    </w:p>
    <w:p w:rsidR="00F86464" w:rsidRDefault="00F86464" w:rsidP="00F86464">
      <w:pPr>
        <w:ind w:left="1440" w:right="1440"/>
      </w:pPr>
      <w:r>
        <w:tab/>
      </w:r>
      <w:r w:rsidR="008776B4" w:rsidRPr="008776B4">
        <w:t>Where the subject matter is within an agency</w:t>
      </w:r>
      <w:r w:rsidR="008776B4">
        <w:t>’</w:t>
      </w:r>
      <w:r w:rsidR="008776B4" w:rsidRPr="008776B4">
        <w:t xml:space="preserve">s jurisdiction and where it is a complex matter requiring special competence, with which the judge or jury would not or could not be familiar, the proper procedure is for the court to refer the matter to the appropriate agency. </w:t>
      </w:r>
      <w:r w:rsidR="008776B4">
        <w:t xml:space="preserve"> </w:t>
      </w:r>
      <w:r w:rsidR="008776B4" w:rsidRPr="008776B4">
        <w:t xml:space="preserve">Also weighing in the consideration should be the need for uniformity and consistency in agency policy and the legislative intent. </w:t>
      </w:r>
      <w:r w:rsidR="008776B4">
        <w:t xml:space="preserve"> </w:t>
      </w:r>
      <w:r w:rsidR="008776B4" w:rsidRPr="008776B4">
        <w:t>Where, on the other hand, the matter is not o</w:t>
      </w:r>
      <w:r w:rsidR="008776B4">
        <w:t>ne peculiarly within the agency’</w:t>
      </w:r>
      <w:r w:rsidR="008776B4" w:rsidRPr="008776B4">
        <w:t xml:space="preserve">s area of expertise, but is one which the courts or jury are equally well-suited to determine, the court must not abdicate its responsibility. </w:t>
      </w:r>
      <w:r w:rsidR="008776B4">
        <w:t xml:space="preserve"> </w:t>
      </w:r>
      <w:r w:rsidR="008776B4" w:rsidRPr="008776B4">
        <w:t>In such cases, it would be wasteful to employ the bifurcated procedure of referral, as no appreciable benefits would be forthcoming.</w:t>
      </w:r>
    </w:p>
    <w:p w:rsidR="008776B4" w:rsidRDefault="008776B4" w:rsidP="008776B4"/>
    <w:p w:rsidR="008776B4" w:rsidRDefault="008776B4" w:rsidP="008776B4"/>
    <w:p w:rsidR="008776B4" w:rsidRDefault="008776B4" w:rsidP="008776B4">
      <w:pPr>
        <w:spacing w:line="360" w:lineRule="auto"/>
      </w:pPr>
      <w:r w:rsidRPr="008776B4">
        <w:rPr>
          <w:u w:val="single"/>
        </w:rPr>
        <w:t>Elkin</w:t>
      </w:r>
      <w:r w:rsidRPr="008776B4">
        <w:t>, 491 Pa. at 134-135, 420 A.2d at 377 (footnote omitted).</w:t>
      </w:r>
    </w:p>
    <w:p w:rsidR="008776B4" w:rsidRDefault="008776B4" w:rsidP="008776B4">
      <w:pPr>
        <w:spacing w:line="360" w:lineRule="auto"/>
      </w:pPr>
    </w:p>
    <w:p w:rsidR="008776B4" w:rsidRDefault="008776B4" w:rsidP="008776B4">
      <w:pPr>
        <w:spacing w:line="360" w:lineRule="auto"/>
      </w:pPr>
      <w:r>
        <w:tab/>
      </w:r>
      <w:r>
        <w:tab/>
      </w:r>
      <w:r w:rsidR="00581AA4" w:rsidRPr="00581AA4">
        <w:t xml:space="preserve">In applying this test, </w:t>
      </w:r>
      <w:r w:rsidR="00581AA4">
        <w:t xml:space="preserve">one </w:t>
      </w:r>
      <w:r w:rsidR="00581AA4" w:rsidRPr="00581AA4">
        <w:t xml:space="preserve">must look at the complaint to determine if bifurcation </w:t>
      </w:r>
      <w:r w:rsidR="00581AA4">
        <w:t xml:space="preserve">is </w:t>
      </w:r>
      <w:r w:rsidR="00581AA4" w:rsidRPr="00581AA4">
        <w:t>appropriate.</w:t>
      </w:r>
      <w:r w:rsidR="00AC5AD1">
        <w:t xml:space="preserve">  For example in </w:t>
      </w:r>
      <w:r w:rsidR="00AC5AD1" w:rsidRPr="00AC5AD1">
        <w:rPr>
          <w:u w:val="single"/>
        </w:rPr>
        <w:t>Feingold</w:t>
      </w:r>
      <w:r w:rsidR="00AC5AD1">
        <w:t xml:space="preserve">, </w:t>
      </w:r>
      <w:r w:rsidR="001551E3">
        <w:rPr>
          <w:i/>
        </w:rPr>
        <w:t>supra</w:t>
      </w:r>
      <w:r w:rsidR="001551E3">
        <w:t xml:space="preserve">, </w:t>
      </w:r>
      <w:r w:rsidR="00AC5AD1">
        <w:t>the complainant</w:t>
      </w:r>
      <w:r w:rsidR="00AC5AD1" w:rsidRPr="00AC5AD1">
        <w:t xml:space="preserve"> brought an action </w:t>
      </w:r>
      <w:r w:rsidR="00AC5AD1">
        <w:t xml:space="preserve">in a </w:t>
      </w:r>
      <w:r w:rsidR="00495ECB">
        <w:t>C</w:t>
      </w:r>
      <w:r w:rsidR="00AC5AD1">
        <w:t xml:space="preserve">ourt of </w:t>
      </w:r>
      <w:r w:rsidR="008E4EED">
        <w:t>C</w:t>
      </w:r>
      <w:r w:rsidR="00AC5AD1">
        <w:t xml:space="preserve">ommon </w:t>
      </w:r>
      <w:r w:rsidR="008E4EED">
        <w:t>P</w:t>
      </w:r>
      <w:r w:rsidR="00AC5AD1">
        <w:t xml:space="preserve">leas </w:t>
      </w:r>
      <w:r w:rsidR="00AC5AD1" w:rsidRPr="00AC5AD1">
        <w:t>against Bell of Pennsylvania</w:t>
      </w:r>
      <w:r w:rsidR="00AC5AD1">
        <w:t xml:space="preserve"> (“Bell”)</w:t>
      </w:r>
      <w:r w:rsidR="00AC5AD1" w:rsidRPr="00AC5AD1">
        <w:t>, seeking both injunctive relief and damages, alleging that Bell had wrongfully disconnected a referral device used to advise callers of his new telephone number, had wrongfully disconnected his telephone service when it discovered that he was using a privately maintained answering device and had wrongfully refused to supply him with</w:t>
      </w:r>
      <w:r w:rsidR="004301D8">
        <w:t xml:space="preserve"> </w:t>
      </w:r>
      <w:r w:rsidR="004301D8" w:rsidRPr="004301D8">
        <w:t xml:space="preserve">mobile telephone service. </w:t>
      </w:r>
      <w:r w:rsidR="004301D8">
        <w:t xml:space="preserve"> The</w:t>
      </w:r>
      <w:r w:rsidR="004301D8" w:rsidRPr="004301D8">
        <w:t xml:space="preserve"> </w:t>
      </w:r>
      <w:r w:rsidR="008E4EED">
        <w:t>Co</w:t>
      </w:r>
      <w:r w:rsidR="004301D8" w:rsidRPr="004301D8">
        <w:t xml:space="preserve">urt of </w:t>
      </w:r>
      <w:r w:rsidR="008E4EED">
        <w:t>C</w:t>
      </w:r>
      <w:r w:rsidR="004301D8" w:rsidRPr="004301D8">
        <w:t xml:space="preserve">ommon </w:t>
      </w:r>
      <w:r w:rsidR="008E4EED">
        <w:t>P</w:t>
      </w:r>
      <w:r w:rsidR="004301D8" w:rsidRPr="004301D8">
        <w:t>leas dismissed Feingold</w:t>
      </w:r>
      <w:r w:rsidR="004301D8">
        <w:t>’</w:t>
      </w:r>
      <w:r w:rsidR="004301D8" w:rsidRPr="004301D8">
        <w:t>s complaint on the basis that he had failed to exhaust his administrative remedies with the</w:t>
      </w:r>
      <w:r w:rsidR="004301D8">
        <w:t xml:space="preserve"> Commission</w:t>
      </w:r>
      <w:r w:rsidR="004301D8" w:rsidRPr="004301D8">
        <w:t xml:space="preserve">. </w:t>
      </w:r>
      <w:r w:rsidR="004301D8">
        <w:t xml:space="preserve"> The </w:t>
      </w:r>
      <w:r w:rsidR="004301D8" w:rsidRPr="004301D8">
        <w:t xml:space="preserve">Supreme Court </w:t>
      </w:r>
      <w:r w:rsidR="004301D8">
        <w:t xml:space="preserve">of Pennsylvania </w:t>
      </w:r>
      <w:r w:rsidR="004301D8" w:rsidRPr="004301D8">
        <w:t xml:space="preserve">reversed the determination of the </w:t>
      </w:r>
      <w:r w:rsidR="008E4EED">
        <w:t>C</w:t>
      </w:r>
      <w:r w:rsidR="004301D8" w:rsidRPr="004301D8">
        <w:t xml:space="preserve">ourt of </w:t>
      </w:r>
      <w:r w:rsidR="008E4EED">
        <w:lastRenderedPageBreak/>
        <w:t>C</w:t>
      </w:r>
      <w:r w:rsidR="004301D8" w:rsidRPr="004301D8">
        <w:t xml:space="preserve">ommon </w:t>
      </w:r>
      <w:r w:rsidR="008E4EED">
        <w:t>P</w:t>
      </w:r>
      <w:r w:rsidR="004301D8" w:rsidRPr="004301D8">
        <w:t>leas and remanded the matter to that court for adjudication</w:t>
      </w:r>
      <w:r w:rsidR="004301D8">
        <w:t>, explaining</w:t>
      </w:r>
      <w:r w:rsidR="004301D8" w:rsidRPr="004301D8">
        <w:t xml:space="preserve"> that in order for the </w:t>
      </w:r>
      <w:r w:rsidR="004301D8">
        <w:t xml:space="preserve">Commission </w:t>
      </w:r>
      <w:r w:rsidR="004301D8" w:rsidRPr="004301D8">
        <w:t>to have jurisdiction over Feingold</w:t>
      </w:r>
      <w:r w:rsidR="004301D8">
        <w:t>’</w:t>
      </w:r>
      <w:r w:rsidR="004301D8" w:rsidRPr="004301D8">
        <w:t>s claim for damages, it must be ab</w:t>
      </w:r>
      <w:r w:rsidR="004301D8">
        <w:t>le to provide Feingold with an “</w:t>
      </w:r>
      <w:r w:rsidR="004301D8" w:rsidRPr="004301D8">
        <w:t>adequate and complete</w:t>
      </w:r>
      <w:r w:rsidR="004301D8">
        <w:t>”</w:t>
      </w:r>
      <w:r w:rsidR="004301D8" w:rsidRPr="004301D8">
        <w:t xml:space="preserve"> administrative remedy.  </w:t>
      </w:r>
      <w:r w:rsidR="004301D8" w:rsidRPr="004301D8">
        <w:rPr>
          <w:u w:val="single"/>
        </w:rPr>
        <w:t>Feingold</w:t>
      </w:r>
      <w:r w:rsidR="004301D8" w:rsidRPr="004301D8">
        <w:t xml:space="preserve">, 477 Pa. at 7, 383 A.2d at 794. </w:t>
      </w:r>
      <w:r w:rsidR="004301D8">
        <w:t xml:space="preserve"> The </w:t>
      </w:r>
      <w:r w:rsidR="004301D8" w:rsidRPr="004301D8">
        <w:t xml:space="preserve">Supreme Court held that because the </w:t>
      </w:r>
      <w:r w:rsidR="004301D8">
        <w:t xml:space="preserve">Commission </w:t>
      </w:r>
      <w:r w:rsidR="004301D8" w:rsidRPr="004301D8">
        <w:t>is not authorized to award dam</w:t>
      </w:r>
      <w:r w:rsidR="004301D8">
        <w:t>ages to a complainant, Feingold’</w:t>
      </w:r>
      <w:r w:rsidR="004301D8" w:rsidRPr="004301D8">
        <w:t xml:space="preserve">s remedy from the </w:t>
      </w:r>
      <w:r w:rsidR="004301D8">
        <w:t xml:space="preserve">Commission </w:t>
      </w:r>
      <w:r w:rsidR="004301D8" w:rsidRPr="004301D8">
        <w:t xml:space="preserve">was not </w:t>
      </w:r>
      <w:r w:rsidR="004301D8">
        <w:t>“</w:t>
      </w:r>
      <w:r w:rsidR="004301D8" w:rsidRPr="004301D8">
        <w:t>adequate and complete.</w:t>
      </w:r>
      <w:r w:rsidR="004301D8">
        <w:t xml:space="preserve">” </w:t>
      </w:r>
      <w:r w:rsidR="004301D8" w:rsidRPr="004301D8">
        <w:t xml:space="preserve"> </w:t>
      </w:r>
      <w:r w:rsidR="004301D8">
        <w:rPr>
          <w:i/>
        </w:rPr>
        <w:t>Id</w:t>
      </w:r>
      <w:r w:rsidR="004301D8">
        <w:t xml:space="preserve">. </w:t>
      </w:r>
      <w:r w:rsidR="004301D8" w:rsidRPr="004301D8">
        <w:t xml:space="preserve">477 Pa. at 10-11, 383 A.2d at 795-96. </w:t>
      </w:r>
      <w:r w:rsidR="004301D8">
        <w:t xml:space="preserve"> </w:t>
      </w:r>
      <w:r w:rsidR="004301D8" w:rsidRPr="004301D8">
        <w:t>Accordingly, jurisdiction over Feingold</w:t>
      </w:r>
      <w:r w:rsidR="004301D8">
        <w:t>’</w:t>
      </w:r>
      <w:r w:rsidR="004301D8" w:rsidRPr="004301D8">
        <w:t xml:space="preserve">s claim for damages rested exclusively in the </w:t>
      </w:r>
      <w:r w:rsidR="008E4EED">
        <w:t>C</w:t>
      </w:r>
      <w:r w:rsidR="004301D8" w:rsidRPr="004301D8">
        <w:t xml:space="preserve">ourt of </w:t>
      </w:r>
      <w:r w:rsidR="008E4EED">
        <w:t>C</w:t>
      </w:r>
      <w:r w:rsidR="004301D8" w:rsidRPr="004301D8">
        <w:t xml:space="preserve">ommon </w:t>
      </w:r>
      <w:r w:rsidR="008E4EED">
        <w:t>P</w:t>
      </w:r>
      <w:r w:rsidR="004301D8" w:rsidRPr="004301D8">
        <w:t xml:space="preserve">leas. </w:t>
      </w:r>
      <w:r w:rsidR="004301D8">
        <w:t xml:space="preserve"> </w:t>
      </w:r>
      <w:r w:rsidR="004301D8" w:rsidRPr="004301D8">
        <w:rPr>
          <w:i/>
        </w:rPr>
        <w:t>Id</w:t>
      </w:r>
      <w:r w:rsidR="004301D8" w:rsidRPr="004301D8">
        <w:t>.</w:t>
      </w:r>
    </w:p>
    <w:p w:rsidR="001551E3" w:rsidRDefault="001551E3" w:rsidP="008776B4">
      <w:pPr>
        <w:spacing w:line="360" w:lineRule="auto"/>
      </w:pPr>
    </w:p>
    <w:p w:rsidR="001551E3" w:rsidRDefault="001551E3" w:rsidP="008776B4">
      <w:pPr>
        <w:spacing w:line="360" w:lineRule="auto"/>
      </w:pPr>
      <w:r>
        <w:tab/>
      </w:r>
      <w:r>
        <w:tab/>
      </w:r>
      <w:r w:rsidR="00B00215">
        <w:t xml:space="preserve">In </w:t>
      </w:r>
      <w:r w:rsidR="00B00215" w:rsidRPr="00B00215">
        <w:rPr>
          <w:u w:val="single"/>
        </w:rPr>
        <w:t>Feingold</w:t>
      </w:r>
      <w:r w:rsidR="00B00215" w:rsidRPr="00B00215">
        <w:t xml:space="preserve">, </w:t>
      </w:r>
      <w:r w:rsidR="00B00215">
        <w:t xml:space="preserve">the </w:t>
      </w:r>
      <w:r w:rsidR="00B00215" w:rsidRPr="00B00215">
        <w:t xml:space="preserve">Supreme Court further stated that it was clear the remedial and enforcement powers vested in the </w:t>
      </w:r>
      <w:r w:rsidR="00B00215">
        <w:t xml:space="preserve">Commission </w:t>
      </w:r>
      <w:r w:rsidR="00B00215" w:rsidRPr="00B00215">
        <w:t xml:space="preserve">by the Code were designed to allow the </w:t>
      </w:r>
      <w:r w:rsidR="00B00215">
        <w:t xml:space="preserve">Commission </w:t>
      </w:r>
      <w:r w:rsidR="00B00215" w:rsidRPr="00B00215">
        <w:t xml:space="preserve">to enforce its orders and regulations, but not to empower the </w:t>
      </w:r>
      <w:r w:rsidR="00B00215">
        <w:t xml:space="preserve">Commission </w:t>
      </w:r>
      <w:r w:rsidR="00B00215" w:rsidRPr="00B00215">
        <w:t xml:space="preserve">to award damages or to litigate a private action for damages on behalf of a complainant.  </w:t>
      </w:r>
      <w:r w:rsidR="00B00215" w:rsidRPr="00B00215">
        <w:rPr>
          <w:i/>
        </w:rPr>
        <w:t>Id</w:t>
      </w:r>
      <w:r w:rsidR="00B00215" w:rsidRPr="00B00215">
        <w:t xml:space="preserve">. at 10, 383 A.2d at 795. </w:t>
      </w:r>
      <w:r w:rsidR="00B00215">
        <w:t xml:space="preserve"> </w:t>
      </w:r>
      <w:r w:rsidR="00B00215" w:rsidRPr="00B00215">
        <w:t>The Su</w:t>
      </w:r>
      <w:r w:rsidR="00B00215">
        <w:t>preme Court noted that Feingold’</w:t>
      </w:r>
      <w:r w:rsidR="00B00215" w:rsidRPr="00B00215">
        <w:t xml:space="preserve">s complaint merely raised the question of whether his alleged damages were proximately caused by a breach of a legal duty owed to him by Bell.  </w:t>
      </w:r>
      <w:r w:rsidR="00B00215">
        <w:rPr>
          <w:i/>
        </w:rPr>
        <w:t>Id</w:t>
      </w:r>
      <w:r w:rsidR="00B00215">
        <w:t xml:space="preserve">. </w:t>
      </w:r>
      <w:r w:rsidR="00B00215" w:rsidRPr="00B00215">
        <w:t xml:space="preserve">477 Pa. at 10-11 n.7, 383 A.2d at 796 n.7. </w:t>
      </w:r>
      <w:r w:rsidR="00B00215">
        <w:t xml:space="preserve"> </w:t>
      </w:r>
      <w:r w:rsidR="00C46AEF">
        <w:t xml:space="preserve">This type of issue </w:t>
      </w:r>
      <w:r w:rsidR="00B00215" w:rsidRPr="00B00215">
        <w:t xml:space="preserve">was traditionally disposed of by courts of law, and the Supreme Court did not see how the </w:t>
      </w:r>
      <w:r w:rsidR="00C46AEF">
        <w:t>“</w:t>
      </w:r>
      <w:r w:rsidR="00B00215" w:rsidRPr="00B00215">
        <w:t>administrative expertise</w:t>
      </w:r>
      <w:r w:rsidR="00C46AEF">
        <w:t>”</w:t>
      </w:r>
      <w:r w:rsidR="00B00215" w:rsidRPr="00B00215">
        <w:t xml:space="preserve"> of the </w:t>
      </w:r>
      <w:r w:rsidR="00C46AEF">
        <w:t xml:space="preserve">Commission </w:t>
      </w:r>
      <w:r w:rsidR="00B00215" w:rsidRPr="00B00215">
        <w:t xml:space="preserve">would contribute to the resolution of this issue. </w:t>
      </w:r>
      <w:r w:rsidR="00C46AEF">
        <w:t xml:space="preserve"> </w:t>
      </w:r>
      <w:r w:rsidR="00C46AEF" w:rsidRPr="00C46AEF">
        <w:rPr>
          <w:i/>
        </w:rPr>
        <w:t>I</w:t>
      </w:r>
      <w:r w:rsidR="00B00215" w:rsidRPr="00C46AEF">
        <w:rPr>
          <w:i/>
        </w:rPr>
        <w:t>d</w:t>
      </w:r>
      <w:r w:rsidR="00B00215" w:rsidRPr="00B00215">
        <w:t xml:space="preserve">. </w:t>
      </w:r>
      <w:r w:rsidR="00C46AEF">
        <w:t xml:space="preserve"> </w:t>
      </w:r>
      <w:r w:rsidR="00B00215" w:rsidRPr="00B00215">
        <w:t>The Supreme Court noted that courts daily resolve disputes such as those for medical malpractice and products liability</w:t>
      </w:r>
      <w:r w:rsidR="00C46AEF">
        <w:t>,</w:t>
      </w:r>
      <w:r w:rsidR="00B00215" w:rsidRPr="00B00215">
        <w:t xml:space="preserve"> which involve equally technical and complex subject matters. </w:t>
      </w:r>
      <w:r w:rsidR="00C46AEF">
        <w:t xml:space="preserve"> </w:t>
      </w:r>
      <w:r w:rsidR="00B00215" w:rsidRPr="00C46AEF">
        <w:rPr>
          <w:i/>
        </w:rPr>
        <w:t>Id</w:t>
      </w:r>
      <w:r w:rsidR="00B00215" w:rsidRPr="00B00215">
        <w:t xml:space="preserve">. </w:t>
      </w:r>
      <w:r w:rsidR="00C46AEF">
        <w:t xml:space="preserve"> The </w:t>
      </w:r>
      <w:r w:rsidR="00B00215" w:rsidRPr="00B00215">
        <w:t>Supreme Court did concede that cases raising questions of the adequacy of utility service to an entire geographic area, rather than to one individual, could present problems</w:t>
      </w:r>
      <w:r w:rsidR="00C46AEF">
        <w:t>,</w:t>
      </w:r>
      <w:r w:rsidR="00B00215" w:rsidRPr="00B00215">
        <w:t xml:space="preserve"> which should be addressed initially by the</w:t>
      </w:r>
      <w:r w:rsidR="00C46AEF">
        <w:t xml:space="preserve"> Commission</w:t>
      </w:r>
      <w:r w:rsidR="00B00215" w:rsidRPr="00B00215">
        <w:t xml:space="preserve">. </w:t>
      </w:r>
      <w:r w:rsidR="00C46AEF">
        <w:t xml:space="preserve"> </w:t>
      </w:r>
      <w:r w:rsidR="00B00215" w:rsidRPr="00C46AEF">
        <w:rPr>
          <w:i/>
        </w:rPr>
        <w:t>Id</w:t>
      </w:r>
      <w:r w:rsidR="00B00215" w:rsidRPr="00B00215">
        <w:t>.</w:t>
      </w:r>
    </w:p>
    <w:p w:rsidR="00C46AEF" w:rsidRDefault="00C46AEF" w:rsidP="008776B4">
      <w:pPr>
        <w:spacing w:line="360" w:lineRule="auto"/>
      </w:pPr>
    </w:p>
    <w:p w:rsidR="00C46AEF" w:rsidRDefault="00C46AEF" w:rsidP="008776B4">
      <w:pPr>
        <w:spacing w:line="360" w:lineRule="auto"/>
      </w:pPr>
      <w:r>
        <w:tab/>
      </w:r>
      <w:r>
        <w:tab/>
      </w:r>
      <w:r w:rsidR="00C0433D" w:rsidRPr="00C0433D">
        <w:t xml:space="preserve">The parameters of </w:t>
      </w:r>
      <w:r w:rsidR="00C0433D" w:rsidRPr="00C0433D">
        <w:rPr>
          <w:u w:val="single"/>
        </w:rPr>
        <w:t>Feingold</w:t>
      </w:r>
      <w:r w:rsidR="00C0433D" w:rsidRPr="00C0433D">
        <w:t xml:space="preserve"> were further </w:t>
      </w:r>
      <w:r w:rsidR="00C0433D">
        <w:t>r</w:t>
      </w:r>
      <w:r w:rsidR="00C0433D" w:rsidRPr="00C0433D">
        <w:t xml:space="preserve">efined by </w:t>
      </w:r>
      <w:r w:rsidR="00C0433D">
        <w:t>the Supreme Court’</w:t>
      </w:r>
      <w:r w:rsidR="00C0433D" w:rsidRPr="00C0433D">
        <w:t xml:space="preserve">s decision in </w:t>
      </w:r>
      <w:r w:rsidR="00C0433D" w:rsidRPr="00C0433D">
        <w:rPr>
          <w:u w:val="single"/>
        </w:rPr>
        <w:t>Elkin</w:t>
      </w:r>
      <w:r w:rsidR="00C0433D">
        <w:t xml:space="preserve">, </w:t>
      </w:r>
      <w:r w:rsidR="00C0433D">
        <w:rPr>
          <w:i/>
        </w:rPr>
        <w:t>supra</w:t>
      </w:r>
      <w:r w:rsidR="00C0433D" w:rsidRPr="00C0433D">
        <w:t xml:space="preserve">. </w:t>
      </w:r>
      <w:r w:rsidR="00C0433D">
        <w:t xml:space="preserve"> </w:t>
      </w:r>
      <w:r w:rsidR="00C0433D" w:rsidRPr="00C0433D">
        <w:t>In that case, Studio Photographers, Inc. (</w:t>
      </w:r>
      <w:r w:rsidR="00C0433D">
        <w:t>“</w:t>
      </w:r>
      <w:r w:rsidR="00C0433D" w:rsidRPr="00C0433D">
        <w:t>Studio</w:t>
      </w:r>
      <w:r w:rsidR="00C0433D">
        <w:t>”</w:t>
      </w:r>
      <w:r w:rsidR="00C0433D" w:rsidRPr="00C0433D">
        <w:t xml:space="preserve">), assignor to Elkin, filed a four-count complaint in a </w:t>
      </w:r>
      <w:r w:rsidR="008E4EED">
        <w:t>C</w:t>
      </w:r>
      <w:r w:rsidR="00C0433D" w:rsidRPr="00C0433D">
        <w:t xml:space="preserve">ourt of </w:t>
      </w:r>
      <w:r w:rsidR="008E4EED">
        <w:t>C</w:t>
      </w:r>
      <w:r w:rsidR="00C0433D" w:rsidRPr="00C0433D">
        <w:t xml:space="preserve">ommon </w:t>
      </w:r>
      <w:r w:rsidR="008E4EED">
        <w:t>P</w:t>
      </w:r>
      <w:r w:rsidR="00C0433D" w:rsidRPr="00C0433D">
        <w:t>leas against Bell</w:t>
      </w:r>
      <w:r w:rsidR="00C0433D">
        <w:t>,</w:t>
      </w:r>
      <w:r w:rsidR="00C0433D" w:rsidRPr="00C0433D">
        <w:t xml:space="preserve"> alleg</w:t>
      </w:r>
      <w:r w:rsidR="00C0433D">
        <w:t>ing</w:t>
      </w:r>
      <w:r w:rsidR="00C0433D" w:rsidRPr="00C0433D">
        <w:t xml:space="preserve"> that Bell had negligently failed to provide Studio with reasonable, rapid and efficient service with respect to three WATS lines, had refused to furnish Studio with adequate directory assistance information service and had negligently failed to furnish Studio with written telephone listings for prospective custom</w:t>
      </w:r>
      <w:r w:rsidR="00BA0FA0">
        <w:t>ers. Upon consideration of Bell’</w:t>
      </w:r>
      <w:r w:rsidR="00C0433D" w:rsidRPr="00C0433D">
        <w:t xml:space="preserve">s preliminary objections, the </w:t>
      </w:r>
      <w:r w:rsidR="008E4EED">
        <w:t>C</w:t>
      </w:r>
      <w:r w:rsidR="00C0433D" w:rsidRPr="00C0433D">
        <w:t>ourt</w:t>
      </w:r>
      <w:r w:rsidR="00700402">
        <w:t xml:space="preserve"> </w:t>
      </w:r>
      <w:r w:rsidR="00700402" w:rsidRPr="00700402">
        <w:t xml:space="preserve">of </w:t>
      </w:r>
      <w:r w:rsidR="008E4EED">
        <w:t>C</w:t>
      </w:r>
      <w:r w:rsidR="00700402" w:rsidRPr="00700402">
        <w:t xml:space="preserve">ommon </w:t>
      </w:r>
      <w:r w:rsidR="008E4EED">
        <w:t>P</w:t>
      </w:r>
      <w:r w:rsidR="00700402" w:rsidRPr="00700402">
        <w:t xml:space="preserve">leas stayed the </w:t>
      </w:r>
      <w:r w:rsidR="00700402" w:rsidRPr="00700402">
        <w:lastRenderedPageBreak/>
        <w:t xml:space="preserve">proceedings until the </w:t>
      </w:r>
      <w:r w:rsidR="00700402">
        <w:t xml:space="preserve">Commission </w:t>
      </w:r>
      <w:r w:rsidR="00700402" w:rsidRPr="00700402">
        <w:t xml:space="preserve">had made a determination of </w:t>
      </w:r>
      <w:r w:rsidR="00700402">
        <w:t xml:space="preserve">the </w:t>
      </w:r>
      <w:r w:rsidR="00700402" w:rsidRPr="00700402">
        <w:t>standards for the services involved.</w:t>
      </w:r>
    </w:p>
    <w:p w:rsidR="00700402" w:rsidRDefault="00700402" w:rsidP="008776B4">
      <w:pPr>
        <w:spacing w:line="360" w:lineRule="auto"/>
      </w:pPr>
    </w:p>
    <w:p w:rsidR="00700402" w:rsidRDefault="00700402" w:rsidP="008776B4">
      <w:pPr>
        <w:spacing w:line="360" w:lineRule="auto"/>
      </w:pPr>
      <w:r>
        <w:tab/>
      </w:r>
      <w:r>
        <w:tab/>
      </w:r>
      <w:r w:rsidR="006A563A">
        <w:t xml:space="preserve">In </w:t>
      </w:r>
      <w:r w:rsidR="006A563A">
        <w:rPr>
          <w:u w:val="single"/>
        </w:rPr>
        <w:t>Elkin</w:t>
      </w:r>
      <w:r w:rsidR="006A563A">
        <w:t xml:space="preserve">, </w:t>
      </w:r>
      <w:r w:rsidR="006A563A">
        <w:rPr>
          <w:i/>
        </w:rPr>
        <w:t>supra</w:t>
      </w:r>
      <w:r w:rsidR="006A563A">
        <w:t xml:space="preserve">, the </w:t>
      </w:r>
      <w:r w:rsidR="006A563A" w:rsidRPr="006A563A">
        <w:t xml:space="preserve">Supreme Court </w:t>
      </w:r>
      <w:r w:rsidR="006A563A">
        <w:t xml:space="preserve">of Pennsylvania found </w:t>
      </w:r>
      <w:r w:rsidR="006A563A" w:rsidRPr="006A563A">
        <w:t>the allegations of Studio</w:t>
      </w:r>
      <w:r w:rsidR="006A563A">
        <w:t>’</w:t>
      </w:r>
      <w:r w:rsidR="006A563A" w:rsidRPr="006A563A">
        <w:t xml:space="preserve">s complaint clearly involved an area where the </w:t>
      </w:r>
      <w:r w:rsidR="006A563A">
        <w:t xml:space="preserve">Commission’s </w:t>
      </w:r>
      <w:r w:rsidR="006A563A" w:rsidRPr="006A563A">
        <w:t xml:space="preserve">expertise was needed, namely the adequacy and efficiency of WATS and directory assistance services.  </w:t>
      </w:r>
      <w:r w:rsidR="006A563A" w:rsidRPr="006A563A">
        <w:rPr>
          <w:u w:val="single"/>
        </w:rPr>
        <w:t>Elkin</w:t>
      </w:r>
      <w:r w:rsidR="006A563A" w:rsidRPr="006A563A">
        <w:t xml:space="preserve">, 491 Pa. at 135, 420 A.2d at 377. </w:t>
      </w:r>
      <w:r w:rsidR="006A563A">
        <w:t xml:space="preserve"> The </w:t>
      </w:r>
      <w:r w:rsidR="006A563A" w:rsidRPr="006A563A">
        <w:t xml:space="preserve">Supreme Court further </w:t>
      </w:r>
      <w:r w:rsidR="006A563A">
        <w:t xml:space="preserve">held </w:t>
      </w:r>
      <w:r w:rsidR="006A563A" w:rsidRPr="006A563A">
        <w:t xml:space="preserve">that the competence of the </w:t>
      </w:r>
      <w:r w:rsidR="006A563A">
        <w:t xml:space="preserve">Commission </w:t>
      </w:r>
      <w:r w:rsidR="006A563A" w:rsidRPr="006A563A">
        <w:t>in these areas was substantially greater</w:t>
      </w:r>
      <w:r w:rsidR="006A563A">
        <w:t xml:space="preserve"> than the competence of a court</w:t>
      </w:r>
      <w:r w:rsidR="006A563A" w:rsidRPr="006A563A">
        <w:t xml:space="preserve"> and the need for uniformity of policy was apparent. </w:t>
      </w:r>
      <w:r w:rsidR="006A563A">
        <w:t xml:space="preserve"> </w:t>
      </w:r>
      <w:r w:rsidR="006A563A" w:rsidRPr="006A563A">
        <w:rPr>
          <w:i/>
        </w:rPr>
        <w:t>Id</w:t>
      </w:r>
      <w:r w:rsidR="006A563A" w:rsidRPr="006A563A">
        <w:t>.</w:t>
      </w:r>
    </w:p>
    <w:p w:rsidR="006A563A" w:rsidRDefault="006A563A" w:rsidP="008776B4">
      <w:pPr>
        <w:spacing w:line="360" w:lineRule="auto"/>
      </w:pPr>
    </w:p>
    <w:p w:rsidR="006A563A" w:rsidRDefault="006A563A" w:rsidP="008776B4">
      <w:pPr>
        <w:spacing w:line="360" w:lineRule="auto"/>
      </w:pPr>
      <w:r>
        <w:tab/>
      </w:r>
      <w:r>
        <w:tab/>
      </w:r>
      <w:r w:rsidR="001F41F2">
        <w:t xml:space="preserve">Two years later, </w:t>
      </w:r>
      <w:r w:rsidR="00DA7D62">
        <w:t xml:space="preserve">the </w:t>
      </w:r>
      <w:r w:rsidR="00DA7D62" w:rsidRPr="006A563A">
        <w:t xml:space="preserve">Supreme Court </w:t>
      </w:r>
      <w:r w:rsidR="00DA7D62">
        <w:t>of Pennsylvania</w:t>
      </w:r>
      <w:r w:rsidR="002351CD">
        <w:t xml:space="preserve"> </w:t>
      </w:r>
      <w:r w:rsidR="002351CD" w:rsidRPr="002351CD">
        <w:t xml:space="preserve">revisited the issue of the primary jurisdiction of the </w:t>
      </w:r>
      <w:r w:rsidR="002351CD">
        <w:t xml:space="preserve">Commission </w:t>
      </w:r>
      <w:r w:rsidR="002351CD" w:rsidRPr="002351CD">
        <w:t xml:space="preserve">in </w:t>
      </w:r>
      <w:r w:rsidR="002351CD" w:rsidRPr="002351CD">
        <w:rPr>
          <w:u w:val="single"/>
        </w:rPr>
        <w:t>DeFrancesco</w:t>
      </w:r>
      <w:r w:rsidR="002351CD">
        <w:t xml:space="preserve">, </w:t>
      </w:r>
      <w:r w:rsidR="002351CD">
        <w:rPr>
          <w:i/>
        </w:rPr>
        <w:t>supra</w:t>
      </w:r>
      <w:r w:rsidR="002351CD" w:rsidRPr="002351CD">
        <w:t xml:space="preserve">. </w:t>
      </w:r>
      <w:r w:rsidR="002351CD">
        <w:t xml:space="preserve"> </w:t>
      </w:r>
      <w:r w:rsidR="002351CD" w:rsidRPr="002351CD">
        <w:t xml:space="preserve">In that case, DeFrancesco brought a suit in trespass and assumpsit against Western Pennsylvania Water Company alleging that its failure to provide adequate water pressure in a fire hydrant caused a fire to burn out of control and damage his property. </w:t>
      </w:r>
      <w:r w:rsidR="002351CD">
        <w:t xml:space="preserve"> </w:t>
      </w:r>
      <w:r w:rsidR="002351CD" w:rsidRPr="002351CD">
        <w:t xml:space="preserve">DeFrancesco obtained a favorable verdict in a </w:t>
      </w:r>
      <w:r w:rsidR="008E4EED">
        <w:t>C</w:t>
      </w:r>
      <w:r w:rsidR="002351CD" w:rsidRPr="002351CD">
        <w:t xml:space="preserve">ourt of </w:t>
      </w:r>
      <w:r w:rsidR="008E4EED">
        <w:t>C</w:t>
      </w:r>
      <w:r w:rsidR="002351CD" w:rsidRPr="002351CD">
        <w:t xml:space="preserve">ommon </w:t>
      </w:r>
      <w:r w:rsidR="008E4EED">
        <w:t>P</w:t>
      </w:r>
      <w:r w:rsidR="002351CD" w:rsidRPr="002351CD">
        <w:t>leas and the Western Pennsylvania Water Company appealed, argu</w:t>
      </w:r>
      <w:r w:rsidR="002351CD">
        <w:t>ing</w:t>
      </w:r>
      <w:r w:rsidR="008E4EED">
        <w:t xml:space="preserve"> that the C</w:t>
      </w:r>
      <w:r w:rsidR="002351CD" w:rsidRPr="002351CD">
        <w:t xml:space="preserve">ourt of </w:t>
      </w:r>
      <w:r w:rsidR="008E4EED">
        <w:t>C</w:t>
      </w:r>
      <w:r w:rsidR="002351CD" w:rsidRPr="002351CD">
        <w:t xml:space="preserve">ommon </w:t>
      </w:r>
      <w:r w:rsidR="008E4EED">
        <w:t>P</w:t>
      </w:r>
      <w:r w:rsidR="002351CD" w:rsidRPr="002351CD">
        <w:t>leas had usurped the authority of the</w:t>
      </w:r>
      <w:r w:rsidR="002351CD">
        <w:t xml:space="preserve"> Commission</w:t>
      </w:r>
      <w:r w:rsidR="002351CD" w:rsidRPr="002351CD">
        <w:t xml:space="preserve">. </w:t>
      </w:r>
      <w:r w:rsidR="002351CD">
        <w:t xml:space="preserve"> The </w:t>
      </w:r>
      <w:r w:rsidR="002351CD" w:rsidRPr="002351CD">
        <w:t xml:space="preserve">Superior Court </w:t>
      </w:r>
      <w:r w:rsidR="002351CD">
        <w:t xml:space="preserve">of Pennsylvania </w:t>
      </w:r>
      <w:r w:rsidR="002351CD" w:rsidRPr="002351CD">
        <w:t>reversed on this issue, holding that jurisdiction over DeFrancesco</w:t>
      </w:r>
      <w:r w:rsidR="002351CD">
        <w:t>’</w:t>
      </w:r>
      <w:r w:rsidR="002351CD" w:rsidRPr="002351CD">
        <w:t>s liability claims was properly vested in the</w:t>
      </w:r>
      <w:r w:rsidR="002351CD">
        <w:t xml:space="preserve"> Commission</w:t>
      </w:r>
      <w:r w:rsidR="002351CD" w:rsidRPr="002351CD">
        <w:t>.</w:t>
      </w:r>
    </w:p>
    <w:p w:rsidR="002351CD" w:rsidRDefault="002351CD" w:rsidP="008776B4">
      <w:pPr>
        <w:spacing w:line="360" w:lineRule="auto"/>
      </w:pPr>
    </w:p>
    <w:p w:rsidR="002351CD" w:rsidRDefault="002351CD" w:rsidP="008776B4">
      <w:pPr>
        <w:spacing w:line="360" w:lineRule="auto"/>
      </w:pPr>
      <w:r>
        <w:tab/>
      </w:r>
      <w:r>
        <w:tab/>
        <w:t xml:space="preserve">The </w:t>
      </w:r>
      <w:r w:rsidRPr="002351CD">
        <w:t xml:space="preserve">Supreme Court </w:t>
      </w:r>
      <w:r>
        <w:t xml:space="preserve">of Pennsylvania </w:t>
      </w:r>
      <w:r w:rsidRPr="002351CD">
        <w:t xml:space="preserve">reversed the decision of the Superior Court and concluded that jurisdiction over this matter rested with the courts, not </w:t>
      </w:r>
      <w:r>
        <w:t xml:space="preserve">with </w:t>
      </w:r>
      <w:r w:rsidRPr="002351CD">
        <w:t>the</w:t>
      </w:r>
      <w:r>
        <w:t xml:space="preserve"> Commission</w:t>
      </w:r>
      <w:r w:rsidRPr="002351CD">
        <w:t xml:space="preserve">.  </w:t>
      </w:r>
      <w:r w:rsidRPr="002351CD">
        <w:rPr>
          <w:u w:val="single"/>
        </w:rPr>
        <w:t>DeFrancesco</w:t>
      </w:r>
      <w:r w:rsidRPr="002351CD">
        <w:t xml:space="preserve">, 499 Pa. at 378, 453 A.2d at 597. </w:t>
      </w:r>
      <w:r>
        <w:t xml:space="preserve"> The </w:t>
      </w:r>
      <w:r w:rsidRPr="002351CD">
        <w:t>Suprem</w:t>
      </w:r>
      <w:r w:rsidR="00B707F2">
        <w:t>e Court stated that DeFrancesco’</w:t>
      </w:r>
      <w:r w:rsidRPr="002351CD">
        <w:t>s controversy was not one in which the general reasonableness, adeq</w:t>
      </w:r>
      <w:r w:rsidR="00B707F2">
        <w:t>uacy or sufficiency of a public u</w:t>
      </w:r>
      <w:r w:rsidRPr="002351CD">
        <w:t>tility</w:t>
      </w:r>
      <w:r w:rsidR="00B707F2">
        <w:t>’</w:t>
      </w:r>
      <w:r w:rsidRPr="002351CD">
        <w:t xml:space="preserve">s service was drawn into question. </w:t>
      </w:r>
      <w:r w:rsidR="00B707F2">
        <w:t xml:space="preserve"> </w:t>
      </w:r>
      <w:r w:rsidRPr="00B707F2">
        <w:rPr>
          <w:i/>
        </w:rPr>
        <w:t>Id</w:t>
      </w:r>
      <w:r w:rsidRPr="002351CD">
        <w:t xml:space="preserve">. </w:t>
      </w:r>
      <w:r w:rsidR="00B707F2">
        <w:t xml:space="preserve"> </w:t>
      </w:r>
      <w:r w:rsidRPr="002351CD">
        <w:t>Resolution of DeFrancesco</w:t>
      </w:r>
      <w:r w:rsidR="00B707F2">
        <w:t>’</w:t>
      </w:r>
      <w:r w:rsidRPr="002351CD">
        <w:t>s claims depended upon no rule or regulation predicated on the peculiar expertise of the</w:t>
      </w:r>
      <w:r w:rsidR="00B707F2">
        <w:t xml:space="preserve"> Commission</w:t>
      </w:r>
      <w:r w:rsidRPr="002351CD">
        <w:t>, no agency policy, no question of service or facilities owed to the general public, and no particular standard of safety or convenience articulated by the</w:t>
      </w:r>
      <w:r w:rsidR="00B707F2">
        <w:t xml:space="preserve"> Commission</w:t>
      </w:r>
      <w:r w:rsidRPr="002351CD">
        <w:t xml:space="preserve">. </w:t>
      </w:r>
      <w:r w:rsidR="00B707F2">
        <w:t xml:space="preserve"> </w:t>
      </w:r>
      <w:r w:rsidRPr="00B707F2">
        <w:rPr>
          <w:i/>
        </w:rPr>
        <w:t>Id</w:t>
      </w:r>
      <w:r w:rsidRPr="002351CD">
        <w:t>.</w:t>
      </w:r>
    </w:p>
    <w:p w:rsidR="00B707F2" w:rsidRDefault="00B707F2" w:rsidP="008776B4">
      <w:pPr>
        <w:spacing w:line="360" w:lineRule="auto"/>
      </w:pPr>
    </w:p>
    <w:p w:rsidR="00B707F2" w:rsidRDefault="00B707F2" w:rsidP="008776B4">
      <w:pPr>
        <w:spacing w:line="360" w:lineRule="auto"/>
      </w:pPr>
      <w:r>
        <w:tab/>
      </w:r>
      <w:r>
        <w:tab/>
      </w:r>
      <w:r w:rsidR="00E92F5C" w:rsidRPr="00E92F5C">
        <w:t>The gravamen of DeFrancesco</w:t>
      </w:r>
      <w:r w:rsidR="00E92F5C">
        <w:t>’</w:t>
      </w:r>
      <w:r w:rsidR="00E92F5C" w:rsidRPr="00E92F5C">
        <w:t xml:space="preserve">s allegations was that the utility negligently failed to provide </w:t>
      </w:r>
      <w:r w:rsidR="00E92F5C">
        <w:t xml:space="preserve">a required </w:t>
      </w:r>
      <w:r w:rsidR="00E92F5C" w:rsidRPr="00E92F5C">
        <w:t>service and a determination on DeFrancesco</w:t>
      </w:r>
      <w:r w:rsidR="00E92F5C">
        <w:t>’</w:t>
      </w:r>
      <w:r w:rsidR="00E92F5C" w:rsidRPr="00E92F5C">
        <w:t xml:space="preserve">s allegations was within the </w:t>
      </w:r>
      <w:r w:rsidR="00E92F5C" w:rsidRPr="00E92F5C">
        <w:lastRenderedPageBreak/>
        <w:t xml:space="preserve">authority of the courts. </w:t>
      </w:r>
      <w:r w:rsidR="00E92F5C">
        <w:t xml:space="preserve"> </w:t>
      </w:r>
      <w:r w:rsidR="00E92F5C" w:rsidRPr="006344B5">
        <w:rPr>
          <w:i/>
        </w:rPr>
        <w:t>Id</w:t>
      </w:r>
      <w:r w:rsidR="00E92F5C" w:rsidRPr="00E92F5C">
        <w:t xml:space="preserve">. </w:t>
      </w:r>
      <w:r w:rsidR="006344B5">
        <w:t xml:space="preserve"> The </w:t>
      </w:r>
      <w:r w:rsidR="00E92F5C" w:rsidRPr="00E92F5C">
        <w:t xml:space="preserve">Supreme Court stated that resolving the essential question of whether Western Pennsylvania Water Company had failed to perform its mandated duties required no special knowledge or experience and fell within the scope of the ordinary business of the courts. </w:t>
      </w:r>
      <w:r w:rsidR="006344B5">
        <w:t xml:space="preserve"> </w:t>
      </w:r>
      <w:r w:rsidR="00E92F5C" w:rsidRPr="006344B5">
        <w:rPr>
          <w:i/>
        </w:rPr>
        <w:t>Id</w:t>
      </w:r>
      <w:r w:rsidR="00E92F5C" w:rsidRPr="00E92F5C">
        <w:t xml:space="preserve">. </w:t>
      </w:r>
      <w:r w:rsidR="006344B5">
        <w:t xml:space="preserve"> </w:t>
      </w:r>
      <w:r w:rsidR="00E92F5C" w:rsidRPr="00E92F5C">
        <w:t xml:space="preserve">Finally, </w:t>
      </w:r>
      <w:r w:rsidR="006344B5">
        <w:t xml:space="preserve">the </w:t>
      </w:r>
      <w:r w:rsidR="00E92F5C" w:rsidRPr="00E92F5C">
        <w:t>Supreme Court stated that a court must look to the essence of the underlying claims, rather than to magic words, in</w:t>
      </w:r>
      <w:r w:rsidR="00DD4C9C">
        <w:t xml:space="preserve"> </w:t>
      </w:r>
      <w:r w:rsidR="00DD4C9C" w:rsidRPr="00DD4C9C">
        <w:t xml:space="preserve">determining where jurisdiction properly lies.  </w:t>
      </w:r>
      <w:r w:rsidR="00DD4C9C" w:rsidRPr="00DD4C9C">
        <w:rPr>
          <w:i/>
        </w:rPr>
        <w:t>Id</w:t>
      </w:r>
      <w:r w:rsidR="00DD4C9C" w:rsidRPr="00DD4C9C">
        <w:t>. at 378 n.5, 453 A.2d at 597 n.5.</w:t>
      </w:r>
    </w:p>
    <w:p w:rsidR="00F065E7" w:rsidRDefault="00F065E7" w:rsidP="008776B4">
      <w:pPr>
        <w:spacing w:line="360" w:lineRule="auto"/>
      </w:pPr>
    </w:p>
    <w:p w:rsidR="00F065E7" w:rsidRPr="00F065E7" w:rsidRDefault="00F065E7" w:rsidP="008776B4">
      <w:pPr>
        <w:spacing w:line="360" w:lineRule="auto"/>
      </w:pPr>
      <w:r>
        <w:tab/>
      </w:r>
      <w:r>
        <w:tab/>
        <w:t xml:space="preserve">In </w:t>
      </w:r>
      <w:r>
        <w:rPr>
          <w:u w:val="single"/>
        </w:rPr>
        <w:t>Optimum Image, Inc. v. Philadelphia Electric Co.</w:t>
      </w:r>
      <w:r>
        <w:t xml:space="preserve">, </w:t>
      </w:r>
      <w:r w:rsidR="00B05AA9" w:rsidRPr="00B05AA9">
        <w:t>410 Pa. Super</w:t>
      </w:r>
      <w:r w:rsidR="00B05AA9">
        <w:t>ior Ct</w:t>
      </w:r>
      <w:r w:rsidR="00B05AA9" w:rsidRPr="00B05AA9">
        <w:t>. 475, 600 A.2d 553 (1991), Optimum Image sued Philadelphia Electric Company (</w:t>
      </w:r>
      <w:r w:rsidR="00B05AA9">
        <w:t>“</w:t>
      </w:r>
      <w:r w:rsidR="00B05AA9" w:rsidRPr="00B05AA9">
        <w:t>PECO</w:t>
      </w:r>
      <w:r w:rsidR="00B05AA9">
        <w:t>”</w:t>
      </w:r>
      <w:r w:rsidR="00B05AA9" w:rsidRPr="00B05AA9">
        <w:t xml:space="preserve">), claiming that its film processing machines and its cash register had been damaged by power surges that were a result of voltage fluctuations </w:t>
      </w:r>
      <w:r w:rsidR="00B05AA9">
        <w:t>in PECO’</w:t>
      </w:r>
      <w:r w:rsidR="00B05AA9" w:rsidRPr="00B05AA9">
        <w:t xml:space="preserve">s electrical service. </w:t>
      </w:r>
      <w:r w:rsidR="00B05AA9">
        <w:t xml:space="preserve"> </w:t>
      </w:r>
      <w:r w:rsidR="00B05AA9" w:rsidRPr="00B05AA9">
        <w:t xml:space="preserve">Optimum Image alleged that PECO delivered, over an extended period of time, unreasonably defective electrical power to its business premises. </w:t>
      </w:r>
      <w:r w:rsidR="00B05AA9">
        <w:t xml:space="preserve"> </w:t>
      </w:r>
      <w:r w:rsidR="00B05AA9" w:rsidRPr="00B05AA9">
        <w:t xml:space="preserve">Also at issue were matters relating to the adequacy of the equipment </w:t>
      </w:r>
      <w:r w:rsidR="00B05AA9">
        <w:t xml:space="preserve">PECO </w:t>
      </w:r>
      <w:r w:rsidR="00B05AA9" w:rsidRPr="00B05AA9">
        <w:t>used to investigate the problems that were experienced by Optimum Image</w:t>
      </w:r>
      <w:r w:rsidR="00B05AA9">
        <w:t>,</w:t>
      </w:r>
      <w:r w:rsidR="00B05AA9" w:rsidRPr="00B05AA9">
        <w:t xml:space="preserve"> as well as PECO</w:t>
      </w:r>
      <w:r w:rsidR="00B05AA9">
        <w:t>’</w:t>
      </w:r>
      <w:r w:rsidR="00B05AA9" w:rsidRPr="00B05AA9">
        <w:t>s compliance with the tariff it had filed with the</w:t>
      </w:r>
      <w:r w:rsidR="00B05AA9">
        <w:t xml:space="preserve"> Commission</w:t>
      </w:r>
      <w:r w:rsidR="00B05AA9" w:rsidRPr="00B05AA9">
        <w:t xml:space="preserve">. </w:t>
      </w:r>
      <w:r w:rsidR="00B05AA9">
        <w:t xml:space="preserve"> The </w:t>
      </w:r>
      <w:r w:rsidR="00B05AA9" w:rsidRPr="00B05AA9">
        <w:t xml:space="preserve">Superior Court </w:t>
      </w:r>
      <w:r w:rsidR="00B05AA9">
        <w:t xml:space="preserve">of Pennsylvania </w:t>
      </w:r>
      <w:r w:rsidR="00B05AA9" w:rsidRPr="00B05AA9">
        <w:t xml:space="preserve">concluded the </w:t>
      </w:r>
      <w:r w:rsidR="00B05AA9">
        <w:t xml:space="preserve">Commission’s </w:t>
      </w:r>
      <w:r w:rsidR="00B05AA9" w:rsidRPr="00B05AA9">
        <w:t>expertise was needed to decide Optimum Image</w:t>
      </w:r>
      <w:r w:rsidR="00B05AA9">
        <w:t xml:space="preserve">’s claims.  </w:t>
      </w:r>
      <w:r w:rsidR="00B05AA9" w:rsidRPr="00B05AA9">
        <w:rPr>
          <w:u w:val="single"/>
        </w:rPr>
        <w:t>Optimum Image</w:t>
      </w:r>
      <w:r w:rsidR="00B05AA9" w:rsidRPr="00B05AA9">
        <w:t>, 410 Pa. Super</w:t>
      </w:r>
      <w:r w:rsidR="00F8415D">
        <w:t>ior Ct</w:t>
      </w:r>
      <w:r w:rsidR="00B05AA9" w:rsidRPr="00B05AA9">
        <w:t>. at 483, 600 A.2d at 557.</w:t>
      </w:r>
      <w:r w:rsidR="00B05AA9">
        <w:t xml:space="preserve">  </w:t>
      </w:r>
      <w:r w:rsidR="006A549E">
        <w:t>U</w:t>
      </w:r>
      <w:r w:rsidR="006A549E" w:rsidRPr="006A549E">
        <w:t xml:space="preserve">nlike the claims in </w:t>
      </w:r>
      <w:r w:rsidR="006A549E" w:rsidRPr="006A549E">
        <w:rPr>
          <w:u w:val="single"/>
        </w:rPr>
        <w:t>DeFrancesco</w:t>
      </w:r>
      <w:r w:rsidR="006A549E" w:rsidRPr="006A549E">
        <w:t xml:space="preserve">, </w:t>
      </w:r>
      <w:r w:rsidR="006A549E">
        <w:t xml:space="preserve">the Superior Court found </w:t>
      </w:r>
      <w:r w:rsidR="006A549E" w:rsidRPr="006A549E">
        <w:t xml:space="preserve">the allegations of Optimum Image encompassed complex, technical claims relating to problems with the supply of electrical power over an extended period of time.  </w:t>
      </w:r>
      <w:r w:rsidR="006A549E" w:rsidRPr="006A549E">
        <w:rPr>
          <w:i/>
        </w:rPr>
        <w:t>Id</w:t>
      </w:r>
      <w:r w:rsidR="006A549E" w:rsidRPr="006A549E">
        <w:t xml:space="preserve">. at 484, 600 A.2d at 557. </w:t>
      </w:r>
      <w:r w:rsidR="006A549E">
        <w:t xml:space="preserve"> </w:t>
      </w:r>
      <w:r w:rsidR="006A549E" w:rsidRPr="006A549E">
        <w:t xml:space="preserve">Moreover, Optimum Image had also taken issue with the equipment </w:t>
      </w:r>
      <w:r w:rsidR="006A549E">
        <w:t xml:space="preserve">PECO </w:t>
      </w:r>
      <w:r w:rsidR="006A549E" w:rsidRPr="006A549E">
        <w:t>used to investigate its problems</w:t>
      </w:r>
      <w:r w:rsidR="006A549E">
        <w:t>,</w:t>
      </w:r>
      <w:r w:rsidR="006A549E" w:rsidRPr="006A549E">
        <w:t xml:space="preserve"> as well as with PECO</w:t>
      </w:r>
      <w:r w:rsidR="006A549E">
        <w:t>’</w:t>
      </w:r>
      <w:r w:rsidR="006A549E" w:rsidRPr="006A549E">
        <w:t xml:space="preserve">s compliance with its tariff. </w:t>
      </w:r>
      <w:r w:rsidR="006A549E">
        <w:t xml:space="preserve"> </w:t>
      </w:r>
      <w:r w:rsidR="006A549E" w:rsidRPr="006A549E">
        <w:rPr>
          <w:i/>
        </w:rPr>
        <w:t>Id</w:t>
      </w:r>
      <w:r w:rsidR="006A549E" w:rsidRPr="006A549E">
        <w:t>.</w:t>
      </w:r>
    </w:p>
    <w:p w:rsidR="00DD4C9C" w:rsidRDefault="00DD4C9C" w:rsidP="008776B4">
      <w:pPr>
        <w:spacing w:line="360" w:lineRule="auto"/>
      </w:pPr>
    </w:p>
    <w:p w:rsidR="00DD4C9C" w:rsidRDefault="00DD4C9C" w:rsidP="008776B4">
      <w:pPr>
        <w:spacing w:line="360" w:lineRule="auto"/>
      </w:pPr>
      <w:r>
        <w:tab/>
      </w:r>
      <w:r>
        <w:tab/>
      </w:r>
      <w:r w:rsidR="00861F4A">
        <w:t xml:space="preserve">The Commonwealth Court of Pennsylvania followed the </w:t>
      </w:r>
      <w:r w:rsidR="006A549E">
        <w:t xml:space="preserve">same </w:t>
      </w:r>
      <w:r w:rsidR="00861F4A">
        <w:t xml:space="preserve">analysis in determining that a civil court, and not the Commission, was the appropriate forum </w:t>
      </w:r>
      <w:r w:rsidR="002518A1">
        <w:t xml:space="preserve">to decide a </w:t>
      </w:r>
      <w:r w:rsidR="0062025E">
        <w:t xml:space="preserve">public utility’s liability in a </w:t>
      </w:r>
      <w:r w:rsidR="002518A1">
        <w:t xml:space="preserve">property damage claim in </w:t>
      </w:r>
      <w:r w:rsidR="0062025E">
        <w:rPr>
          <w:u w:val="single"/>
        </w:rPr>
        <w:t>Poorbaugh v. Pa. P.U.C.</w:t>
      </w:r>
      <w:r w:rsidR="0062025E">
        <w:t>, 666 A.2d 744 (Pa. Cmwlth. 1995).</w:t>
      </w:r>
      <w:r w:rsidR="005514EB">
        <w:t xml:space="preserve">  </w:t>
      </w:r>
      <w:r w:rsidR="005514EB" w:rsidRPr="005514EB">
        <w:t xml:space="preserve">Poorbaugh filed </w:t>
      </w:r>
      <w:r w:rsidR="005514EB">
        <w:t>suit</w:t>
      </w:r>
      <w:r w:rsidR="005514EB" w:rsidRPr="005514EB">
        <w:t xml:space="preserve"> against West Penn </w:t>
      </w:r>
      <w:r w:rsidR="00A66024">
        <w:t xml:space="preserve">Power </w:t>
      </w:r>
      <w:r w:rsidR="005514EB" w:rsidRPr="005514EB">
        <w:t xml:space="preserve">in which he sought to recover damages sustained in a barn fire. </w:t>
      </w:r>
      <w:r w:rsidR="005514EB">
        <w:t xml:space="preserve"> </w:t>
      </w:r>
      <w:r w:rsidR="005514EB" w:rsidRPr="005514EB">
        <w:t>Poorbaugh alleged the fire was caused by West Penn</w:t>
      </w:r>
      <w:r w:rsidR="00A66024">
        <w:t xml:space="preserve"> Power</w:t>
      </w:r>
      <w:r w:rsidR="005514EB">
        <w:t>’</w:t>
      </w:r>
      <w:r w:rsidR="005514EB" w:rsidRPr="005514EB">
        <w:t xml:space="preserve">s negligence in supplying an overvoltage of electricity. </w:t>
      </w:r>
      <w:r w:rsidR="00F8415D">
        <w:t xml:space="preserve"> </w:t>
      </w:r>
      <w:r w:rsidR="005514EB" w:rsidRPr="005514EB">
        <w:t xml:space="preserve">West Penn </w:t>
      </w:r>
      <w:r w:rsidR="00A66024">
        <w:t xml:space="preserve">Power </w:t>
      </w:r>
      <w:r w:rsidR="005514EB" w:rsidRPr="005514EB">
        <w:t>filed preliminary objections to the complaint and</w:t>
      </w:r>
      <w:r w:rsidR="005514EB">
        <w:t>,</w:t>
      </w:r>
      <w:r w:rsidR="005514EB" w:rsidRPr="005514EB">
        <w:t xml:space="preserve"> </w:t>
      </w:r>
      <w:r w:rsidR="005514EB">
        <w:rPr>
          <w:i/>
        </w:rPr>
        <w:t>inter alia</w:t>
      </w:r>
      <w:r w:rsidR="005514EB">
        <w:t xml:space="preserve">, </w:t>
      </w:r>
      <w:r w:rsidR="005514EB" w:rsidRPr="005514EB">
        <w:t>sought its dismissal, claiming the trial court lacked subject matter jurisdiction over the matter.</w:t>
      </w:r>
      <w:r w:rsidR="009C4DA2">
        <w:t xml:space="preserve">  T</w:t>
      </w:r>
      <w:r w:rsidR="009C4DA2" w:rsidRPr="009C4DA2">
        <w:t>he trial court granted West Penn</w:t>
      </w:r>
      <w:r w:rsidR="00A66024">
        <w:t xml:space="preserve"> </w:t>
      </w:r>
      <w:r w:rsidR="00A66024">
        <w:lastRenderedPageBreak/>
        <w:t>Power</w:t>
      </w:r>
      <w:r w:rsidR="009C4DA2">
        <w:t>’</w:t>
      </w:r>
      <w:r w:rsidR="009C4DA2" w:rsidRPr="009C4DA2">
        <w:t xml:space="preserve">s preliminary objections and transferred to the </w:t>
      </w:r>
      <w:r w:rsidR="009C4DA2">
        <w:t xml:space="preserve">Commission </w:t>
      </w:r>
      <w:r w:rsidR="009C4DA2" w:rsidRPr="009C4DA2">
        <w:t xml:space="preserve">those issues relating to alleged violations of the standards of utility service under the Code. </w:t>
      </w:r>
      <w:r w:rsidR="009C4DA2">
        <w:t xml:space="preserve"> </w:t>
      </w:r>
      <w:r w:rsidR="009C4DA2" w:rsidRPr="009C4DA2">
        <w:t>The trial court retained jurisdiction of Poorbaugh</w:t>
      </w:r>
      <w:r w:rsidR="009C4DA2">
        <w:t>’</w:t>
      </w:r>
      <w:r w:rsidR="009C4DA2" w:rsidRPr="009C4DA2">
        <w:t>s suit for monetary damages</w:t>
      </w:r>
      <w:r w:rsidR="009C4DA2">
        <w:t>,</w:t>
      </w:r>
      <w:r w:rsidR="009C4DA2" w:rsidRPr="009C4DA2">
        <w:t xml:space="preserve"> but stayed that proceeding pending the </w:t>
      </w:r>
      <w:r w:rsidR="009C4DA2">
        <w:t xml:space="preserve">Commission’s </w:t>
      </w:r>
      <w:r w:rsidR="009C4DA2" w:rsidRPr="009C4DA2">
        <w:t xml:space="preserve">determination on the issues </w:t>
      </w:r>
      <w:r w:rsidR="009C4DA2">
        <w:t xml:space="preserve">relating to </w:t>
      </w:r>
      <w:r w:rsidR="009C4DA2" w:rsidRPr="009C4DA2">
        <w:t>utility service.</w:t>
      </w:r>
    </w:p>
    <w:p w:rsidR="00EE2103" w:rsidRDefault="00EE2103" w:rsidP="008776B4">
      <w:pPr>
        <w:spacing w:line="360" w:lineRule="auto"/>
      </w:pPr>
    </w:p>
    <w:p w:rsidR="008F25AE" w:rsidRDefault="00EE2103" w:rsidP="008776B4">
      <w:pPr>
        <w:spacing w:line="360" w:lineRule="auto"/>
      </w:pPr>
      <w:r>
        <w:tab/>
      </w:r>
      <w:r>
        <w:tab/>
      </w:r>
      <w:r w:rsidR="0064488B">
        <w:t>After unsuccessfully pursuing his claim before the Commission, Poorbaugh appealed to the Commonwealth Court.  Poorbaugh argued</w:t>
      </w:r>
      <w:r w:rsidR="007A7C4E">
        <w:t xml:space="preserve"> the Commission </w:t>
      </w:r>
      <w:r w:rsidR="007A7C4E" w:rsidRPr="007A7C4E">
        <w:t xml:space="preserve">abused its discretion </w:t>
      </w:r>
      <w:r w:rsidR="00944296">
        <w:t>by</w:t>
      </w:r>
      <w:r w:rsidR="007A7C4E" w:rsidRPr="007A7C4E">
        <w:t xml:space="preserve"> accepting jurisdiction over this matter. </w:t>
      </w:r>
      <w:r w:rsidR="007A7C4E">
        <w:t xml:space="preserve"> </w:t>
      </w:r>
      <w:r w:rsidR="007A7C4E" w:rsidRPr="007A7C4E">
        <w:t xml:space="preserve">Poorbaugh </w:t>
      </w:r>
      <w:r w:rsidR="007A7C4E">
        <w:t xml:space="preserve">asserted </w:t>
      </w:r>
      <w:r w:rsidR="007A7C4E" w:rsidRPr="007A7C4E">
        <w:t xml:space="preserve">the case </w:t>
      </w:r>
      <w:r w:rsidR="007A7C4E">
        <w:t>wa</w:t>
      </w:r>
      <w:r w:rsidR="007A7C4E" w:rsidRPr="007A7C4E">
        <w:t xml:space="preserve">s a simple, straightforward tort suit requiring a trier of fact, with the aid of expert testimony, to determine whether a public utility is responsible for damages sustained by one of its customers on one particular date due to a power surge. </w:t>
      </w:r>
      <w:r w:rsidR="007A7C4E">
        <w:t xml:space="preserve"> </w:t>
      </w:r>
      <w:r w:rsidR="007A7C4E" w:rsidRPr="007A7C4E">
        <w:t xml:space="preserve">As such, Poorbaugh </w:t>
      </w:r>
      <w:r w:rsidR="007A7C4E">
        <w:t xml:space="preserve">contended </w:t>
      </w:r>
      <w:r w:rsidR="007A7C4E" w:rsidRPr="007A7C4E">
        <w:t>there was no reason for the trial court to transfer j</w:t>
      </w:r>
      <w:r w:rsidR="007A7C4E">
        <w:t xml:space="preserve">urisdiction over this matter to </w:t>
      </w:r>
      <w:r w:rsidR="007A7C4E" w:rsidRPr="007A7C4E">
        <w:t>the</w:t>
      </w:r>
      <w:r w:rsidR="007A7C4E">
        <w:t xml:space="preserve"> Commission</w:t>
      </w:r>
      <w:r w:rsidR="007A7C4E" w:rsidRPr="007A7C4E">
        <w:t>.</w:t>
      </w:r>
      <w:r w:rsidR="007A7C4E">
        <w:t xml:space="preserve">  The Commonwealth Court agreed.</w:t>
      </w:r>
      <w:r w:rsidR="00282DDF">
        <w:t xml:space="preserve">  </w:t>
      </w:r>
      <w:r w:rsidR="00360F9F">
        <w:t>In concluding the Commission lacked jurisdiction over that case, the Commonwealth Court</w:t>
      </w:r>
      <w:r w:rsidR="0095244D">
        <w:t xml:space="preserve"> found that </w:t>
      </w:r>
      <w:r w:rsidR="009075C3" w:rsidRPr="009075C3">
        <w:t>Poorbaugh</w:t>
      </w:r>
      <w:r w:rsidR="009075C3">
        <w:t>’</w:t>
      </w:r>
      <w:r w:rsidR="009075C3" w:rsidRPr="009075C3">
        <w:t>s claims focus</w:t>
      </w:r>
      <w:r w:rsidR="009075C3">
        <w:t>ed</w:t>
      </w:r>
      <w:r w:rsidR="009075C3" w:rsidRPr="009075C3">
        <w:t xml:space="preserve"> upon one specific instance of electrical problems,</w:t>
      </w:r>
      <w:r w:rsidR="009075C3">
        <w:t xml:space="preserve"> </w:t>
      </w:r>
      <w:r w:rsidR="009075C3" w:rsidRPr="009075C3">
        <w:t>Poorbaugh</w:t>
      </w:r>
      <w:r w:rsidR="009075C3">
        <w:t>’</w:t>
      </w:r>
      <w:r w:rsidR="009075C3" w:rsidRPr="009075C3">
        <w:t>s case d</w:t>
      </w:r>
      <w:r w:rsidR="009075C3">
        <w:t>id</w:t>
      </w:r>
      <w:r w:rsidR="009075C3" w:rsidRPr="009075C3">
        <w:t xml:space="preserve"> not involve complex, technical issues, and Poorbaugh ha</w:t>
      </w:r>
      <w:r w:rsidR="009075C3">
        <w:t>d</w:t>
      </w:r>
      <w:r w:rsidR="009075C3" w:rsidRPr="009075C3">
        <w:t xml:space="preserve"> not raised any issues relating to tariffs</w:t>
      </w:r>
      <w:r w:rsidR="009075C3">
        <w:t>,</w:t>
      </w:r>
      <w:r w:rsidR="009075C3" w:rsidRPr="009075C3">
        <w:t xml:space="preserve"> which would require the </w:t>
      </w:r>
      <w:r w:rsidR="009075C3">
        <w:t xml:space="preserve">Commission’s </w:t>
      </w:r>
      <w:r w:rsidR="009075C3" w:rsidRPr="009075C3">
        <w:t>expertise.</w:t>
      </w:r>
      <w:r w:rsidR="008F25AE">
        <w:t xml:space="preserve">  </w:t>
      </w:r>
      <w:r w:rsidR="008F25AE">
        <w:rPr>
          <w:i/>
        </w:rPr>
        <w:t>Id</w:t>
      </w:r>
      <w:r w:rsidR="008F25AE">
        <w:t>. 666 A.2d at 751.</w:t>
      </w:r>
    </w:p>
    <w:p w:rsidR="008F25AE" w:rsidRDefault="008F25AE" w:rsidP="008776B4">
      <w:pPr>
        <w:spacing w:line="360" w:lineRule="auto"/>
      </w:pPr>
    </w:p>
    <w:p w:rsidR="007A7C4E" w:rsidRDefault="008F25AE" w:rsidP="008776B4">
      <w:pPr>
        <w:spacing w:line="360" w:lineRule="auto"/>
      </w:pPr>
      <w:r>
        <w:tab/>
      </w:r>
      <w:r>
        <w:tab/>
      </w:r>
      <w:r w:rsidR="00682B53">
        <w:t>Finally,</w:t>
      </w:r>
      <w:r>
        <w:t xml:space="preserve"> </w:t>
      </w:r>
      <w:r w:rsidR="00FD4A28">
        <w:t xml:space="preserve">the Commonwealth Court upheld the Commission’s jurisdiction in </w:t>
      </w:r>
      <w:r w:rsidR="00FD4A28">
        <w:rPr>
          <w:u w:val="single"/>
        </w:rPr>
        <w:t>The Vertis Group, Inc. v. Pa. P.U.C.</w:t>
      </w:r>
      <w:r w:rsidR="00FD4A28">
        <w:t>, 840 A.2d 390 (Pa. Cmwlth. 2003).</w:t>
      </w:r>
      <w:r w:rsidR="00DC05EA">
        <w:t xml:space="preserve">  </w:t>
      </w:r>
      <w:r w:rsidR="009036B5" w:rsidRPr="009036B5">
        <w:t>The Vertis Group operated a business perform</w:t>
      </w:r>
      <w:r w:rsidR="009036B5">
        <w:t>ing</w:t>
      </w:r>
      <w:r w:rsidR="009036B5" w:rsidRPr="009036B5">
        <w:t xml:space="preserve"> two types of service. </w:t>
      </w:r>
      <w:r w:rsidR="009036B5">
        <w:t xml:space="preserve"> </w:t>
      </w:r>
      <w:r w:rsidR="009036B5" w:rsidRPr="009036B5">
        <w:t>The first was a scheduling service providing qualified physicians to conduct independent medical examinations wit</w:t>
      </w:r>
      <w:r w:rsidR="009036B5">
        <w:t>h respect to claims for workers’</w:t>
      </w:r>
      <w:r w:rsidR="009036B5" w:rsidRPr="009036B5">
        <w:t xml:space="preserve"> compensation benefits and claims under other insurance policies. </w:t>
      </w:r>
      <w:r w:rsidR="009036B5">
        <w:t xml:space="preserve"> </w:t>
      </w:r>
      <w:r w:rsidR="009036B5" w:rsidRPr="009036B5">
        <w:t>The second was medical bill re-pricing services with explanation of benefits statements to ensure compliance with workers</w:t>
      </w:r>
      <w:r w:rsidR="009036B5">
        <w:t>’</w:t>
      </w:r>
      <w:r w:rsidR="009036B5" w:rsidRPr="009036B5">
        <w:t xml:space="preserve"> compensation and other pricing guidelines. </w:t>
      </w:r>
      <w:r w:rsidR="009036B5">
        <w:t xml:space="preserve"> </w:t>
      </w:r>
      <w:r w:rsidR="009036B5" w:rsidRPr="009036B5">
        <w:t xml:space="preserve">In providing these services, </w:t>
      </w:r>
      <w:r w:rsidR="009036B5">
        <w:t>T</w:t>
      </w:r>
      <w:r w:rsidR="009036B5" w:rsidRPr="009036B5">
        <w:t xml:space="preserve">he Vertis Group </w:t>
      </w:r>
      <w:r w:rsidR="009036B5">
        <w:t xml:space="preserve">depended </w:t>
      </w:r>
      <w:r w:rsidR="009036B5" w:rsidRPr="009036B5">
        <w:t>heavily on computer equipment and a</w:t>
      </w:r>
      <w:r w:rsidR="009036B5">
        <w:t xml:space="preserve"> </w:t>
      </w:r>
      <w:r w:rsidR="009036B5" w:rsidRPr="009036B5">
        <w:t xml:space="preserve">specially-designed </w:t>
      </w:r>
      <w:r w:rsidR="009036B5">
        <w:t>s</w:t>
      </w:r>
      <w:r w:rsidR="009036B5" w:rsidRPr="009036B5">
        <w:t>cheduling software program.</w:t>
      </w:r>
      <w:r w:rsidR="009036B5">
        <w:t xml:space="preserve">  It used </w:t>
      </w:r>
      <w:r w:rsidR="009036B5" w:rsidRPr="009036B5">
        <w:t>this equipment and software in conjunction with data-</w:t>
      </w:r>
      <w:r w:rsidR="009036B5">
        <w:t xml:space="preserve">entry clerks.  </w:t>
      </w:r>
      <w:r w:rsidR="009036B5" w:rsidRPr="009036B5">
        <w:t xml:space="preserve">Duquesne Light </w:t>
      </w:r>
      <w:r w:rsidR="003C66FC">
        <w:t xml:space="preserve">Company </w:t>
      </w:r>
      <w:r w:rsidR="009036B5" w:rsidRPr="009036B5">
        <w:t xml:space="preserve">provided </w:t>
      </w:r>
      <w:r w:rsidR="009036B5">
        <w:t>T</w:t>
      </w:r>
      <w:r w:rsidR="009036B5" w:rsidRPr="009036B5">
        <w:t>he Vertis Group with commercial electric service</w:t>
      </w:r>
      <w:r w:rsidR="009036B5">
        <w:t>.</w:t>
      </w:r>
    </w:p>
    <w:p w:rsidR="003C66FC" w:rsidRDefault="003C66FC" w:rsidP="008776B4">
      <w:pPr>
        <w:spacing w:line="360" w:lineRule="auto"/>
      </w:pPr>
    </w:p>
    <w:p w:rsidR="003C66FC" w:rsidRDefault="003C66FC" w:rsidP="008776B4">
      <w:pPr>
        <w:spacing w:line="360" w:lineRule="auto"/>
      </w:pPr>
      <w:r>
        <w:tab/>
      </w:r>
      <w:r>
        <w:tab/>
      </w:r>
      <w:r w:rsidRPr="003C66FC">
        <w:t xml:space="preserve">The Vertis Group </w:t>
      </w:r>
      <w:r>
        <w:t>experienced</w:t>
      </w:r>
      <w:r w:rsidRPr="003C66FC">
        <w:t xml:space="preserve"> hardware and software problems such as data scrambling, hardware malfunctions and </w:t>
      </w:r>
      <w:r>
        <w:t>“</w:t>
      </w:r>
      <w:r w:rsidRPr="003C66FC">
        <w:t>blow-outs</w:t>
      </w:r>
      <w:r>
        <w:t>”</w:t>
      </w:r>
      <w:r w:rsidRPr="003C66FC">
        <w:t xml:space="preserve"> at its facility. </w:t>
      </w:r>
      <w:r>
        <w:t xml:space="preserve"> </w:t>
      </w:r>
      <w:r w:rsidRPr="003C66FC">
        <w:t xml:space="preserve">The Vertis Group alleged that it also experienced power surges, power drops and harmonic distortions, which in turn caused </w:t>
      </w:r>
      <w:r w:rsidRPr="003C66FC">
        <w:lastRenderedPageBreak/>
        <w:t xml:space="preserve">physical damage to computer equipment, deletion of data and, ultimately, a loss of customers. </w:t>
      </w:r>
      <w:r>
        <w:t xml:space="preserve"> After it </w:t>
      </w:r>
      <w:r w:rsidRPr="003C66FC">
        <w:t>notified Duquesne Light of its problems and</w:t>
      </w:r>
      <w:r>
        <w:t xml:space="preserve"> Duquesne Light was unable to alleviate these problems, The Vertis Group filed suit against Duquesne Light </w:t>
      </w:r>
      <w:r w:rsidRPr="00DC05EA">
        <w:t>alleging breach of contract, breach of implied and express warranties and negligence</w:t>
      </w:r>
      <w:r>
        <w:t>.  The Vertis Group later amended its complaint to include</w:t>
      </w:r>
      <w:r w:rsidR="005C74DA">
        <w:t xml:space="preserve"> </w:t>
      </w:r>
      <w:r w:rsidR="005C74DA" w:rsidRPr="005C74DA">
        <w:t>a count of strict liability</w:t>
      </w:r>
      <w:r w:rsidR="005C74DA">
        <w:t>.</w:t>
      </w:r>
      <w:r w:rsidR="00437AC9">
        <w:t xml:space="preserve">  After some deliberation, the </w:t>
      </w:r>
      <w:r w:rsidR="008E4EED">
        <w:t>C</w:t>
      </w:r>
      <w:r w:rsidR="00437AC9">
        <w:t xml:space="preserve">ourt of </w:t>
      </w:r>
      <w:r w:rsidR="008E4EED">
        <w:t>C</w:t>
      </w:r>
      <w:r w:rsidR="00437AC9">
        <w:t xml:space="preserve">ommon </w:t>
      </w:r>
      <w:r w:rsidR="008E4EED">
        <w:t>P</w:t>
      </w:r>
      <w:r w:rsidR="00437AC9">
        <w:t xml:space="preserve">leas granted Duquesne Light’s motion, bifurcated the case, and </w:t>
      </w:r>
      <w:r w:rsidR="00600DB9">
        <w:t xml:space="preserve">transferred to the Commission </w:t>
      </w:r>
      <w:r w:rsidR="00600DB9" w:rsidRPr="00600DB9">
        <w:t>for determination all liability issues.</w:t>
      </w:r>
      <w:r w:rsidR="00600DB9">
        <w:t xml:space="preserve">  At the Commission, The Vertis Group filed a complaint, which, </w:t>
      </w:r>
      <w:r w:rsidR="00600DB9">
        <w:rPr>
          <w:i/>
        </w:rPr>
        <w:t>inter alia</w:t>
      </w:r>
      <w:r w:rsidR="00600DB9">
        <w:t xml:space="preserve">, </w:t>
      </w:r>
      <w:r w:rsidR="00DD42C4">
        <w:t>claimed that Duquesne Light</w:t>
      </w:r>
      <w:r w:rsidR="00DD42C4" w:rsidRPr="00DD42C4">
        <w:t xml:space="preserve"> </w:t>
      </w:r>
      <w:r w:rsidR="00DD42C4">
        <w:t>failed to furnish and maintain adequate, efficient, safe and reasonable services and facilities pursuant to 66 Pa. C.S. §1501.</w:t>
      </w:r>
      <w:r w:rsidR="004F1720">
        <w:t xml:space="preserve">  </w:t>
      </w:r>
      <w:r w:rsidR="004F1720" w:rsidRPr="004F1720">
        <w:t xml:space="preserve">The </w:t>
      </w:r>
      <w:r w:rsidR="004F1720">
        <w:t xml:space="preserve">Commission disagreed, </w:t>
      </w:r>
      <w:r w:rsidR="004F1720" w:rsidRPr="004F1720">
        <w:t>conclud</w:t>
      </w:r>
      <w:r w:rsidR="004F1720">
        <w:t xml:space="preserve">ing </w:t>
      </w:r>
      <w:r w:rsidR="004F1720" w:rsidRPr="004F1720">
        <w:t xml:space="preserve">that </w:t>
      </w:r>
      <w:r w:rsidR="004F1720">
        <w:t>T</w:t>
      </w:r>
      <w:r w:rsidR="004F1720" w:rsidRPr="004F1720">
        <w:t>he Vertis Group failed to show</w:t>
      </w:r>
      <w:r w:rsidR="004F1720">
        <w:t xml:space="preserve"> </w:t>
      </w:r>
      <w:r w:rsidR="004F1720" w:rsidRPr="004F1720">
        <w:t>that it experienced substantial damage to its computer equipment or that power quality issues originating with Duquesne Light</w:t>
      </w:r>
      <w:r w:rsidR="004F1720">
        <w:t>’</w:t>
      </w:r>
      <w:r w:rsidR="004F1720" w:rsidRPr="004F1720">
        <w:t>s electrical service caused corrupted data or damage to said equipment.</w:t>
      </w:r>
    </w:p>
    <w:p w:rsidR="004F1720" w:rsidRDefault="004F1720" w:rsidP="008776B4">
      <w:pPr>
        <w:spacing w:line="360" w:lineRule="auto"/>
      </w:pPr>
    </w:p>
    <w:p w:rsidR="004F1720" w:rsidRDefault="004F1720" w:rsidP="008776B4">
      <w:pPr>
        <w:spacing w:line="360" w:lineRule="auto"/>
      </w:pPr>
      <w:r>
        <w:tab/>
      </w:r>
      <w:r>
        <w:tab/>
        <w:t>Upon appeal, the Commonwealth Court of Pennsylvania</w:t>
      </w:r>
      <w:r w:rsidR="00F8415D">
        <w:t>,</w:t>
      </w:r>
      <w:r w:rsidR="00DF04B9">
        <w:t xml:space="preserve"> follow</w:t>
      </w:r>
      <w:r w:rsidR="00F8415D">
        <w:t xml:space="preserve">ing </w:t>
      </w:r>
      <w:r w:rsidR="00DF04B9">
        <w:t xml:space="preserve">the </w:t>
      </w:r>
      <w:r w:rsidR="00DF04B9">
        <w:rPr>
          <w:u w:val="single"/>
        </w:rPr>
        <w:t>Elkin</w:t>
      </w:r>
      <w:r w:rsidR="00DF04B9">
        <w:t xml:space="preserve"> analysis</w:t>
      </w:r>
      <w:r w:rsidR="00F8415D">
        <w:t>,</w:t>
      </w:r>
      <w:r w:rsidR="00DF04B9">
        <w:t xml:space="preserve"> held the bifurcation order was appropriate.  </w:t>
      </w:r>
      <w:r w:rsidR="00751E77">
        <w:t xml:space="preserve">The Commonwealth Court found </w:t>
      </w:r>
      <w:r w:rsidR="00751E77" w:rsidRPr="00751E77">
        <w:t xml:space="preserve">the allegations of </w:t>
      </w:r>
      <w:r w:rsidR="00751E77">
        <w:t>T</w:t>
      </w:r>
      <w:r w:rsidR="00751E77" w:rsidRPr="00751E77">
        <w:t>he Vertis Group</w:t>
      </w:r>
      <w:r w:rsidR="00751E77">
        <w:t>’</w:t>
      </w:r>
      <w:r w:rsidR="00751E77" w:rsidRPr="00751E77">
        <w:t>s complaint</w:t>
      </w:r>
      <w:r w:rsidR="00751E77">
        <w:t>s</w:t>
      </w:r>
      <w:r w:rsidR="00751E77" w:rsidRPr="00751E77">
        <w:t xml:space="preserve"> appear</w:t>
      </w:r>
      <w:r w:rsidR="00751E77">
        <w:t>ed</w:t>
      </w:r>
      <w:r w:rsidR="00751E77" w:rsidRPr="00751E77">
        <w:t xml:space="preserve"> to address subject matter of a complex nature, as well as such issues as Duquesne Light</w:t>
      </w:r>
      <w:r w:rsidR="00751E77">
        <w:t>’</w:t>
      </w:r>
      <w:r w:rsidR="00751E77" w:rsidRPr="00751E77">
        <w:t xml:space="preserve">s published tariffs, legal voltage range and the reasonableness, safety and quality of the electrical power provided by Duquesne Light, </w:t>
      </w:r>
      <w:r w:rsidR="00751E77" w:rsidRPr="00751E77">
        <w:rPr>
          <w:i/>
        </w:rPr>
        <w:t>i.e.</w:t>
      </w:r>
      <w:r w:rsidR="00751E77" w:rsidRPr="00751E77">
        <w:t>, issues within the exclusive province of the</w:t>
      </w:r>
      <w:r w:rsidR="00751E77">
        <w:t xml:space="preserve"> Commission.  </w:t>
      </w:r>
      <w:r w:rsidR="00751E77">
        <w:rPr>
          <w:i/>
        </w:rPr>
        <w:t>Id</w:t>
      </w:r>
      <w:r w:rsidR="00751E77">
        <w:t>. 840 A.2d at</w:t>
      </w:r>
      <w:r w:rsidR="00C50220">
        <w:t xml:space="preserve"> 397.  The Commonwealth Court found particularly instructive the Superior Court’s decision in </w:t>
      </w:r>
      <w:r w:rsidR="00C50220">
        <w:rPr>
          <w:u w:val="single"/>
        </w:rPr>
        <w:t>Optimum Image</w:t>
      </w:r>
      <w:r w:rsidR="00C50220">
        <w:t xml:space="preserve">, </w:t>
      </w:r>
      <w:r w:rsidR="00C50220">
        <w:rPr>
          <w:i/>
        </w:rPr>
        <w:t>supra</w:t>
      </w:r>
      <w:r w:rsidR="00C50220">
        <w:t xml:space="preserve">, dealing with similar subject matter.  </w:t>
      </w:r>
      <w:r w:rsidR="00C50220">
        <w:rPr>
          <w:i/>
        </w:rPr>
        <w:t>Id</w:t>
      </w:r>
      <w:r w:rsidR="00C50220">
        <w:t xml:space="preserve">. 840 A.2d at 397, n. 15.  The Court distinguished </w:t>
      </w:r>
      <w:r w:rsidR="00C50220">
        <w:rPr>
          <w:u w:val="single"/>
        </w:rPr>
        <w:t>Poorbaugh</w:t>
      </w:r>
      <w:r w:rsidR="00C50220">
        <w:t xml:space="preserve">, </w:t>
      </w:r>
      <w:r w:rsidR="00C50220">
        <w:rPr>
          <w:i/>
        </w:rPr>
        <w:t>supra</w:t>
      </w:r>
      <w:r w:rsidR="00C50220">
        <w:t xml:space="preserve">, from </w:t>
      </w:r>
      <w:r w:rsidR="00C50220">
        <w:rPr>
          <w:u w:val="single"/>
        </w:rPr>
        <w:t>Optimum Image</w:t>
      </w:r>
      <w:r w:rsidR="006A208A">
        <w:t xml:space="preserve">, finding </w:t>
      </w:r>
      <w:r w:rsidR="006A208A" w:rsidRPr="006A208A">
        <w:t xml:space="preserve">that the former involved one specific instance of electrical problems whereas the latter, similar to the facts of </w:t>
      </w:r>
      <w:r w:rsidR="006A208A">
        <w:t xml:space="preserve">the </w:t>
      </w:r>
      <w:r w:rsidR="006A208A" w:rsidRPr="006A208A">
        <w:rPr>
          <w:u w:val="single"/>
        </w:rPr>
        <w:t>Vertis</w:t>
      </w:r>
      <w:r w:rsidR="006A208A">
        <w:t xml:space="preserve"> </w:t>
      </w:r>
      <w:r w:rsidR="006A208A" w:rsidRPr="006A208A">
        <w:t>case, involved electrical problems over an extended period of time.</w:t>
      </w:r>
      <w:r w:rsidR="006A208A">
        <w:t xml:space="preserve">  </w:t>
      </w:r>
      <w:r w:rsidR="006A208A">
        <w:rPr>
          <w:i/>
        </w:rPr>
        <w:t>Id</w:t>
      </w:r>
      <w:r w:rsidR="006A208A">
        <w:t>.</w:t>
      </w:r>
    </w:p>
    <w:p w:rsidR="00F8415D" w:rsidRDefault="00F8415D" w:rsidP="008776B4">
      <w:pPr>
        <w:spacing w:line="360" w:lineRule="auto"/>
      </w:pPr>
    </w:p>
    <w:p w:rsidR="006A208A" w:rsidRDefault="006A208A" w:rsidP="008776B4">
      <w:pPr>
        <w:spacing w:line="360" w:lineRule="auto"/>
      </w:pPr>
      <w:r>
        <w:tab/>
      </w:r>
      <w:r>
        <w:tab/>
        <w:t xml:space="preserve">Applying the foregoing </w:t>
      </w:r>
      <w:r>
        <w:rPr>
          <w:u w:val="single"/>
        </w:rPr>
        <w:t>Elkin</w:t>
      </w:r>
      <w:r>
        <w:t xml:space="preserve"> analysis to the present case, we find </w:t>
      </w:r>
      <w:r w:rsidR="009137B0">
        <w:t xml:space="preserve">Complainant’s claim focuses on but a single instance of alleged wrongdoing, </w:t>
      </w:r>
      <w:r w:rsidR="009137B0">
        <w:rPr>
          <w:i/>
        </w:rPr>
        <w:t>i.e.</w:t>
      </w:r>
      <w:r w:rsidR="009137B0">
        <w:t xml:space="preserve">, driving a repair truck over a septic tank system; it does not involve complex, technical issues within </w:t>
      </w:r>
      <w:r w:rsidR="00417112">
        <w:t xml:space="preserve">the particular expertise of the Commission; </w:t>
      </w:r>
      <w:r w:rsidR="00964F56">
        <w:t xml:space="preserve">nor </w:t>
      </w:r>
      <w:r w:rsidR="00417112">
        <w:t xml:space="preserve">does </w:t>
      </w:r>
      <w:r w:rsidR="00964F56">
        <w:t xml:space="preserve">it </w:t>
      </w:r>
      <w:r w:rsidR="00417112">
        <w:t>raise any issue relating to tariffs, which would require the oversight and expertise of the Commission.</w:t>
      </w:r>
      <w:r w:rsidR="000924C3">
        <w:t xml:space="preserve">  The gravamen of the complaint here sounds in simple tort law — alleged negligent operation of a motor vehicle causing property damage.</w:t>
      </w:r>
      <w:r w:rsidR="0016171E">
        <w:t xml:space="preserve"> </w:t>
      </w:r>
      <w:r w:rsidR="000924C3">
        <w:t xml:space="preserve"> This </w:t>
      </w:r>
      <w:r w:rsidR="000924C3">
        <w:lastRenderedPageBreak/>
        <w:t>claim is no different than a</w:t>
      </w:r>
      <w:r w:rsidR="00A34CB8">
        <w:t>n</w:t>
      </w:r>
      <w:r w:rsidR="000924C3">
        <w:t xml:space="preserve"> employee driving a </w:t>
      </w:r>
      <w:r w:rsidR="00A34CB8">
        <w:t xml:space="preserve">utility </w:t>
      </w:r>
      <w:r w:rsidR="000924C3">
        <w:t xml:space="preserve">truck that is involved in a highway accident.  Such claims are not within the </w:t>
      </w:r>
      <w:r w:rsidR="00E64B0B">
        <w:t>particular expertise of the Commission and can be decided as readily, perhaps more appropriately, by a court or jury.</w:t>
      </w:r>
      <w:r w:rsidR="00495ECB">
        <w:rPr>
          <w:rStyle w:val="FootnoteReference"/>
        </w:rPr>
        <w:footnoteReference w:id="4"/>
      </w:r>
    </w:p>
    <w:p w:rsidR="00A34CB8" w:rsidRDefault="00A34CB8" w:rsidP="008776B4">
      <w:pPr>
        <w:spacing w:line="360" w:lineRule="auto"/>
      </w:pPr>
    </w:p>
    <w:p w:rsidR="00A34CB8" w:rsidRDefault="00A34CB8" w:rsidP="008776B4">
      <w:pPr>
        <w:spacing w:line="360" w:lineRule="auto"/>
      </w:pPr>
      <w:r>
        <w:tab/>
      </w:r>
      <w:r>
        <w:tab/>
        <w:t xml:space="preserve">For the foregoing reasons, the preliminary objections of West Penn Power to the complaint of </w:t>
      </w:r>
      <w:r w:rsidR="00200687">
        <w:t xml:space="preserve">George T. Edinger will be granted.  The complaint will be dismissed for lack of subject matter primary jurisdiction with the Commission.  </w:t>
      </w:r>
      <w:r w:rsidR="00911E03">
        <w:t xml:space="preserve">The telephonic hearing now scheduled for 10:00 a.m. on April 5, 2012 will be cancelled.  </w:t>
      </w:r>
      <w:r w:rsidR="00200687">
        <w:t>The Complainant will then be free to pursue his claim in civil court.</w:t>
      </w:r>
    </w:p>
    <w:p w:rsidR="00200687" w:rsidRDefault="00200687" w:rsidP="008776B4">
      <w:pPr>
        <w:spacing w:line="360" w:lineRule="auto"/>
      </w:pPr>
    </w:p>
    <w:p w:rsidR="00200687" w:rsidRDefault="00E321A8" w:rsidP="00E321A8">
      <w:pPr>
        <w:spacing w:line="360" w:lineRule="auto"/>
        <w:jc w:val="center"/>
      </w:pPr>
      <w:r>
        <w:rPr>
          <w:u w:val="single"/>
        </w:rPr>
        <w:t>CONCLUSION OF LAW</w:t>
      </w:r>
    </w:p>
    <w:p w:rsidR="00E321A8" w:rsidRDefault="00E321A8" w:rsidP="00E321A8">
      <w:pPr>
        <w:spacing w:line="360" w:lineRule="auto"/>
      </w:pPr>
    </w:p>
    <w:p w:rsidR="00E321A8" w:rsidRDefault="00E321A8" w:rsidP="00E321A8">
      <w:pPr>
        <w:spacing w:line="360" w:lineRule="auto"/>
      </w:pPr>
      <w:r>
        <w:tab/>
      </w:r>
      <w:r>
        <w:tab/>
        <w:t>The Commission lacks primary jurisdiction over the subject matter raised in the present complaint.</w:t>
      </w:r>
    </w:p>
    <w:p w:rsidR="00E321A8" w:rsidRDefault="00E321A8" w:rsidP="00E321A8">
      <w:pPr>
        <w:spacing w:line="360" w:lineRule="auto"/>
      </w:pPr>
    </w:p>
    <w:p w:rsidR="00495ECB" w:rsidRDefault="00495ECB">
      <w:pPr>
        <w:rPr>
          <w:u w:val="single"/>
        </w:rPr>
      </w:pPr>
      <w:r>
        <w:rPr>
          <w:u w:val="single"/>
        </w:rPr>
        <w:br w:type="page"/>
      </w:r>
    </w:p>
    <w:p w:rsidR="00E321A8" w:rsidRDefault="00E321A8" w:rsidP="00E321A8">
      <w:pPr>
        <w:spacing w:line="360" w:lineRule="auto"/>
        <w:jc w:val="center"/>
      </w:pPr>
      <w:r>
        <w:rPr>
          <w:u w:val="single"/>
        </w:rPr>
        <w:lastRenderedPageBreak/>
        <w:t>ORDER</w:t>
      </w:r>
    </w:p>
    <w:p w:rsidR="00E321A8" w:rsidRDefault="00E321A8" w:rsidP="00E321A8">
      <w:pPr>
        <w:spacing w:line="360" w:lineRule="auto"/>
      </w:pPr>
    </w:p>
    <w:p w:rsidR="00E321A8" w:rsidRDefault="00E321A8" w:rsidP="00E321A8">
      <w:pPr>
        <w:spacing w:line="360" w:lineRule="auto"/>
      </w:pPr>
      <w:r>
        <w:tab/>
      </w:r>
      <w:r>
        <w:tab/>
        <w:t>THEREFORE,</w:t>
      </w:r>
    </w:p>
    <w:p w:rsidR="00E321A8" w:rsidRDefault="00E321A8" w:rsidP="00E321A8">
      <w:pPr>
        <w:spacing w:line="360" w:lineRule="auto"/>
      </w:pPr>
    </w:p>
    <w:p w:rsidR="00E321A8" w:rsidRDefault="00E321A8" w:rsidP="00E321A8">
      <w:pPr>
        <w:spacing w:line="360" w:lineRule="auto"/>
      </w:pPr>
      <w:r>
        <w:tab/>
      </w:r>
      <w:r>
        <w:tab/>
        <w:t>IT IS ORDERED:</w:t>
      </w:r>
    </w:p>
    <w:p w:rsidR="00E321A8" w:rsidRDefault="00E321A8" w:rsidP="00E321A8">
      <w:pPr>
        <w:spacing w:line="360" w:lineRule="auto"/>
      </w:pPr>
    </w:p>
    <w:p w:rsidR="00E321A8" w:rsidRDefault="00E321A8" w:rsidP="00E321A8">
      <w:pPr>
        <w:pStyle w:val="ListParagraph"/>
        <w:numPr>
          <w:ilvl w:val="0"/>
          <w:numId w:val="1"/>
        </w:numPr>
        <w:spacing w:line="360" w:lineRule="auto"/>
        <w:ind w:left="0" w:firstLine="1440"/>
      </w:pPr>
      <w:r>
        <w:t xml:space="preserve">That </w:t>
      </w:r>
      <w:r w:rsidR="00D9212B">
        <w:t>the preliminary objections of West Penn Power Company to the complaint of George T. Edinger at Docket No. C-2012-2282851 are hereby granted.</w:t>
      </w:r>
    </w:p>
    <w:p w:rsidR="00D9212B" w:rsidRDefault="00D9212B" w:rsidP="00D9212B">
      <w:pPr>
        <w:pStyle w:val="ListParagraph"/>
        <w:spacing w:line="360" w:lineRule="auto"/>
        <w:ind w:left="1440"/>
      </w:pPr>
    </w:p>
    <w:p w:rsidR="00D9212B" w:rsidRDefault="00D9212B" w:rsidP="00E321A8">
      <w:pPr>
        <w:pStyle w:val="ListParagraph"/>
        <w:numPr>
          <w:ilvl w:val="0"/>
          <w:numId w:val="1"/>
        </w:numPr>
        <w:spacing w:line="360" w:lineRule="auto"/>
        <w:ind w:left="0" w:firstLine="1440"/>
      </w:pPr>
      <w:r>
        <w:t>That the complaint of George T. Edinger against West Penn Power Company at Docket No. C-2012-2282851 is hereby dismissed.</w:t>
      </w:r>
    </w:p>
    <w:p w:rsidR="00911E03" w:rsidRDefault="00911E03" w:rsidP="00911E03">
      <w:pPr>
        <w:pStyle w:val="ListParagraph"/>
      </w:pPr>
    </w:p>
    <w:p w:rsidR="00911E03" w:rsidRDefault="00911E03" w:rsidP="00E321A8">
      <w:pPr>
        <w:pStyle w:val="ListParagraph"/>
        <w:numPr>
          <w:ilvl w:val="0"/>
          <w:numId w:val="1"/>
        </w:numPr>
        <w:spacing w:line="360" w:lineRule="auto"/>
        <w:ind w:left="0" w:firstLine="1440"/>
      </w:pPr>
      <w:r>
        <w:t>That the telephonic hearing scheduled for 10:00 a.m. on April 5, 2012 is hereby cancelled.</w:t>
      </w:r>
    </w:p>
    <w:p w:rsidR="00D9212B" w:rsidRDefault="00D9212B" w:rsidP="00D9212B">
      <w:pPr>
        <w:pStyle w:val="ListParagraph"/>
      </w:pPr>
    </w:p>
    <w:p w:rsidR="00D9212B" w:rsidRDefault="00D9212B" w:rsidP="00D9212B">
      <w:pPr>
        <w:spacing w:line="360" w:lineRule="auto"/>
      </w:pPr>
    </w:p>
    <w:p w:rsidR="00D9212B" w:rsidRDefault="00D9212B" w:rsidP="00D9212B">
      <w:r>
        <w:t xml:space="preserve">Date:  </w:t>
      </w:r>
      <w:r>
        <w:rPr>
          <w:u w:val="single"/>
        </w:rPr>
        <w:t>February 22, 2012</w:t>
      </w:r>
      <w:r>
        <w:tab/>
      </w:r>
      <w:r>
        <w:tab/>
      </w:r>
      <w:r>
        <w:tab/>
      </w:r>
      <w:r>
        <w:tab/>
      </w:r>
      <w:r>
        <w:rPr>
          <w:u w:val="single"/>
        </w:rPr>
        <w:tab/>
      </w:r>
      <w:r>
        <w:rPr>
          <w:u w:val="single"/>
        </w:rPr>
        <w:tab/>
      </w:r>
      <w:r>
        <w:rPr>
          <w:u w:val="single"/>
        </w:rPr>
        <w:tab/>
      </w:r>
      <w:r>
        <w:rPr>
          <w:u w:val="single"/>
        </w:rPr>
        <w:tab/>
      </w:r>
      <w:r>
        <w:rPr>
          <w:u w:val="single"/>
        </w:rPr>
        <w:tab/>
      </w:r>
      <w:r>
        <w:rPr>
          <w:u w:val="single"/>
        </w:rPr>
        <w:tab/>
      </w:r>
    </w:p>
    <w:p w:rsidR="00D9212B" w:rsidRDefault="00D9212B" w:rsidP="00D9212B">
      <w:r>
        <w:tab/>
      </w:r>
      <w:r>
        <w:tab/>
      </w:r>
      <w:r>
        <w:tab/>
      </w:r>
      <w:r>
        <w:tab/>
      </w:r>
      <w:r>
        <w:tab/>
      </w:r>
      <w:r>
        <w:tab/>
      </w:r>
      <w:r>
        <w:tab/>
        <w:t>John H. Corbett, Jr.</w:t>
      </w:r>
    </w:p>
    <w:p w:rsidR="00D9212B" w:rsidRDefault="00D9212B" w:rsidP="00D9212B">
      <w:r>
        <w:tab/>
      </w:r>
      <w:r>
        <w:tab/>
      </w:r>
      <w:r>
        <w:tab/>
      </w:r>
      <w:r>
        <w:tab/>
      </w:r>
      <w:r>
        <w:tab/>
      </w:r>
      <w:r>
        <w:tab/>
      </w:r>
      <w:r>
        <w:tab/>
        <w:t>Administrative Law Judge</w:t>
      </w:r>
    </w:p>
    <w:p w:rsidR="00D9212B" w:rsidRPr="00D9212B" w:rsidRDefault="00D9212B" w:rsidP="00D9212B"/>
    <w:sectPr w:rsidR="00D9212B" w:rsidRPr="00D9212B" w:rsidSect="0093249C">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EED" w:rsidRDefault="001F3EED" w:rsidP="007A1C63">
      <w:r>
        <w:separator/>
      </w:r>
    </w:p>
  </w:endnote>
  <w:endnote w:type="continuationSeparator" w:id="0">
    <w:p w:rsidR="001F3EED" w:rsidRDefault="001F3EED" w:rsidP="007A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49627"/>
      <w:docPartObj>
        <w:docPartGallery w:val="Page Numbers (Bottom of Page)"/>
        <w:docPartUnique/>
      </w:docPartObj>
    </w:sdtPr>
    <w:sdtEndPr>
      <w:rPr>
        <w:noProof/>
      </w:rPr>
    </w:sdtEndPr>
    <w:sdtContent>
      <w:p w:rsidR="007A1C63" w:rsidRDefault="007A1C63">
        <w:pPr>
          <w:pStyle w:val="Footer"/>
          <w:jc w:val="center"/>
        </w:pPr>
        <w:r>
          <w:fldChar w:fldCharType="begin"/>
        </w:r>
        <w:r>
          <w:instrText xml:space="preserve"> PAGE   \* MERGEFORMAT </w:instrText>
        </w:r>
        <w:r>
          <w:fldChar w:fldCharType="separate"/>
        </w:r>
        <w:r w:rsidR="00D67A98">
          <w:rPr>
            <w:noProof/>
          </w:rPr>
          <w:t>12</w:t>
        </w:r>
        <w:r>
          <w:rPr>
            <w:noProof/>
          </w:rPr>
          <w:fldChar w:fldCharType="end"/>
        </w:r>
      </w:p>
    </w:sdtContent>
  </w:sdt>
  <w:p w:rsidR="007A1C63" w:rsidRDefault="007A1C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EED" w:rsidRDefault="001F3EED" w:rsidP="007A1C63">
      <w:r>
        <w:separator/>
      </w:r>
    </w:p>
  </w:footnote>
  <w:footnote w:type="continuationSeparator" w:id="0">
    <w:p w:rsidR="001F3EED" w:rsidRDefault="001F3EED" w:rsidP="007A1C63">
      <w:r>
        <w:continuationSeparator/>
      </w:r>
    </w:p>
  </w:footnote>
  <w:footnote w:id="1">
    <w:p w:rsidR="00470A40" w:rsidRDefault="00470A40" w:rsidP="00470A40">
      <w:pPr>
        <w:pStyle w:val="FootnoteText"/>
        <w:ind w:firstLine="720"/>
      </w:pPr>
      <w:r>
        <w:rPr>
          <w:rStyle w:val="FootnoteReference"/>
        </w:rPr>
        <w:footnoteRef/>
      </w:r>
      <w:r>
        <w:t xml:space="preserve"> </w:t>
      </w:r>
      <w:r>
        <w:tab/>
        <w:t>Pursuant to 52 Pa. Code §5.101(f)(1), an answer to a preliminary objection may be filed</w:t>
      </w:r>
      <w:r w:rsidR="00A2686E">
        <w:t xml:space="preserve"> within 10 </w:t>
      </w:r>
      <w:r>
        <w:t xml:space="preserve">days of the date of service.  When, as here, service was effectuated by first-class mail, three days are added to the </w:t>
      </w:r>
      <w:r w:rsidR="007378FF">
        <w:t xml:space="preserve">due </w:t>
      </w:r>
      <w:r>
        <w:t>date.  52 Pa. Code §</w:t>
      </w:r>
      <w:r w:rsidR="00A2686E">
        <w:t xml:space="preserve">1.56(b).  </w:t>
      </w:r>
      <w:r>
        <w:t>Therefore, an answer to the preliminary objection filed on January 24, 2012 was due on February 6, 2012.</w:t>
      </w:r>
    </w:p>
  </w:footnote>
  <w:footnote w:id="2">
    <w:p w:rsidR="0050624E" w:rsidRDefault="0050624E" w:rsidP="0050624E">
      <w:pPr>
        <w:pStyle w:val="FootnoteText"/>
        <w:ind w:firstLine="720"/>
      </w:pPr>
      <w:r>
        <w:rPr>
          <w:rStyle w:val="FootnoteReference"/>
        </w:rPr>
        <w:footnoteRef/>
      </w:r>
      <w:r>
        <w:t xml:space="preserve"> </w:t>
      </w:r>
      <w:r>
        <w:tab/>
      </w:r>
      <w:r>
        <w:rPr>
          <w:i/>
        </w:rPr>
        <w:t>See</w:t>
      </w:r>
      <w:r>
        <w:t>, 66 Pa. Code §1501.</w:t>
      </w:r>
    </w:p>
    <w:p w:rsidR="004C0F93" w:rsidRPr="0050624E" w:rsidRDefault="004C0F93" w:rsidP="0050624E">
      <w:pPr>
        <w:pStyle w:val="FootnoteText"/>
        <w:ind w:firstLine="720"/>
      </w:pPr>
    </w:p>
  </w:footnote>
  <w:footnote w:id="3">
    <w:p w:rsidR="004C0F93" w:rsidRPr="004C0F93" w:rsidRDefault="004C0F93" w:rsidP="004C0F93">
      <w:pPr>
        <w:pStyle w:val="FootnoteText"/>
        <w:ind w:firstLine="720"/>
      </w:pPr>
      <w:r>
        <w:rPr>
          <w:rStyle w:val="FootnoteReference"/>
        </w:rPr>
        <w:footnoteRef/>
      </w:r>
      <w:r>
        <w:t xml:space="preserve"> </w:t>
      </w:r>
      <w:r>
        <w:tab/>
      </w:r>
      <w:r>
        <w:rPr>
          <w:i/>
        </w:rPr>
        <w:t>See</w:t>
      </w:r>
      <w:r>
        <w:t>, 66 Pa. Code §701.</w:t>
      </w:r>
    </w:p>
  </w:footnote>
  <w:footnote w:id="4">
    <w:p w:rsidR="00495ECB" w:rsidRPr="00495ECB" w:rsidRDefault="00495ECB" w:rsidP="00495ECB">
      <w:pPr>
        <w:pStyle w:val="FootnoteText"/>
        <w:ind w:firstLine="720"/>
      </w:pPr>
      <w:r>
        <w:rPr>
          <w:rStyle w:val="FootnoteReference"/>
        </w:rPr>
        <w:footnoteRef/>
      </w:r>
      <w:r>
        <w:t xml:space="preserve"> </w:t>
      </w:r>
      <w:r>
        <w:tab/>
        <w:t xml:space="preserve">Moreover, the Commission </w:t>
      </w:r>
      <w:r w:rsidRPr="00495ECB">
        <w:t>does not have jurisdiction to determine the scope and validity of an easement.</w:t>
      </w:r>
      <w:r>
        <w:t xml:space="preserve">  </w:t>
      </w:r>
      <w:r>
        <w:rPr>
          <w:u w:val="single"/>
        </w:rPr>
        <w:t>Fairview Water Company v. Pa. P.U.C.</w:t>
      </w:r>
      <w:r>
        <w:t>, 509 Pa. 384,</w:t>
      </w:r>
      <w:r w:rsidRPr="00495ECB">
        <w:t xml:space="preserve"> 502 A.2d 162 </w:t>
      </w:r>
      <w:r>
        <w:t>(</w:t>
      </w:r>
      <w:r w:rsidRPr="00495ECB">
        <w:t>1985</w:t>
      </w:r>
      <w:r>
        <w:t>).  This issue might arise in the context of determining whether Respondent’s vehicle was properly on Complainant’</w:t>
      </w:r>
      <w:r w:rsidR="00F8415D">
        <w:t>s property in the first instance.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82221"/>
    <w:multiLevelType w:val="hybridMultilevel"/>
    <w:tmpl w:val="280E1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1973493-B55D-4046-AC8F-73DBF3B84F3B}"/>
    <w:docVar w:name="dgnword-eventsink" w:val="158858672"/>
  </w:docVars>
  <w:rsids>
    <w:rsidRoot w:val="00B000B0"/>
    <w:rsid w:val="00002E71"/>
    <w:rsid w:val="0000610B"/>
    <w:rsid w:val="0001444C"/>
    <w:rsid w:val="000158F5"/>
    <w:rsid w:val="00015C87"/>
    <w:rsid w:val="000200B5"/>
    <w:rsid w:val="00022031"/>
    <w:rsid w:val="00022664"/>
    <w:rsid w:val="00024AA5"/>
    <w:rsid w:val="00027171"/>
    <w:rsid w:val="00027E4C"/>
    <w:rsid w:val="0003505B"/>
    <w:rsid w:val="00035D88"/>
    <w:rsid w:val="000404B5"/>
    <w:rsid w:val="00041450"/>
    <w:rsid w:val="00041943"/>
    <w:rsid w:val="00042860"/>
    <w:rsid w:val="00044944"/>
    <w:rsid w:val="0004591A"/>
    <w:rsid w:val="00047F6E"/>
    <w:rsid w:val="0005471E"/>
    <w:rsid w:val="00056339"/>
    <w:rsid w:val="00063896"/>
    <w:rsid w:val="0006554F"/>
    <w:rsid w:val="00067C8F"/>
    <w:rsid w:val="00070D98"/>
    <w:rsid w:val="000716B7"/>
    <w:rsid w:val="000767FF"/>
    <w:rsid w:val="0008135A"/>
    <w:rsid w:val="0008257A"/>
    <w:rsid w:val="00085610"/>
    <w:rsid w:val="00087CC5"/>
    <w:rsid w:val="0009005C"/>
    <w:rsid w:val="000921BC"/>
    <w:rsid w:val="000924C3"/>
    <w:rsid w:val="000928C4"/>
    <w:rsid w:val="00095B50"/>
    <w:rsid w:val="00096F74"/>
    <w:rsid w:val="000A0A7F"/>
    <w:rsid w:val="000A510C"/>
    <w:rsid w:val="000A7EFE"/>
    <w:rsid w:val="000B3598"/>
    <w:rsid w:val="000B53F0"/>
    <w:rsid w:val="000B629F"/>
    <w:rsid w:val="000B6D95"/>
    <w:rsid w:val="000C1A6B"/>
    <w:rsid w:val="000C269C"/>
    <w:rsid w:val="000C5510"/>
    <w:rsid w:val="000C71B2"/>
    <w:rsid w:val="000C76C7"/>
    <w:rsid w:val="000D0A51"/>
    <w:rsid w:val="000D1336"/>
    <w:rsid w:val="000D715A"/>
    <w:rsid w:val="000D7906"/>
    <w:rsid w:val="000E0C64"/>
    <w:rsid w:val="000E1700"/>
    <w:rsid w:val="000E4E82"/>
    <w:rsid w:val="000E6C36"/>
    <w:rsid w:val="000F0CB0"/>
    <w:rsid w:val="000F0F49"/>
    <w:rsid w:val="000F1E2C"/>
    <w:rsid w:val="000F22AD"/>
    <w:rsid w:val="000F331D"/>
    <w:rsid w:val="000F6BCB"/>
    <w:rsid w:val="0010180F"/>
    <w:rsid w:val="00105690"/>
    <w:rsid w:val="001059C3"/>
    <w:rsid w:val="001079C3"/>
    <w:rsid w:val="0011082D"/>
    <w:rsid w:val="00114A5C"/>
    <w:rsid w:val="00114D69"/>
    <w:rsid w:val="001163B8"/>
    <w:rsid w:val="00117158"/>
    <w:rsid w:val="0012337D"/>
    <w:rsid w:val="00126555"/>
    <w:rsid w:val="0013358A"/>
    <w:rsid w:val="001336B2"/>
    <w:rsid w:val="00133E5D"/>
    <w:rsid w:val="0013746C"/>
    <w:rsid w:val="00140ED5"/>
    <w:rsid w:val="001422C9"/>
    <w:rsid w:val="0014695E"/>
    <w:rsid w:val="00147A1C"/>
    <w:rsid w:val="00150F38"/>
    <w:rsid w:val="00151828"/>
    <w:rsid w:val="00152DD8"/>
    <w:rsid w:val="001534FA"/>
    <w:rsid w:val="00153BB2"/>
    <w:rsid w:val="001551E3"/>
    <w:rsid w:val="001551FE"/>
    <w:rsid w:val="00155E3F"/>
    <w:rsid w:val="00157F7C"/>
    <w:rsid w:val="0016171E"/>
    <w:rsid w:val="00163667"/>
    <w:rsid w:val="00165F14"/>
    <w:rsid w:val="00171BA7"/>
    <w:rsid w:val="00177B41"/>
    <w:rsid w:val="00177C22"/>
    <w:rsid w:val="0018502A"/>
    <w:rsid w:val="00186713"/>
    <w:rsid w:val="00190B52"/>
    <w:rsid w:val="00192F81"/>
    <w:rsid w:val="00194EDA"/>
    <w:rsid w:val="00197214"/>
    <w:rsid w:val="00197FE7"/>
    <w:rsid w:val="001A517C"/>
    <w:rsid w:val="001A6616"/>
    <w:rsid w:val="001B1283"/>
    <w:rsid w:val="001B37F9"/>
    <w:rsid w:val="001B389A"/>
    <w:rsid w:val="001B6147"/>
    <w:rsid w:val="001B669F"/>
    <w:rsid w:val="001B6767"/>
    <w:rsid w:val="001B7B44"/>
    <w:rsid w:val="001C0DB9"/>
    <w:rsid w:val="001C16F1"/>
    <w:rsid w:val="001C1DA4"/>
    <w:rsid w:val="001D0B3C"/>
    <w:rsid w:val="001D4EAA"/>
    <w:rsid w:val="001E13F6"/>
    <w:rsid w:val="001E4606"/>
    <w:rsid w:val="001E480F"/>
    <w:rsid w:val="001E49BB"/>
    <w:rsid w:val="001E6948"/>
    <w:rsid w:val="001E6AC2"/>
    <w:rsid w:val="001E7A10"/>
    <w:rsid w:val="001F1F9D"/>
    <w:rsid w:val="001F1FC5"/>
    <w:rsid w:val="001F3EED"/>
    <w:rsid w:val="001F41F2"/>
    <w:rsid w:val="001F5E84"/>
    <w:rsid w:val="001F73E8"/>
    <w:rsid w:val="002002ED"/>
    <w:rsid w:val="00200687"/>
    <w:rsid w:val="00202271"/>
    <w:rsid w:val="00205676"/>
    <w:rsid w:val="0020746B"/>
    <w:rsid w:val="0020761A"/>
    <w:rsid w:val="002107F3"/>
    <w:rsid w:val="00212F85"/>
    <w:rsid w:val="00213B19"/>
    <w:rsid w:val="0021472B"/>
    <w:rsid w:val="00215CE0"/>
    <w:rsid w:val="00216054"/>
    <w:rsid w:val="00217FA2"/>
    <w:rsid w:val="00221630"/>
    <w:rsid w:val="00222675"/>
    <w:rsid w:val="00222A1D"/>
    <w:rsid w:val="002231E7"/>
    <w:rsid w:val="00224D1A"/>
    <w:rsid w:val="00225F5E"/>
    <w:rsid w:val="0022623F"/>
    <w:rsid w:val="002270C7"/>
    <w:rsid w:val="00227697"/>
    <w:rsid w:val="00234986"/>
    <w:rsid w:val="002351CD"/>
    <w:rsid w:val="0023594C"/>
    <w:rsid w:val="00237F95"/>
    <w:rsid w:val="002432B5"/>
    <w:rsid w:val="00244DC3"/>
    <w:rsid w:val="002518A1"/>
    <w:rsid w:val="00254AC4"/>
    <w:rsid w:val="0025505D"/>
    <w:rsid w:val="0025568C"/>
    <w:rsid w:val="0025624A"/>
    <w:rsid w:val="00256602"/>
    <w:rsid w:val="002569D2"/>
    <w:rsid w:val="00256F15"/>
    <w:rsid w:val="00264827"/>
    <w:rsid w:val="002659C1"/>
    <w:rsid w:val="00265F08"/>
    <w:rsid w:val="00266EEA"/>
    <w:rsid w:val="002705F3"/>
    <w:rsid w:val="002715D6"/>
    <w:rsid w:val="00273113"/>
    <w:rsid w:val="00273CD5"/>
    <w:rsid w:val="00274AEB"/>
    <w:rsid w:val="0028196A"/>
    <w:rsid w:val="00282DDF"/>
    <w:rsid w:val="00282E72"/>
    <w:rsid w:val="00286013"/>
    <w:rsid w:val="00286E18"/>
    <w:rsid w:val="00292413"/>
    <w:rsid w:val="00292C52"/>
    <w:rsid w:val="0029312D"/>
    <w:rsid w:val="00297007"/>
    <w:rsid w:val="002A08AE"/>
    <w:rsid w:val="002A0C6D"/>
    <w:rsid w:val="002A5634"/>
    <w:rsid w:val="002A58F7"/>
    <w:rsid w:val="002B080D"/>
    <w:rsid w:val="002B43C8"/>
    <w:rsid w:val="002B693E"/>
    <w:rsid w:val="002C0A83"/>
    <w:rsid w:val="002C5195"/>
    <w:rsid w:val="002C6736"/>
    <w:rsid w:val="002D15FF"/>
    <w:rsid w:val="002D3212"/>
    <w:rsid w:val="002D46AD"/>
    <w:rsid w:val="002D50E8"/>
    <w:rsid w:val="002E414F"/>
    <w:rsid w:val="002E62AE"/>
    <w:rsid w:val="002E7B4F"/>
    <w:rsid w:val="002E7CBD"/>
    <w:rsid w:val="002F0988"/>
    <w:rsid w:val="002F0CDC"/>
    <w:rsid w:val="002F58C1"/>
    <w:rsid w:val="003009B5"/>
    <w:rsid w:val="00303C1E"/>
    <w:rsid w:val="003065A6"/>
    <w:rsid w:val="003105EB"/>
    <w:rsid w:val="00313224"/>
    <w:rsid w:val="00314634"/>
    <w:rsid w:val="0031504C"/>
    <w:rsid w:val="00320C3C"/>
    <w:rsid w:val="0032184B"/>
    <w:rsid w:val="00322AAB"/>
    <w:rsid w:val="00323CE9"/>
    <w:rsid w:val="0032536B"/>
    <w:rsid w:val="0032582D"/>
    <w:rsid w:val="003367D1"/>
    <w:rsid w:val="003413E4"/>
    <w:rsid w:val="00343DF7"/>
    <w:rsid w:val="00344BBD"/>
    <w:rsid w:val="00347D4D"/>
    <w:rsid w:val="00354367"/>
    <w:rsid w:val="003560A1"/>
    <w:rsid w:val="003567DC"/>
    <w:rsid w:val="0036055F"/>
    <w:rsid w:val="00360F9F"/>
    <w:rsid w:val="00363FC4"/>
    <w:rsid w:val="00364892"/>
    <w:rsid w:val="00366F0D"/>
    <w:rsid w:val="00372BCE"/>
    <w:rsid w:val="00375FC7"/>
    <w:rsid w:val="00376FD2"/>
    <w:rsid w:val="00377219"/>
    <w:rsid w:val="00383E9E"/>
    <w:rsid w:val="00386EC2"/>
    <w:rsid w:val="003914A1"/>
    <w:rsid w:val="003915CD"/>
    <w:rsid w:val="003928FD"/>
    <w:rsid w:val="00392A83"/>
    <w:rsid w:val="00393A51"/>
    <w:rsid w:val="003A51FD"/>
    <w:rsid w:val="003A5775"/>
    <w:rsid w:val="003A645A"/>
    <w:rsid w:val="003A7731"/>
    <w:rsid w:val="003B0F7E"/>
    <w:rsid w:val="003B5554"/>
    <w:rsid w:val="003C0F08"/>
    <w:rsid w:val="003C49C9"/>
    <w:rsid w:val="003C4FBC"/>
    <w:rsid w:val="003C66FC"/>
    <w:rsid w:val="003D00C1"/>
    <w:rsid w:val="003D15D0"/>
    <w:rsid w:val="003D38F7"/>
    <w:rsid w:val="003D42D0"/>
    <w:rsid w:val="003D5AB0"/>
    <w:rsid w:val="003D6669"/>
    <w:rsid w:val="003D6830"/>
    <w:rsid w:val="003E4C81"/>
    <w:rsid w:val="003E5628"/>
    <w:rsid w:val="003E5D1E"/>
    <w:rsid w:val="003F100E"/>
    <w:rsid w:val="003F347A"/>
    <w:rsid w:val="003F69AF"/>
    <w:rsid w:val="003F69C5"/>
    <w:rsid w:val="0040464B"/>
    <w:rsid w:val="00405757"/>
    <w:rsid w:val="00407E2D"/>
    <w:rsid w:val="00413575"/>
    <w:rsid w:val="00415484"/>
    <w:rsid w:val="00417112"/>
    <w:rsid w:val="0041758B"/>
    <w:rsid w:val="00417A48"/>
    <w:rsid w:val="00417FB9"/>
    <w:rsid w:val="004255AD"/>
    <w:rsid w:val="00425F5E"/>
    <w:rsid w:val="00427446"/>
    <w:rsid w:val="00427731"/>
    <w:rsid w:val="004301D8"/>
    <w:rsid w:val="00431ED9"/>
    <w:rsid w:val="0043213F"/>
    <w:rsid w:val="004345F2"/>
    <w:rsid w:val="00437AC9"/>
    <w:rsid w:val="00441E8C"/>
    <w:rsid w:val="00443FC3"/>
    <w:rsid w:val="00444F84"/>
    <w:rsid w:val="00447594"/>
    <w:rsid w:val="00447DAD"/>
    <w:rsid w:val="00451BB3"/>
    <w:rsid w:val="00456B68"/>
    <w:rsid w:val="004606F8"/>
    <w:rsid w:val="004610DD"/>
    <w:rsid w:val="00465CA9"/>
    <w:rsid w:val="00466EEB"/>
    <w:rsid w:val="00470A40"/>
    <w:rsid w:val="004763CF"/>
    <w:rsid w:val="00476406"/>
    <w:rsid w:val="004801CF"/>
    <w:rsid w:val="00492902"/>
    <w:rsid w:val="00493B06"/>
    <w:rsid w:val="00495ECB"/>
    <w:rsid w:val="0049698B"/>
    <w:rsid w:val="004A0D2F"/>
    <w:rsid w:val="004A3A17"/>
    <w:rsid w:val="004A4379"/>
    <w:rsid w:val="004A4472"/>
    <w:rsid w:val="004A5F2D"/>
    <w:rsid w:val="004A5F6F"/>
    <w:rsid w:val="004B07B7"/>
    <w:rsid w:val="004B1125"/>
    <w:rsid w:val="004B1E4E"/>
    <w:rsid w:val="004B35C3"/>
    <w:rsid w:val="004B4793"/>
    <w:rsid w:val="004B58A0"/>
    <w:rsid w:val="004C0903"/>
    <w:rsid w:val="004C0F93"/>
    <w:rsid w:val="004C1ADF"/>
    <w:rsid w:val="004C231D"/>
    <w:rsid w:val="004C3351"/>
    <w:rsid w:val="004C6ACC"/>
    <w:rsid w:val="004D0F86"/>
    <w:rsid w:val="004D17EE"/>
    <w:rsid w:val="004D1AF6"/>
    <w:rsid w:val="004D26B3"/>
    <w:rsid w:val="004D3CF4"/>
    <w:rsid w:val="004D4AC9"/>
    <w:rsid w:val="004D5571"/>
    <w:rsid w:val="004D6A84"/>
    <w:rsid w:val="004E1384"/>
    <w:rsid w:val="004E1A31"/>
    <w:rsid w:val="004E1AA7"/>
    <w:rsid w:val="004E2DEE"/>
    <w:rsid w:val="004E3130"/>
    <w:rsid w:val="004E3916"/>
    <w:rsid w:val="004E48B8"/>
    <w:rsid w:val="004E56E5"/>
    <w:rsid w:val="004F1720"/>
    <w:rsid w:val="004F3674"/>
    <w:rsid w:val="004F52CA"/>
    <w:rsid w:val="00500E04"/>
    <w:rsid w:val="00501290"/>
    <w:rsid w:val="005013AB"/>
    <w:rsid w:val="00503B65"/>
    <w:rsid w:val="005055FD"/>
    <w:rsid w:val="0050624E"/>
    <w:rsid w:val="005071E6"/>
    <w:rsid w:val="00510BCD"/>
    <w:rsid w:val="00513A0D"/>
    <w:rsid w:val="00513E78"/>
    <w:rsid w:val="00520B4D"/>
    <w:rsid w:val="00522F41"/>
    <w:rsid w:val="005235D3"/>
    <w:rsid w:val="005245B1"/>
    <w:rsid w:val="00526125"/>
    <w:rsid w:val="0052693F"/>
    <w:rsid w:val="005319D7"/>
    <w:rsid w:val="00544B49"/>
    <w:rsid w:val="005463A9"/>
    <w:rsid w:val="00546F57"/>
    <w:rsid w:val="005474D6"/>
    <w:rsid w:val="005514EB"/>
    <w:rsid w:val="0055234E"/>
    <w:rsid w:val="00553A47"/>
    <w:rsid w:val="00562BF1"/>
    <w:rsid w:val="0056301D"/>
    <w:rsid w:val="0057174D"/>
    <w:rsid w:val="005756A2"/>
    <w:rsid w:val="005756F9"/>
    <w:rsid w:val="00575B38"/>
    <w:rsid w:val="00576844"/>
    <w:rsid w:val="005773BD"/>
    <w:rsid w:val="00580971"/>
    <w:rsid w:val="00580C5C"/>
    <w:rsid w:val="0058134C"/>
    <w:rsid w:val="00581AA4"/>
    <w:rsid w:val="00581E78"/>
    <w:rsid w:val="0058593F"/>
    <w:rsid w:val="005872BB"/>
    <w:rsid w:val="00590615"/>
    <w:rsid w:val="005945F6"/>
    <w:rsid w:val="00595C07"/>
    <w:rsid w:val="005963C4"/>
    <w:rsid w:val="005A127F"/>
    <w:rsid w:val="005A560D"/>
    <w:rsid w:val="005B0099"/>
    <w:rsid w:val="005B04D0"/>
    <w:rsid w:val="005B2410"/>
    <w:rsid w:val="005B4EAA"/>
    <w:rsid w:val="005B7AAB"/>
    <w:rsid w:val="005C04D1"/>
    <w:rsid w:val="005C5138"/>
    <w:rsid w:val="005C5ED9"/>
    <w:rsid w:val="005C6FAE"/>
    <w:rsid w:val="005C74DA"/>
    <w:rsid w:val="005D141F"/>
    <w:rsid w:val="005D45C9"/>
    <w:rsid w:val="005D5EE7"/>
    <w:rsid w:val="005E3C0F"/>
    <w:rsid w:val="005E45BD"/>
    <w:rsid w:val="005E6C7E"/>
    <w:rsid w:val="005F4331"/>
    <w:rsid w:val="005F4AA1"/>
    <w:rsid w:val="00600DB9"/>
    <w:rsid w:val="0060255E"/>
    <w:rsid w:val="00603FCF"/>
    <w:rsid w:val="00605A5C"/>
    <w:rsid w:val="00611B45"/>
    <w:rsid w:val="00613DA8"/>
    <w:rsid w:val="00614058"/>
    <w:rsid w:val="00614B07"/>
    <w:rsid w:val="006168E8"/>
    <w:rsid w:val="00616EF1"/>
    <w:rsid w:val="0062025E"/>
    <w:rsid w:val="0062040F"/>
    <w:rsid w:val="00622936"/>
    <w:rsid w:val="0062391C"/>
    <w:rsid w:val="00631809"/>
    <w:rsid w:val="00631CED"/>
    <w:rsid w:val="006344B5"/>
    <w:rsid w:val="006352C1"/>
    <w:rsid w:val="00635E6D"/>
    <w:rsid w:val="00636172"/>
    <w:rsid w:val="0064016B"/>
    <w:rsid w:val="0064488B"/>
    <w:rsid w:val="006503D8"/>
    <w:rsid w:val="00651BF9"/>
    <w:rsid w:val="0065509C"/>
    <w:rsid w:val="00655A67"/>
    <w:rsid w:val="00655D71"/>
    <w:rsid w:val="0065674E"/>
    <w:rsid w:val="00657F07"/>
    <w:rsid w:val="00661B4E"/>
    <w:rsid w:val="00662C19"/>
    <w:rsid w:val="006646A6"/>
    <w:rsid w:val="0067080A"/>
    <w:rsid w:val="00670B1B"/>
    <w:rsid w:val="006729FF"/>
    <w:rsid w:val="006734EC"/>
    <w:rsid w:val="00675F41"/>
    <w:rsid w:val="00676400"/>
    <w:rsid w:val="00677E47"/>
    <w:rsid w:val="0068098C"/>
    <w:rsid w:val="00682B53"/>
    <w:rsid w:val="00686666"/>
    <w:rsid w:val="00692D9A"/>
    <w:rsid w:val="00694B4C"/>
    <w:rsid w:val="006A1BB3"/>
    <w:rsid w:val="006A208A"/>
    <w:rsid w:val="006A3C03"/>
    <w:rsid w:val="006A4740"/>
    <w:rsid w:val="006A549E"/>
    <w:rsid w:val="006A563A"/>
    <w:rsid w:val="006A57D1"/>
    <w:rsid w:val="006A6097"/>
    <w:rsid w:val="006A64F2"/>
    <w:rsid w:val="006B3C1B"/>
    <w:rsid w:val="006B3EFB"/>
    <w:rsid w:val="006B690F"/>
    <w:rsid w:val="006C245B"/>
    <w:rsid w:val="006C3402"/>
    <w:rsid w:val="006C3AD5"/>
    <w:rsid w:val="006C5DA4"/>
    <w:rsid w:val="006C6F08"/>
    <w:rsid w:val="006C7836"/>
    <w:rsid w:val="006D370E"/>
    <w:rsid w:val="006D3B1F"/>
    <w:rsid w:val="006D491B"/>
    <w:rsid w:val="006D4B7E"/>
    <w:rsid w:val="006D4E8D"/>
    <w:rsid w:val="006D51A2"/>
    <w:rsid w:val="006E1DF2"/>
    <w:rsid w:val="006E57E8"/>
    <w:rsid w:val="006F08AE"/>
    <w:rsid w:val="006F2ACE"/>
    <w:rsid w:val="007000FB"/>
    <w:rsid w:val="00700402"/>
    <w:rsid w:val="007008E0"/>
    <w:rsid w:val="00705235"/>
    <w:rsid w:val="007107AD"/>
    <w:rsid w:val="00724A27"/>
    <w:rsid w:val="007342EA"/>
    <w:rsid w:val="00735001"/>
    <w:rsid w:val="007354F0"/>
    <w:rsid w:val="007378FF"/>
    <w:rsid w:val="00742C25"/>
    <w:rsid w:val="00743300"/>
    <w:rsid w:val="00745364"/>
    <w:rsid w:val="00747A6F"/>
    <w:rsid w:val="00751E77"/>
    <w:rsid w:val="007520AB"/>
    <w:rsid w:val="00752308"/>
    <w:rsid w:val="00752B0E"/>
    <w:rsid w:val="00756B4F"/>
    <w:rsid w:val="007575D6"/>
    <w:rsid w:val="00763043"/>
    <w:rsid w:val="00766C21"/>
    <w:rsid w:val="0077010C"/>
    <w:rsid w:val="00770452"/>
    <w:rsid w:val="00781BAD"/>
    <w:rsid w:val="007854CF"/>
    <w:rsid w:val="00787B82"/>
    <w:rsid w:val="007900D4"/>
    <w:rsid w:val="00796F08"/>
    <w:rsid w:val="007A0FA3"/>
    <w:rsid w:val="007A1A4C"/>
    <w:rsid w:val="007A1C63"/>
    <w:rsid w:val="007A4181"/>
    <w:rsid w:val="007A46A0"/>
    <w:rsid w:val="007A7C4E"/>
    <w:rsid w:val="007A7CF3"/>
    <w:rsid w:val="007A7EA7"/>
    <w:rsid w:val="007B21DD"/>
    <w:rsid w:val="007B430A"/>
    <w:rsid w:val="007B5630"/>
    <w:rsid w:val="007C0BAC"/>
    <w:rsid w:val="007C679F"/>
    <w:rsid w:val="007D2137"/>
    <w:rsid w:val="007D4BE4"/>
    <w:rsid w:val="007D6606"/>
    <w:rsid w:val="007D67D1"/>
    <w:rsid w:val="007D682B"/>
    <w:rsid w:val="007E2A88"/>
    <w:rsid w:val="007E5C59"/>
    <w:rsid w:val="007E6CAF"/>
    <w:rsid w:val="007E73C3"/>
    <w:rsid w:val="007F378A"/>
    <w:rsid w:val="008046A7"/>
    <w:rsid w:val="00805E1E"/>
    <w:rsid w:val="0080763A"/>
    <w:rsid w:val="008101A5"/>
    <w:rsid w:val="0082072C"/>
    <w:rsid w:val="008211B6"/>
    <w:rsid w:val="008215F2"/>
    <w:rsid w:val="0082561C"/>
    <w:rsid w:val="00831A19"/>
    <w:rsid w:val="00831EDA"/>
    <w:rsid w:val="008363BD"/>
    <w:rsid w:val="00836A1D"/>
    <w:rsid w:val="00837349"/>
    <w:rsid w:val="00842CE2"/>
    <w:rsid w:val="008433EA"/>
    <w:rsid w:val="00844572"/>
    <w:rsid w:val="008461EA"/>
    <w:rsid w:val="00847619"/>
    <w:rsid w:val="008527AF"/>
    <w:rsid w:val="008533CE"/>
    <w:rsid w:val="00853982"/>
    <w:rsid w:val="00854310"/>
    <w:rsid w:val="0085796E"/>
    <w:rsid w:val="00860CE9"/>
    <w:rsid w:val="00861F4A"/>
    <w:rsid w:val="00870493"/>
    <w:rsid w:val="008733F2"/>
    <w:rsid w:val="008739F3"/>
    <w:rsid w:val="00875888"/>
    <w:rsid w:val="00877335"/>
    <w:rsid w:val="008776B4"/>
    <w:rsid w:val="00881A7C"/>
    <w:rsid w:val="00884320"/>
    <w:rsid w:val="00885412"/>
    <w:rsid w:val="0089092B"/>
    <w:rsid w:val="00890FD6"/>
    <w:rsid w:val="0089104A"/>
    <w:rsid w:val="00891D27"/>
    <w:rsid w:val="00895B38"/>
    <w:rsid w:val="008979D0"/>
    <w:rsid w:val="008A3128"/>
    <w:rsid w:val="008A53F1"/>
    <w:rsid w:val="008B629C"/>
    <w:rsid w:val="008B6C4F"/>
    <w:rsid w:val="008C0A8C"/>
    <w:rsid w:val="008C1CCC"/>
    <w:rsid w:val="008C4B08"/>
    <w:rsid w:val="008C4DAE"/>
    <w:rsid w:val="008C6C90"/>
    <w:rsid w:val="008C6CD3"/>
    <w:rsid w:val="008D25CC"/>
    <w:rsid w:val="008D3E8B"/>
    <w:rsid w:val="008D409A"/>
    <w:rsid w:val="008D70A6"/>
    <w:rsid w:val="008E121E"/>
    <w:rsid w:val="008E31F7"/>
    <w:rsid w:val="008E4EED"/>
    <w:rsid w:val="008F25AE"/>
    <w:rsid w:val="008F6929"/>
    <w:rsid w:val="009036B5"/>
    <w:rsid w:val="00904091"/>
    <w:rsid w:val="009044B7"/>
    <w:rsid w:val="00906E26"/>
    <w:rsid w:val="009075C3"/>
    <w:rsid w:val="00911E03"/>
    <w:rsid w:val="00912360"/>
    <w:rsid w:val="009137B0"/>
    <w:rsid w:val="00914472"/>
    <w:rsid w:val="0091512B"/>
    <w:rsid w:val="00917AE9"/>
    <w:rsid w:val="0092041D"/>
    <w:rsid w:val="00921DA9"/>
    <w:rsid w:val="00922734"/>
    <w:rsid w:val="00923457"/>
    <w:rsid w:val="009262AC"/>
    <w:rsid w:val="0093249C"/>
    <w:rsid w:val="00934857"/>
    <w:rsid w:val="0093663B"/>
    <w:rsid w:val="0094137F"/>
    <w:rsid w:val="00941BFF"/>
    <w:rsid w:val="00941E0A"/>
    <w:rsid w:val="00942B3C"/>
    <w:rsid w:val="00943133"/>
    <w:rsid w:val="00944296"/>
    <w:rsid w:val="00945A38"/>
    <w:rsid w:val="00950A70"/>
    <w:rsid w:val="00951681"/>
    <w:rsid w:val="00951BC4"/>
    <w:rsid w:val="0095244D"/>
    <w:rsid w:val="009603C9"/>
    <w:rsid w:val="00960B87"/>
    <w:rsid w:val="00962AAD"/>
    <w:rsid w:val="009635AB"/>
    <w:rsid w:val="00964ECF"/>
    <w:rsid w:val="00964F56"/>
    <w:rsid w:val="0096696B"/>
    <w:rsid w:val="00971A09"/>
    <w:rsid w:val="0097213D"/>
    <w:rsid w:val="009758CE"/>
    <w:rsid w:val="00975E03"/>
    <w:rsid w:val="009803DF"/>
    <w:rsid w:val="00980566"/>
    <w:rsid w:val="00982ED8"/>
    <w:rsid w:val="00984A9D"/>
    <w:rsid w:val="00986732"/>
    <w:rsid w:val="00986ECD"/>
    <w:rsid w:val="009903E3"/>
    <w:rsid w:val="0099176B"/>
    <w:rsid w:val="0099459B"/>
    <w:rsid w:val="009966EF"/>
    <w:rsid w:val="009972E5"/>
    <w:rsid w:val="009A2737"/>
    <w:rsid w:val="009A2A70"/>
    <w:rsid w:val="009A3BBF"/>
    <w:rsid w:val="009A3D45"/>
    <w:rsid w:val="009A68DE"/>
    <w:rsid w:val="009A7D1A"/>
    <w:rsid w:val="009B3268"/>
    <w:rsid w:val="009B5FBB"/>
    <w:rsid w:val="009B64C4"/>
    <w:rsid w:val="009C4DA2"/>
    <w:rsid w:val="009D0659"/>
    <w:rsid w:val="009D119A"/>
    <w:rsid w:val="009E047A"/>
    <w:rsid w:val="009E0743"/>
    <w:rsid w:val="009E0762"/>
    <w:rsid w:val="009E0D5F"/>
    <w:rsid w:val="009E16BB"/>
    <w:rsid w:val="009E1C28"/>
    <w:rsid w:val="009E3575"/>
    <w:rsid w:val="009E3DB9"/>
    <w:rsid w:val="009E558C"/>
    <w:rsid w:val="009E6878"/>
    <w:rsid w:val="009F07ED"/>
    <w:rsid w:val="009F0A75"/>
    <w:rsid w:val="009F17FE"/>
    <w:rsid w:val="009F34A1"/>
    <w:rsid w:val="009F4221"/>
    <w:rsid w:val="009F4617"/>
    <w:rsid w:val="009F47A7"/>
    <w:rsid w:val="009F5718"/>
    <w:rsid w:val="009F61DA"/>
    <w:rsid w:val="009F707B"/>
    <w:rsid w:val="009F7990"/>
    <w:rsid w:val="009F7A6D"/>
    <w:rsid w:val="00A009D4"/>
    <w:rsid w:val="00A0320E"/>
    <w:rsid w:val="00A05BBA"/>
    <w:rsid w:val="00A12944"/>
    <w:rsid w:val="00A14EFC"/>
    <w:rsid w:val="00A1691E"/>
    <w:rsid w:val="00A22BE0"/>
    <w:rsid w:val="00A22FF3"/>
    <w:rsid w:val="00A2365D"/>
    <w:rsid w:val="00A24980"/>
    <w:rsid w:val="00A24C4F"/>
    <w:rsid w:val="00A2686E"/>
    <w:rsid w:val="00A2719F"/>
    <w:rsid w:val="00A312B8"/>
    <w:rsid w:val="00A32C82"/>
    <w:rsid w:val="00A33A9C"/>
    <w:rsid w:val="00A3408C"/>
    <w:rsid w:val="00A34CB8"/>
    <w:rsid w:val="00A35315"/>
    <w:rsid w:val="00A442C3"/>
    <w:rsid w:val="00A4684B"/>
    <w:rsid w:val="00A474D4"/>
    <w:rsid w:val="00A50F6C"/>
    <w:rsid w:val="00A5372D"/>
    <w:rsid w:val="00A6600B"/>
    <w:rsid w:val="00A66018"/>
    <w:rsid w:val="00A66024"/>
    <w:rsid w:val="00A66558"/>
    <w:rsid w:val="00A7014D"/>
    <w:rsid w:val="00A71047"/>
    <w:rsid w:val="00A72D1A"/>
    <w:rsid w:val="00A751B8"/>
    <w:rsid w:val="00A835FF"/>
    <w:rsid w:val="00A83846"/>
    <w:rsid w:val="00A83E30"/>
    <w:rsid w:val="00A85EA9"/>
    <w:rsid w:val="00A916E8"/>
    <w:rsid w:val="00A92349"/>
    <w:rsid w:val="00A944BC"/>
    <w:rsid w:val="00AA1CCA"/>
    <w:rsid w:val="00AB0007"/>
    <w:rsid w:val="00AB07B5"/>
    <w:rsid w:val="00AB0B25"/>
    <w:rsid w:val="00AB6557"/>
    <w:rsid w:val="00AC0550"/>
    <w:rsid w:val="00AC1651"/>
    <w:rsid w:val="00AC3607"/>
    <w:rsid w:val="00AC54FF"/>
    <w:rsid w:val="00AC5AD1"/>
    <w:rsid w:val="00AC7B96"/>
    <w:rsid w:val="00AD066A"/>
    <w:rsid w:val="00AD069F"/>
    <w:rsid w:val="00AD6C0F"/>
    <w:rsid w:val="00AE3450"/>
    <w:rsid w:val="00AE5055"/>
    <w:rsid w:val="00AE699D"/>
    <w:rsid w:val="00AF0886"/>
    <w:rsid w:val="00AF1477"/>
    <w:rsid w:val="00AF33FC"/>
    <w:rsid w:val="00AF4C7A"/>
    <w:rsid w:val="00AF5D5B"/>
    <w:rsid w:val="00AF6B9A"/>
    <w:rsid w:val="00B000B0"/>
    <w:rsid w:val="00B00215"/>
    <w:rsid w:val="00B00AA3"/>
    <w:rsid w:val="00B026D9"/>
    <w:rsid w:val="00B05442"/>
    <w:rsid w:val="00B05AA9"/>
    <w:rsid w:val="00B072ED"/>
    <w:rsid w:val="00B10BF4"/>
    <w:rsid w:val="00B1170E"/>
    <w:rsid w:val="00B11A62"/>
    <w:rsid w:val="00B14A97"/>
    <w:rsid w:val="00B15030"/>
    <w:rsid w:val="00B150FA"/>
    <w:rsid w:val="00B20D8C"/>
    <w:rsid w:val="00B20EE3"/>
    <w:rsid w:val="00B21B7C"/>
    <w:rsid w:val="00B22AC5"/>
    <w:rsid w:val="00B24C6D"/>
    <w:rsid w:val="00B26507"/>
    <w:rsid w:val="00B273CB"/>
    <w:rsid w:val="00B323F0"/>
    <w:rsid w:val="00B34146"/>
    <w:rsid w:val="00B3465A"/>
    <w:rsid w:val="00B37E41"/>
    <w:rsid w:val="00B43E1A"/>
    <w:rsid w:val="00B47709"/>
    <w:rsid w:val="00B50794"/>
    <w:rsid w:val="00B50805"/>
    <w:rsid w:val="00B51738"/>
    <w:rsid w:val="00B51E90"/>
    <w:rsid w:val="00B57380"/>
    <w:rsid w:val="00B67C1A"/>
    <w:rsid w:val="00B707F2"/>
    <w:rsid w:val="00B7271C"/>
    <w:rsid w:val="00B763C7"/>
    <w:rsid w:val="00B763FA"/>
    <w:rsid w:val="00B774A8"/>
    <w:rsid w:val="00B816DD"/>
    <w:rsid w:val="00B81A18"/>
    <w:rsid w:val="00B81D8F"/>
    <w:rsid w:val="00B82AC2"/>
    <w:rsid w:val="00B83C4A"/>
    <w:rsid w:val="00B91A4A"/>
    <w:rsid w:val="00B97B9F"/>
    <w:rsid w:val="00BA0FA0"/>
    <w:rsid w:val="00BA3333"/>
    <w:rsid w:val="00BA36B3"/>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D4345"/>
    <w:rsid w:val="00BD4DFB"/>
    <w:rsid w:val="00BE3510"/>
    <w:rsid w:val="00BE4CCA"/>
    <w:rsid w:val="00BE74C8"/>
    <w:rsid w:val="00BE761E"/>
    <w:rsid w:val="00BF0827"/>
    <w:rsid w:val="00BF0A35"/>
    <w:rsid w:val="00BF2F4A"/>
    <w:rsid w:val="00BF3093"/>
    <w:rsid w:val="00BF3C89"/>
    <w:rsid w:val="00C0433D"/>
    <w:rsid w:val="00C04531"/>
    <w:rsid w:val="00C04558"/>
    <w:rsid w:val="00C04EA1"/>
    <w:rsid w:val="00C07C80"/>
    <w:rsid w:val="00C11AAF"/>
    <w:rsid w:val="00C11EFF"/>
    <w:rsid w:val="00C124E6"/>
    <w:rsid w:val="00C13F83"/>
    <w:rsid w:val="00C15382"/>
    <w:rsid w:val="00C15ECA"/>
    <w:rsid w:val="00C1633C"/>
    <w:rsid w:val="00C17E8D"/>
    <w:rsid w:val="00C20E93"/>
    <w:rsid w:val="00C21DF1"/>
    <w:rsid w:val="00C222F3"/>
    <w:rsid w:val="00C23BF2"/>
    <w:rsid w:val="00C24004"/>
    <w:rsid w:val="00C24455"/>
    <w:rsid w:val="00C254F0"/>
    <w:rsid w:val="00C27855"/>
    <w:rsid w:val="00C374CC"/>
    <w:rsid w:val="00C379FE"/>
    <w:rsid w:val="00C37CD0"/>
    <w:rsid w:val="00C43CFE"/>
    <w:rsid w:val="00C46557"/>
    <w:rsid w:val="00C46AEF"/>
    <w:rsid w:val="00C46DC6"/>
    <w:rsid w:val="00C4789A"/>
    <w:rsid w:val="00C50220"/>
    <w:rsid w:val="00C5077F"/>
    <w:rsid w:val="00C5093C"/>
    <w:rsid w:val="00C52731"/>
    <w:rsid w:val="00C55401"/>
    <w:rsid w:val="00C60CCE"/>
    <w:rsid w:val="00C666EA"/>
    <w:rsid w:val="00C669E5"/>
    <w:rsid w:val="00C679CE"/>
    <w:rsid w:val="00C704C9"/>
    <w:rsid w:val="00C71914"/>
    <w:rsid w:val="00C7784C"/>
    <w:rsid w:val="00C80F04"/>
    <w:rsid w:val="00C81090"/>
    <w:rsid w:val="00C81C16"/>
    <w:rsid w:val="00C86564"/>
    <w:rsid w:val="00C90531"/>
    <w:rsid w:val="00C93740"/>
    <w:rsid w:val="00CA06B1"/>
    <w:rsid w:val="00CA6B55"/>
    <w:rsid w:val="00CB75FF"/>
    <w:rsid w:val="00CB7B6B"/>
    <w:rsid w:val="00CC0060"/>
    <w:rsid w:val="00CC0BE8"/>
    <w:rsid w:val="00CC147D"/>
    <w:rsid w:val="00CC3E11"/>
    <w:rsid w:val="00CC6237"/>
    <w:rsid w:val="00CC6700"/>
    <w:rsid w:val="00CC6D89"/>
    <w:rsid w:val="00CC6F63"/>
    <w:rsid w:val="00CD20F8"/>
    <w:rsid w:val="00CD3316"/>
    <w:rsid w:val="00CD34E9"/>
    <w:rsid w:val="00CD3706"/>
    <w:rsid w:val="00CE116F"/>
    <w:rsid w:val="00CE1403"/>
    <w:rsid w:val="00CE2FD5"/>
    <w:rsid w:val="00CF1A8C"/>
    <w:rsid w:val="00CF35E9"/>
    <w:rsid w:val="00CF43F2"/>
    <w:rsid w:val="00CF4B8D"/>
    <w:rsid w:val="00CF543F"/>
    <w:rsid w:val="00CF5ECA"/>
    <w:rsid w:val="00D02312"/>
    <w:rsid w:val="00D0622E"/>
    <w:rsid w:val="00D06CF4"/>
    <w:rsid w:val="00D1088E"/>
    <w:rsid w:val="00D12BD9"/>
    <w:rsid w:val="00D162BC"/>
    <w:rsid w:val="00D167BB"/>
    <w:rsid w:val="00D16D6E"/>
    <w:rsid w:val="00D205BA"/>
    <w:rsid w:val="00D22216"/>
    <w:rsid w:val="00D25F59"/>
    <w:rsid w:val="00D266C2"/>
    <w:rsid w:val="00D3255C"/>
    <w:rsid w:val="00D3420E"/>
    <w:rsid w:val="00D3478E"/>
    <w:rsid w:val="00D356CF"/>
    <w:rsid w:val="00D4206A"/>
    <w:rsid w:val="00D4620B"/>
    <w:rsid w:val="00D50C61"/>
    <w:rsid w:val="00D5467C"/>
    <w:rsid w:val="00D621DA"/>
    <w:rsid w:val="00D648E0"/>
    <w:rsid w:val="00D65AC8"/>
    <w:rsid w:val="00D67A98"/>
    <w:rsid w:val="00D7008E"/>
    <w:rsid w:val="00D722CD"/>
    <w:rsid w:val="00D72F00"/>
    <w:rsid w:val="00D753D9"/>
    <w:rsid w:val="00D7641A"/>
    <w:rsid w:val="00D807D1"/>
    <w:rsid w:val="00D8224F"/>
    <w:rsid w:val="00D857FB"/>
    <w:rsid w:val="00D85BF7"/>
    <w:rsid w:val="00D86802"/>
    <w:rsid w:val="00D90A8A"/>
    <w:rsid w:val="00D90DCC"/>
    <w:rsid w:val="00D91676"/>
    <w:rsid w:val="00D9212B"/>
    <w:rsid w:val="00D9281D"/>
    <w:rsid w:val="00D969EB"/>
    <w:rsid w:val="00D97089"/>
    <w:rsid w:val="00D974FF"/>
    <w:rsid w:val="00DA0270"/>
    <w:rsid w:val="00DA04D6"/>
    <w:rsid w:val="00DA06FC"/>
    <w:rsid w:val="00DA56F0"/>
    <w:rsid w:val="00DA5F0B"/>
    <w:rsid w:val="00DA7A60"/>
    <w:rsid w:val="00DA7D62"/>
    <w:rsid w:val="00DB4818"/>
    <w:rsid w:val="00DB5F13"/>
    <w:rsid w:val="00DC05EA"/>
    <w:rsid w:val="00DC5B32"/>
    <w:rsid w:val="00DD173D"/>
    <w:rsid w:val="00DD40C0"/>
    <w:rsid w:val="00DD42C4"/>
    <w:rsid w:val="00DD4C9C"/>
    <w:rsid w:val="00DE2FEA"/>
    <w:rsid w:val="00DE4AC1"/>
    <w:rsid w:val="00DE5630"/>
    <w:rsid w:val="00DE5FF0"/>
    <w:rsid w:val="00DF04B9"/>
    <w:rsid w:val="00DF0EC6"/>
    <w:rsid w:val="00DF26E7"/>
    <w:rsid w:val="00DF4B57"/>
    <w:rsid w:val="00DF54D3"/>
    <w:rsid w:val="00DF6DBF"/>
    <w:rsid w:val="00E02E3B"/>
    <w:rsid w:val="00E049A4"/>
    <w:rsid w:val="00E04D8F"/>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21A8"/>
    <w:rsid w:val="00E322FF"/>
    <w:rsid w:val="00E32889"/>
    <w:rsid w:val="00E33AFF"/>
    <w:rsid w:val="00E36C6E"/>
    <w:rsid w:val="00E37FA1"/>
    <w:rsid w:val="00E414F8"/>
    <w:rsid w:val="00E43A15"/>
    <w:rsid w:val="00E4472A"/>
    <w:rsid w:val="00E47077"/>
    <w:rsid w:val="00E51C4C"/>
    <w:rsid w:val="00E52101"/>
    <w:rsid w:val="00E52779"/>
    <w:rsid w:val="00E53C53"/>
    <w:rsid w:val="00E553D5"/>
    <w:rsid w:val="00E56ADF"/>
    <w:rsid w:val="00E626F1"/>
    <w:rsid w:val="00E641A6"/>
    <w:rsid w:val="00E64B0B"/>
    <w:rsid w:val="00E65624"/>
    <w:rsid w:val="00E6714F"/>
    <w:rsid w:val="00E705D3"/>
    <w:rsid w:val="00E7317F"/>
    <w:rsid w:val="00E73276"/>
    <w:rsid w:val="00E737FA"/>
    <w:rsid w:val="00E76ACE"/>
    <w:rsid w:val="00E84012"/>
    <w:rsid w:val="00E861DA"/>
    <w:rsid w:val="00E86364"/>
    <w:rsid w:val="00E904E5"/>
    <w:rsid w:val="00E92F5C"/>
    <w:rsid w:val="00E959E8"/>
    <w:rsid w:val="00E96A0E"/>
    <w:rsid w:val="00EA174A"/>
    <w:rsid w:val="00EA4441"/>
    <w:rsid w:val="00EA460D"/>
    <w:rsid w:val="00EA7897"/>
    <w:rsid w:val="00EB154E"/>
    <w:rsid w:val="00EB1B66"/>
    <w:rsid w:val="00EB208A"/>
    <w:rsid w:val="00EB2FB3"/>
    <w:rsid w:val="00EB4B99"/>
    <w:rsid w:val="00EB7E3D"/>
    <w:rsid w:val="00EC0B9E"/>
    <w:rsid w:val="00EC11E4"/>
    <w:rsid w:val="00EC164D"/>
    <w:rsid w:val="00EC1AE7"/>
    <w:rsid w:val="00EC439F"/>
    <w:rsid w:val="00EC7FD4"/>
    <w:rsid w:val="00ED1EC3"/>
    <w:rsid w:val="00ED2F45"/>
    <w:rsid w:val="00ED4012"/>
    <w:rsid w:val="00ED55A2"/>
    <w:rsid w:val="00EE010A"/>
    <w:rsid w:val="00EE2103"/>
    <w:rsid w:val="00EF0A65"/>
    <w:rsid w:val="00EF12CB"/>
    <w:rsid w:val="00EF331C"/>
    <w:rsid w:val="00EF3332"/>
    <w:rsid w:val="00EF41AC"/>
    <w:rsid w:val="00EF4F0C"/>
    <w:rsid w:val="00F0033E"/>
    <w:rsid w:val="00F02A7A"/>
    <w:rsid w:val="00F03624"/>
    <w:rsid w:val="00F06057"/>
    <w:rsid w:val="00F065E7"/>
    <w:rsid w:val="00F26B72"/>
    <w:rsid w:val="00F3014C"/>
    <w:rsid w:val="00F353CE"/>
    <w:rsid w:val="00F3651B"/>
    <w:rsid w:val="00F37163"/>
    <w:rsid w:val="00F4083F"/>
    <w:rsid w:val="00F435F1"/>
    <w:rsid w:val="00F45F9D"/>
    <w:rsid w:val="00F47958"/>
    <w:rsid w:val="00F51224"/>
    <w:rsid w:val="00F56248"/>
    <w:rsid w:val="00F61397"/>
    <w:rsid w:val="00F61F43"/>
    <w:rsid w:val="00F65411"/>
    <w:rsid w:val="00F66425"/>
    <w:rsid w:val="00F66C87"/>
    <w:rsid w:val="00F710FC"/>
    <w:rsid w:val="00F7161F"/>
    <w:rsid w:val="00F73E58"/>
    <w:rsid w:val="00F7406E"/>
    <w:rsid w:val="00F74249"/>
    <w:rsid w:val="00F75473"/>
    <w:rsid w:val="00F776ED"/>
    <w:rsid w:val="00F838BA"/>
    <w:rsid w:val="00F839BB"/>
    <w:rsid w:val="00F83B10"/>
    <w:rsid w:val="00F8415D"/>
    <w:rsid w:val="00F84751"/>
    <w:rsid w:val="00F85075"/>
    <w:rsid w:val="00F85AD4"/>
    <w:rsid w:val="00F86464"/>
    <w:rsid w:val="00F93E48"/>
    <w:rsid w:val="00F95D50"/>
    <w:rsid w:val="00F96AA9"/>
    <w:rsid w:val="00FA2073"/>
    <w:rsid w:val="00FA2A0D"/>
    <w:rsid w:val="00FA521B"/>
    <w:rsid w:val="00FA7E0A"/>
    <w:rsid w:val="00FB0B72"/>
    <w:rsid w:val="00FB0CB0"/>
    <w:rsid w:val="00FB1797"/>
    <w:rsid w:val="00FC789F"/>
    <w:rsid w:val="00FD07B5"/>
    <w:rsid w:val="00FD241B"/>
    <w:rsid w:val="00FD3AAB"/>
    <w:rsid w:val="00FD4A28"/>
    <w:rsid w:val="00FD4B19"/>
    <w:rsid w:val="00FD5EB7"/>
    <w:rsid w:val="00FD6D4E"/>
    <w:rsid w:val="00FE0A6D"/>
    <w:rsid w:val="00FE2301"/>
    <w:rsid w:val="00FE251E"/>
    <w:rsid w:val="00FE2D9A"/>
    <w:rsid w:val="00FE3202"/>
    <w:rsid w:val="00FE33A9"/>
    <w:rsid w:val="00FE3976"/>
    <w:rsid w:val="00FE3C14"/>
    <w:rsid w:val="00FE4274"/>
    <w:rsid w:val="00FE5327"/>
    <w:rsid w:val="00FE6A03"/>
    <w:rsid w:val="00FE6FF7"/>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1C63"/>
    <w:pPr>
      <w:tabs>
        <w:tab w:val="center" w:pos="4680"/>
        <w:tab w:val="right" w:pos="9360"/>
      </w:tabs>
    </w:pPr>
  </w:style>
  <w:style w:type="character" w:customStyle="1" w:styleId="HeaderChar">
    <w:name w:val="Header Char"/>
    <w:basedOn w:val="DefaultParagraphFont"/>
    <w:link w:val="Header"/>
    <w:rsid w:val="007A1C63"/>
    <w:rPr>
      <w:sz w:val="24"/>
      <w:szCs w:val="24"/>
    </w:rPr>
  </w:style>
  <w:style w:type="paragraph" w:styleId="Footer">
    <w:name w:val="footer"/>
    <w:basedOn w:val="Normal"/>
    <w:link w:val="FooterChar"/>
    <w:uiPriority w:val="99"/>
    <w:rsid w:val="007A1C63"/>
    <w:pPr>
      <w:tabs>
        <w:tab w:val="center" w:pos="4680"/>
        <w:tab w:val="right" w:pos="9360"/>
      </w:tabs>
    </w:pPr>
  </w:style>
  <w:style w:type="character" w:customStyle="1" w:styleId="FooterChar">
    <w:name w:val="Footer Char"/>
    <w:basedOn w:val="DefaultParagraphFont"/>
    <w:link w:val="Footer"/>
    <w:uiPriority w:val="99"/>
    <w:rsid w:val="007A1C63"/>
    <w:rPr>
      <w:sz w:val="24"/>
      <w:szCs w:val="24"/>
    </w:rPr>
  </w:style>
  <w:style w:type="paragraph" w:styleId="FootnoteText">
    <w:name w:val="footnote text"/>
    <w:basedOn w:val="Normal"/>
    <w:link w:val="FootnoteTextChar"/>
    <w:rsid w:val="00470A40"/>
    <w:rPr>
      <w:sz w:val="20"/>
      <w:szCs w:val="20"/>
    </w:rPr>
  </w:style>
  <w:style w:type="character" w:customStyle="1" w:styleId="FootnoteTextChar">
    <w:name w:val="Footnote Text Char"/>
    <w:basedOn w:val="DefaultParagraphFont"/>
    <w:link w:val="FootnoteText"/>
    <w:rsid w:val="00470A40"/>
  </w:style>
  <w:style w:type="character" w:styleId="FootnoteReference">
    <w:name w:val="footnote reference"/>
    <w:basedOn w:val="DefaultParagraphFont"/>
    <w:rsid w:val="00470A40"/>
    <w:rPr>
      <w:vertAlign w:val="superscript"/>
    </w:rPr>
  </w:style>
  <w:style w:type="paragraph" w:styleId="ListParagraph">
    <w:name w:val="List Paragraph"/>
    <w:basedOn w:val="Normal"/>
    <w:uiPriority w:val="34"/>
    <w:qFormat/>
    <w:rsid w:val="006A57D1"/>
    <w:pPr>
      <w:ind w:left="720"/>
      <w:contextualSpacing/>
    </w:pPr>
  </w:style>
  <w:style w:type="paragraph" w:styleId="BalloonText">
    <w:name w:val="Balloon Text"/>
    <w:basedOn w:val="Normal"/>
    <w:link w:val="BalloonTextChar"/>
    <w:rsid w:val="0016171E"/>
    <w:rPr>
      <w:rFonts w:ascii="Tahoma" w:hAnsi="Tahoma" w:cs="Tahoma"/>
      <w:sz w:val="16"/>
      <w:szCs w:val="16"/>
    </w:rPr>
  </w:style>
  <w:style w:type="character" w:customStyle="1" w:styleId="BalloonTextChar">
    <w:name w:val="Balloon Text Char"/>
    <w:basedOn w:val="DefaultParagraphFont"/>
    <w:link w:val="BalloonText"/>
    <w:rsid w:val="001617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1C63"/>
    <w:pPr>
      <w:tabs>
        <w:tab w:val="center" w:pos="4680"/>
        <w:tab w:val="right" w:pos="9360"/>
      </w:tabs>
    </w:pPr>
  </w:style>
  <w:style w:type="character" w:customStyle="1" w:styleId="HeaderChar">
    <w:name w:val="Header Char"/>
    <w:basedOn w:val="DefaultParagraphFont"/>
    <w:link w:val="Header"/>
    <w:rsid w:val="007A1C63"/>
    <w:rPr>
      <w:sz w:val="24"/>
      <w:szCs w:val="24"/>
    </w:rPr>
  </w:style>
  <w:style w:type="paragraph" w:styleId="Footer">
    <w:name w:val="footer"/>
    <w:basedOn w:val="Normal"/>
    <w:link w:val="FooterChar"/>
    <w:uiPriority w:val="99"/>
    <w:rsid w:val="007A1C63"/>
    <w:pPr>
      <w:tabs>
        <w:tab w:val="center" w:pos="4680"/>
        <w:tab w:val="right" w:pos="9360"/>
      </w:tabs>
    </w:pPr>
  </w:style>
  <w:style w:type="character" w:customStyle="1" w:styleId="FooterChar">
    <w:name w:val="Footer Char"/>
    <w:basedOn w:val="DefaultParagraphFont"/>
    <w:link w:val="Footer"/>
    <w:uiPriority w:val="99"/>
    <w:rsid w:val="007A1C63"/>
    <w:rPr>
      <w:sz w:val="24"/>
      <w:szCs w:val="24"/>
    </w:rPr>
  </w:style>
  <w:style w:type="paragraph" w:styleId="FootnoteText">
    <w:name w:val="footnote text"/>
    <w:basedOn w:val="Normal"/>
    <w:link w:val="FootnoteTextChar"/>
    <w:rsid w:val="00470A40"/>
    <w:rPr>
      <w:sz w:val="20"/>
      <w:szCs w:val="20"/>
    </w:rPr>
  </w:style>
  <w:style w:type="character" w:customStyle="1" w:styleId="FootnoteTextChar">
    <w:name w:val="Footnote Text Char"/>
    <w:basedOn w:val="DefaultParagraphFont"/>
    <w:link w:val="FootnoteText"/>
    <w:rsid w:val="00470A40"/>
  </w:style>
  <w:style w:type="character" w:styleId="FootnoteReference">
    <w:name w:val="footnote reference"/>
    <w:basedOn w:val="DefaultParagraphFont"/>
    <w:rsid w:val="00470A40"/>
    <w:rPr>
      <w:vertAlign w:val="superscript"/>
    </w:rPr>
  </w:style>
  <w:style w:type="paragraph" w:styleId="ListParagraph">
    <w:name w:val="List Paragraph"/>
    <w:basedOn w:val="Normal"/>
    <w:uiPriority w:val="34"/>
    <w:qFormat/>
    <w:rsid w:val="006A57D1"/>
    <w:pPr>
      <w:ind w:left="720"/>
      <w:contextualSpacing/>
    </w:pPr>
  </w:style>
  <w:style w:type="paragraph" w:styleId="BalloonText">
    <w:name w:val="Balloon Text"/>
    <w:basedOn w:val="Normal"/>
    <w:link w:val="BalloonTextChar"/>
    <w:rsid w:val="0016171E"/>
    <w:rPr>
      <w:rFonts w:ascii="Tahoma" w:hAnsi="Tahoma" w:cs="Tahoma"/>
      <w:sz w:val="16"/>
      <w:szCs w:val="16"/>
    </w:rPr>
  </w:style>
  <w:style w:type="character" w:customStyle="1" w:styleId="BalloonTextChar">
    <w:name w:val="Balloon Text Char"/>
    <w:basedOn w:val="DefaultParagraphFont"/>
    <w:link w:val="BalloonText"/>
    <w:rsid w:val="00161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3533</Words>
  <Characters>20141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johcorbett</dc:creator>
  <cp:lastModifiedBy>bfaccenda</cp:lastModifiedBy>
  <cp:revision>2</cp:revision>
  <cp:lastPrinted>2012-02-22T15:35:00Z</cp:lastPrinted>
  <dcterms:created xsi:type="dcterms:W3CDTF">2012-02-22T17:09:00Z</dcterms:created>
  <dcterms:modified xsi:type="dcterms:W3CDTF">2012-02-22T17:09:00Z</dcterms:modified>
</cp:coreProperties>
</file>