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EA1625" w:rsidRDefault="008E4FD6" w:rsidP="00BB7055">
      <w:pPr>
        <w:jc w:val="center"/>
        <w:rPr>
          <w:b/>
        </w:rPr>
      </w:pPr>
      <w:bookmarkStart w:id="0" w:name="_GoBack"/>
      <w:bookmarkEnd w:id="0"/>
      <w:r w:rsidRPr="00EA1625">
        <w:rPr>
          <w:b/>
        </w:rPr>
        <w:t>BEFORE THE</w:t>
      </w:r>
    </w:p>
    <w:p w:rsidR="008E4FD6" w:rsidRPr="00EA1625" w:rsidRDefault="008E4FD6" w:rsidP="00BB7055">
      <w:pPr>
        <w:jc w:val="center"/>
        <w:rPr>
          <w:b/>
        </w:rPr>
      </w:pPr>
      <w:r w:rsidRPr="00EA1625">
        <w:rPr>
          <w:b/>
        </w:rPr>
        <w:t>PENNSYLVANIA PUBLIC UTILITY COMMISSION</w:t>
      </w:r>
    </w:p>
    <w:p w:rsidR="008E4FD6" w:rsidRPr="00EA1625" w:rsidRDefault="008E4FD6" w:rsidP="00BB7055">
      <w:pPr>
        <w:jc w:val="center"/>
        <w:rPr>
          <w:b/>
        </w:rPr>
      </w:pPr>
    </w:p>
    <w:p w:rsidR="008E4FD6" w:rsidRPr="00EA1625" w:rsidRDefault="008E4FD6" w:rsidP="00BB7055"/>
    <w:p w:rsidR="008E4FD6" w:rsidRPr="00EA1625" w:rsidRDefault="008E4FD6" w:rsidP="00BB7055"/>
    <w:p w:rsidR="00F9732A" w:rsidRPr="00EA1625" w:rsidRDefault="00653E94" w:rsidP="00BB7055">
      <w:r>
        <w:t>Barbara Jackson</w:t>
      </w:r>
      <w:r w:rsidR="00F9732A" w:rsidRPr="00EA1625">
        <w:tab/>
      </w:r>
      <w:r w:rsidR="00F9732A" w:rsidRPr="00EA1625">
        <w:tab/>
      </w:r>
      <w:r w:rsidR="00F9732A" w:rsidRPr="00EA1625">
        <w:tab/>
      </w:r>
      <w:r w:rsidR="00EF7BB1" w:rsidRPr="00EA1625">
        <w:tab/>
      </w:r>
      <w:r w:rsidR="00F9732A" w:rsidRPr="00EA1625">
        <w:tab/>
        <w:t>:</w:t>
      </w:r>
      <w:r w:rsidR="00F9732A" w:rsidRPr="00EA1625">
        <w:tab/>
      </w:r>
    </w:p>
    <w:p w:rsidR="00F9732A" w:rsidRPr="00EA1625" w:rsidRDefault="00F9732A" w:rsidP="00BB7055">
      <w:r w:rsidRPr="00EA1625">
        <w:tab/>
      </w:r>
      <w:r w:rsidRPr="00EA1625">
        <w:tab/>
      </w:r>
      <w:r w:rsidRPr="00EA1625">
        <w:tab/>
      </w:r>
      <w:r w:rsidRPr="00EA1625">
        <w:tab/>
      </w:r>
      <w:r w:rsidRPr="00EA1625">
        <w:tab/>
      </w:r>
      <w:r w:rsidRPr="00EA1625">
        <w:tab/>
      </w:r>
      <w:r w:rsidRPr="00EA1625">
        <w:tab/>
        <w:t>:</w:t>
      </w:r>
    </w:p>
    <w:p w:rsidR="00F9732A" w:rsidRPr="00EA1625" w:rsidRDefault="00F9732A" w:rsidP="00BB7055">
      <w:pPr>
        <w:numPr>
          <w:ilvl w:val="0"/>
          <w:numId w:val="5"/>
        </w:numPr>
        <w:ind w:hanging="4320"/>
      </w:pPr>
      <w:r w:rsidRPr="00EA1625">
        <w:t>:</w:t>
      </w:r>
      <w:r w:rsidRPr="00EA1625">
        <w:tab/>
      </w:r>
      <w:r w:rsidR="00F6612B" w:rsidRPr="00EA1625">
        <w:tab/>
      </w:r>
      <w:r w:rsidR="00653E94">
        <w:t>C-2010-2195248</w:t>
      </w:r>
    </w:p>
    <w:p w:rsidR="00F9732A" w:rsidRPr="00EA1625" w:rsidRDefault="00F9732A" w:rsidP="00BB7055">
      <w:pPr>
        <w:ind w:left="5040"/>
      </w:pPr>
      <w:r w:rsidRPr="00EA1625">
        <w:t>:</w:t>
      </w:r>
    </w:p>
    <w:p w:rsidR="00F9732A" w:rsidRPr="00EA1625" w:rsidRDefault="00653E94" w:rsidP="00BB7055">
      <w:r>
        <w:t>PECO Energy</w:t>
      </w:r>
      <w:r w:rsidR="004D6DDC">
        <w:t xml:space="preserve"> Company</w:t>
      </w:r>
      <w:r w:rsidR="007B3113">
        <w:tab/>
      </w:r>
      <w:r w:rsidR="00AD213E">
        <w:tab/>
      </w:r>
      <w:r w:rsidR="00F9732A" w:rsidRPr="00EA1625">
        <w:t xml:space="preserve"> </w:t>
      </w:r>
      <w:r w:rsidR="00F9732A" w:rsidRPr="00EA1625">
        <w:tab/>
      </w:r>
      <w:r w:rsidR="00F9732A" w:rsidRPr="00EA1625">
        <w:tab/>
        <w:t>:</w:t>
      </w:r>
    </w:p>
    <w:p w:rsidR="004D6DDC" w:rsidRDefault="004D6DDC" w:rsidP="00BB7055"/>
    <w:p w:rsidR="00BE6E3A" w:rsidRPr="00EA1625" w:rsidRDefault="00BE6E3A" w:rsidP="00BB7055"/>
    <w:p w:rsidR="008E4FD6" w:rsidRPr="00EA1625" w:rsidRDefault="008E4FD6" w:rsidP="00BB7055">
      <w:pPr>
        <w:tabs>
          <w:tab w:val="left" w:pos="1076"/>
        </w:tabs>
      </w:pPr>
    </w:p>
    <w:p w:rsidR="008E4FD6" w:rsidRPr="00EA1625" w:rsidRDefault="008E4FD6" w:rsidP="00BB7055">
      <w:pPr>
        <w:jc w:val="center"/>
        <w:rPr>
          <w:b/>
          <w:u w:val="single"/>
        </w:rPr>
      </w:pPr>
      <w:r w:rsidRPr="00EA1625">
        <w:rPr>
          <w:b/>
          <w:u w:val="single"/>
        </w:rPr>
        <w:t>INITIAL DECISION</w:t>
      </w:r>
    </w:p>
    <w:p w:rsidR="008E4FD6" w:rsidRPr="00EA1625" w:rsidRDefault="008E4FD6" w:rsidP="00BB7055">
      <w:pPr>
        <w:jc w:val="center"/>
      </w:pPr>
    </w:p>
    <w:p w:rsidR="009D47A5" w:rsidRPr="00EA1625" w:rsidRDefault="009D47A5" w:rsidP="00BB7055">
      <w:pPr>
        <w:jc w:val="center"/>
      </w:pPr>
    </w:p>
    <w:p w:rsidR="008E4FD6" w:rsidRPr="00EA1625" w:rsidRDefault="008E4FD6" w:rsidP="00BB7055">
      <w:pPr>
        <w:jc w:val="center"/>
      </w:pPr>
      <w:r w:rsidRPr="00EA1625">
        <w:t>Before</w:t>
      </w:r>
    </w:p>
    <w:p w:rsidR="008E4FD6" w:rsidRPr="00EA1625" w:rsidRDefault="00DF0974" w:rsidP="00BB7055">
      <w:pPr>
        <w:jc w:val="center"/>
      </w:pPr>
      <w:r w:rsidRPr="00EA1625">
        <w:t>Katrina L. Dunderdale</w:t>
      </w:r>
    </w:p>
    <w:p w:rsidR="008E4FD6" w:rsidRPr="00EA1625" w:rsidRDefault="008E4FD6" w:rsidP="00BB7055">
      <w:pPr>
        <w:jc w:val="center"/>
      </w:pPr>
      <w:r w:rsidRPr="00EA1625">
        <w:t>Administrative Law Judge</w:t>
      </w:r>
    </w:p>
    <w:p w:rsidR="008E4FD6" w:rsidRDefault="008E4FD6" w:rsidP="00BB7055"/>
    <w:p w:rsidR="00BE6E3A" w:rsidRPr="00EA1625" w:rsidRDefault="00BE6E3A" w:rsidP="00BB7055"/>
    <w:p w:rsidR="00F9732A" w:rsidRPr="00EA1625" w:rsidRDefault="008E4FD6" w:rsidP="00BB7055">
      <w:pPr>
        <w:spacing w:line="360" w:lineRule="auto"/>
        <w:jc w:val="center"/>
        <w:rPr>
          <w:u w:val="single"/>
        </w:rPr>
      </w:pPr>
      <w:r w:rsidRPr="00EA1625">
        <w:rPr>
          <w:u w:val="single"/>
        </w:rPr>
        <w:t>HISTORY OF THE PROCEEDING</w:t>
      </w:r>
    </w:p>
    <w:p w:rsidR="00F9732A" w:rsidRPr="00EA1625" w:rsidRDefault="00F9732A" w:rsidP="00BB7055">
      <w:pPr>
        <w:spacing w:line="360" w:lineRule="auto"/>
        <w:rPr>
          <w:u w:val="single"/>
        </w:rPr>
      </w:pPr>
    </w:p>
    <w:p w:rsidR="0041637D" w:rsidRDefault="00F9732A" w:rsidP="00653E94">
      <w:pPr>
        <w:spacing w:line="360" w:lineRule="auto"/>
      </w:pPr>
      <w:r w:rsidRPr="00EA1625">
        <w:tab/>
      </w:r>
      <w:r w:rsidRPr="00EA1625">
        <w:tab/>
      </w:r>
      <w:r w:rsidR="00E55C1D">
        <w:t xml:space="preserve">On </w:t>
      </w:r>
      <w:r w:rsidR="00653E94">
        <w:t>August 19, 2010</w:t>
      </w:r>
      <w:r w:rsidR="00BD76C8" w:rsidRPr="00EA1625">
        <w:t xml:space="preserve">, </w:t>
      </w:r>
      <w:r w:rsidR="00653E94">
        <w:t>Barbara Jackson</w:t>
      </w:r>
      <w:r w:rsidR="00BD76C8" w:rsidRPr="00EA1625">
        <w:t xml:space="preserve"> </w:t>
      </w:r>
      <w:r w:rsidR="00497A4D">
        <w:t xml:space="preserve">(“Complainant”) </w:t>
      </w:r>
      <w:r w:rsidR="00BD76C8" w:rsidRPr="00EA1625">
        <w:t>filed a formal complaint with the Pennsylvania P</w:t>
      </w:r>
      <w:r w:rsidR="0041637D" w:rsidRPr="00EA1625">
        <w:t>u</w:t>
      </w:r>
      <w:r w:rsidR="00BD76C8" w:rsidRPr="00EA1625">
        <w:t xml:space="preserve">blic Utility Commission (“Commission”) against </w:t>
      </w:r>
      <w:r w:rsidR="00653E94">
        <w:t xml:space="preserve">PECO Energy </w:t>
      </w:r>
      <w:r w:rsidR="00761C29">
        <w:t xml:space="preserve">Company </w:t>
      </w:r>
      <w:r w:rsidR="00BD76C8" w:rsidRPr="00EA1625">
        <w:t>(“</w:t>
      </w:r>
      <w:r w:rsidR="00653E94">
        <w:t>PECO</w:t>
      </w:r>
      <w:r w:rsidR="00BD76C8" w:rsidRPr="00EA1625">
        <w:t>” or “</w:t>
      </w:r>
      <w:r w:rsidR="00FD4410">
        <w:t>Respondent</w:t>
      </w:r>
      <w:r w:rsidR="00BD76C8" w:rsidRPr="00EA1625">
        <w:t xml:space="preserve">”) </w:t>
      </w:r>
      <w:r w:rsidR="004201C6" w:rsidRPr="00EA1625">
        <w:t>alleging</w:t>
      </w:r>
      <w:r w:rsidR="005A6483">
        <w:t xml:space="preserve">, </w:t>
      </w:r>
      <w:r w:rsidR="005A6483" w:rsidRPr="00E021F5">
        <w:rPr>
          <w:i/>
        </w:rPr>
        <w:t>inter alia</w:t>
      </w:r>
      <w:r w:rsidR="005A6483">
        <w:t xml:space="preserve">, PECO stated Complainant came to Respondent’s Center City (Philadelphia) office in November 2009 with photographic identification and lease, requested to have electric service transferred from 1862 Nolan Street to 1804 Nolan Street.  Complainant contended she never resided at 1862 Nolan Street and denied she went to Respondent’s office in November 2009.  </w:t>
      </w:r>
      <w:r w:rsidR="00BD76C8" w:rsidRPr="00EA1625">
        <w:t xml:space="preserve"> </w:t>
      </w:r>
      <w:r w:rsidR="00653E94">
        <w:t>Complainant requested PECO provide her with a copy of the photo</w:t>
      </w:r>
      <w:r w:rsidR="00E021F5">
        <w:t>graphic</w:t>
      </w:r>
      <w:r w:rsidR="00653E94">
        <w:t xml:space="preserve"> identification used on November 12, 2009</w:t>
      </w:r>
      <w:r w:rsidR="00E021F5">
        <w:t xml:space="preserve"> and a copy of the person’s signature in order to assist Complainant in filing fraud charges with the proper authorities</w:t>
      </w:r>
      <w:r w:rsidR="00BB3893">
        <w:t>.</w:t>
      </w:r>
      <w:r w:rsidR="00AD75C9">
        <w:t xml:space="preserve"> </w:t>
      </w:r>
    </w:p>
    <w:p w:rsidR="00AD75C9" w:rsidRPr="00EA1625" w:rsidRDefault="00AD75C9" w:rsidP="00653E94">
      <w:pPr>
        <w:spacing w:line="360" w:lineRule="auto"/>
      </w:pPr>
    </w:p>
    <w:p w:rsidR="000B575F" w:rsidRDefault="0041637D" w:rsidP="00653E94">
      <w:pPr>
        <w:spacing w:line="360" w:lineRule="auto"/>
      </w:pPr>
      <w:r w:rsidRPr="00EA1625">
        <w:tab/>
      </w:r>
      <w:r w:rsidRPr="00EA1625">
        <w:tab/>
      </w:r>
      <w:r w:rsidR="00653E94">
        <w:t>PECO</w:t>
      </w:r>
      <w:r w:rsidRPr="00EA1625">
        <w:t xml:space="preserve"> filed </w:t>
      </w:r>
      <w:r w:rsidR="00DF0974" w:rsidRPr="00EA1625">
        <w:t>an</w:t>
      </w:r>
      <w:r w:rsidR="00580D5E" w:rsidRPr="00EA1625">
        <w:t xml:space="preserve"> </w:t>
      </w:r>
      <w:r w:rsidRPr="00EA1625">
        <w:t xml:space="preserve">answer in response to </w:t>
      </w:r>
      <w:r w:rsidR="00BB3893">
        <w:t xml:space="preserve">Ms. </w:t>
      </w:r>
      <w:r w:rsidR="00653E94">
        <w:t>Jackson’s</w:t>
      </w:r>
      <w:r w:rsidRPr="00EA1625">
        <w:t xml:space="preserve"> complaint on </w:t>
      </w:r>
      <w:r w:rsidR="00653E94">
        <w:t>September 13, 2010</w:t>
      </w:r>
      <w:r w:rsidRPr="00EA1625">
        <w:t xml:space="preserve">.  In </w:t>
      </w:r>
      <w:r w:rsidR="00DF0974" w:rsidRPr="00EA1625">
        <w:t>its</w:t>
      </w:r>
      <w:r w:rsidRPr="00EA1625">
        <w:t xml:space="preserve"> </w:t>
      </w:r>
      <w:r w:rsidR="00580D5E" w:rsidRPr="00EA1625">
        <w:t xml:space="preserve">responsive pleading, </w:t>
      </w:r>
      <w:r w:rsidR="00653E94">
        <w:t>PECO</w:t>
      </w:r>
      <w:r w:rsidR="003F5065">
        <w:t xml:space="preserve"> </w:t>
      </w:r>
      <w:r w:rsidR="005A6483">
        <w:t xml:space="preserve">denied there were incorrect charges on Complainant’s bills.  Respondent averred all charges associated with service provided to 1862 Nolan Street were removed from Complainant’s account balance.  PECO further alleged a person purporting </w:t>
      </w:r>
      <w:r w:rsidR="005A6483">
        <w:lastRenderedPageBreak/>
        <w:t xml:space="preserve">to be Complainant requested service at 1862 Nolan Street but Respondent later learned another person, not Complainant, requested the service in Complainant’s name.  </w:t>
      </w:r>
      <w:r w:rsidR="00C15A48">
        <w:t xml:space="preserve">  </w:t>
      </w:r>
      <w:r w:rsidR="00734AEF">
        <w:t xml:space="preserve">  </w:t>
      </w:r>
      <w:r w:rsidR="00D23617">
        <w:t xml:space="preserve">  </w:t>
      </w:r>
    </w:p>
    <w:p w:rsidR="00653E94" w:rsidRPr="00B73D10" w:rsidRDefault="00653E94" w:rsidP="00653E94">
      <w:pPr>
        <w:spacing w:line="360" w:lineRule="auto"/>
      </w:pPr>
    </w:p>
    <w:p w:rsidR="00653E94" w:rsidRDefault="00653E94" w:rsidP="00653E94">
      <w:pPr>
        <w:spacing w:line="360" w:lineRule="auto"/>
      </w:pPr>
      <w:r w:rsidRPr="00B73D10">
        <w:tab/>
      </w:r>
      <w:r w:rsidRPr="00B73D10">
        <w:tab/>
        <w:t xml:space="preserve">On </w:t>
      </w:r>
      <w:r>
        <w:t>January 21, 2011</w:t>
      </w:r>
      <w:r w:rsidRPr="00B73D10">
        <w:t xml:space="preserve">, the </w:t>
      </w:r>
      <w:r w:rsidR="00832D0B">
        <w:t xml:space="preserve">Commission’s </w:t>
      </w:r>
      <w:r w:rsidRPr="00B73D10">
        <w:t xml:space="preserve">Office of Administrative Law Judge issued a Telephone Hearing Notice, which scheduled an initial telephonic hearing to be conducted on </w:t>
      </w:r>
      <w:r>
        <w:t>Wednesday, March 9, 2011 before Administrative Law Judge (“ALJ”) Cynthia W. Fordham</w:t>
      </w:r>
      <w:r w:rsidRPr="00B73D10">
        <w:t xml:space="preserve">.  On </w:t>
      </w:r>
      <w:r w:rsidR="005A6483">
        <w:t>February 7</w:t>
      </w:r>
      <w:r>
        <w:t>, 2011</w:t>
      </w:r>
      <w:r w:rsidRPr="00B73D10">
        <w:t xml:space="preserve">, </w:t>
      </w:r>
      <w:r>
        <w:t>ALJ Fordham</w:t>
      </w:r>
      <w:r w:rsidRPr="00B73D10">
        <w:t xml:space="preserve"> issued a Prehearing Order.  </w:t>
      </w:r>
    </w:p>
    <w:p w:rsidR="00653E94" w:rsidRDefault="00653E94" w:rsidP="00653E94">
      <w:pPr>
        <w:spacing w:line="360" w:lineRule="auto"/>
      </w:pPr>
    </w:p>
    <w:p w:rsidR="00653E94" w:rsidRPr="00B73D10" w:rsidRDefault="00653E94" w:rsidP="00653E94">
      <w:pPr>
        <w:spacing w:line="360" w:lineRule="auto"/>
        <w:ind w:firstLine="1440"/>
      </w:pPr>
      <w:r>
        <w:t>ALJ Fordham</w:t>
      </w:r>
      <w:r w:rsidRPr="00B73D10">
        <w:t xml:space="preserve"> convened the initial telephonic hearing as scheduled on </w:t>
      </w:r>
      <w:r w:rsidR="005A6483">
        <w:t>March 9</w:t>
      </w:r>
      <w:r>
        <w:t>, 2011</w:t>
      </w:r>
      <w:r w:rsidRPr="00B73D10">
        <w:t xml:space="preserve">.  </w:t>
      </w:r>
      <w:r w:rsidR="005A6483">
        <w:t>Ms. Jackson</w:t>
      </w:r>
      <w:r w:rsidRPr="00B73D10">
        <w:t xml:space="preserve"> (“Complainant”) appeared </w:t>
      </w:r>
      <w:r w:rsidRPr="00B73D10">
        <w:rPr>
          <w:i/>
        </w:rPr>
        <w:t>pro se</w:t>
      </w:r>
      <w:r w:rsidRPr="00B73D10">
        <w:t xml:space="preserve"> </w:t>
      </w:r>
      <w:r>
        <w:t xml:space="preserve">and testified </w:t>
      </w:r>
      <w:r w:rsidRPr="00B73D10">
        <w:t xml:space="preserve">on </w:t>
      </w:r>
      <w:r w:rsidR="00832D0B">
        <w:t>her</w:t>
      </w:r>
      <w:r w:rsidRPr="00B73D10">
        <w:t xml:space="preserve"> own behalf.  Respondent was represented by </w:t>
      </w:r>
      <w:r w:rsidR="005A6483">
        <w:t xml:space="preserve">Dana </w:t>
      </w:r>
      <w:proofErr w:type="spellStart"/>
      <w:r w:rsidR="005A6483">
        <w:t>Pirone</w:t>
      </w:r>
      <w:proofErr w:type="spellEnd"/>
      <w:r w:rsidR="005A6483">
        <w:t xml:space="preserve"> </w:t>
      </w:r>
      <w:proofErr w:type="spellStart"/>
      <w:r w:rsidR="005A6483">
        <w:t>Carosella</w:t>
      </w:r>
      <w:proofErr w:type="spellEnd"/>
      <w:r w:rsidRPr="00B73D10">
        <w:t xml:space="preserve">, Esquire.  Attorney </w:t>
      </w:r>
      <w:proofErr w:type="spellStart"/>
      <w:r w:rsidR="005A6483">
        <w:t>Carosella</w:t>
      </w:r>
      <w:proofErr w:type="spellEnd"/>
      <w:r w:rsidRPr="00B73D10">
        <w:t xml:space="preserve"> presented the testimony of </w:t>
      </w:r>
      <w:r>
        <w:t>two</w:t>
      </w:r>
      <w:r w:rsidRPr="00B73D10">
        <w:t xml:space="preserve"> witnesses, and offered </w:t>
      </w:r>
      <w:r w:rsidR="005A6483">
        <w:t>ten</w:t>
      </w:r>
      <w:r w:rsidRPr="00B73D10">
        <w:t xml:space="preserve"> exhibits, marked </w:t>
      </w:r>
      <w:r>
        <w:t>PECO</w:t>
      </w:r>
      <w:r w:rsidRPr="00B73D10">
        <w:t xml:space="preserve"> Exhibit</w:t>
      </w:r>
      <w:r>
        <w:t>s 1</w:t>
      </w:r>
      <w:r w:rsidR="005A6483">
        <w:t xml:space="preserve"> through 10</w:t>
      </w:r>
      <w:r w:rsidRPr="00B73D10">
        <w:t xml:space="preserve">, which exhibits were admitted into evidence on </w:t>
      </w:r>
      <w:r w:rsidR="005A6483">
        <w:t>March 9</w:t>
      </w:r>
      <w:r>
        <w:t>, 2011</w:t>
      </w:r>
      <w:r w:rsidRPr="00B73D10">
        <w:t xml:space="preserve">.  The transcript of the hearing contains </w:t>
      </w:r>
      <w:r w:rsidR="005A6483">
        <w:t>ninety (90</w:t>
      </w:r>
      <w:r>
        <w:t xml:space="preserve">) </w:t>
      </w:r>
      <w:r w:rsidRPr="00B73D10">
        <w:t>pages</w:t>
      </w:r>
      <w:r>
        <w:t xml:space="preserve"> and was received by </w:t>
      </w:r>
      <w:r w:rsidR="005A6483">
        <w:t>ALJ Fordham</w:t>
      </w:r>
      <w:r>
        <w:t xml:space="preserve"> on </w:t>
      </w:r>
      <w:r w:rsidR="005A6483">
        <w:t>March 28</w:t>
      </w:r>
      <w:r>
        <w:t>, 2011.</w:t>
      </w:r>
      <w:r w:rsidRPr="00B73D10">
        <w:t xml:space="preserve">  Complainant and Respondent issued final statements on the hearing record in lieu of filing briefs.  </w:t>
      </w:r>
    </w:p>
    <w:p w:rsidR="00653E94" w:rsidRPr="00B73D10" w:rsidRDefault="00653E94" w:rsidP="00653E94">
      <w:pPr>
        <w:tabs>
          <w:tab w:val="left" w:pos="2160"/>
        </w:tabs>
        <w:spacing w:line="360" w:lineRule="auto"/>
        <w:ind w:firstLine="1440"/>
      </w:pPr>
    </w:p>
    <w:p w:rsidR="00653E94" w:rsidRPr="00B73D10" w:rsidRDefault="00653E94" w:rsidP="00653E94">
      <w:pPr>
        <w:tabs>
          <w:tab w:val="left" w:pos="2160"/>
        </w:tabs>
        <w:spacing w:line="360" w:lineRule="auto"/>
        <w:ind w:firstLine="1440"/>
      </w:pPr>
      <w:r>
        <w:t xml:space="preserve">On February 7, 2012, the Office of Administrative Law Judge issued a Judge Change Notice authorizing Administrative Law Judge Katrina L. Dunderdale to issue a decision in this matter.  </w:t>
      </w:r>
      <w:r w:rsidRPr="00B73D10">
        <w:t xml:space="preserve">On </w:t>
      </w:r>
      <w:r>
        <w:t>February 21, 2012,</w:t>
      </w:r>
      <w:r w:rsidRPr="00B73D10">
        <w:t xml:space="preserve"> </w:t>
      </w:r>
      <w:r w:rsidR="005A6483">
        <w:t>ALJ Dunderdale</w:t>
      </w:r>
      <w:r>
        <w:t xml:space="preserve"> closed the hearing</w:t>
      </w:r>
      <w:r w:rsidRPr="00B73D10">
        <w:t xml:space="preserve"> record by Interim Order Closing the Hearing Record.</w:t>
      </w:r>
    </w:p>
    <w:p w:rsidR="007B4DE2" w:rsidRDefault="007B4DE2" w:rsidP="00653E94">
      <w:pPr>
        <w:tabs>
          <w:tab w:val="left" w:pos="2160"/>
        </w:tabs>
        <w:spacing w:line="360" w:lineRule="auto"/>
        <w:rPr>
          <w:u w:val="single"/>
        </w:rPr>
      </w:pPr>
    </w:p>
    <w:p w:rsidR="008E4FD6" w:rsidRPr="00EA1625" w:rsidRDefault="008E4FD6" w:rsidP="00EA1625">
      <w:pPr>
        <w:tabs>
          <w:tab w:val="left" w:pos="2160"/>
        </w:tabs>
        <w:spacing w:line="360" w:lineRule="auto"/>
        <w:jc w:val="center"/>
        <w:rPr>
          <w:u w:val="single"/>
        </w:rPr>
      </w:pPr>
      <w:r w:rsidRPr="00EA1625">
        <w:rPr>
          <w:u w:val="single"/>
        </w:rPr>
        <w:t>FINDINGS OF FACT</w:t>
      </w:r>
    </w:p>
    <w:p w:rsidR="008E4FD6" w:rsidRPr="00EA1625" w:rsidRDefault="008E4FD6" w:rsidP="00EA1625">
      <w:pPr>
        <w:tabs>
          <w:tab w:val="left" w:pos="2160"/>
        </w:tabs>
        <w:spacing w:line="360" w:lineRule="auto"/>
        <w:rPr>
          <w:u w:val="single"/>
        </w:rPr>
      </w:pPr>
    </w:p>
    <w:p w:rsidR="00DA66D7" w:rsidRPr="00EA1625" w:rsidRDefault="008E4FD6" w:rsidP="00EA1625">
      <w:pPr>
        <w:tabs>
          <w:tab w:val="left" w:pos="2160"/>
        </w:tabs>
        <w:spacing w:line="360" w:lineRule="auto"/>
        <w:ind w:firstLine="1440"/>
      </w:pPr>
      <w:r w:rsidRPr="00EA1625">
        <w:t>1.</w:t>
      </w:r>
      <w:r w:rsidRPr="00EA1625">
        <w:tab/>
      </w:r>
      <w:r w:rsidR="00FD4410">
        <w:t>Complainant</w:t>
      </w:r>
      <w:r w:rsidR="00FA2D82" w:rsidRPr="00EA1625">
        <w:t xml:space="preserve">, </w:t>
      </w:r>
      <w:r w:rsidR="005A6483">
        <w:t>Barbara Jackson</w:t>
      </w:r>
      <w:r w:rsidR="00B07286">
        <w:t>,</w:t>
      </w:r>
      <w:r w:rsidR="0073725A">
        <w:t xml:space="preserve"> </w:t>
      </w:r>
      <w:r w:rsidR="00832D0B">
        <w:t>resides at 1804 Nolan Street</w:t>
      </w:r>
      <w:r w:rsidR="00762049">
        <w:t xml:space="preserve"> (“1804 Nolan”)</w:t>
      </w:r>
      <w:r w:rsidR="00832D0B">
        <w:t>, Philadelphia</w:t>
      </w:r>
      <w:r w:rsidR="00D11E0E">
        <w:t>, Pennsylvania</w:t>
      </w:r>
      <w:r w:rsidR="00FE648F">
        <w:t xml:space="preserve"> and has resided there since 1983</w:t>
      </w:r>
      <w:r w:rsidR="00D11E0E">
        <w:t>.</w:t>
      </w:r>
      <w:r w:rsidR="004F40E1">
        <w:t xml:space="preserve">  </w:t>
      </w:r>
      <w:proofErr w:type="gramStart"/>
      <w:r w:rsidR="00832D0B">
        <w:t>(Tr. 9</w:t>
      </w:r>
      <w:r w:rsidR="00FE648F">
        <w:t>, 26</w:t>
      </w:r>
      <w:r w:rsidR="00832D0B">
        <w:t>).</w:t>
      </w:r>
      <w:proofErr w:type="gramEnd"/>
    </w:p>
    <w:p w:rsidR="000B7480" w:rsidRDefault="000B7480" w:rsidP="00EA1625">
      <w:pPr>
        <w:tabs>
          <w:tab w:val="left" w:pos="2160"/>
        </w:tabs>
        <w:spacing w:line="360" w:lineRule="auto"/>
        <w:ind w:firstLine="1440"/>
      </w:pPr>
    </w:p>
    <w:p w:rsidR="00872957" w:rsidRDefault="00872957" w:rsidP="00EA1625">
      <w:pPr>
        <w:tabs>
          <w:tab w:val="left" w:pos="2160"/>
        </w:tabs>
        <w:spacing w:line="360" w:lineRule="auto"/>
        <w:ind w:firstLine="1440"/>
      </w:pPr>
      <w:r>
        <w:t>2.</w:t>
      </w:r>
      <w:r>
        <w:tab/>
      </w:r>
      <w:r w:rsidR="00762049">
        <w:t>Respondent, PECO Energy Company, provides electric service to Complainant.</w:t>
      </w:r>
      <w:r w:rsidR="00F01E66">
        <w:t xml:space="preserve">  </w:t>
      </w:r>
      <w:proofErr w:type="gramStart"/>
      <w:r w:rsidR="00F01E66">
        <w:t>(PECO Exhibits 5, 7, &amp; 9).</w:t>
      </w:r>
      <w:proofErr w:type="gramEnd"/>
    </w:p>
    <w:p w:rsidR="00872957" w:rsidRPr="00EA1625" w:rsidRDefault="00872957" w:rsidP="00EA1625">
      <w:pPr>
        <w:tabs>
          <w:tab w:val="left" w:pos="2160"/>
        </w:tabs>
        <w:spacing w:line="360" w:lineRule="auto"/>
        <w:ind w:firstLine="1440"/>
      </w:pPr>
    </w:p>
    <w:p w:rsidR="000B7480" w:rsidRPr="00EA1625" w:rsidRDefault="00872957" w:rsidP="00EA1625">
      <w:pPr>
        <w:tabs>
          <w:tab w:val="left" w:pos="2160"/>
        </w:tabs>
        <w:spacing w:line="360" w:lineRule="auto"/>
        <w:ind w:firstLine="1440"/>
      </w:pPr>
      <w:r>
        <w:lastRenderedPageBreak/>
        <w:t>3</w:t>
      </w:r>
      <w:r w:rsidR="000B7480" w:rsidRPr="00EA1625">
        <w:t>.</w:t>
      </w:r>
      <w:r w:rsidR="000B7480" w:rsidRPr="00EA1625">
        <w:tab/>
      </w:r>
      <w:r w:rsidR="005A6483">
        <w:t xml:space="preserve"> </w:t>
      </w:r>
      <w:r w:rsidR="00762049">
        <w:t xml:space="preserve">On </w:t>
      </w:r>
      <w:r w:rsidR="008550D6">
        <w:t>November 12, 2009</w:t>
      </w:r>
      <w:r w:rsidR="00762049">
        <w:t xml:space="preserve">, PECO transferred a balance owing for the service address at 1862 Nolan Street (“1862 Nolan”), Philadelphia, Pennsylvania, to Complainant’s account for the service address at 1804 Nolan.  </w:t>
      </w:r>
      <w:proofErr w:type="gramStart"/>
      <w:r w:rsidR="00762049">
        <w:t xml:space="preserve">(Tr. 10, </w:t>
      </w:r>
      <w:r w:rsidR="006C53A2">
        <w:t>17; PECO Exhibit 1</w:t>
      </w:r>
      <w:r w:rsidR="00762049">
        <w:t>).</w:t>
      </w:r>
      <w:proofErr w:type="gramEnd"/>
    </w:p>
    <w:p w:rsidR="002A34ED" w:rsidRDefault="002A34ED" w:rsidP="002A34ED">
      <w:pPr>
        <w:tabs>
          <w:tab w:val="left" w:pos="2160"/>
        </w:tabs>
        <w:spacing w:line="360" w:lineRule="auto"/>
        <w:ind w:firstLine="1440"/>
      </w:pPr>
    </w:p>
    <w:p w:rsidR="002A34ED" w:rsidRDefault="00C405C8" w:rsidP="002A34ED">
      <w:pPr>
        <w:tabs>
          <w:tab w:val="left" w:pos="2160"/>
        </w:tabs>
        <w:spacing w:line="360" w:lineRule="auto"/>
        <w:ind w:firstLine="1440"/>
      </w:pPr>
      <w:r>
        <w:t>4</w:t>
      </w:r>
      <w:r w:rsidR="002A34ED">
        <w:t>.</w:t>
      </w:r>
      <w:r w:rsidR="002A34ED">
        <w:tab/>
        <w:t xml:space="preserve">As of the date of the hearing, Complainant’s son, </w:t>
      </w:r>
      <w:proofErr w:type="spellStart"/>
      <w:r w:rsidR="002A34ED">
        <w:t>Braheem</w:t>
      </w:r>
      <w:proofErr w:type="spellEnd"/>
      <w:r w:rsidR="002A34ED">
        <w:t xml:space="preserve"> Powell, lived at 1862 Nolan.  </w:t>
      </w:r>
      <w:proofErr w:type="gramStart"/>
      <w:r w:rsidR="002A34ED">
        <w:t>(Tr. 10).</w:t>
      </w:r>
      <w:proofErr w:type="gramEnd"/>
    </w:p>
    <w:p w:rsidR="001354D6" w:rsidRDefault="001354D6" w:rsidP="00EA1625">
      <w:pPr>
        <w:tabs>
          <w:tab w:val="left" w:pos="2160"/>
        </w:tabs>
        <w:spacing w:line="360" w:lineRule="auto"/>
        <w:ind w:firstLine="1440"/>
      </w:pPr>
    </w:p>
    <w:p w:rsidR="003A4A31" w:rsidRDefault="00C405C8" w:rsidP="002A34ED">
      <w:pPr>
        <w:tabs>
          <w:tab w:val="left" w:pos="2160"/>
        </w:tabs>
        <w:spacing w:line="360" w:lineRule="auto"/>
        <w:ind w:firstLine="1440"/>
      </w:pPr>
      <w:r>
        <w:t>5</w:t>
      </w:r>
      <w:r w:rsidR="003A4A31">
        <w:t>.</w:t>
      </w:r>
      <w:r w:rsidR="003A4A31">
        <w:tab/>
      </w:r>
      <w:r w:rsidR="00AB082D">
        <w:t xml:space="preserve">In November 2009, </w:t>
      </w:r>
      <w:proofErr w:type="spellStart"/>
      <w:r w:rsidR="00946E0A">
        <w:t>Braheem</w:t>
      </w:r>
      <w:proofErr w:type="spellEnd"/>
      <w:r w:rsidR="00946E0A">
        <w:t xml:space="preserve"> Powell used his driver’s license, which listed his address as 1804 Nolan, to establish service at 1862 Nolan.  </w:t>
      </w:r>
      <w:proofErr w:type="gramStart"/>
      <w:r w:rsidR="00946E0A">
        <w:t>(Tr. 11).</w:t>
      </w:r>
      <w:proofErr w:type="gramEnd"/>
    </w:p>
    <w:p w:rsidR="00D42C5B" w:rsidRDefault="00D42C5B" w:rsidP="00EA1625">
      <w:pPr>
        <w:tabs>
          <w:tab w:val="left" w:pos="2160"/>
        </w:tabs>
        <w:spacing w:line="360" w:lineRule="auto"/>
        <w:ind w:firstLine="1440"/>
      </w:pPr>
    </w:p>
    <w:p w:rsidR="00D42C5B" w:rsidRDefault="00C405C8" w:rsidP="00EA1625">
      <w:pPr>
        <w:tabs>
          <w:tab w:val="left" w:pos="2160"/>
        </w:tabs>
        <w:spacing w:line="360" w:lineRule="auto"/>
        <w:ind w:firstLine="1440"/>
      </w:pPr>
      <w:r>
        <w:t>6</w:t>
      </w:r>
      <w:r w:rsidR="006C53A2">
        <w:t>.</w:t>
      </w:r>
      <w:r w:rsidR="006C53A2">
        <w:tab/>
        <w:t>On November 12, 2009 at 10:29</w:t>
      </w:r>
      <w:r w:rsidR="00D42C5B">
        <w:t xml:space="preserve"> a.m., </w:t>
      </w:r>
      <w:proofErr w:type="spellStart"/>
      <w:r w:rsidR="00D42C5B">
        <w:t>Braheem</w:t>
      </w:r>
      <w:proofErr w:type="spellEnd"/>
      <w:r w:rsidR="00D42C5B">
        <w:t xml:space="preserve"> Powell called Respondent to initiate service at 1862 Nolan and was advised he would have to visit </w:t>
      </w:r>
      <w:r w:rsidR="002A34ED">
        <w:t>Respondent’s</w:t>
      </w:r>
      <w:r w:rsidR="00D42C5B">
        <w:t xml:space="preserve"> office before service could be established.  </w:t>
      </w:r>
      <w:proofErr w:type="gramStart"/>
      <w:r w:rsidR="00D42C5B">
        <w:t>(Tr. 40</w:t>
      </w:r>
      <w:r w:rsidR="006C53A2">
        <w:t>; PECO Exhibit 2</w:t>
      </w:r>
      <w:r w:rsidR="00D42C5B">
        <w:t>).</w:t>
      </w:r>
      <w:proofErr w:type="gramEnd"/>
      <w:r w:rsidR="00D42C5B">
        <w:t xml:space="preserve">  </w:t>
      </w:r>
    </w:p>
    <w:p w:rsidR="002A34ED" w:rsidRDefault="002A34ED" w:rsidP="00EA1625">
      <w:pPr>
        <w:tabs>
          <w:tab w:val="left" w:pos="2160"/>
        </w:tabs>
        <w:spacing w:line="360" w:lineRule="auto"/>
        <w:ind w:firstLine="1440"/>
      </w:pPr>
    </w:p>
    <w:p w:rsidR="002A34ED" w:rsidRDefault="00C405C8" w:rsidP="00EA1625">
      <w:pPr>
        <w:tabs>
          <w:tab w:val="left" w:pos="2160"/>
        </w:tabs>
        <w:spacing w:line="360" w:lineRule="auto"/>
        <w:ind w:firstLine="1440"/>
      </w:pPr>
      <w:r>
        <w:t>7</w:t>
      </w:r>
      <w:r w:rsidR="002A34ED">
        <w:t>.</w:t>
      </w:r>
      <w:r w:rsidR="002A34ED">
        <w:tab/>
        <w:t xml:space="preserve">Respondent required </w:t>
      </w:r>
      <w:proofErr w:type="spellStart"/>
      <w:r w:rsidR="002A34ED">
        <w:t>Braheem</w:t>
      </w:r>
      <w:proofErr w:type="spellEnd"/>
      <w:r w:rsidR="002A34ED">
        <w:t xml:space="preserve"> Powell to visit an office, as opposed to initiating service over the telephone, because Respondent knew there was an outstanding balance for 1862 Nolan for which no individual had indicated a willingness to repay.  </w:t>
      </w:r>
      <w:proofErr w:type="gramStart"/>
      <w:r w:rsidR="002A34ED">
        <w:t xml:space="preserve">(Tr. </w:t>
      </w:r>
      <w:r w:rsidR="00F01E66">
        <w:t>40, 42;</w:t>
      </w:r>
      <w:r w:rsidR="006C53A2">
        <w:t xml:space="preserve"> PECO Exhibit 2</w:t>
      </w:r>
      <w:r w:rsidR="002A34ED">
        <w:t>).</w:t>
      </w:r>
      <w:proofErr w:type="gramEnd"/>
    </w:p>
    <w:p w:rsidR="00C405C8" w:rsidRDefault="00C405C8" w:rsidP="00C405C8">
      <w:pPr>
        <w:tabs>
          <w:tab w:val="left" w:pos="2160"/>
        </w:tabs>
        <w:spacing w:line="360" w:lineRule="auto"/>
        <w:ind w:firstLine="1440"/>
      </w:pPr>
    </w:p>
    <w:p w:rsidR="00C405C8" w:rsidRDefault="00C405C8" w:rsidP="00C405C8">
      <w:pPr>
        <w:tabs>
          <w:tab w:val="left" w:pos="2160"/>
        </w:tabs>
        <w:spacing w:line="360" w:lineRule="auto"/>
        <w:ind w:firstLine="1440"/>
      </w:pPr>
      <w:r>
        <w:t>8.</w:t>
      </w:r>
      <w:r>
        <w:tab/>
        <w:t>Respondent initiated a “</w:t>
      </w:r>
      <w:r w:rsidR="003A0265">
        <w:t>N</w:t>
      </w:r>
      <w:r>
        <w:t xml:space="preserve">ame </w:t>
      </w:r>
      <w:r w:rsidR="003A0265">
        <w:t>G</w:t>
      </w:r>
      <w:r>
        <w:t>ame” in November 2009 when Mr.</w:t>
      </w:r>
      <w:r w:rsidR="003A0265">
        <w:t> </w:t>
      </w:r>
      <w:r>
        <w:t>Powell requested service at 1862 Nolan, and the name game is the reason why Respondent required Mr.</w:t>
      </w:r>
      <w:r w:rsidR="001D4E69">
        <w:t> </w:t>
      </w:r>
      <w:r>
        <w:t xml:space="preserve">Powell to come into the office in order to present identification.  </w:t>
      </w:r>
      <w:proofErr w:type="gramStart"/>
      <w:r>
        <w:t>(Tr. 48-50</w:t>
      </w:r>
      <w:r w:rsidR="006C53A2">
        <w:t>; PECO Exhibit</w:t>
      </w:r>
      <w:r w:rsidR="00F01E66">
        <w:t>s</w:t>
      </w:r>
      <w:r w:rsidR="001D4E69">
        <w:t> </w:t>
      </w:r>
      <w:r w:rsidR="006C53A2">
        <w:t>2</w:t>
      </w:r>
      <w:r w:rsidR="00F01E66">
        <w:t xml:space="preserve"> &amp; 4</w:t>
      </w:r>
      <w:r>
        <w:t>).</w:t>
      </w:r>
      <w:proofErr w:type="gramEnd"/>
    </w:p>
    <w:p w:rsidR="00C405C8" w:rsidRDefault="00C405C8" w:rsidP="00C405C8">
      <w:pPr>
        <w:tabs>
          <w:tab w:val="left" w:pos="2160"/>
        </w:tabs>
        <w:spacing w:line="360" w:lineRule="auto"/>
        <w:ind w:firstLine="1440"/>
      </w:pPr>
    </w:p>
    <w:p w:rsidR="00C405C8" w:rsidRDefault="00C405C8" w:rsidP="00C405C8">
      <w:pPr>
        <w:tabs>
          <w:tab w:val="left" w:pos="2160"/>
        </w:tabs>
        <w:spacing w:line="360" w:lineRule="auto"/>
        <w:ind w:firstLine="1440"/>
      </w:pPr>
      <w:r>
        <w:t>9.</w:t>
      </w:r>
      <w:r>
        <w:tab/>
        <w:t>The “</w:t>
      </w:r>
      <w:r w:rsidR="003A0265">
        <w:t>N</w:t>
      </w:r>
      <w:r>
        <w:t xml:space="preserve">ame </w:t>
      </w:r>
      <w:r w:rsidR="003A0265">
        <w:t>G</w:t>
      </w:r>
      <w:r>
        <w:t>ame” is a PECO policy used when there is an outstanding balance or high usage on an inactive account for which no one individual takes responsibility to pay the bill.  In the policy, PECO attempts to determine whether the applicant for service already resided at the property prior to the date of application.  (Tr. 48-49).</w:t>
      </w:r>
    </w:p>
    <w:p w:rsidR="00D42C5B" w:rsidRDefault="00D42C5B" w:rsidP="00EA1625">
      <w:pPr>
        <w:tabs>
          <w:tab w:val="left" w:pos="2160"/>
        </w:tabs>
        <w:spacing w:line="360" w:lineRule="auto"/>
        <w:ind w:firstLine="1440"/>
      </w:pPr>
    </w:p>
    <w:p w:rsidR="00D42C5B" w:rsidRDefault="00C405C8" w:rsidP="00EA1625">
      <w:pPr>
        <w:tabs>
          <w:tab w:val="left" w:pos="2160"/>
        </w:tabs>
        <w:spacing w:line="360" w:lineRule="auto"/>
        <w:ind w:firstLine="1440"/>
      </w:pPr>
      <w:r>
        <w:lastRenderedPageBreak/>
        <w:t>10</w:t>
      </w:r>
      <w:r w:rsidR="00D42C5B">
        <w:t>.</w:t>
      </w:r>
      <w:r w:rsidR="00D42C5B">
        <w:tab/>
        <w:t xml:space="preserve">On November 12, 2009 at 1:53 p.m., </w:t>
      </w:r>
      <w:r w:rsidR="00CB3E03">
        <w:t xml:space="preserve">Respondent’s records show an individual named Barbara Jackson came into an office and requested electric service be established at 1862 Nolan.  </w:t>
      </w:r>
      <w:proofErr w:type="gramStart"/>
      <w:r w:rsidR="00D42C5B">
        <w:t>(Tr. 34-40</w:t>
      </w:r>
      <w:r w:rsidR="006C53A2">
        <w:t>; PECO Exhibit 1</w:t>
      </w:r>
      <w:r w:rsidR="00D42C5B">
        <w:t>).</w:t>
      </w:r>
      <w:proofErr w:type="gramEnd"/>
    </w:p>
    <w:p w:rsidR="00CB3E03" w:rsidRDefault="00CB3E03" w:rsidP="00EA1625">
      <w:pPr>
        <w:tabs>
          <w:tab w:val="left" w:pos="2160"/>
        </w:tabs>
        <w:spacing w:line="360" w:lineRule="auto"/>
        <w:ind w:firstLine="1440"/>
      </w:pPr>
    </w:p>
    <w:p w:rsidR="00CB3E03" w:rsidRDefault="00CB3E03" w:rsidP="00EA1625">
      <w:pPr>
        <w:tabs>
          <w:tab w:val="left" w:pos="2160"/>
        </w:tabs>
        <w:spacing w:line="360" w:lineRule="auto"/>
        <w:ind w:firstLine="1440"/>
      </w:pPr>
      <w:r>
        <w:t>1</w:t>
      </w:r>
      <w:r w:rsidR="00C405C8">
        <w:t>1</w:t>
      </w:r>
      <w:r>
        <w:t>.</w:t>
      </w:r>
      <w:r>
        <w:tab/>
        <w:t xml:space="preserve">At 1:53 p.m. on November 12, 2009, Complainant was working </w:t>
      </w:r>
      <w:r w:rsidR="002A34ED">
        <w:t xml:space="preserve">at her job with the United States Postal Service </w:t>
      </w:r>
      <w:r>
        <w:t xml:space="preserve">and was not in Respondent’s offices, requesting new service at 1862 Nolan.  (Tr. </w:t>
      </w:r>
      <w:r w:rsidR="00E209CD">
        <w:t>14-21</w:t>
      </w:r>
      <w:r>
        <w:t>).</w:t>
      </w:r>
    </w:p>
    <w:p w:rsidR="002A34ED" w:rsidRDefault="002A34ED" w:rsidP="002A34ED">
      <w:pPr>
        <w:tabs>
          <w:tab w:val="left" w:pos="2160"/>
        </w:tabs>
        <w:spacing w:line="360" w:lineRule="auto"/>
        <w:ind w:firstLine="1440"/>
      </w:pPr>
    </w:p>
    <w:p w:rsidR="002A34ED" w:rsidRDefault="00C405C8" w:rsidP="002A34ED">
      <w:pPr>
        <w:tabs>
          <w:tab w:val="left" w:pos="2160"/>
        </w:tabs>
        <w:spacing w:line="360" w:lineRule="auto"/>
        <w:ind w:firstLine="1440"/>
      </w:pPr>
      <w:r>
        <w:t>12</w:t>
      </w:r>
      <w:r w:rsidR="002A34ED">
        <w:t>.</w:t>
      </w:r>
      <w:r w:rsidR="002A34ED">
        <w:tab/>
        <w:t>PECO did not make a copy of the documents used to establish identity</w:t>
      </w:r>
      <w:r>
        <w:t xml:space="preserve"> on November 12, 2009.  </w:t>
      </w:r>
      <w:proofErr w:type="gramStart"/>
      <w:r>
        <w:t>(Tr. 34</w:t>
      </w:r>
      <w:r w:rsidR="00E84ED9">
        <w:t>-</w:t>
      </w:r>
      <w:r w:rsidR="002A34ED">
        <w:t>35, 50).</w:t>
      </w:r>
      <w:proofErr w:type="gramEnd"/>
    </w:p>
    <w:p w:rsidR="002A34ED" w:rsidRDefault="002A34ED" w:rsidP="002A34ED">
      <w:pPr>
        <w:tabs>
          <w:tab w:val="left" w:pos="2160"/>
        </w:tabs>
        <w:spacing w:line="360" w:lineRule="auto"/>
        <w:ind w:firstLine="1440"/>
      </w:pPr>
    </w:p>
    <w:p w:rsidR="002A34ED" w:rsidRDefault="00C405C8" w:rsidP="002A34ED">
      <w:pPr>
        <w:tabs>
          <w:tab w:val="left" w:pos="2160"/>
        </w:tabs>
        <w:spacing w:line="360" w:lineRule="auto"/>
        <w:ind w:firstLine="1440"/>
      </w:pPr>
      <w:r>
        <w:t>13</w:t>
      </w:r>
      <w:r w:rsidR="002A34ED">
        <w:t>.</w:t>
      </w:r>
      <w:r w:rsidR="002A34ED">
        <w:tab/>
        <w:t xml:space="preserve">The testimony of PECO’s witness on March 9, 2011, that she recalled specifically meeting with Complainant on November 12, 2009, was not accepted as credible.  </w:t>
      </w:r>
      <w:proofErr w:type="gramStart"/>
      <w:r w:rsidR="00F01E66">
        <w:t>(Tr. 33).</w:t>
      </w:r>
      <w:proofErr w:type="gramEnd"/>
    </w:p>
    <w:p w:rsidR="002A34ED" w:rsidRDefault="002A34ED" w:rsidP="002A34ED">
      <w:pPr>
        <w:tabs>
          <w:tab w:val="left" w:pos="2160"/>
        </w:tabs>
        <w:spacing w:line="360" w:lineRule="auto"/>
        <w:ind w:firstLine="1440"/>
      </w:pPr>
    </w:p>
    <w:p w:rsidR="002A34ED" w:rsidRDefault="00C405C8" w:rsidP="002A34ED">
      <w:pPr>
        <w:tabs>
          <w:tab w:val="left" w:pos="2160"/>
        </w:tabs>
        <w:spacing w:line="360" w:lineRule="auto"/>
        <w:ind w:firstLine="1440"/>
      </w:pPr>
      <w:r>
        <w:t>14</w:t>
      </w:r>
      <w:r w:rsidR="002A34ED">
        <w:t>.</w:t>
      </w:r>
      <w:r w:rsidR="002A34ED">
        <w:tab/>
        <w:t>On November 12, 2009, PECO’s customer service representative checked PECO’s records and determined Complainant had never resided at 1862 Nolan, did not have an outstanding balance on any another service address with PECO, and did not have any other accounts in her name.  (Tr. 35-37).</w:t>
      </w:r>
    </w:p>
    <w:p w:rsidR="002A34ED" w:rsidRDefault="002A34ED" w:rsidP="002A34ED">
      <w:pPr>
        <w:tabs>
          <w:tab w:val="left" w:pos="2160"/>
        </w:tabs>
        <w:spacing w:line="360" w:lineRule="auto"/>
        <w:ind w:firstLine="1440"/>
      </w:pPr>
    </w:p>
    <w:p w:rsidR="002A34ED" w:rsidRDefault="00C405C8" w:rsidP="002A34ED">
      <w:pPr>
        <w:tabs>
          <w:tab w:val="left" w:pos="2160"/>
        </w:tabs>
        <w:spacing w:line="360" w:lineRule="auto"/>
        <w:ind w:firstLine="1440"/>
      </w:pPr>
      <w:r>
        <w:t>15</w:t>
      </w:r>
      <w:r w:rsidR="002A34ED">
        <w:t>.</w:t>
      </w:r>
      <w:r w:rsidR="002A34ED">
        <w:tab/>
        <w:t>On November 12, 2009, Complainant had an open account for electric services at 1804 Nolan, which services Respondent had provided to Complainant since 1983 and on which Complainant had not requested a final bill.  (Tr. 9, 26, 50</w:t>
      </w:r>
      <w:r w:rsidR="00EF2471">
        <w:t>-</w:t>
      </w:r>
      <w:r w:rsidR="002A34ED">
        <w:t>51).</w:t>
      </w:r>
    </w:p>
    <w:p w:rsidR="002A34ED" w:rsidRDefault="002A34ED" w:rsidP="002A34ED">
      <w:pPr>
        <w:tabs>
          <w:tab w:val="left" w:pos="2160"/>
        </w:tabs>
        <w:spacing w:line="360" w:lineRule="auto"/>
        <w:ind w:firstLine="1440"/>
      </w:pPr>
    </w:p>
    <w:p w:rsidR="002A34ED" w:rsidRDefault="00C405C8" w:rsidP="002A34ED">
      <w:pPr>
        <w:tabs>
          <w:tab w:val="left" w:pos="2160"/>
        </w:tabs>
        <w:spacing w:line="360" w:lineRule="auto"/>
        <w:ind w:firstLine="1440"/>
      </w:pPr>
      <w:r>
        <w:t>1</w:t>
      </w:r>
      <w:r w:rsidR="002A34ED">
        <w:t>6.</w:t>
      </w:r>
      <w:r w:rsidR="002A34ED">
        <w:tab/>
        <w:t xml:space="preserve">Complainant was first aware of the </w:t>
      </w:r>
      <w:r w:rsidR="00E209CD">
        <w:t>problem</w:t>
      </w:r>
      <w:r w:rsidR="002A34ED">
        <w:t xml:space="preserve"> when she received her </w:t>
      </w:r>
      <w:r w:rsidR="00272FFB">
        <w:t xml:space="preserve">December 9, 2009 </w:t>
      </w:r>
      <w:r w:rsidR="002A34ED">
        <w:t>acc</w:t>
      </w:r>
      <w:r w:rsidR="00E209CD">
        <w:t>ount billing statement</w:t>
      </w:r>
      <w:r w:rsidR="002A34ED">
        <w:t xml:space="preserve">.  </w:t>
      </w:r>
      <w:proofErr w:type="gramStart"/>
      <w:r w:rsidR="002A34ED">
        <w:t>(Tr. 23</w:t>
      </w:r>
      <w:r w:rsidR="00272FFB">
        <w:t>; PECO Exhibit 6</w:t>
      </w:r>
      <w:r w:rsidR="002A34ED">
        <w:t>).</w:t>
      </w:r>
      <w:proofErr w:type="gramEnd"/>
    </w:p>
    <w:p w:rsidR="002A34ED" w:rsidRDefault="002A34ED" w:rsidP="002A34ED">
      <w:pPr>
        <w:tabs>
          <w:tab w:val="left" w:pos="2160"/>
        </w:tabs>
        <w:spacing w:line="360" w:lineRule="auto"/>
        <w:ind w:firstLine="1440"/>
      </w:pPr>
    </w:p>
    <w:p w:rsidR="002A34ED" w:rsidRDefault="00C405C8" w:rsidP="002A34ED">
      <w:pPr>
        <w:tabs>
          <w:tab w:val="left" w:pos="2160"/>
        </w:tabs>
        <w:spacing w:line="360" w:lineRule="auto"/>
        <w:ind w:firstLine="1440"/>
      </w:pPr>
      <w:r>
        <w:t>1</w:t>
      </w:r>
      <w:r w:rsidR="002A34ED">
        <w:t>7.</w:t>
      </w:r>
      <w:r w:rsidR="002A34ED">
        <w:tab/>
        <w:t xml:space="preserve">When Complainant called Respondent </w:t>
      </w:r>
      <w:r w:rsidR="00272FFB">
        <w:t xml:space="preserve">to complain about the December 9, 2009 billing statement and </w:t>
      </w:r>
      <w:r w:rsidR="002A34ED">
        <w:t xml:space="preserve">to have </w:t>
      </w:r>
      <w:r w:rsidR="00272FFB">
        <w:t>her name removed from the 1</w:t>
      </w:r>
      <w:r w:rsidR="002A34ED">
        <w:t xml:space="preserve">862 Nolan </w:t>
      </w:r>
      <w:r w:rsidR="00272FFB">
        <w:t>account billing statement</w:t>
      </w:r>
      <w:r w:rsidR="002A34ED">
        <w:t xml:space="preserve">, Respondent informed Complainant she </w:t>
      </w:r>
      <w:r w:rsidR="00E209CD">
        <w:t>was</w:t>
      </w:r>
      <w:r w:rsidR="002A34ED">
        <w:t xml:space="preserve"> responsible </w:t>
      </w:r>
      <w:r w:rsidR="00E209CD">
        <w:t>to pay</w:t>
      </w:r>
      <w:r w:rsidR="002A34ED">
        <w:t xml:space="preserve"> the balance unless </w:t>
      </w:r>
      <w:r w:rsidR="00E209CD">
        <w:t xml:space="preserve">and until </w:t>
      </w:r>
      <w:r w:rsidR="002A34ED">
        <w:t xml:space="preserve">someone else stepped forward to take responsibility </w:t>
      </w:r>
      <w:r w:rsidR="00272FFB">
        <w:t xml:space="preserve">because Respondent had proof </w:t>
      </w:r>
      <w:r w:rsidR="002A34ED">
        <w:t xml:space="preserve">(a </w:t>
      </w:r>
      <w:r w:rsidR="002A34ED">
        <w:lastRenderedPageBreak/>
        <w:t xml:space="preserve">driver’s license and a lease) </w:t>
      </w:r>
      <w:r w:rsidR="00272FFB">
        <w:t xml:space="preserve">indicating </w:t>
      </w:r>
      <w:r w:rsidR="002A34ED">
        <w:t>Complainant agreed to be financially responsible</w:t>
      </w:r>
      <w:r w:rsidR="00E209CD">
        <w:t xml:space="preserve"> on November 12, 2009</w:t>
      </w:r>
      <w:r w:rsidR="002A34ED">
        <w:t xml:space="preserve">.  </w:t>
      </w:r>
      <w:proofErr w:type="gramStart"/>
      <w:r w:rsidR="002A34ED">
        <w:t>(Tr. 12, 24).</w:t>
      </w:r>
      <w:proofErr w:type="gramEnd"/>
    </w:p>
    <w:p w:rsidR="006C53A2" w:rsidRDefault="006C53A2" w:rsidP="002A34ED">
      <w:pPr>
        <w:tabs>
          <w:tab w:val="left" w:pos="2160"/>
        </w:tabs>
        <w:spacing w:line="360" w:lineRule="auto"/>
        <w:ind w:firstLine="1440"/>
      </w:pPr>
    </w:p>
    <w:p w:rsidR="006C53A2" w:rsidRDefault="006C53A2" w:rsidP="002A34ED">
      <w:pPr>
        <w:tabs>
          <w:tab w:val="left" w:pos="2160"/>
        </w:tabs>
        <w:spacing w:line="360" w:lineRule="auto"/>
        <w:ind w:firstLine="1440"/>
      </w:pPr>
      <w:r>
        <w:t>18.</w:t>
      </w:r>
      <w:r>
        <w:tab/>
        <w:t xml:space="preserve">On February 2, 2010, </w:t>
      </w:r>
      <w:proofErr w:type="spellStart"/>
      <w:r>
        <w:t>Braheem</w:t>
      </w:r>
      <w:proofErr w:type="spellEnd"/>
      <w:r>
        <w:t xml:space="preserve"> Powell contacted Respondent and asked to have the electric account for 1862 Nolan transferred into his name.  Respondent advised Mr.</w:t>
      </w:r>
      <w:r w:rsidR="0032389C">
        <w:t> </w:t>
      </w:r>
      <w:r>
        <w:t xml:space="preserve">Powell the transfer was made.  </w:t>
      </w:r>
      <w:proofErr w:type="gramStart"/>
      <w:r>
        <w:t>(PECO Exhibit</w:t>
      </w:r>
      <w:r w:rsidR="00E209CD">
        <w:t>s</w:t>
      </w:r>
      <w:r>
        <w:t xml:space="preserve"> 3</w:t>
      </w:r>
      <w:r w:rsidR="00E209CD">
        <w:t xml:space="preserve"> &amp; 8</w:t>
      </w:r>
      <w:r>
        <w:t>).</w:t>
      </w:r>
      <w:proofErr w:type="gramEnd"/>
    </w:p>
    <w:p w:rsidR="006C53A2" w:rsidRDefault="006C53A2" w:rsidP="002A34ED">
      <w:pPr>
        <w:tabs>
          <w:tab w:val="left" w:pos="2160"/>
        </w:tabs>
        <w:spacing w:line="360" w:lineRule="auto"/>
        <w:ind w:firstLine="1440"/>
      </w:pPr>
    </w:p>
    <w:p w:rsidR="006C53A2" w:rsidRDefault="006C53A2" w:rsidP="002A34ED">
      <w:pPr>
        <w:tabs>
          <w:tab w:val="left" w:pos="2160"/>
        </w:tabs>
        <w:spacing w:line="360" w:lineRule="auto"/>
        <w:ind w:firstLine="1440"/>
      </w:pPr>
      <w:r>
        <w:t>19.</w:t>
      </w:r>
      <w:r>
        <w:tab/>
        <w:t xml:space="preserve">On March 3, 2010, Respondent’s account activity summary (PECO Exhibit 6) indicated Respondent transferred $534.96 out of Complainant’s name for service provided at 1862 Nolan.  </w:t>
      </w:r>
      <w:proofErr w:type="gramStart"/>
      <w:r>
        <w:t>(PECO Exhibit</w:t>
      </w:r>
      <w:r w:rsidR="00E209CD">
        <w:t xml:space="preserve"> 6).</w:t>
      </w:r>
      <w:proofErr w:type="gramEnd"/>
    </w:p>
    <w:p w:rsidR="00A15F9C" w:rsidRDefault="00A15F9C" w:rsidP="00EA1625">
      <w:pPr>
        <w:tabs>
          <w:tab w:val="left" w:pos="2160"/>
        </w:tabs>
        <w:spacing w:line="360" w:lineRule="auto"/>
        <w:ind w:firstLine="1440"/>
      </w:pPr>
    </w:p>
    <w:p w:rsidR="00E76643" w:rsidRDefault="00F01E66" w:rsidP="00EA1625">
      <w:pPr>
        <w:tabs>
          <w:tab w:val="left" w:pos="2160"/>
        </w:tabs>
        <w:spacing w:line="360" w:lineRule="auto"/>
        <w:ind w:firstLine="1440"/>
      </w:pPr>
      <w:r>
        <w:t>20</w:t>
      </w:r>
      <w:r w:rsidR="00E76643">
        <w:t>.</w:t>
      </w:r>
      <w:r w:rsidR="00E76643">
        <w:tab/>
      </w:r>
      <w:r w:rsidR="00946E0A">
        <w:t xml:space="preserve">On </w:t>
      </w:r>
      <w:r w:rsidR="00AB082D">
        <w:t>April 1</w:t>
      </w:r>
      <w:r w:rsidR="00590AA1">
        <w:t>6</w:t>
      </w:r>
      <w:r w:rsidR="00AB082D">
        <w:t>, 2010,</w:t>
      </w:r>
      <w:r w:rsidR="00946E0A">
        <w:t xml:space="preserve"> </w:t>
      </w:r>
      <w:r w:rsidR="00590AA1">
        <w:t xml:space="preserve">Respondent sent a transfer of balance form to </w:t>
      </w:r>
      <w:proofErr w:type="spellStart"/>
      <w:r w:rsidR="00946E0A">
        <w:t>Braheem</w:t>
      </w:r>
      <w:proofErr w:type="spellEnd"/>
      <w:r w:rsidR="00946E0A">
        <w:t xml:space="preserve"> Powell</w:t>
      </w:r>
      <w:r w:rsidR="00E209CD">
        <w:t xml:space="preserve">, which </w:t>
      </w:r>
      <w:r w:rsidR="00590AA1">
        <w:t xml:space="preserve">Mr. Powell returned on May 1, 2010, </w:t>
      </w:r>
      <w:r w:rsidR="00C405C8">
        <w:t xml:space="preserve">agreeing to be financially responsible and </w:t>
      </w:r>
      <w:r w:rsidR="00590AA1">
        <w:t>requesting</w:t>
      </w:r>
      <w:r w:rsidR="00946E0A">
        <w:t xml:space="preserve"> to have the transferred balance </w:t>
      </w:r>
      <w:r w:rsidR="00590AA1">
        <w:t>($534.96</w:t>
      </w:r>
      <w:r w:rsidR="00AB082D">
        <w:t xml:space="preserve">) </w:t>
      </w:r>
      <w:r w:rsidR="00946E0A">
        <w:t xml:space="preserve">placed in </w:t>
      </w:r>
      <w:r w:rsidR="00590AA1">
        <w:t>Mr. Powell’s</w:t>
      </w:r>
      <w:r w:rsidR="00946E0A">
        <w:t xml:space="preserve"> name for the service address at 1862 Nolan.  </w:t>
      </w:r>
      <w:proofErr w:type="gramStart"/>
      <w:r w:rsidR="00946E0A">
        <w:t>(Tr. 12</w:t>
      </w:r>
      <w:r w:rsidR="00FE648F">
        <w:t>, 25</w:t>
      </w:r>
      <w:r w:rsidR="00AB082D">
        <w:t>, 42-44</w:t>
      </w:r>
      <w:r w:rsidR="00590AA1">
        <w:t>, 64; PECO Exhibit 10</w:t>
      </w:r>
      <w:r w:rsidR="00946E0A">
        <w:t>).</w:t>
      </w:r>
      <w:proofErr w:type="gramEnd"/>
    </w:p>
    <w:p w:rsidR="00E76643" w:rsidRPr="00EA1625" w:rsidRDefault="00E76643" w:rsidP="00EA1625">
      <w:pPr>
        <w:tabs>
          <w:tab w:val="left" w:pos="2160"/>
        </w:tabs>
        <w:spacing w:line="360" w:lineRule="auto"/>
        <w:ind w:firstLine="1440"/>
      </w:pPr>
    </w:p>
    <w:p w:rsidR="00F35726" w:rsidRPr="00EA1625" w:rsidRDefault="00F01E66" w:rsidP="00EA1625">
      <w:pPr>
        <w:tabs>
          <w:tab w:val="left" w:pos="2160"/>
        </w:tabs>
        <w:spacing w:line="360" w:lineRule="auto"/>
        <w:ind w:firstLine="1440"/>
      </w:pPr>
      <w:r>
        <w:t>21</w:t>
      </w:r>
      <w:r w:rsidR="001354D6" w:rsidRPr="00EA1625">
        <w:t>.</w:t>
      </w:r>
      <w:r w:rsidR="001354D6" w:rsidRPr="00EA1625">
        <w:tab/>
      </w:r>
      <w:r w:rsidR="00946E0A">
        <w:t xml:space="preserve">On </w:t>
      </w:r>
      <w:r w:rsidR="00590AA1">
        <w:t>May 28, 2010</w:t>
      </w:r>
      <w:r w:rsidR="00D42C5B">
        <w:t>,</w:t>
      </w:r>
      <w:r w:rsidR="00946E0A">
        <w:t xml:space="preserve"> PECO transferred the balance of $</w:t>
      </w:r>
      <w:r w:rsidR="00590AA1">
        <w:t>534.96</w:t>
      </w:r>
      <w:r w:rsidR="00946E0A">
        <w:t xml:space="preserve"> from the </w:t>
      </w:r>
      <w:r w:rsidR="001A1053">
        <w:t xml:space="preserve">electric service </w:t>
      </w:r>
      <w:r w:rsidR="00946E0A">
        <w:t xml:space="preserve">account for 1804 Nolan </w:t>
      </w:r>
      <w:r w:rsidR="001A1053">
        <w:t xml:space="preserve">in Complainant’s name </w:t>
      </w:r>
      <w:r w:rsidR="00946E0A">
        <w:t xml:space="preserve">over to </w:t>
      </w:r>
      <w:r w:rsidR="001A1053">
        <w:t xml:space="preserve">the electric service account for </w:t>
      </w:r>
      <w:r w:rsidR="00946E0A">
        <w:t>1862 Nolan</w:t>
      </w:r>
      <w:r w:rsidR="001A1053">
        <w:t xml:space="preserve"> in </w:t>
      </w:r>
      <w:proofErr w:type="spellStart"/>
      <w:r w:rsidR="001A1053">
        <w:t>Braheem</w:t>
      </w:r>
      <w:proofErr w:type="spellEnd"/>
      <w:r w:rsidR="001A1053">
        <w:t xml:space="preserve"> Powell’s name</w:t>
      </w:r>
      <w:r w:rsidR="00946E0A">
        <w:t xml:space="preserve">.  </w:t>
      </w:r>
      <w:proofErr w:type="gramStart"/>
      <w:r w:rsidR="00946E0A">
        <w:t xml:space="preserve">(Tr. 12, </w:t>
      </w:r>
      <w:r w:rsidR="00FE648F">
        <w:t>25</w:t>
      </w:r>
      <w:r w:rsidR="00D42C5B">
        <w:t>, 34-38</w:t>
      </w:r>
      <w:r w:rsidR="00590AA1">
        <w:t>, 65; PECO Exhibit 5</w:t>
      </w:r>
      <w:r w:rsidR="00946E0A">
        <w:t>).</w:t>
      </w:r>
      <w:proofErr w:type="gramEnd"/>
    </w:p>
    <w:p w:rsidR="006B7431" w:rsidRDefault="006B7431" w:rsidP="006B7431">
      <w:pPr>
        <w:tabs>
          <w:tab w:val="left" w:pos="2160"/>
        </w:tabs>
        <w:spacing w:line="360" w:lineRule="auto"/>
        <w:ind w:firstLine="1440"/>
      </w:pPr>
    </w:p>
    <w:p w:rsidR="006B7431" w:rsidRDefault="00F01E66" w:rsidP="006B7431">
      <w:pPr>
        <w:tabs>
          <w:tab w:val="left" w:pos="2160"/>
        </w:tabs>
        <w:spacing w:line="360" w:lineRule="auto"/>
        <w:ind w:firstLine="1440"/>
      </w:pPr>
      <w:r>
        <w:t>22</w:t>
      </w:r>
      <w:r w:rsidR="00016EA3">
        <w:t>.</w:t>
      </w:r>
      <w:r w:rsidR="006B7431">
        <w:tab/>
      </w:r>
      <w:r w:rsidR="006C53A2">
        <w:t>On August 12, 2010 at 4:08 p.m.</w:t>
      </w:r>
      <w:r w:rsidR="006B7431">
        <w:t xml:space="preserve">, Complainant asked Respondent to let her see the identification that allegedly was used to transfer the balance from 1862 Nolan into her name, Respondent refused to show her the identification used and told Complainant she would have to file a formal complaint before she would be allowed to see the driver’s license used.  </w:t>
      </w:r>
      <w:proofErr w:type="gramStart"/>
      <w:r w:rsidR="006B7431">
        <w:t>(Tr.</w:t>
      </w:r>
      <w:r w:rsidR="0032389C">
        <w:t> </w:t>
      </w:r>
      <w:r w:rsidR="006B7431">
        <w:t>13, 22</w:t>
      </w:r>
      <w:r w:rsidR="006C53A2">
        <w:t>; PECO Exhibit 3</w:t>
      </w:r>
      <w:r w:rsidR="006B7431">
        <w:t>).</w:t>
      </w:r>
      <w:proofErr w:type="gramEnd"/>
    </w:p>
    <w:p w:rsidR="00C405C8" w:rsidRDefault="00C405C8" w:rsidP="006B7431">
      <w:pPr>
        <w:tabs>
          <w:tab w:val="left" w:pos="2160"/>
        </w:tabs>
        <w:spacing w:line="360" w:lineRule="auto"/>
        <w:ind w:firstLine="1440"/>
      </w:pPr>
    </w:p>
    <w:p w:rsidR="00C405C8" w:rsidRDefault="00F01E66" w:rsidP="006B7431">
      <w:pPr>
        <w:tabs>
          <w:tab w:val="left" w:pos="2160"/>
        </w:tabs>
        <w:spacing w:line="360" w:lineRule="auto"/>
        <w:ind w:firstLine="1440"/>
      </w:pPr>
      <w:r>
        <w:t>23</w:t>
      </w:r>
      <w:r w:rsidR="00C405C8">
        <w:t>.</w:t>
      </w:r>
      <w:r w:rsidR="00C405C8">
        <w:tab/>
        <w:t xml:space="preserve">In the summer of 2010, Respondent did not have a copy of the identification used because Respondent never made a copy of the identification used in November 2009 to transfer a balance to Complainant’s account.  </w:t>
      </w:r>
      <w:proofErr w:type="gramStart"/>
      <w:r w:rsidR="00C405C8">
        <w:t>(Tr. 34, 35, 50).</w:t>
      </w:r>
      <w:proofErr w:type="gramEnd"/>
    </w:p>
    <w:p w:rsidR="00C405C8" w:rsidRDefault="00C405C8" w:rsidP="006B7431">
      <w:pPr>
        <w:tabs>
          <w:tab w:val="left" w:pos="2160"/>
        </w:tabs>
        <w:spacing w:line="360" w:lineRule="auto"/>
        <w:ind w:firstLine="1440"/>
      </w:pPr>
    </w:p>
    <w:p w:rsidR="00086D0E" w:rsidRDefault="00F01E66" w:rsidP="009848F7">
      <w:pPr>
        <w:tabs>
          <w:tab w:val="left" w:pos="2160"/>
        </w:tabs>
        <w:spacing w:line="360" w:lineRule="auto"/>
        <w:ind w:firstLine="1440"/>
      </w:pPr>
      <w:r>
        <w:lastRenderedPageBreak/>
        <w:t>24</w:t>
      </w:r>
      <w:r w:rsidR="00086D0E">
        <w:t>.</w:t>
      </w:r>
      <w:r w:rsidR="00086D0E">
        <w:tab/>
      </w:r>
      <w:r w:rsidR="006B7431">
        <w:t xml:space="preserve">On August 12, 2010 at 4:08 p.m., Complainant visited Respondent’s office and requested a billing statement and confirmation the transferred balance had been removed from her account and placed on </w:t>
      </w:r>
      <w:proofErr w:type="spellStart"/>
      <w:r w:rsidR="006B7431">
        <w:t>Braheem</w:t>
      </w:r>
      <w:proofErr w:type="spellEnd"/>
      <w:r w:rsidR="006B7431">
        <w:t xml:space="preserve"> Powell’s account.  (Tr. 41</w:t>
      </w:r>
      <w:r w:rsidR="00AB082D">
        <w:t>-42</w:t>
      </w:r>
      <w:r w:rsidR="006B7431">
        <w:t>).</w:t>
      </w:r>
    </w:p>
    <w:p w:rsidR="00086D0E" w:rsidRDefault="00086D0E" w:rsidP="009848F7">
      <w:pPr>
        <w:tabs>
          <w:tab w:val="left" w:pos="2160"/>
        </w:tabs>
        <w:spacing w:line="360" w:lineRule="auto"/>
        <w:ind w:firstLine="1440"/>
      </w:pPr>
    </w:p>
    <w:p w:rsidR="00754EEB" w:rsidRDefault="008B2AE5" w:rsidP="00744725">
      <w:pPr>
        <w:tabs>
          <w:tab w:val="left" w:pos="1440"/>
        </w:tabs>
        <w:spacing w:line="360" w:lineRule="auto"/>
        <w:rPr>
          <w:spacing w:val="-3"/>
        </w:rPr>
      </w:pPr>
      <w:r>
        <w:rPr>
          <w:spacing w:val="-3"/>
        </w:rPr>
        <w:tab/>
      </w:r>
      <w:r w:rsidR="00F01E66">
        <w:rPr>
          <w:spacing w:val="-3"/>
        </w:rPr>
        <w:t>25</w:t>
      </w:r>
      <w:r w:rsidR="00D3288D">
        <w:rPr>
          <w:spacing w:val="-3"/>
        </w:rPr>
        <w:t>.</w:t>
      </w:r>
      <w:r w:rsidR="00D3288D">
        <w:rPr>
          <w:spacing w:val="-3"/>
        </w:rPr>
        <w:tab/>
      </w:r>
      <w:r w:rsidR="00ED4EC6">
        <w:rPr>
          <w:spacing w:val="-3"/>
        </w:rPr>
        <w:t xml:space="preserve">On </w:t>
      </w:r>
      <w:r w:rsidR="005A6483">
        <w:rPr>
          <w:spacing w:val="-3"/>
        </w:rPr>
        <w:t>August 19, 2010</w:t>
      </w:r>
      <w:r w:rsidR="00ED4EC6">
        <w:rPr>
          <w:spacing w:val="-3"/>
        </w:rPr>
        <w:t xml:space="preserve">, Complainant filed a formal complaint with the Commission against </w:t>
      </w:r>
      <w:r w:rsidR="005A6483">
        <w:rPr>
          <w:spacing w:val="-3"/>
        </w:rPr>
        <w:t>PECO.</w:t>
      </w:r>
    </w:p>
    <w:p w:rsidR="000B2586" w:rsidRDefault="000B2586" w:rsidP="00744725">
      <w:pPr>
        <w:tabs>
          <w:tab w:val="left" w:pos="1440"/>
        </w:tabs>
        <w:spacing w:line="360" w:lineRule="auto"/>
        <w:rPr>
          <w:spacing w:val="-3"/>
        </w:rPr>
      </w:pPr>
    </w:p>
    <w:p w:rsidR="005A6483" w:rsidRDefault="00744725" w:rsidP="00744725">
      <w:pPr>
        <w:tabs>
          <w:tab w:val="left" w:pos="1440"/>
        </w:tabs>
        <w:spacing w:line="360" w:lineRule="auto"/>
        <w:rPr>
          <w:spacing w:val="-3"/>
        </w:rPr>
      </w:pPr>
      <w:r>
        <w:rPr>
          <w:spacing w:val="-3"/>
        </w:rPr>
        <w:tab/>
      </w:r>
      <w:r w:rsidR="00F01E66">
        <w:rPr>
          <w:spacing w:val="-3"/>
        </w:rPr>
        <w:t>26</w:t>
      </w:r>
      <w:r>
        <w:rPr>
          <w:spacing w:val="-3"/>
        </w:rPr>
        <w:t>.</w:t>
      </w:r>
      <w:r>
        <w:rPr>
          <w:spacing w:val="-3"/>
        </w:rPr>
        <w:tab/>
      </w:r>
      <w:r w:rsidR="00ED4EC6">
        <w:rPr>
          <w:spacing w:val="-3"/>
        </w:rPr>
        <w:t xml:space="preserve">As of </w:t>
      </w:r>
      <w:r w:rsidR="00C405C8">
        <w:rPr>
          <w:spacing w:val="-3"/>
        </w:rPr>
        <w:t>March 9, 2011</w:t>
      </w:r>
      <w:r w:rsidR="00ED4EC6">
        <w:rPr>
          <w:spacing w:val="-3"/>
        </w:rPr>
        <w:t xml:space="preserve">, Complainant owed </w:t>
      </w:r>
      <w:r w:rsidR="00C405C8">
        <w:rPr>
          <w:spacing w:val="-3"/>
        </w:rPr>
        <w:t>only her monthly billing amount</w:t>
      </w:r>
      <w:r w:rsidR="00ED4EC6">
        <w:rPr>
          <w:spacing w:val="-3"/>
        </w:rPr>
        <w:t xml:space="preserve"> to Respondent</w:t>
      </w:r>
      <w:r w:rsidR="00C405C8">
        <w:rPr>
          <w:spacing w:val="-3"/>
        </w:rPr>
        <w:t xml:space="preserve"> and did not have any arrearages on the account with Respondent</w:t>
      </w:r>
      <w:r w:rsidR="00713DE8">
        <w:rPr>
          <w:spacing w:val="-3"/>
        </w:rPr>
        <w:t xml:space="preserve"> for 1804 Nolan</w:t>
      </w:r>
      <w:r w:rsidR="00ED4EC6">
        <w:rPr>
          <w:spacing w:val="-3"/>
        </w:rPr>
        <w:t xml:space="preserve">.  </w:t>
      </w:r>
      <w:proofErr w:type="gramStart"/>
      <w:r w:rsidR="00F01E66">
        <w:rPr>
          <w:spacing w:val="-3"/>
        </w:rPr>
        <w:t>(</w:t>
      </w:r>
      <w:r w:rsidR="00F01E66">
        <w:t>PECO Exhibit 8).</w:t>
      </w:r>
      <w:proofErr w:type="gramEnd"/>
    </w:p>
    <w:p w:rsidR="00F57008" w:rsidRPr="00E021F5" w:rsidRDefault="00F57008" w:rsidP="00B613EB">
      <w:pPr>
        <w:tabs>
          <w:tab w:val="left" w:pos="1440"/>
        </w:tabs>
        <w:spacing w:line="360" w:lineRule="auto"/>
        <w:rPr>
          <w:spacing w:val="-3"/>
        </w:rPr>
      </w:pPr>
    </w:p>
    <w:p w:rsidR="008E4FD6" w:rsidRPr="00E021F5" w:rsidRDefault="008E4FD6" w:rsidP="00EA1625">
      <w:pPr>
        <w:tabs>
          <w:tab w:val="left" w:pos="2160"/>
        </w:tabs>
        <w:spacing w:line="360" w:lineRule="auto"/>
        <w:jc w:val="center"/>
        <w:rPr>
          <w:u w:val="single"/>
        </w:rPr>
      </w:pPr>
      <w:r w:rsidRPr="00E021F5">
        <w:rPr>
          <w:u w:val="single"/>
        </w:rPr>
        <w:t>DISCUSSION</w:t>
      </w:r>
    </w:p>
    <w:p w:rsidR="008E4FD6" w:rsidRPr="00E021F5" w:rsidRDefault="008E4FD6" w:rsidP="006E5FE7">
      <w:pPr>
        <w:tabs>
          <w:tab w:val="left" w:pos="2160"/>
        </w:tabs>
        <w:spacing w:line="360" w:lineRule="auto"/>
        <w:rPr>
          <w:u w:val="single"/>
        </w:rPr>
      </w:pPr>
    </w:p>
    <w:p w:rsidR="00B66DDD" w:rsidRPr="00E021F5" w:rsidRDefault="000C736C" w:rsidP="006E5FE7">
      <w:pPr>
        <w:pStyle w:val="BodyText"/>
        <w:jc w:val="left"/>
        <w:rPr>
          <w:sz w:val="24"/>
          <w:szCs w:val="24"/>
        </w:rPr>
      </w:pPr>
      <w:r w:rsidRPr="00E021F5">
        <w:rPr>
          <w:sz w:val="24"/>
          <w:szCs w:val="24"/>
        </w:rPr>
        <w:tab/>
      </w:r>
      <w:r w:rsidRPr="00E021F5">
        <w:rPr>
          <w:sz w:val="24"/>
          <w:szCs w:val="24"/>
        </w:rPr>
        <w:tab/>
      </w:r>
      <w:r w:rsidR="00C931B6" w:rsidRPr="00E021F5">
        <w:rPr>
          <w:sz w:val="24"/>
          <w:szCs w:val="24"/>
        </w:rPr>
        <w:t>On</w:t>
      </w:r>
      <w:r w:rsidR="00FB579D" w:rsidRPr="00E021F5">
        <w:rPr>
          <w:sz w:val="24"/>
          <w:szCs w:val="24"/>
        </w:rPr>
        <w:t xml:space="preserve"> </w:t>
      </w:r>
      <w:r w:rsidR="005A6483" w:rsidRPr="00E021F5">
        <w:rPr>
          <w:sz w:val="24"/>
          <w:szCs w:val="24"/>
        </w:rPr>
        <w:t>August 19, 2010</w:t>
      </w:r>
      <w:r w:rsidR="00C931B6" w:rsidRPr="00E021F5">
        <w:rPr>
          <w:sz w:val="24"/>
          <w:szCs w:val="24"/>
        </w:rPr>
        <w:t xml:space="preserve">, </w:t>
      </w:r>
      <w:r w:rsidR="00FD4410" w:rsidRPr="00E021F5">
        <w:rPr>
          <w:sz w:val="24"/>
          <w:szCs w:val="24"/>
        </w:rPr>
        <w:t>Complainant</w:t>
      </w:r>
      <w:r w:rsidR="00CB7EF0" w:rsidRPr="00E021F5">
        <w:rPr>
          <w:sz w:val="24"/>
          <w:szCs w:val="24"/>
        </w:rPr>
        <w:t xml:space="preserve"> </w:t>
      </w:r>
      <w:r w:rsidR="001140BC" w:rsidRPr="00E021F5">
        <w:rPr>
          <w:sz w:val="24"/>
          <w:szCs w:val="24"/>
        </w:rPr>
        <w:t xml:space="preserve">filed </w:t>
      </w:r>
      <w:r w:rsidR="00CB7EF0" w:rsidRPr="00E021F5">
        <w:rPr>
          <w:sz w:val="24"/>
          <w:szCs w:val="24"/>
        </w:rPr>
        <w:t>a formal complaint</w:t>
      </w:r>
      <w:r w:rsidR="001140BC" w:rsidRPr="00E021F5">
        <w:rPr>
          <w:sz w:val="24"/>
          <w:szCs w:val="24"/>
        </w:rPr>
        <w:t xml:space="preserve"> </w:t>
      </w:r>
      <w:r w:rsidR="00AC330F" w:rsidRPr="00E021F5">
        <w:rPr>
          <w:sz w:val="24"/>
          <w:szCs w:val="24"/>
        </w:rPr>
        <w:t>alleging</w:t>
      </w:r>
      <w:r w:rsidR="00E021F5" w:rsidRPr="00E021F5">
        <w:rPr>
          <w:sz w:val="24"/>
          <w:szCs w:val="24"/>
        </w:rPr>
        <w:t xml:space="preserve">, </w:t>
      </w:r>
      <w:r w:rsidR="00E021F5" w:rsidRPr="00E021F5">
        <w:rPr>
          <w:i/>
          <w:sz w:val="24"/>
          <w:szCs w:val="24"/>
        </w:rPr>
        <w:t xml:space="preserve">inter </w:t>
      </w:r>
      <w:r w:rsidR="00E021F5" w:rsidRPr="00DA52EA">
        <w:rPr>
          <w:i/>
          <w:sz w:val="24"/>
          <w:szCs w:val="24"/>
        </w:rPr>
        <w:t>alia</w:t>
      </w:r>
      <w:r w:rsidR="00E021F5" w:rsidRPr="00E021F5">
        <w:rPr>
          <w:sz w:val="24"/>
          <w:szCs w:val="24"/>
        </w:rPr>
        <w:t xml:space="preserve">, PECO </w:t>
      </w:r>
      <w:r w:rsidR="00BE23A8">
        <w:rPr>
          <w:sz w:val="24"/>
          <w:szCs w:val="24"/>
        </w:rPr>
        <w:t xml:space="preserve">opened an account for electric service at 1862 Nolan, using photographic identification and a lease, in Complainant’s name even though Complainant </w:t>
      </w:r>
      <w:r w:rsidR="00E021F5" w:rsidRPr="00E021F5">
        <w:rPr>
          <w:sz w:val="24"/>
          <w:szCs w:val="24"/>
        </w:rPr>
        <w:t xml:space="preserve">never resided at 1862 Nolan and </w:t>
      </w:r>
      <w:r w:rsidR="00BE23A8">
        <w:rPr>
          <w:sz w:val="24"/>
          <w:szCs w:val="24"/>
        </w:rPr>
        <w:t>was working at the same time</w:t>
      </w:r>
      <w:r w:rsidR="00E021F5" w:rsidRPr="00E021F5">
        <w:rPr>
          <w:sz w:val="24"/>
          <w:szCs w:val="24"/>
        </w:rPr>
        <w:t>.   Complainant requested PECO provide her with a copy of the photographic identification used on November 12, 2009 and a copy of the person’s signature in order to assist Complainant in filing fraud charges with the proper authorities.</w:t>
      </w:r>
      <w:r w:rsidR="005C715B" w:rsidRPr="00E021F5">
        <w:rPr>
          <w:sz w:val="24"/>
          <w:szCs w:val="24"/>
        </w:rPr>
        <w:t xml:space="preserve"> </w:t>
      </w:r>
    </w:p>
    <w:p w:rsidR="00AF192E" w:rsidRDefault="00AF192E" w:rsidP="00AF192E">
      <w:pPr>
        <w:pStyle w:val="BodyText"/>
        <w:jc w:val="left"/>
        <w:rPr>
          <w:sz w:val="24"/>
          <w:szCs w:val="24"/>
        </w:rPr>
      </w:pPr>
    </w:p>
    <w:p w:rsidR="00C405C8" w:rsidRDefault="00C405C8" w:rsidP="00AF192E">
      <w:pPr>
        <w:pStyle w:val="BodyText"/>
        <w:jc w:val="left"/>
        <w:rPr>
          <w:sz w:val="24"/>
          <w:szCs w:val="24"/>
        </w:rPr>
      </w:pPr>
      <w:r>
        <w:rPr>
          <w:sz w:val="24"/>
          <w:szCs w:val="24"/>
          <w:u w:val="single"/>
        </w:rPr>
        <w:t xml:space="preserve">Responsibility </w:t>
      </w:r>
      <w:proofErr w:type="gramStart"/>
      <w:r>
        <w:rPr>
          <w:sz w:val="24"/>
          <w:szCs w:val="24"/>
          <w:u w:val="single"/>
        </w:rPr>
        <w:t>of  Public</w:t>
      </w:r>
      <w:proofErr w:type="gramEnd"/>
      <w:r>
        <w:rPr>
          <w:sz w:val="24"/>
          <w:szCs w:val="24"/>
          <w:u w:val="single"/>
        </w:rPr>
        <w:t xml:space="preserve"> Utility</w:t>
      </w:r>
    </w:p>
    <w:p w:rsidR="00C405C8" w:rsidRPr="00C405C8" w:rsidRDefault="00C405C8" w:rsidP="00AF192E">
      <w:pPr>
        <w:pStyle w:val="BodyText"/>
        <w:jc w:val="left"/>
        <w:rPr>
          <w:sz w:val="24"/>
          <w:szCs w:val="24"/>
        </w:rPr>
      </w:pPr>
    </w:p>
    <w:p w:rsidR="00AF192E" w:rsidRPr="00E021F5" w:rsidRDefault="00AF192E" w:rsidP="00AF192E">
      <w:pPr>
        <w:pStyle w:val="BodyText"/>
        <w:jc w:val="left"/>
        <w:rPr>
          <w:sz w:val="24"/>
          <w:szCs w:val="24"/>
        </w:rPr>
      </w:pPr>
      <w:r w:rsidRPr="00E021F5">
        <w:rPr>
          <w:sz w:val="24"/>
          <w:szCs w:val="24"/>
        </w:rPr>
        <w:tab/>
      </w:r>
      <w:r w:rsidRPr="00E021F5">
        <w:rPr>
          <w:sz w:val="24"/>
          <w:szCs w:val="24"/>
        </w:rPr>
        <w:tab/>
      </w:r>
      <w:r w:rsidR="003B40DA" w:rsidRPr="00E021F5">
        <w:rPr>
          <w:sz w:val="24"/>
          <w:szCs w:val="24"/>
        </w:rPr>
        <w:t>Respondent, as a p</w:t>
      </w:r>
      <w:r w:rsidRPr="00E021F5">
        <w:rPr>
          <w:sz w:val="24"/>
          <w:szCs w:val="24"/>
        </w:rPr>
        <w:t>ublic utility</w:t>
      </w:r>
      <w:r w:rsidR="003B40DA" w:rsidRPr="00E021F5">
        <w:rPr>
          <w:sz w:val="24"/>
          <w:szCs w:val="24"/>
        </w:rPr>
        <w:t>, must “</w:t>
      </w:r>
      <w:r w:rsidRPr="00E021F5">
        <w:rPr>
          <w:sz w:val="24"/>
          <w:szCs w:val="24"/>
        </w:rPr>
        <w:t xml:space="preserve">furnish and maintain adequate, efficient, safe, and reasonable service and facilities, and shall make all such repairs, changes, alterations, substitutions, extensions, and improvements in or to such service and facilities as shall be </w:t>
      </w:r>
      <w:r w:rsidR="00713DE8">
        <w:rPr>
          <w:sz w:val="24"/>
          <w:szCs w:val="24"/>
        </w:rPr>
        <w:t>n</w:t>
      </w:r>
      <w:r w:rsidRPr="00E021F5">
        <w:rPr>
          <w:sz w:val="24"/>
          <w:szCs w:val="24"/>
        </w:rPr>
        <w:t>ecessary or proper for the accommodation, convenience, and safety of its patrons, employees, and the public.</w:t>
      </w:r>
      <w:r w:rsidR="003B40DA" w:rsidRPr="00E021F5">
        <w:rPr>
          <w:sz w:val="24"/>
          <w:szCs w:val="24"/>
        </w:rPr>
        <w:t>”</w:t>
      </w:r>
      <w:r w:rsidR="003B40DA" w:rsidRPr="00E021F5">
        <w:rPr>
          <w:rStyle w:val="FootnoteReference"/>
          <w:sz w:val="24"/>
          <w:szCs w:val="24"/>
        </w:rPr>
        <w:footnoteReference w:id="1"/>
      </w:r>
      <w:r w:rsidR="003B40DA" w:rsidRPr="00E021F5">
        <w:rPr>
          <w:sz w:val="24"/>
          <w:szCs w:val="24"/>
        </w:rPr>
        <w:t xml:space="preserve">  </w:t>
      </w:r>
    </w:p>
    <w:p w:rsidR="00D22A37" w:rsidRDefault="00D22A37" w:rsidP="00C405C8">
      <w:pPr>
        <w:pStyle w:val="BodyText"/>
        <w:jc w:val="left"/>
        <w:rPr>
          <w:sz w:val="24"/>
          <w:szCs w:val="24"/>
        </w:rPr>
      </w:pPr>
    </w:p>
    <w:p w:rsidR="00713DE8" w:rsidRDefault="00713DE8">
      <w:pPr>
        <w:rPr>
          <w:u w:val="single"/>
        </w:rPr>
      </w:pPr>
      <w:r>
        <w:rPr>
          <w:u w:val="single"/>
        </w:rPr>
        <w:br w:type="page"/>
      </w:r>
    </w:p>
    <w:p w:rsidR="00C405C8" w:rsidRDefault="00C405C8" w:rsidP="00C405C8">
      <w:pPr>
        <w:pStyle w:val="BodyText"/>
        <w:jc w:val="left"/>
        <w:rPr>
          <w:sz w:val="24"/>
          <w:szCs w:val="24"/>
        </w:rPr>
      </w:pPr>
      <w:r>
        <w:rPr>
          <w:sz w:val="24"/>
          <w:szCs w:val="24"/>
          <w:u w:val="single"/>
        </w:rPr>
        <w:lastRenderedPageBreak/>
        <w:t>Burden of Proof</w:t>
      </w:r>
    </w:p>
    <w:p w:rsidR="00C405C8" w:rsidRPr="00C405C8" w:rsidRDefault="00C405C8" w:rsidP="00C405C8">
      <w:pPr>
        <w:pStyle w:val="BodyText"/>
        <w:jc w:val="left"/>
        <w:rPr>
          <w:sz w:val="24"/>
          <w:szCs w:val="24"/>
        </w:rPr>
      </w:pPr>
    </w:p>
    <w:p w:rsidR="00AF192E" w:rsidRPr="006E5FE7" w:rsidRDefault="00AF192E" w:rsidP="00AF192E">
      <w:pPr>
        <w:spacing w:line="360" w:lineRule="auto"/>
        <w:ind w:firstLine="1440"/>
      </w:pPr>
      <w:r w:rsidRPr="00E021F5">
        <w:t xml:space="preserve">As the party seeking affirmative relief from the Commission, Complainant bears the burden of </w:t>
      </w:r>
      <w:r w:rsidR="00846FA1" w:rsidRPr="00E021F5">
        <w:t>prov</w:t>
      </w:r>
      <w:r w:rsidR="00846FA1">
        <w:t>ing the necessary elements of the complaint</w:t>
      </w:r>
      <w:r>
        <w:t xml:space="preserve"> by substantial evidence</w:t>
      </w:r>
      <w:r w:rsidR="00846FA1">
        <w:t>.</w:t>
      </w:r>
      <w:r w:rsidR="00846FA1">
        <w:rPr>
          <w:rStyle w:val="FootnoteReference"/>
        </w:rPr>
        <w:footnoteReference w:id="2"/>
      </w:r>
      <w:r w:rsidR="00846FA1">
        <w:t xml:space="preserve">  </w:t>
      </w:r>
      <w:r w:rsidRPr="006E5FE7">
        <w:t>Substantial evidence is defined as such evidence that a reasonable mind might accept as adequate to support a conclusion</w:t>
      </w:r>
      <w:r w:rsidR="00846FA1">
        <w:t>, but Complainant is required to present more</w:t>
      </w:r>
      <w:r w:rsidRPr="006E5FE7">
        <w:t xml:space="preserve"> than a mere trace of evidence or a suspicion of the existence of a fact sought to be established.</w:t>
      </w:r>
      <w:r w:rsidR="00846FA1">
        <w:rPr>
          <w:rStyle w:val="FootnoteReference"/>
        </w:rPr>
        <w:footnoteReference w:id="3"/>
      </w:r>
    </w:p>
    <w:p w:rsidR="00762049" w:rsidRDefault="00762049" w:rsidP="00762049">
      <w:pPr>
        <w:tabs>
          <w:tab w:val="left" w:pos="-1440"/>
          <w:tab w:val="left" w:pos="-720"/>
        </w:tabs>
        <w:suppressAutoHyphens/>
        <w:spacing w:line="360" w:lineRule="auto"/>
      </w:pPr>
    </w:p>
    <w:p w:rsidR="00762049" w:rsidRPr="00B73D10" w:rsidRDefault="00762049" w:rsidP="00762049">
      <w:pPr>
        <w:tabs>
          <w:tab w:val="left" w:pos="-1440"/>
          <w:tab w:val="left" w:pos="-720"/>
        </w:tabs>
        <w:suppressAutoHyphens/>
        <w:spacing w:line="360" w:lineRule="auto"/>
        <w:rPr>
          <w:spacing w:val="-3"/>
        </w:rPr>
      </w:pPr>
      <w:r w:rsidRPr="00B73D10">
        <w:tab/>
      </w:r>
      <w:r w:rsidRPr="00B73D10">
        <w:tab/>
        <w:t xml:space="preserve">As the party seeking the intervention from this Commission, Complainant bears the burden of proving </w:t>
      </w:r>
      <w:r w:rsidRPr="00B73D10">
        <w:rPr>
          <w:spacing w:val="-3"/>
        </w:rPr>
        <w:t xml:space="preserve">the public utility is responsible or accountable for the problem described in the </w:t>
      </w:r>
      <w:r w:rsidR="009E19EF">
        <w:rPr>
          <w:spacing w:val="-3"/>
        </w:rPr>
        <w:t>c</w:t>
      </w:r>
      <w:r w:rsidRPr="00B73D10">
        <w:rPr>
          <w:spacing w:val="-3"/>
        </w:rPr>
        <w:t>omplaint.</w:t>
      </w:r>
      <w:r w:rsidRPr="00B73D10">
        <w:rPr>
          <w:rStyle w:val="FootnoteReference"/>
          <w:spacing w:val="-3"/>
        </w:rPr>
        <w:footnoteReference w:id="4"/>
      </w:r>
      <w:r w:rsidRPr="00B73D10">
        <w:rPr>
          <w:spacing w:val="-3"/>
        </w:rPr>
        <w:t xml:space="preserve">  Such a showing must be by a preponderance of the evidence</w:t>
      </w:r>
      <w:r>
        <w:rPr>
          <w:spacing w:val="-3"/>
        </w:rPr>
        <w:t>.</w:t>
      </w:r>
      <w:r w:rsidRPr="00B73D10">
        <w:rPr>
          <w:rStyle w:val="FootnoteReference"/>
          <w:spacing w:val="-3"/>
        </w:rPr>
        <w:footnoteReference w:id="5"/>
      </w:r>
      <w:r w:rsidRPr="00B73D10">
        <w:rPr>
          <w:spacing w:val="-3"/>
        </w:rPr>
        <w:t xml:space="preserve">  Complainant can meet that burden if </w:t>
      </w:r>
      <w:r>
        <w:rPr>
          <w:spacing w:val="-3"/>
        </w:rPr>
        <w:t>s</w:t>
      </w:r>
      <w:r w:rsidRPr="00B73D10">
        <w:rPr>
          <w:spacing w:val="-3"/>
        </w:rPr>
        <w:t>he presents evidence more convincing, by even the smallest amount, than that evidence presented by Respondent.</w:t>
      </w:r>
      <w:r w:rsidRPr="00B73D10">
        <w:rPr>
          <w:rStyle w:val="FootnoteReference"/>
          <w:spacing w:val="-3"/>
        </w:rPr>
        <w:footnoteReference w:id="6"/>
      </w:r>
      <w:r w:rsidRPr="00B73D10">
        <w:rPr>
          <w:spacing w:val="-3"/>
        </w:rPr>
        <w:t xml:space="preserve">  </w:t>
      </w:r>
    </w:p>
    <w:p w:rsidR="00846FA1" w:rsidRDefault="00846FA1" w:rsidP="00832D0B">
      <w:pPr>
        <w:pStyle w:val="BodyText"/>
        <w:jc w:val="left"/>
        <w:rPr>
          <w:sz w:val="24"/>
          <w:szCs w:val="24"/>
        </w:rPr>
      </w:pPr>
    </w:p>
    <w:p w:rsidR="00832D0B" w:rsidRDefault="00832D0B" w:rsidP="00832D0B">
      <w:pPr>
        <w:pStyle w:val="BodyText"/>
        <w:jc w:val="left"/>
        <w:rPr>
          <w:sz w:val="24"/>
          <w:szCs w:val="24"/>
        </w:rPr>
      </w:pPr>
      <w:r>
        <w:rPr>
          <w:sz w:val="24"/>
          <w:szCs w:val="24"/>
          <w:u w:val="single"/>
        </w:rPr>
        <w:t>Complainant’s Position</w:t>
      </w:r>
    </w:p>
    <w:p w:rsidR="00832D0B" w:rsidRPr="00832D0B" w:rsidRDefault="00832D0B" w:rsidP="00832D0B">
      <w:pPr>
        <w:pStyle w:val="BodyText"/>
        <w:jc w:val="left"/>
        <w:rPr>
          <w:sz w:val="24"/>
          <w:szCs w:val="24"/>
        </w:rPr>
      </w:pPr>
    </w:p>
    <w:p w:rsidR="00AF192E" w:rsidRDefault="00AF192E" w:rsidP="00AF192E">
      <w:pPr>
        <w:pStyle w:val="BodyText"/>
        <w:ind w:firstLine="1440"/>
        <w:jc w:val="left"/>
        <w:rPr>
          <w:sz w:val="24"/>
          <w:szCs w:val="24"/>
        </w:rPr>
      </w:pPr>
      <w:r>
        <w:rPr>
          <w:sz w:val="24"/>
          <w:szCs w:val="24"/>
        </w:rPr>
        <w:t>Complainant</w:t>
      </w:r>
      <w:r w:rsidRPr="006E5FE7">
        <w:rPr>
          <w:sz w:val="24"/>
          <w:szCs w:val="24"/>
        </w:rPr>
        <w:t xml:space="preserve"> </w:t>
      </w:r>
      <w:r>
        <w:rPr>
          <w:sz w:val="24"/>
          <w:szCs w:val="24"/>
        </w:rPr>
        <w:t>contend</w:t>
      </w:r>
      <w:r w:rsidR="00555724">
        <w:rPr>
          <w:sz w:val="24"/>
          <w:szCs w:val="24"/>
        </w:rPr>
        <w:t>s</w:t>
      </w:r>
      <w:r>
        <w:rPr>
          <w:sz w:val="24"/>
          <w:szCs w:val="24"/>
        </w:rPr>
        <w:t xml:space="preserve"> </w:t>
      </w:r>
      <w:r w:rsidR="00832D0B">
        <w:rPr>
          <w:sz w:val="24"/>
          <w:szCs w:val="24"/>
        </w:rPr>
        <w:t>PECO transferred a bill balance from 1862 Nolan into her account at 1804 Nolan</w:t>
      </w:r>
      <w:r w:rsidR="00F01E66">
        <w:rPr>
          <w:sz w:val="24"/>
          <w:szCs w:val="24"/>
        </w:rPr>
        <w:t xml:space="preserve"> without her permission</w:t>
      </w:r>
      <w:r w:rsidR="00832D0B">
        <w:rPr>
          <w:sz w:val="24"/>
          <w:szCs w:val="24"/>
        </w:rPr>
        <w:t xml:space="preserve"> and insisted she pay that balance.  She requested the Commission order Respondent to require a signature before transferring a bill to someone else’s address when the names are not the same.  Further, Complainant requested the Commission order Respondent to provide a copy of the identification allegedly belonging to her which Respondent used to transfer the balance.  Complainant contended she would like to report the misappropriation of her identification to the proper authorities.</w:t>
      </w:r>
      <w:r w:rsidR="009C7CD8">
        <w:rPr>
          <w:sz w:val="24"/>
          <w:szCs w:val="24"/>
        </w:rPr>
        <w:t xml:space="preserve">  At the hearing, Complainant </w:t>
      </w:r>
      <w:r w:rsidR="009C7CD8">
        <w:rPr>
          <w:sz w:val="24"/>
          <w:szCs w:val="24"/>
        </w:rPr>
        <w:lastRenderedPageBreak/>
        <w:t>asked the Commission to find Respondent was in error to open an account in her name for 1862</w:t>
      </w:r>
      <w:r w:rsidR="00A1789E">
        <w:rPr>
          <w:sz w:val="24"/>
          <w:szCs w:val="24"/>
        </w:rPr>
        <w:t> </w:t>
      </w:r>
      <w:r w:rsidR="009C7CD8">
        <w:rPr>
          <w:sz w:val="24"/>
          <w:szCs w:val="24"/>
        </w:rPr>
        <w:t>Nolan, and also requested the Commission to order Respondent to require a signature before opening an electric service account.</w:t>
      </w:r>
    </w:p>
    <w:p w:rsidR="00832D0B" w:rsidRDefault="00832D0B" w:rsidP="00AF192E">
      <w:pPr>
        <w:pStyle w:val="BodyText"/>
        <w:jc w:val="left"/>
        <w:rPr>
          <w:sz w:val="24"/>
          <w:szCs w:val="24"/>
        </w:rPr>
      </w:pPr>
    </w:p>
    <w:p w:rsidR="00832D0B" w:rsidRDefault="00832D0B" w:rsidP="00AF192E">
      <w:pPr>
        <w:pStyle w:val="BodyText"/>
        <w:jc w:val="left"/>
        <w:rPr>
          <w:sz w:val="24"/>
          <w:szCs w:val="24"/>
        </w:rPr>
      </w:pPr>
      <w:r>
        <w:rPr>
          <w:sz w:val="24"/>
          <w:szCs w:val="24"/>
          <w:u w:val="single"/>
        </w:rPr>
        <w:t>Respondent’s Position</w:t>
      </w:r>
    </w:p>
    <w:p w:rsidR="00AF192E" w:rsidRDefault="00AF192E" w:rsidP="00AF192E">
      <w:pPr>
        <w:pStyle w:val="BodyText"/>
        <w:jc w:val="left"/>
        <w:rPr>
          <w:sz w:val="24"/>
          <w:szCs w:val="24"/>
        </w:rPr>
      </w:pPr>
      <w:r>
        <w:rPr>
          <w:sz w:val="24"/>
          <w:szCs w:val="24"/>
        </w:rPr>
        <w:tab/>
      </w:r>
    </w:p>
    <w:p w:rsidR="00940640" w:rsidRDefault="00AF192E" w:rsidP="00CE7033">
      <w:pPr>
        <w:pStyle w:val="BodyText"/>
        <w:jc w:val="left"/>
        <w:rPr>
          <w:sz w:val="24"/>
          <w:szCs w:val="24"/>
        </w:rPr>
      </w:pPr>
      <w:r w:rsidRPr="006E5FE7">
        <w:rPr>
          <w:sz w:val="24"/>
          <w:szCs w:val="24"/>
        </w:rPr>
        <w:tab/>
      </w:r>
      <w:r w:rsidRPr="006E5FE7">
        <w:rPr>
          <w:sz w:val="24"/>
          <w:szCs w:val="24"/>
        </w:rPr>
        <w:tab/>
      </w:r>
      <w:r w:rsidR="00832D0B">
        <w:rPr>
          <w:sz w:val="24"/>
          <w:szCs w:val="24"/>
        </w:rPr>
        <w:t xml:space="preserve">Respondent contends </w:t>
      </w:r>
      <w:r w:rsidR="00F01E66">
        <w:rPr>
          <w:sz w:val="24"/>
          <w:szCs w:val="24"/>
        </w:rPr>
        <w:t xml:space="preserve">it followed appropriate procedure under the Commission’s statutes and regulations.  Respondent avers </w:t>
      </w:r>
      <w:r w:rsidR="00940640">
        <w:rPr>
          <w:sz w:val="24"/>
          <w:szCs w:val="24"/>
        </w:rPr>
        <w:t xml:space="preserve">Complainant came personally into Respondent’s office on November 12, 2009 and requested service for 1862 Nolan in her name.  Respondent insists Complainant had identification and a copy of a lease showing she leased 1862 Nolan.  Respondent admits that many months later </w:t>
      </w:r>
      <w:r w:rsidR="00832D0B">
        <w:rPr>
          <w:sz w:val="24"/>
          <w:szCs w:val="24"/>
        </w:rPr>
        <w:t xml:space="preserve">Complainant’s son, </w:t>
      </w:r>
      <w:proofErr w:type="spellStart"/>
      <w:r w:rsidR="00832D0B">
        <w:rPr>
          <w:sz w:val="24"/>
          <w:szCs w:val="24"/>
        </w:rPr>
        <w:t>Braheem</w:t>
      </w:r>
      <w:proofErr w:type="spellEnd"/>
      <w:r w:rsidR="00832D0B">
        <w:rPr>
          <w:sz w:val="24"/>
          <w:szCs w:val="24"/>
        </w:rPr>
        <w:t xml:space="preserve"> Powell, requested service in his name, which request was approved by Respondent, but </w:t>
      </w:r>
      <w:r w:rsidR="00940640">
        <w:rPr>
          <w:sz w:val="24"/>
          <w:szCs w:val="24"/>
        </w:rPr>
        <w:t>Respondent insists it did not violate any public utility provisions when it initiated service in Complainant’s name</w:t>
      </w:r>
      <w:r w:rsidR="00832D0B">
        <w:rPr>
          <w:sz w:val="24"/>
          <w:szCs w:val="24"/>
        </w:rPr>
        <w:t xml:space="preserve">.  Respondent further contends </w:t>
      </w:r>
      <w:r w:rsidR="00940640">
        <w:rPr>
          <w:sz w:val="24"/>
          <w:szCs w:val="24"/>
        </w:rPr>
        <w:t xml:space="preserve">it was not in error to refuse to remove Complainant’s name from account for 1862 Nolan until such time as another individual assumed responsibility for paying on the account.  </w:t>
      </w:r>
    </w:p>
    <w:p w:rsidR="00940640" w:rsidRDefault="00940640" w:rsidP="00CE7033">
      <w:pPr>
        <w:pStyle w:val="BodyText"/>
        <w:jc w:val="left"/>
        <w:rPr>
          <w:sz w:val="24"/>
          <w:szCs w:val="24"/>
        </w:rPr>
      </w:pPr>
    </w:p>
    <w:p w:rsidR="00611C42" w:rsidRDefault="00611C42" w:rsidP="00611C42">
      <w:pPr>
        <w:pStyle w:val="BodyText"/>
        <w:jc w:val="left"/>
        <w:rPr>
          <w:sz w:val="24"/>
          <w:szCs w:val="24"/>
        </w:rPr>
      </w:pPr>
      <w:r>
        <w:rPr>
          <w:sz w:val="24"/>
          <w:szCs w:val="24"/>
          <w:u w:val="single"/>
        </w:rPr>
        <w:t>Reasonable Customer Service</w:t>
      </w:r>
      <w:r w:rsidR="00713DE8">
        <w:rPr>
          <w:sz w:val="24"/>
          <w:szCs w:val="24"/>
          <w:u w:val="single"/>
        </w:rPr>
        <w:t xml:space="preserve"> – Initiated Service</w:t>
      </w:r>
    </w:p>
    <w:p w:rsidR="00611C42" w:rsidRPr="00E73118" w:rsidRDefault="00611C42" w:rsidP="00611C42">
      <w:pPr>
        <w:pStyle w:val="BodyText"/>
        <w:jc w:val="left"/>
        <w:rPr>
          <w:sz w:val="24"/>
          <w:szCs w:val="24"/>
        </w:rPr>
      </w:pPr>
    </w:p>
    <w:p w:rsidR="00611C42" w:rsidRDefault="00611C42" w:rsidP="00611C42">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Pa. C.S.</w:t>
      </w:r>
      <w:r>
        <w:rPr>
          <w:sz w:val="24"/>
          <w:szCs w:val="24"/>
        </w:rPr>
        <w:t>A.</w:t>
      </w:r>
      <w:r w:rsidRPr="00BF51E4">
        <w:rPr>
          <w:sz w:val="24"/>
          <w:szCs w:val="24"/>
        </w:rPr>
        <w:t xml:space="preserve"> §1501</w:t>
      </w:r>
      <w:r>
        <w:rPr>
          <w:sz w:val="24"/>
          <w:szCs w:val="24"/>
        </w:rPr>
        <w:t xml:space="preserve"> and §</w:t>
      </w:r>
      <w:r w:rsidRPr="00BF51E4">
        <w:rPr>
          <w:sz w:val="24"/>
          <w:szCs w:val="24"/>
        </w:rPr>
        <w:t>1502.  The Commission approves the cost of providing a utility system that is designed to provide reasonable service at reasonable rates</w:t>
      </w:r>
      <w:r w:rsidR="00091E6D">
        <w:rPr>
          <w:sz w:val="24"/>
          <w:szCs w:val="24"/>
        </w:rPr>
        <w:t xml:space="preserve"> </w:t>
      </w:r>
      <w:r w:rsidR="00091E6D" w:rsidRPr="00091E6D">
        <w:rPr>
          <w:sz w:val="24"/>
          <w:szCs w:val="24"/>
        </w:rPr>
        <w:t>–</w:t>
      </w:r>
      <w:r w:rsidRPr="00091E6D">
        <w:rPr>
          <w:sz w:val="24"/>
          <w:szCs w:val="24"/>
        </w:rPr>
        <w:t xml:space="preserve"> </w:t>
      </w:r>
      <w:r w:rsidRPr="00BF51E4">
        <w:rPr>
          <w:sz w:val="24"/>
          <w:szCs w:val="24"/>
        </w:rPr>
        <w:t>not perfect service without regard to cost.  Since reasonable service may result i</w:t>
      </w:r>
      <w:r w:rsidR="009C7CD8">
        <w:rPr>
          <w:sz w:val="24"/>
          <w:szCs w:val="24"/>
        </w:rPr>
        <w:t xml:space="preserve">n occasional loss of service, </w:t>
      </w:r>
      <w:r w:rsidRPr="00BF51E4">
        <w:rPr>
          <w:sz w:val="24"/>
          <w:szCs w:val="24"/>
        </w:rPr>
        <w:t>property damage</w:t>
      </w:r>
      <w:r w:rsidR="009C7CD8">
        <w:rPr>
          <w:sz w:val="24"/>
          <w:szCs w:val="24"/>
        </w:rPr>
        <w:t>, or convenience</w:t>
      </w:r>
      <w:r w:rsidRPr="00BF51E4">
        <w:rPr>
          <w:sz w:val="24"/>
          <w:szCs w:val="24"/>
        </w:rPr>
        <w:t xml:space="preserve">, the Commission </w:t>
      </w:r>
      <w:r>
        <w:rPr>
          <w:sz w:val="24"/>
          <w:szCs w:val="24"/>
        </w:rPr>
        <w:t xml:space="preserve">is permitted </w:t>
      </w:r>
      <w:r w:rsidRPr="00BF51E4">
        <w:rPr>
          <w:sz w:val="24"/>
          <w:szCs w:val="24"/>
        </w:rPr>
        <w:t>to limit liability.</w:t>
      </w:r>
      <w:r>
        <w:rPr>
          <w:rStyle w:val="FootnoteReference"/>
          <w:sz w:val="24"/>
          <w:szCs w:val="24"/>
        </w:rPr>
        <w:footnoteReference w:id="7"/>
      </w:r>
      <w:r w:rsidRPr="00BF51E4">
        <w:rPr>
          <w:sz w:val="24"/>
          <w:szCs w:val="24"/>
        </w:rPr>
        <w:t xml:space="preserve">  </w:t>
      </w:r>
      <w:r>
        <w:rPr>
          <w:sz w:val="24"/>
          <w:szCs w:val="24"/>
        </w:rPr>
        <w:t xml:space="preserve">  </w:t>
      </w:r>
    </w:p>
    <w:p w:rsidR="00940640" w:rsidRDefault="00940640" w:rsidP="00940640">
      <w:pPr>
        <w:pStyle w:val="BodyText"/>
        <w:ind w:firstLine="720"/>
        <w:jc w:val="left"/>
        <w:rPr>
          <w:sz w:val="24"/>
          <w:szCs w:val="24"/>
        </w:rPr>
      </w:pPr>
    </w:p>
    <w:p w:rsidR="00940640" w:rsidRDefault="00940640" w:rsidP="00940640">
      <w:pPr>
        <w:pStyle w:val="BodyText"/>
        <w:ind w:firstLine="1440"/>
        <w:jc w:val="left"/>
        <w:rPr>
          <w:sz w:val="24"/>
          <w:szCs w:val="24"/>
        </w:rPr>
      </w:pPr>
      <w:r>
        <w:rPr>
          <w:sz w:val="24"/>
          <w:szCs w:val="24"/>
        </w:rPr>
        <w:t>Respondent</w:t>
      </w:r>
      <w:r w:rsidRPr="006E5FE7">
        <w:rPr>
          <w:sz w:val="24"/>
          <w:szCs w:val="24"/>
        </w:rPr>
        <w:t>’s witness</w:t>
      </w:r>
      <w:r>
        <w:rPr>
          <w:sz w:val="24"/>
          <w:szCs w:val="24"/>
        </w:rPr>
        <w:t xml:space="preserve"> insisted in testimony on March 9, 2011 that she specifically recalled meeting Complainant in person at Respondent’s offices on November 12, 2009 when Complainant allegedly provided a lease, a driver’s license and Social Security card.  That testimony</w:t>
      </w:r>
      <w:r w:rsidR="00245247">
        <w:rPr>
          <w:sz w:val="24"/>
          <w:szCs w:val="24"/>
        </w:rPr>
        <w:t xml:space="preserve"> was offered approximately seventeen (17) months after the incident</w:t>
      </w:r>
      <w:r>
        <w:rPr>
          <w:sz w:val="24"/>
          <w:szCs w:val="24"/>
        </w:rPr>
        <w:t xml:space="preserve"> </w:t>
      </w:r>
      <w:r w:rsidR="00245247">
        <w:rPr>
          <w:sz w:val="24"/>
          <w:szCs w:val="24"/>
        </w:rPr>
        <w:t xml:space="preserve">and was made by </w:t>
      </w:r>
      <w:r w:rsidR="00245247">
        <w:rPr>
          <w:sz w:val="24"/>
          <w:szCs w:val="24"/>
        </w:rPr>
        <w:lastRenderedPageBreak/>
        <w:t>a customer service representative who had seen numerous customers and applicants every work day during that seventeen month period.  Therefore, her statements, regarding remembering Complainant specifically, were</w:t>
      </w:r>
      <w:r>
        <w:rPr>
          <w:sz w:val="24"/>
          <w:szCs w:val="24"/>
        </w:rPr>
        <w:t xml:space="preserve"> not accepted as credible.   What was accepted as credible was Complainant’s testimony she work</w:t>
      </w:r>
      <w:r w:rsidR="00245247">
        <w:rPr>
          <w:sz w:val="24"/>
          <w:szCs w:val="24"/>
        </w:rPr>
        <w:t>ed</w:t>
      </w:r>
      <w:r>
        <w:rPr>
          <w:sz w:val="24"/>
          <w:szCs w:val="24"/>
        </w:rPr>
        <w:t xml:space="preserve"> on November 12, 2009 at her job with the United States Postal Service</w:t>
      </w:r>
      <w:r w:rsidR="00245247">
        <w:rPr>
          <w:sz w:val="24"/>
          <w:szCs w:val="24"/>
        </w:rPr>
        <w:t>, and could not possibly have appeared in Respondent’s office with identification</w:t>
      </w:r>
      <w:r>
        <w:rPr>
          <w:sz w:val="24"/>
          <w:szCs w:val="24"/>
        </w:rPr>
        <w:t xml:space="preserve">.  </w:t>
      </w:r>
    </w:p>
    <w:p w:rsidR="00940640" w:rsidRDefault="00940640" w:rsidP="00940640">
      <w:pPr>
        <w:pStyle w:val="BodyText"/>
        <w:ind w:firstLine="1440"/>
        <w:jc w:val="left"/>
        <w:rPr>
          <w:sz w:val="24"/>
          <w:szCs w:val="24"/>
        </w:rPr>
      </w:pPr>
    </w:p>
    <w:p w:rsidR="00713DE8" w:rsidRDefault="00940640" w:rsidP="00245247">
      <w:pPr>
        <w:pStyle w:val="BodyText"/>
        <w:ind w:firstLine="1440"/>
        <w:jc w:val="left"/>
        <w:rPr>
          <w:sz w:val="24"/>
          <w:szCs w:val="24"/>
        </w:rPr>
      </w:pPr>
      <w:r>
        <w:rPr>
          <w:sz w:val="24"/>
          <w:szCs w:val="24"/>
        </w:rPr>
        <w:t xml:space="preserve">Initially Complainant was confused about the year in question, testifying she was working on November 12, </w:t>
      </w:r>
      <w:r w:rsidRPr="00245247">
        <w:rPr>
          <w:b/>
          <w:sz w:val="24"/>
          <w:szCs w:val="24"/>
        </w:rPr>
        <w:t>2010</w:t>
      </w:r>
      <w:r>
        <w:rPr>
          <w:sz w:val="24"/>
          <w:szCs w:val="24"/>
        </w:rPr>
        <w:t xml:space="preserve">.  Upon confrontation by Respondent’s counsel on cross examination that the year in question was </w:t>
      </w:r>
      <w:r w:rsidRPr="00245247">
        <w:rPr>
          <w:b/>
          <w:sz w:val="24"/>
          <w:szCs w:val="24"/>
        </w:rPr>
        <w:t>2009</w:t>
      </w:r>
      <w:r>
        <w:rPr>
          <w:sz w:val="24"/>
          <w:szCs w:val="24"/>
        </w:rPr>
        <w:t xml:space="preserve">, Complainant acknowledged her error in the year but continued to insist that she </w:t>
      </w:r>
      <w:r w:rsidR="00245247">
        <w:rPr>
          <w:sz w:val="24"/>
          <w:szCs w:val="24"/>
        </w:rPr>
        <w:t>worked</w:t>
      </w:r>
      <w:r>
        <w:rPr>
          <w:sz w:val="24"/>
          <w:szCs w:val="24"/>
        </w:rPr>
        <w:t xml:space="preserve"> on the day in question.  Complainant’s statement – that she was working on the day Respondent initiated service in her name for 1862 Nolan </w:t>
      </w:r>
      <w:r w:rsidR="00CE665F" w:rsidRPr="00CE665F">
        <w:rPr>
          <w:sz w:val="24"/>
          <w:szCs w:val="24"/>
        </w:rPr>
        <w:t>–</w:t>
      </w:r>
      <w:r w:rsidRPr="00CE665F">
        <w:rPr>
          <w:sz w:val="24"/>
          <w:szCs w:val="24"/>
        </w:rPr>
        <w:t xml:space="preserve"> </w:t>
      </w:r>
      <w:r>
        <w:rPr>
          <w:sz w:val="24"/>
          <w:szCs w:val="24"/>
        </w:rPr>
        <w:t xml:space="preserve">was accepted as credible.  </w:t>
      </w:r>
    </w:p>
    <w:p w:rsidR="00713DE8" w:rsidRDefault="00713DE8" w:rsidP="00245247">
      <w:pPr>
        <w:pStyle w:val="BodyText"/>
        <w:ind w:firstLine="1440"/>
        <w:jc w:val="left"/>
        <w:rPr>
          <w:sz w:val="24"/>
          <w:szCs w:val="24"/>
        </w:rPr>
      </w:pPr>
    </w:p>
    <w:p w:rsidR="00940640" w:rsidRDefault="00245247" w:rsidP="00245247">
      <w:pPr>
        <w:pStyle w:val="BodyText"/>
        <w:ind w:firstLine="1440"/>
        <w:jc w:val="left"/>
        <w:rPr>
          <w:sz w:val="24"/>
          <w:szCs w:val="24"/>
        </w:rPr>
      </w:pPr>
      <w:r>
        <w:rPr>
          <w:sz w:val="24"/>
          <w:szCs w:val="24"/>
        </w:rPr>
        <w:t>Back in 2009, Respondent first told Complainant the date in question when she called Respondent complaining about the new bill for 1862 Nolan.  The first bill was issued in December 2009.  (See PECO Exhibit 8).  At that time</w:t>
      </w:r>
      <w:r w:rsidR="009C7CD8">
        <w:rPr>
          <w:sz w:val="24"/>
          <w:szCs w:val="24"/>
        </w:rPr>
        <w:t xml:space="preserve"> when the </w:t>
      </w:r>
      <w:r>
        <w:rPr>
          <w:sz w:val="24"/>
          <w:szCs w:val="24"/>
        </w:rPr>
        <w:t>events in question</w:t>
      </w:r>
      <w:r w:rsidR="009C7CD8">
        <w:rPr>
          <w:sz w:val="24"/>
          <w:szCs w:val="24"/>
        </w:rPr>
        <w:t xml:space="preserve"> were fresher and clearer in</w:t>
      </w:r>
      <w:r>
        <w:rPr>
          <w:sz w:val="24"/>
          <w:szCs w:val="24"/>
        </w:rPr>
        <w:t xml:space="preserve"> Complainant’s memory</w:t>
      </w:r>
      <w:r w:rsidR="009C7CD8">
        <w:rPr>
          <w:sz w:val="24"/>
          <w:szCs w:val="24"/>
        </w:rPr>
        <w:t xml:space="preserve">, Complainant was better able to recall and </w:t>
      </w:r>
      <w:r>
        <w:rPr>
          <w:sz w:val="24"/>
          <w:szCs w:val="24"/>
        </w:rPr>
        <w:t>knew she was working</w:t>
      </w:r>
      <w:r w:rsidR="009C7CD8">
        <w:rPr>
          <w:sz w:val="24"/>
          <w:szCs w:val="24"/>
        </w:rPr>
        <w:t xml:space="preserve"> on that day</w:t>
      </w:r>
      <w:r>
        <w:rPr>
          <w:sz w:val="24"/>
          <w:szCs w:val="24"/>
        </w:rPr>
        <w:t>.  Her assertions from the start have been that she was working on the day in question and could not possibly have been the person who appeared in Respondent’s office to initiate service for 1862 Nolan.  Therefore, her testimony is not only credible but of sufficient weight to convince the presiding officer that</w:t>
      </w:r>
      <w:r w:rsidR="009C7CD8">
        <w:rPr>
          <w:sz w:val="24"/>
          <w:szCs w:val="24"/>
        </w:rPr>
        <w:t>, in fact,</w:t>
      </w:r>
      <w:r>
        <w:rPr>
          <w:sz w:val="24"/>
          <w:szCs w:val="24"/>
        </w:rPr>
        <w:t xml:space="preserve"> Complainant </w:t>
      </w:r>
      <w:r w:rsidRPr="009C7CD8">
        <w:rPr>
          <w:b/>
          <w:sz w:val="24"/>
          <w:szCs w:val="24"/>
        </w:rPr>
        <w:t>was not</w:t>
      </w:r>
      <w:r>
        <w:rPr>
          <w:sz w:val="24"/>
          <w:szCs w:val="24"/>
        </w:rPr>
        <w:t xml:space="preserve"> the individual who presented identification to Respondent on November 12, 2009.</w:t>
      </w:r>
    </w:p>
    <w:p w:rsidR="00611C42" w:rsidRDefault="00611C42" w:rsidP="00611C42">
      <w:pPr>
        <w:pStyle w:val="BodyText"/>
        <w:ind w:firstLine="1440"/>
        <w:jc w:val="left"/>
        <w:rPr>
          <w:sz w:val="24"/>
          <w:szCs w:val="24"/>
        </w:rPr>
      </w:pPr>
    </w:p>
    <w:p w:rsidR="00272FFB" w:rsidRDefault="00611C42" w:rsidP="00611C42">
      <w:pPr>
        <w:pStyle w:val="BodyText"/>
        <w:ind w:firstLine="1440"/>
        <w:jc w:val="left"/>
        <w:rPr>
          <w:sz w:val="24"/>
          <w:szCs w:val="24"/>
        </w:rPr>
      </w:pPr>
      <w:r>
        <w:rPr>
          <w:sz w:val="24"/>
          <w:szCs w:val="24"/>
        </w:rPr>
        <w:t xml:space="preserve">The testimony presented </w:t>
      </w:r>
      <w:r w:rsidR="00245247">
        <w:rPr>
          <w:sz w:val="24"/>
          <w:szCs w:val="24"/>
        </w:rPr>
        <w:t xml:space="preserve">also revealed PECO’s documentation about these events was haphazard, confusing and often contradictory.  It should be noted PECO provided, through the testimony of its witnesses and through its exhibits, </w:t>
      </w:r>
      <w:r w:rsidR="00272FFB">
        <w:rPr>
          <w:sz w:val="24"/>
          <w:szCs w:val="24"/>
        </w:rPr>
        <w:t>numerous contacts from either Ms.</w:t>
      </w:r>
      <w:r w:rsidR="003B2B8A">
        <w:rPr>
          <w:sz w:val="24"/>
          <w:szCs w:val="24"/>
        </w:rPr>
        <w:t> </w:t>
      </w:r>
      <w:r w:rsidR="00272FFB">
        <w:rPr>
          <w:sz w:val="24"/>
          <w:szCs w:val="24"/>
        </w:rPr>
        <w:t>Jackson or Mr. Powell about transferring the balance.  As seen on pages 12, 25, 34-38, 42</w:t>
      </w:r>
      <w:r w:rsidR="003B2B8A">
        <w:rPr>
          <w:sz w:val="24"/>
          <w:szCs w:val="24"/>
        </w:rPr>
        <w:noBreakHyphen/>
      </w:r>
      <w:r w:rsidR="00272FFB">
        <w:rPr>
          <w:sz w:val="24"/>
          <w:szCs w:val="24"/>
        </w:rPr>
        <w:t xml:space="preserve">44, 64 and 65 of the transcript and in PECO’s </w:t>
      </w:r>
      <w:r w:rsidR="008A0A8F">
        <w:rPr>
          <w:sz w:val="24"/>
          <w:szCs w:val="24"/>
        </w:rPr>
        <w:t>e</w:t>
      </w:r>
      <w:r w:rsidR="00272FFB">
        <w:rPr>
          <w:sz w:val="24"/>
          <w:szCs w:val="24"/>
        </w:rPr>
        <w:t>xhibits</w:t>
      </w:r>
      <w:r w:rsidR="00B679BB">
        <w:rPr>
          <w:sz w:val="24"/>
          <w:szCs w:val="24"/>
        </w:rPr>
        <w:t xml:space="preserve"> </w:t>
      </w:r>
      <w:r w:rsidR="00272FFB">
        <w:rPr>
          <w:sz w:val="24"/>
          <w:szCs w:val="24"/>
        </w:rPr>
        <w:t xml:space="preserve">3, 5, 6, 8, and 10, PECO asserted it received contacts from either Ms. Jackson or Mr. Powell, concerning transferring the balance to Mr. Powell, on February 2, 2010; March 3, 2010; April 16, 2010; May 1, 2010 and August 12, 2010.  </w:t>
      </w:r>
    </w:p>
    <w:p w:rsidR="00272FFB" w:rsidRDefault="00272FFB" w:rsidP="00611C42">
      <w:pPr>
        <w:pStyle w:val="BodyText"/>
        <w:ind w:firstLine="1440"/>
        <w:jc w:val="left"/>
        <w:rPr>
          <w:sz w:val="24"/>
          <w:szCs w:val="24"/>
        </w:rPr>
      </w:pPr>
      <w:r>
        <w:rPr>
          <w:sz w:val="24"/>
          <w:szCs w:val="24"/>
        </w:rPr>
        <w:lastRenderedPageBreak/>
        <w:t xml:space="preserve">In addition there are </w:t>
      </w:r>
      <w:r w:rsidR="00245247">
        <w:rPr>
          <w:sz w:val="24"/>
          <w:szCs w:val="24"/>
        </w:rPr>
        <w:t xml:space="preserve">three dates when </w:t>
      </w:r>
      <w:r>
        <w:rPr>
          <w:sz w:val="24"/>
          <w:szCs w:val="24"/>
        </w:rPr>
        <w:t>Respondent</w:t>
      </w:r>
      <w:r w:rsidR="00245247">
        <w:rPr>
          <w:sz w:val="24"/>
          <w:szCs w:val="24"/>
        </w:rPr>
        <w:t xml:space="preserve"> alleges </w:t>
      </w:r>
      <w:r>
        <w:rPr>
          <w:sz w:val="24"/>
          <w:szCs w:val="24"/>
        </w:rPr>
        <w:t xml:space="preserve">it transferred the sum of $534.96 into Mr. Powell’s name for service at 1862 Nolan.  According to PECO Exhibits 3, 6, 8 and 10, the unpaid balance for service provided at 1862 Nolan from November 12, 2009 under Ms. Jackson’s name was actually removed from her name on February 2, 2010, then again on March 3, 2010 and again on May 28, 2010.  </w:t>
      </w:r>
    </w:p>
    <w:p w:rsidR="00272FFB" w:rsidRDefault="00272FFB" w:rsidP="00611C42">
      <w:pPr>
        <w:pStyle w:val="BodyText"/>
        <w:ind w:firstLine="1440"/>
        <w:jc w:val="left"/>
        <w:rPr>
          <w:sz w:val="24"/>
          <w:szCs w:val="24"/>
        </w:rPr>
      </w:pPr>
    </w:p>
    <w:p w:rsidR="00611C42" w:rsidRDefault="0061116A" w:rsidP="00611C42">
      <w:pPr>
        <w:pStyle w:val="BodyText"/>
        <w:ind w:firstLine="1440"/>
        <w:jc w:val="left"/>
        <w:rPr>
          <w:sz w:val="24"/>
          <w:szCs w:val="24"/>
        </w:rPr>
      </w:pPr>
      <w:r>
        <w:rPr>
          <w:sz w:val="24"/>
          <w:szCs w:val="24"/>
        </w:rPr>
        <w:t xml:space="preserve">At the very least, PECO </w:t>
      </w:r>
      <w:r w:rsidR="00713DE8">
        <w:rPr>
          <w:sz w:val="24"/>
          <w:szCs w:val="24"/>
        </w:rPr>
        <w:t>does not</w:t>
      </w:r>
      <w:r>
        <w:rPr>
          <w:sz w:val="24"/>
          <w:szCs w:val="24"/>
        </w:rPr>
        <w:t xml:space="preserve"> maintain business records that were accurate, clear and consistent.  Given the confusing state of these documents and testimony, a civil penalty might have been considered.  However, no civil penalty is warranted in this situation because no harm was done to Ms. Jackson (other than aggravation) and no harm was done to Ms. Jackson’s credit rating before the service account </w:t>
      </w:r>
      <w:r w:rsidR="00713DE8">
        <w:rPr>
          <w:sz w:val="24"/>
          <w:szCs w:val="24"/>
        </w:rPr>
        <w:t xml:space="preserve">in her name </w:t>
      </w:r>
      <w:r>
        <w:rPr>
          <w:sz w:val="24"/>
          <w:szCs w:val="24"/>
        </w:rPr>
        <w:t>was closed</w:t>
      </w:r>
      <w:r w:rsidR="00713DE8">
        <w:rPr>
          <w:sz w:val="24"/>
          <w:szCs w:val="24"/>
        </w:rPr>
        <w:t xml:space="preserve"> for 1862 Nolan</w:t>
      </w:r>
      <w:r>
        <w:rPr>
          <w:sz w:val="24"/>
          <w:szCs w:val="24"/>
        </w:rPr>
        <w:t xml:space="preserve">.  </w:t>
      </w:r>
    </w:p>
    <w:p w:rsidR="00611C42" w:rsidRDefault="00611C42" w:rsidP="00713DE8">
      <w:pPr>
        <w:pStyle w:val="BodyText"/>
        <w:jc w:val="left"/>
        <w:rPr>
          <w:sz w:val="24"/>
          <w:szCs w:val="24"/>
        </w:rPr>
      </w:pPr>
    </w:p>
    <w:p w:rsidR="00713DE8" w:rsidRDefault="00713DE8" w:rsidP="00713DE8">
      <w:pPr>
        <w:pStyle w:val="BodyText"/>
        <w:jc w:val="left"/>
        <w:rPr>
          <w:sz w:val="24"/>
          <w:szCs w:val="24"/>
        </w:rPr>
      </w:pPr>
      <w:r>
        <w:rPr>
          <w:sz w:val="24"/>
          <w:szCs w:val="24"/>
          <w:u w:val="single"/>
        </w:rPr>
        <w:t>Reasonable Customer Service – Proof of Identification</w:t>
      </w:r>
    </w:p>
    <w:p w:rsidR="00713DE8" w:rsidRDefault="00713DE8" w:rsidP="00713DE8">
      <w:pPr>
        <w:pStyle w:val="BodyText"/>
        <w:jc w:val="left"/>
        <w:rPr>
          <w:sz w:val="24"/>
          <w:szCs w:val="24"/>
        </w:rPr>
      </w:pPr>
    </w:p>
    <w:p w:rsidR="00713DE8" w:rsidRDefault="00611C42" w:rsidP="00611C42">
      <w:pPr>
        <w:pStyle w:val="BodyText"/>
        <w:ind w:firstLine="1440"/>
        <w:jc w:val="left"/>
        <w:outlineLvl w:val="0"/>
        <w:rPr>
          <w:sz w:val="24"/>
          <w:szCs w:val="24"/>
        </w:rPr>
      </w:pPr>
      <w:r>
        <w:rPr>
          <w:sz w:val="24"/>
          <w:szCs w:val="24"/>
        </w:rPr>
        <w:t xml:space="preserve">In addition, Complainant </w:t>
      </w:r>
      <w:r w:rsidR="00AD0F18">
        <w:rPr>
          <w:sz w:val="24"/>
          <w:szCs w:val="24"/>
        </w:rPr>
        <w:t xml:space="preserve">requested the Commission order Respondent to require signatures before initiating service.  In this situation, the service was initiated when an individual purporting to be Complainant presented Respondent with some form of identification that may have been a driver’s license, Social Security card and lease agreement.  </w:t>
      </w:r>
    </w:p>
    <w:p w:rsidR="00713DE8" w:rsidRDefault="00713DE8" w:rsidP="00611C42">
      <w:pPr>
        <w:pStyle w:val="BodyText"/>
        <w:ind w:firstLine="1440"/>
        <w:jc w:val="left"/>
        <w:outlineLvl w:val="0"/>
        <w:rPr>
          <w:sz w:val="24"/>
          <w:szCs w:val="24"/>
        </w:rPr>
      </w:pPr>
    </w:p>
    <w:p w:rsidR="009C7CD8" w:rsidRPr="009C7CD8" w:rsidRDefault="00AD0F18" w:rsidP="00611C42">
      <w:pPr>
        <w:pStyle w:val="BodyText"/>
        <w:ind w:firstLine="1440"/>
        <w:jc w:val="left"/>
        <w:outlineLvl w:val="0"/>
        <w:rPr>
          <w:sz w:val="24"/>
          <w:szCs w:val="24"/>
        </w:rPr>
      </w:pPr>
      <w:r>
        <w:rPr>
          <w:sz w:val="24"/>
          <w:szCs w:val="24"/>
        </w:rPr>
        <w:t xml:space="preserve">Respondent did not produce a copy of any of those documents used to establish a service account, despite Respondent’s hurry to initiate a “Name Game” for the service address due to an unpaid balance.  </w:t>
      </w:r>
      <w:r w:rsidR="003300D2" w:rsidRPr="009C7CD8">
        <w:rPr>
          <w:sz w:val="24"/>
          <w:szCs w:val="24"/>
        </w:rPr>
        <w:t>Respondent’s stated concern that copying a form of identification would expose Complainant to identity theft may be accurate – but not copying a form of identification led to Complainant being a victim of identity theft</w:t>
      </w:r>
      <w:r w:rsidR="009C7CD8">
        <w:rPr>
          <w:sz w:val="24"/>
          <w:szCs w:val="24"/>
        </w:rPr>
        <w:t xml:space="preserve"> in this situation</w:t>
      </w:r>
      <w:r w:rsidR="003300D2" w:rsidRPr="009C7CD8">
        <w:rPr>
          <w:sz w:val="24"/>
          <w:szCs w:val="24"/>
        </w:rPr>
        <w:t xml:space="preserve">.  </w:t>
      </w:r>
    </w:p>
    <w:p w:rsidR="009C7CD8" w:rsidRPr="009C7CD8" w:rsidRDefault="009C7CD8" w:rsidP="00611C42">
      <w:pPr>
        <w:pStyle w:val="BodyText"/>
        <w:ind w:firstLine="1440"/>
        <w:jc w:val="left"/>
        <w:outlineLvl w:val="0"/>
        <w:rPr>
          <w:sz w:val="24"/>
          <w:szCs w:val="24"/>
        </w:rPr>
      </w:pPr>
    </w:p>
    <w:p w:rsidR="009C7CD8" w:rsidRPr="009C7CD8" w:rsidRDefault="00B4392D" w:rsidP="009C7CD8">
      <w:pPr>
        <w:pStyle w:val="BodyText"/>
        <w:ind w:firstLine="1440"/>
        <w:jc w:val="left"/>
        <w:outlineLvl w:val="0"/>
        <w:rPr>
          <w:sz w:val="24"/>
          <w:szCs w:val="24"/>
        </w:rPr>
      </w:pPr>
      <w:r>
        <w:rPr>
          <w:sz w:val="24"/>
          <w:szCs w:val="24"/>
        </w:rPr>
        <w:t xml:space="preserve">It might seem like a good idea for public utility companies to copy the personal identification presented by an applicant in order to initiate service, however, copying identification </w:t>
      </w:r>
      <w:r w:rsidR="003300D2" w:rsidRPr="009C7CD8">
        <w:rPr>
          <w:sz w:val="24"/>
          <w:szCs w:val="24"/>
        </w:rPr>
        <w:t>is not a task the Commission require</w:t>
      </w:r>
      <w:r w:rsidR="009C7CD8" w:rsidRPr="009C7CD8">
        <w:rPr>
          <w:sz w:val="24"/>
          <w:szCs w:val="24"/>
        </w:rPr>
        <w:t>s</w:t>
      </w:r>
      <w:r w:rsidR="003300D2" w:rsidRPr="009C7CD8">
        <w:rPr>
          <w:sz w:val="24"/>
          <w:szCs w:val="24"/>
        </w:rPr>
        <w:t xml:space="preserve"> of Respondent and the presiding </w:t>
      </w:r>
      <w:r w:rsidR="009C7CD8" w:rsidRPr="009C7CD8">
        <w:rPr>
          <w:sz w:val="24"/>
          <w:szCs w:val="24"/>
        </w:rPr>
        <w:t>o</w:t>
      </w:r>
      <w:r w:rsidR="003300D2" w:rsidRPr="009C7CD8">
        <w:rPr>
          <w:sz w:val="24"/>
          <w:szCs w:val="24"/>
        </w:rPr>
        <w:t>fficer will not require it, based on the facts in this proceeding.</w:t>
      </w:r>
      <w:r w:rsidR="00611C42" w:rsidRPr="009C7CD8">
        <w:rPr>
          <w:sz w:val="24"/>
          <w:szCs w:val="24"/>
        </w:rPr>
        <w:t xml:space="preserve">  </w:t>
      </w:r>
      <w:r w:rsidR="009C7CD8" w:rsidRPr="009C7CD8">
        <w:rPr>
          <w:sz w:val="24"/>
          <w:szCs w:val="24"/>
        </w:rPr>
        <w:t>Respondent corrected the error without apparent damage to Complainant’s credit history and without Complainant paying any money on the erroneous account at 1862 Nolan.</w:t>
      </w:r>
      <w:r w:rsidR="009C7CD8" w:rsidRPr="009C7CD8">
        <w:rPr>
          <w:sz w:val="24"/>
          <w:szCs w:val="24"/>
        </w:rPr>
        <w:tab/>
      </w:r>
    </w:p>
    <w:p w:rsidR="00713DE8" w:rsidRDefault="00713DE8" w:rsidP="00713DE8">
      <w:pPr>
        <w:pStyle w:val="BodyText"/>
        <w:jc w:val="left"/>
        <w:rPr>
          <w:sz w:val="24"/>
          <w:szCs w:val="24"/>
        </w:rPr>
      </w:pPr>
      <w:r>
        <w:rPr>
          <w:sz w:val="24"/>
          <w:szCs w:val="24"/>
          <w:u w:val="single"/>
        </w:rPr>
        <w:lastRenderedPageBreak/>
        <w:t>Conclusion</w:t>
      </w:r>
    </w:p>
    <w:p w:rsidR="00713DE8" w:rsidRPr="00713DE8" w:rsidRDefault="00713DE8" w:rsidP="00713DE8">
      <w:pPr>
        <w:pStyle w:val="BodyText"/>
        <w:jc w:val="left"/>
        <w:rPr>
          <w:sz w:val="24"/>
          <w:szCs w:val="24"/>
        </w:rPr>
      </w:pPr>
    </w:p>
    <w:p w:rsidR="00611C42" w:rsidRPr="006E0E7F" w:rsidRDefault="00611C42" w:rsidP="003300D2">
      <w:pPr>
        <w:pStyle w:val="BodyText"/>
        <w:ind w:firstLine="1440"/>
        <w:jc w:val="left"/>
        <w:rPr>
          <w:sz w:val="24"/>
          <w:szCs w:val="24"/>
        </w:rPr>
      </w:pPr>
      <w:r w:rsidRPr="009C7CD8">
        <w:rPr>
          <w:sz w:val="24"/>
          <w:szCs w:val="24"/>
        </w:rPr>
        <w:t xml:space="preserve">Therefore, Complainant met the burden of proving Respondent violated the Commission’s regulations by failing to provide reasonable and adequate customer service when </w:t>
      </w:r>
      <w:r w:rsidR="0061116A" w:rsidRPr="009C7CD8">
        <w:rPr>
          <w:sz w:val="24"/>
          <w:szCs w:val="24"/>
        </w:rPr>
        <w:t>Respondent accepted fraudulent identification from an individual purporting to be Complainant</w:t>
      </w:r>
      <w:r w:rsidR="009C7CD8">
        <w:rPr>
          <w:sz w:val="24"/>
          <w:szCs w:val="24"/>
        </w:rPr>
        <w:t xml:space="preserve">, </w:t>
      </w:r>
      <w:r w:rsidR="0061116A" w:rsidRPr="009C7CD8">
        <w:rPr>
          <w:sz w:val="24"/>
          <w:szCs w:val="24"/>
        </w:rPr>
        <w:t xml:space="preserve">established a new service account in Complainant’s name without Complainant’s </w:t>
      </w:r>
      <w:r w:rsidR="009C7CD8">
        <w:rPr>
          <w:sz w:val="24"/>
          <w:szCs w:val="24"/>
        </w:rPr>
        <w:t>permission, and proceeded to charge Complainant for electric service she neither requested nor enjoyed</w:t>
      </w:r>
      <w:r w:rsidRPr="009C7CD8">
        <w:rPr>
          <w:sz w:val="24"/>
          <w:szCs w:val="24"/>
        </w:rPr>
        <w:t xml:space="preserve">.  </w:t>
      </w:r>
      <w:r w:rsidR="003300D2" w:rsidRPr="009C7CD8">
        <w:rPr>
          <w:sz w:val="24"/>
          <w:szCs w:val="24"/>
        </w:rPr>
        <w:t>However, Complainant did not meet the burden of proving Respondent failed to provide reasonable and adequate customer service when it did not copy and maintain a copy of the signature or identification used by the individual who initiated service on November 12, 2009</w:t>
      </w:r>
      <w:r w:rsidR="003300D2">
        <w:rPr>
          <w:sz w:val="24"/>
          <w:szCs w:val="24"/>
        </w:rPr>
        <w:t xml:space="preserve"> for 1862 Nolan.  </w:t>
      </w:r>
      <w:r w:rsidRPr="006E0E7F">
        <w:rPr>
          <w:sz w:val="24"/>
          <w:szCs w:val="24"/>
        </w:rPr>
        <w:t xml:space="preserve">Accordingly the complaint is sustained </w:t>
      </w:r>
      <w:r w:rsidR="003300D2">
        <w:rPr>
          <w:sz w:val="24"/>
          <w:szCs w:val="24"/>
        </w:rPr>
        <w:t xml:space="preserve">in part and denied in part </w:t>
      </w:r>
      <w:r w:rsidRPr="006E0E7F">
        <w:rPr>
          <w:sz w:val="24"/>
          <w:szCs w:val="24"/>
        </w:rPr>
        <w:t xml:space="preserve">in the ordering paragraphs below. </w:t>
      </w:r>
    </w:p>
    <w:p w:rsidR="00C405C8" w:rsidRDefault="00C405C8" w:rsidP="00C405C8">
      <w:pPr>
        <w:spacing w:line="360" w:lineRule="auto"/>
        <w:rPr>
          <w:u w:val="single"/>
        </w:rPr>
      </w:pPr>
    </w:p>
    <w:p w:rsidR="00AF192E" w:rsidRPr="00EA1625" w:rsidRDefault="00AF192E" w:rsidP="00AF192E">
      <w:pPr>
        <w:spacing w:line="360" w:lineRule="auto"/>
        <w:jc w:val="center"/>
        <w:rPr>
          <w:u w:val="single"/>
        </w:rPr>
      </w:pPr>
      <w:r w:rsidRPr="00EA1625">
        <w:rPr>
          <w:u w:val="single"/>
        </w:rPr>
        <w:t>CONCLUSIONS OF LAW</w:t>
      </w:r>
    </w:p>
    <w:p w:rsidR="00AF192E" w:rsidRPr="00EA1625" w:rsidRDefault="00AF192E" w:rsidP="00AF192E">
      <w:pPr>
        <w:spacing w:line="360" w:lineRule="auto"/>
        <w:ind w:firstLine="1440"/>
      </w:pPr>
    </w:p>
    <w:p w:rsidR="00AF192E" w:rsidRPr="00EA1625" w:rsidRDefault="00AF192E" w:rsidP="00AF192E">
      <w:pPr>
        <w:numPr>
          <w:ilvl w:val="0"/>
          <w:numId w:val="1"/>
        </w:numPr>
        <w:tabs>
          <w:tab w:val="clear" w:pos="900"/>
          <w:tab w:val="num" w:pos="2160"/>
        </w:tabs>
        <w:spacing w:line="360" w:lineRule="auto"/>
        <w:ind w:left="0" w:firstLine="1440"/>
      </w:pPr>
      <w:r w:rsidRPr="00EA1625">
        <w:t>The Commission has jurisdiction over the parties and the subject matter of this proceeding.  66 Pa. C.S.</w:t>
      </w:r>
      <w:r w:rsidR="006D52AB">
        <w:t>A.</w:t>
      </w:r>
      <w:r w:rsidRPr="00EA1625">
        <w:t xml:space="preserve"> §701.</w:t>
      </w:r>
    </w:p>
    <w:p w:rsidR="00837A4B" w:rsidRPr="00EA1625" w:rsidRDefault="00837A4B" w:rsidP="00837A4B">
      <w:pPr>
        <w:tabs>
          <w:tab w:val="num" w:pos="2160"/>
        </w:tabs>
        <w:spacing w:line="360" w:lineRule="auto"/>
        <w:ind w:firstLine="1260"/>
      </w:pPr>
    </w:p>
    <w:p w:rsidR="00837A4B" w:rsidRPr="00223A5B" w:rsidRDefault="00837A4B" w:rsidP="00837A4B">
      <w:pPr>
        <w:spacing w:line="360" w:lineRule="auto"/>
      </w:pPr>
      <w:r w:rsidRPr="00EA1625">
        <w:tab/>
      </w:r>
      <w:r w:rsidRPr="00EA1625">
        <w:tab/>
        <w:t>2.</w:t>
      </w:r>
      <w:r w:rsidRPr="00EA1625">
        <w:tab/>
      </w:r>
      <w:r>
        <w:t>Complainant</w:t>
      </w:r>
      <w:r w:rsidRPr="00EA1625">
        <w:t xml:space="preserve"> </w:t>
      </w:r>
      <w:r>
        <w:t>carries</w:t>
      </w:r>
      <w:r w:rsidRPr="00EA1625">
        <w:t xml:space="preserve"> the burden of proving </w:t>
      </w:r>
      <w:r w:rsidR="003300D2" w:rsidRPr="00837A4B">
        <w:t xml:space="preserve">Respondent did not provide reasonable and adequate </w:t>
      </w:r>
      <w:r w:rsidR="003300D2">
        <w:t xml:space="preserve">customer </w:t>
      </w:r>
      <w:r w:rsidR="003300D2" w:rsidRPr="00837A4B">
        <w:t>service</w:t>
      </w:r>
      <w:r w:rsidR="003300D2">
        <w:t xml:space="preserve"> when </w:t>
      </w:r>
      <w:r>
        <w:t xml:space="preserve">Respondent improperly charged Complainant for electricity services Complainant did not </w:t>
      </w:r>
      <w:r w:rsidR="003300D2">
        <w:t xml:space="preserve">request or </w:t>
      </w:r>
      <w:r>
        <w:t>use</w:t>
      </w:r>
      <w:r w:rsidRPr="00EA1625">
        <w:t xml:space="preserve">.  </w:t>
      </w:r>
      <w:proofErr w:type="gramStart"/>
      <w:r w:rsidRPr="00223A5B">
        <w:t>66 Pa.</w:t>
      </w:r>
      <w:r>
        <w:t xml:space="preserve"> </w:t>
      </w:r>
      <w:r w:rsidRPr="00223A5B">
        <w:t>C.S.A. §332(a).</w:t>
      </w:r>
      <w:proofErr w:type="gramEnd"/>
    </w:p>
    <w:p w:rsidR="00837A4B" w:rsidRPr="00EA1625" w:rsidRDefault="00837A4B" w:rsidP="00837A4B">
      <w:pPr>
        <w:tabs>
          <w:tab w:val="num" w:pos="2160"/>
        </w:tabs>
        <w:spacing w:line="360" w:lineRule="auto"/>
        <w:ind w:firstLine="1260"/>
      </w:pPr>
    </w:p>
    <w:p w:rsidR="00837A4B" w:rsidRPr="00223A5B" w:rsidRDefault="00837A4B" w:rsidP="00837A4B">
      <w:pPr>
        <w:spacing w:line="360" w:lineRule="auto"/>
      </w:pPr>
      <w:r>
        <w:tab/>
      </w:r>
      <w:r>
        <w:tab/>
        <w:t>3</w:t>
      </w:r>
      <w:r w:rsidRPr="00EA1625">
        <w:t>.</w:t>
      </w:r>
      <w:r w:rsidRPr="00EA1625">
        <w:tab/>
      </w:r>
      <w:r>
        <w:t>Complainant</w:t>
      </w:r>
      <w:r w:rsidRPr="00EA1625">
        <w:t xml:space="preserve"> </w:t>
      </w:r>
      <w:r>
        <w:t>proved</w:t>
      </w:r>
      <w:r w:rsidRPr="00EA1625">
        <w:t xml:space="preserve"> </w:t>
      </w:r>
      <w:r>
        <w:t>Respondent improperly charged Complainant for electricity services which Complainant did not use</w:t>
      </w:r>
      <w:r w:rsidR="003300D2">
        <w:t xml:space="preserve"> when it opened an account in her name without her permission</w:t>
      </w:r>
      <w:r w:rsidRPr="00EA1625">
        <w:t xml:space="preserve">.  </w:t>
      </w:r>
      <w:proofErr w:type="gramStart"/>
      <w:r w:rsidRPr="00223A5B">
        <w:t>66 Pa.</w:t>
      </w:r>
      <w:r>
        <w:t xml:space="preserve"> </w:t>
      </w:r>
      <w:r w:rsidRPr="00223A5B">
        <w:t>C.S.A. §332(a).</w:t>
      </w:r>
      <w:proofErr w:type="gramEnd"/>
    </w:p>
    <w:p w:rsidR="00837A4B" w:rsidRPr="00837A4B" w:rsidRDefault="00837A4B" w:rsidP="00837A4B">
      <w:pPr>
        <w:spacing w:line="360" w:lineRule="auto"/>
      </w:pPr>
    </w:p>
    <w:p w:rsidR="00837A4B" w:rsidRPr="00837A4B" w:rsidRDefault="00837A4B" w:rsidP="00837A4B">
      <w:pPr>
        <w:pStyle w:val="FootnoteText"/>
        <w:spacing w:line="360" w:lineRule="auto"/>
        <w:rPr>
          <w:sz w:val="24"/>
          <w:szCs w:val="24"/>
        </w:rPr>
      </w:pPr>
      <w:r>
        <w:rPr>
          <w:sz w:val="24"/>
          <w:szCs w:val="24"/>
        </w:rPr>
        <w:tab/>
      </w:r>
      <w:r>
        <w:rPr>
          <w:sz w:val="24"/>
          <w:szCs w:val="24"/>
        </w:rPr>
        <w:tab/>
        <w:t>4</w:t>
      </w:r>
      <w:r w:rsidRPr="00837A4B">
        <w:rPr>
          <w:sz w:val="24"/>
          <w:szCs w:val="24"/>
        </w:rPr>
        <w:t>.</w:t>
      </w:r>
      <w:r w:rsidRPr="00837A4B">
        <w:rPr>
          <w:sz w:val="24"/>
          <w:szCs w:val="24"/>
        </w:rPr>
        <w:tab/>
        <w:t xml:space="preserve">Complainant carries the burden of proving Respondent did not provide reasonable and adequate </w:t>
      </w:r>
      <w:r>
        <w:rPr>
          <w:sz w:val="24"/>
          <w:szCs w:val="24"/>
        </w:rPr>
        <w:t xml:space="preserve">customer </w:t>
      </w:r>
      <w:r w:rsidRPr="00837A4B">
        <w:rPr>
          <w:sz w:val="24"/>
          <w:szCs w:val="24"/>
        </w:rPr>
        <w:t>service</w:t>
      </w:r>
      <w:r w:rsidR="009C7CD8">
        <w:rPr>
          <w:sz w:val="24"/>
          <w:szCs w:val="24"/>
        </w:rPr>
        <w:t xml:space="preserve"> when Respondent did not copy the identification or signature of the individual who opened an electric service account in Complainant’s name on November 12, 2009</w:t>
      </w:r>
      <w:r w:rsidRPr="00837A4B">
        <w:rPr>
          <w:sz w:val="24"/>
          <w:szCs w:val="24"/>
        </w:rPr>
        <w:t xml:space="preserve">.  </w:t>
      </w:r>
      <w:proofErr w:type="gramStart"/>
      <w:r w:rsidRPr="00837A4B">
        <w:rPr>
          <w:sz w:val="24"/>
          <w:szCs w:val="24"/>
        </w:rPr>
        <w:t>66 Pa. C.S.A. §332(a).</w:t>
      </w:r>
      <w:proofErr w:type="gramEnd"/>
      <w:r w:rsidRPr="00837A4B">
        <w:rPr>
          <w:sz w:val="24"/>
          <w:szCs w:val="24"/>
        </w:rPr>
        <w:t xml:space="preserve"> </w:t>
      </w:r>
    </w:p>
    <w:p w:rsidR="00837A4B" w:rsidRPr="008B455C" w:rsidRDefault="00837A4B" w:rsidP="00837A4B">
      <w:pPr>
        <w:spacing w:line="360" w:lineRule="auto"/>
        <w:ind w:left="540"/>
      </w:pPr>
    </w:p>
    <w:p w:rsidR="00837A4B" w:rsidRPr="008B455C" w:rsidRDefault="00837A4B" w:rsidP="00837A4B">
      <w:pPr>
        <w:pStyle w:val="FootnoteText"/>
        <w:spacing w:line="360" w:lineRule="auto"/>
        <w:rPr>
          <w:sz w:val="24"/>
          <w:szCs w:val="24"/>
        </w:rPr>
      </w:pPr>
      <w:r>
        <w:rPr>
          <w:sz w:val="24"/>
          <w:szCs w:val="24"/>
        </w:rPr>
        <w:lastRenderedPageBreak/>
        <w:tab/>
      </w:r>
      <w:r>
        <w:rPr>
          <w:sz w:val="24"/>
          <w:szCs w:val="24"/>
        </w:rPr>
        <w:tab/>
        <w:t>5</w:t>
      </w:r>
      <w:r w:rsidRPr="008B455C">
        <w:rPr>
          <w:sz w:val="24"/>
          <w:szCs w:val="24"/>
        </w:rPr>
        <w:t>.</w:t>
      </w:r>
      <w:r w:rsidRPr="008B455C">
        <w:rPr>
          <w:sz w:val="24"/>
          <w:szCs w:val="24"/>
        </w:rPr>
        <w:tab/>
      </w:r>
      <w:r>
        <w:rPr>
          <w:sz w:val="24"/>
          <w:szCs w:val="24"/>
        </w:rPr>
        <w:t xml:space="preserve">Complainant </w:t>
      </w:r>
      <w:r w:rsidR="009C7CD8">
        <w:rPr>
          <w:sz w:val="24"/>
          <w:szCs w:val="24"/>
        </w:rPr>
        <w:t xml:space="preserve">did not </w:t>
      </w:r>
      <w:r>
        <w:rPr>
          <w:sz w:val="24"/>
          <w:szCs w:val="24"/>
        </w:rPr>
        <w:t xml:space="preserve">prove Respondent failed to provide Complainant with reasonable and adequate customer service </w:t>
      </w:r>
      <w:r w:rsidR="009C7CD8">
        <w:rPr>
          <w:sz w:val="24"/>
          <w:szCs w:val="24"/>
        </w:rPr>
        <w:t>when Respondent did not copy the identification or signature of the individual who opened an electric service account in Complainant’s name on November 12, 2009</w:t>
      </w:r>
      <w:r w:rsidRPr="008B455C">
        <w:rPr>
          <w:sz w:val="24"/>
          <w:szCs w:val="24"/>
        </w:rPr>
        <w:t xml:space="preserve">.  </w:t>
      </w:r>
    </w:p>
    <w:p w:rsidR="00837A4B" w:rsidRDefault="00837A4B" w:rsidP="00837A4B">
      <w:pPr>
        <w:spacing w:line="360" w:lineRule="auto"/>
        <w:jc w:val="center"/>
        <w:rPr>
          <w:u w:val="single"/>
        </w:rPr>
      </w:pPr>
    </w:p>
    <w:p w:rsidR="00837A4B" w:rsidRPr="008B455C" w:rsidRDefault="00837A4B" w:rsidP="00837A4B">
      <w:pPr>
        <w:spacing w:line="360" w:lineRule="auto"/>
        <w:jc w:val="center"/>
        <w:rPr>
          <w:u w:val="single"/>
        </w:rPr>
      </w:pPr>
      <w:r w:rsidRPr="008B455C">
        <w:rPr>
          <w:u w:val="single"/>
        </w:rPr>
        <w:t>ORDER</w:t>
      </w:r>
    </w:p>
    <w:p w:rsidR="00837A4B" w:rsidRDefault="00837A4B" w:rsidP="00837A4B">
      <w:pPr>
        <w:tabs>
          <w:tab w:val="num" w:pos="2160"/>
        </w:tabs>
        <w:spacing w:line="360" w:lineRule="auto"/>
        <w:jc w:val="center"/>
        <w:rPr>
          <w:u w:val="single"/>
        </w:rPr>
      </w:pPr>
    </w:p>
    <w:p w:rsidR="00837A4B" w:rsidRPr="008B455C" w:rsidRDefault="00837A4B" w:rsidP="00837A4B">
      <w:pPr>
        <w:tabs>
          <w:tab w:val="num" w:pos="2160"/>
        </w:tabs>
        <w:spacing w:line="360" w:lineRule="auto"/>
        <w:jc w:val="center"/>
        <w:rPr>
          <w:u w:val="single"/>
        </w:rPr>
      </w:pPr>
    </w:p>
    <w:p w:rsidR="00837A4B" w:rsidRPr="008B455C" w:rsidRDefault="00837A4B" w:rsidP="00837A4B">
      <w:pPr>
        <w:tabs>
          <w:tab w:val="num" w:pos="2160"/>
        </w:tabs>
        <w:spacing w:line="360" w:lineRule="auto"/>
        <w:ind w:firstLine="1440"/>
      </w:pPr>
      <w:r w:rsidRPr="008B455C">
        <w:t xml:space="preserve">THEREFORE, </w:t>
      </w:r>
    </w:p>
    <w:p w:rsidR="00837A4B" w:rsidRPr="008B455C" w:rsidRDefault="00837A4B" w:rsidP="00837A4B">
      <w:pPr>
        <w:tabs>
          <w:tab w:val="num" w:pos="2160"/>
        </w:tabs>
        <w:spacing w:line="360" w:lineRule="auto"/>
      </w:pPr>
    </w:p>
    <w:p w:rsidR="00837A4B" w:rsidRPr="008B455C" w:rsidRDefault="00837A4B" w:rsidP="00837A4B">
      <w:pPr>
        <w:tabs>
          <w:tab w:val="num" w:pos="2160"/>
        </w:tabs>
        <w:spacing w:line="360" w:lineRule="auto"/>
        <w:ind w:firstLine="1440"/>
      </w:pPr>
      <w:r w:rsidRPr="008B455C">
        <w:t>IT IS ORDERED:</w:t>
      </w:r>
    </w:p>
    <w:p w:rsidR="00837A4B" w:rsidRPr="008B455C" w:rsidRDefault="00837A4B" w:rsidP="00837A4B">
      <w:pPr>
        <w:tabs>
          <w:tab w:val="num" w:pos="2160"/>
        </w:tabs>
        <w:spacing w:line="360" w:lineRule="auto"/>
        <w:rPr>
          <w:b/>
        </w:rPr>
      </w:pPr>
    </w:p>
    <w:p w:rsidR="00837A4B" w:rsidRDefault="00837A4B" w:rsidP="00837A4B">
      <w:pPr>
        <w:tabs>
          <w:tab w:val="num" w:pos="2160"/>
        </w:tabs>
        <w:spacing w:line="360" w:lineRule="auto"/>
        <w:ind w:firstLine="1440"/>
      </w:pPr>
      <w:r>
        <w:t>1.</w:t>
      </w:r>
      <w:r>
        <w:tab/>
      </w:r>
      <w:r w:rsidRPr="008B455C">
        <w:t xml:space="preserve">That the complaint </w:t>
      </w:r>
      <w:r w:rsidRPr="002F64FF">
        <w:t xml:space="preserve">of </w:t>
      </w:r>
      <w:r w:rsidR="003300D2">
        <w:t>Barbara Jackson versus PECO Energy Company at Dock</w:t>
      </w:r>
      <w:r>
        <w:t>et No. C</w:t>
      </w:r>
      <w:r w:rsidRPr="008B455C">
        <w:noBreakHyphen/>
      </w:r>
      <w:r w:rsidR="003300D2">
        <w:t>2010-2195248</w:t>
      </w:r>
      <w:r w:rsidRPr="008B455C">
        <w:t xml:space="preserve"> </w:t>
      </w:r>
      <w:r w:rsidRPr="00EA1625">
        <w:t>hereby</w:t>
      </w:r>
      <w:r>
        <w:t xml:space="preserve"> is</w:t>
      </w:r>
      <w:r w:rsidRPr="00EA1625">
        <w:t xml:space="preserve"> </w:t>
      </w:r>
      <w:r>
        <w:t xml:space="preserve">sustained </w:t>
      </w:r>
      <w:r w:rsidR="003300D2">
        <w:t>in part in that</w:t>
      </w:r>
      <w:r>
        <w:t xml:space="preserve"> Complainant proved </w:t>
      </w:r>
      <w:r w:rsidRPr="008B455C">
        <w:t>Respondent</w:t>
      </w:r>
      <w:r>
        <w:t xml:space="preserve"> did not provide reasonable and adequate service</w:t>
      </w:r>
      <w:r w:rsidR="003300D2">
        <w:t xml:space="preserve"> when it opened an account in her name for 1862</w:t>
      </w:r>
      <w:r w:rsidR="00CC6651">
        <w:t> </w:t>
      </w:r>
      <w:r w:rsidR="003300D2">
        <w:t>Nolan Street, Philadelphia, Pennsylvania on November 12, 2009 and charged her for electric service provided until February 2, 2010</w:t>
      </w:r>
      <w:r w:rsidRPr="008B455C">
        <w:t>.</w:t>
      </w:r>
    </w:p>
    <w:p w:rsidR="00837A4B" w:rsidRDefault="00837A4B" w:rsidP="00837A4B">
      <w:pPr>
        <w:tabs>
          <w:tab w:val="num" w:pos="2160"/>
        </w:tabs>
        <w:spacing w:line="360" w:lineRule="auto"/>
        <w:ind w:firstLine="1440"/>
      </w:pPr>
    </w:p>
    <w:p w:rsidR="00837A4B" w:rsidRDefault="00837A4B" w:rsidP="00837A4B">
      <w:pPr>
        <w:tabs>
          <w:tab w:val="num" w:pos="2160"/>
        </w:tabs>
        <w:spacing w:line="360" w:lineRule="auto"/>
        <w:ind w:firstLine="1440"/>
      </w:pPr>
      <w:r>
        <w:t>2.</w:t>
      </w:r>
      <w:r>
        <w:tab/>
      </w:r>
      <w:r w:rsidR="003300D2" w:rsidRPr="008B455C">
        <w:t xml:space="preserve">That the complaint </w:t>
      </w:r>
      <w:r w:rsidR="003300D2" w:rsidRPr="002F64FF">
        <w:t xml:space="preserve">of </w:t>
      </w:r>
      <w:r w:rsidR="003300D2">
        <w:t>Barbara Jackson versus PECO Energy Company at Docket No. C</w:t>
      </w:r>
      <w:r w:rsidR="003300D2" w:rsidRPr="008B455C">
        <w:noBreakHyphen/>
      </w:r>
      <w:r w:rsidR="003300D2">
        <w:t>2010-2195248</w:t>
      </w:r>
      <w:r w:rsidR="003300D2" w:rsidRPr="008B455C">
        <w:t xml:space="preserve"> </w:t>
      </w:r>
      <w:r w:rsidR="003300D2" w:rsidRPr="00EA1625">
        <w:t>hereby</w:t>
      </w:r>
      <w:r w:rsidR="003300D2">
        <w:t xml:space="preserve"> is</w:t>
      </w:r>
      <w:r w:rsidR="003300D2" w:rsidRPr="00EA1625">
        <w:t xml:space="preserve"> </w:t>
      </w:r>
      <w:r w:rsidR="003300D2">
        <w:t xml:space="preserve">denied in part in that Complainant did not prove </w:t>
      </w:r>
      <w:r w:rsidR="003300D2" w:rsidRPr="008B455C">
        <w:t>Respondent</w:t>
      </w:r>
      <w:r w:rsidR="003300D2">
        <w:t xml:space="preserve"> failed to provide reasonable and adequate service when it did not make a copy of the identification presented on November 12, 2009</w:t>
      </w:r>
      <w:r>
        <w:t>.</w:t>
      </w:r>
    </w:p>
    <w:p w:rsidR="00837A4B" w:rsidRDefault="00837A4B" w:rsidP="00837A4B">
      <w:pPr>
        <w:tabs>
          <w:tab w:val="num" w:pos="2160"/>
        </w:tabs>
      </w:pPr>
    </w:p>
    <w:p w:rsidR="003300D2" w:rsidRDefault="003300D2" w:rsidP="00837A4B">
      <w:pPr>
        <w:tabs>
          <w:tab w:val="num" w:pos="2160"/>
        </w:tabs>
      </w:pPr>
    </w:p>
    <w:p w:rsidR="00837A4B" w:rsidRPr="008B455C" w:rsidRDefault="00837A4B" w:rsidP="00837A4B">
      <w:pPr>
        <w:tabs>
          <w:tab w:val="num" w:pos="2160"/>
        </w:tabs>
      </w:pPr>
      <w:r>
        <w:tab/>
      </w:r>
    </w:p>
    <w:p w:rsidR="00837A4B" w:rsidRPr="008B455C" w:rsidRDefault="00837A4B" w:rsidP="00837A4B">
      <w:pPr>
        <w:tabs>
          <w:tab w:val="num" w:pos="2160"/>
        </w:tabs>
      </w:pPr>
      <w:r w:rsidRPr="008B455C">
        <w:t>Date:</w:t>
      </w:r>
      <w:r>
        <w:t xml:space="preserve"> </w:t>
      </w:r>
      <w:r w:rsidRPr="008B455C">
        <w:t xml:space="preserve"> </w:t>
      </w:r>
      <w:r>
        <w:rPr>
          <w:u w:val="single"/>
        </w:rPr>
        <w:t>February 2</w:t>
      </w:r>
      <w:r w:rsidR="00FA0946">
        <w:rPr>
          <w:u w:val="single"/>
        </w:rPr>
        <w:t>8</w:t>
      </w:r>
      <w:r>
        <w:rPr>
          <w:u w:val="single"/>
        </w:rPr>
        <w:t>, 2012</w:t>
      </w:r>
      <w:r w:rsidRPr="008B455C">
        <w:tab/>
      </w:r>
      <w:r>
        <w:tab/>
      </w:r>
      <w:r>
        <w:tab/>
      </w:r>
      <w:r>
        <w:tab/>
      </w:r>
      <w:r>
        <w:tab/>
      </w:r>
      <w:r w:rsidR="0010019D">
        <w:tab/>
      </w:r>
      <w:r w:rsidRPr="008B455C">
        <w:t>________________________</w:t>
      </w:r>
    </w:p>
    <w:p w:rsidR="00837A4B" w:rsidRPr="008B455C" w:rsidRDefault="00837A4B" w:rsidP="00837A4B">
      <w:pPr>
        <w:tabs>
          <w:tab w:val="num" w:pos="2160"/>
        </w:tabs>
      </w:pPr>
      <w:r w:rsidRPr="008B455C">
        <w:tab/>
      </w:r>
      <w:r w:rsidRPr="008B455C">
        <w:tab/>
      </w:r>
      <w:r w:rsidRPr="008B455C">
        <w:tab/>
      </w:r>
      <w:r w:rsidRPr="008B455C">
        <w:tab/>
      </w:r>
      <w:r w:rsidRPr="008B455C">
        <w:tab/>
      </w:r>
      <w:r>
        <w:tab/>
      </w:r>
      <w:r w:rsidR="0010019D">
        <w:tab/>
      </w:r>
      <w:r w:rsidRPr="008B455C">
        <w:t>Katrina L. Dunderdale</w:t>
      </w:r>
    </w:p>
    <w:p w:rsidR="00837A4B" w:rsidRPr="008B455C" w:rsidRDefault="00837A4B" w:rsidP="00837A4B">
      <w:pPr>
        <w:tabs>
          <w:tab w:val="num" w:pos="2160"/>
        </w:tabs>
      </w:pPr>
      <w:r w:rsidRPr="008B455C">
        <w:tab/>
      </w:r>
      <w:r w:rsidRPr="008B455C">
        <w:tab/>
      </w:r>
      <w:r w:rsidRPr="008B455C">
        <w:tab/>
      </w:r>
      <w:r>
        <w:tab/>
      </w:r>
      <w:r>
        <w:tab/>
      </w:r>
      <w:r>
        <w:tab/>
      </w:r>
      <w:r w:rsidR="0010019D">
        <w:tab/>
      </w:r>
      <w:r>
        <w:t>Administrative Law Judge</w:t>
      </w:r>
    </w:p>
    <w:p w:rsidR="000E6AC8" w:rsidRPr="00EA1625" w:rsidRDefault="000E6AC8" w:rsidP="00B46DE5">
      <w:pPr>
        <w:ind w:right="115"/>
      </w:pPr>
    </w:p>
    <w:sectPr w:rsidR="000E6AC8" w:rsidRPr="00EA1625"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848" w:rsidRDefault="00371848">
      <w:r>
        <w:separator/>
      </w:r>
    </w:p>
  </w:endnote>
  <w:endnote w:type="continuationSeparator" w:id="0">
    <w:p w:rsidR="00371848" w:rsidRDefault="0037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Default="0046638D"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379B2">
      <w:rPr>
        <w:rStyle w:val="PageNumber"/>
        <w:noProof/>
      </w:rPr>
      <w:t>4</w:t>
    </w:r>
    <w:r>
      <w:rPr>
        <w:rStyle w:val="PageNumber"/>
      </w:rPr>
      <w:fldChar w:fldCharType="end"/>
    </w:r>
  </w:p>
  <w:p w:rsidR="002C71EE" w:rsidRDefault="002C7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Pr="0014242F" w:rsidRDefault="0046638D"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F177F2">
      <w:rPr>
        <w:rStyle w:val="PageNumber"/>
        <w:noProof/>
        <w:sz w:val="20"/>
        <w:szCs w:val="20"/>
      </w:rPr>
      <w:t>10</w:t>
    </w:r>
    <w:r w:rsidRPr="0014242F">
      <w:rPr>
        <w:rStyle w:val="PageNumber"/>
        <w:sz w:val="20"/>
        <w:szCs w:val="20"/>
      </w:rPr>
      <w:fldChar w:fldCharType="end"/>
    </w:r>
  </w:p>
  <w:p w:rsidR="002C71EE" w:rsidRDefault="002C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848" w:rsidRDefault="00371848">
      <w:r>
        <w:separator/>
      </w:r>
    </w:p>
  </w:footnote>
  <w:footnote w:type="continuationSeparator" w:id="0">
    <w:p w:rsidR="00371848" w:rsidRDefault="00371848">
      <w:r>
        <w:continuationSeparator/>
      </w:r>
    </w:p>
  </w:footnote>
  <w:footnote w:id="1">
    <w:p w:rsidR="003B40DA" w:rsidRDefault="003B40DA" w:rsidP="005F0F52">
      <w:pPr>
        <w:pStyle w:val="FootnoteText"/>
        <w:ind w:firstLine="720"/>
      </w:pPr>
      <w:r>
        <w:rPr>
          <w:rStyle w:val="FootnoteReference"/>
        </w:rPr>
        <w:footnoteRef/>
      </w:r>
      <w:r>
        <w:t xml:space="preserve"> </w:t>
      </w:r>
      <w:r>
        <w:tab/>
      </w:r>
      <w:r w:rsidRPr="003B40DA">
        <w:t>See 66 Pa. C.S.A. §1501.</w:t>
      </w:r>
    </w:p>
    <w:p w:rsidR="005F0F52" w:rsidRPr="003B40DA" w:rsidRDefault="005F0F52" w:rsidP="005F0F52">
      <w:pPr>
        <w:pStyle w:val="FootnoteText"/>
        <w:ind w:firstLine="720"/>
      </w:pPr>
    </w:p>
  </w:footnote>
  <w:footnote w:id="2">
    <w:p w:rsidR="00846FA1" w:rsidRDefault="00846FA1" w:rsidP="005F0F52">
      <w:pPr>
        <w:pStyle w:val="FootnoteText"/>
        <w:ind w:firstLine="720"/>
      </w:pPr>
      <w:r>
        <w:rPr>
          <w:rStyle w:val="FootnoteReference"/>
        </w:rPr>
        <w:footnoteRef/>
      </w:r>
      <w:r>
        <w:t xml:space="preserve"> </w:t>
      </w:r>
      <w:r>
        <w:tab/>
        <w:t xml:space="preserve">See </w:t>
      </w:r>
      <w:r w:rsidRPr="004E7308">
        <w:t>66 Pa. C.S.</w:t>
      </w:r>
      <w:r w:rsidR="005963F0">
        <w:t>A.</w:t>
      </w:r>
      <w:r w:rsidRPr="004E7308">
        <w:t xml:space="preserve"> §332(a).</w:t>
      </w:r>
    </w:p>
    <w:p w:rsidR="005F0F52" w:rsidRDefault="005F0F52" w:rsidP="005F0F52">
      <w:pPr>
        <w:pStyle w:val="FootnoteText"/>
        <w:ind w:firstLine="720"/>
      </w:pPr>
    </w:p>
  </w:footnote>
  <w:footnote w:id="3">
    <w:p w:rsidR="00846FA1" w:rsidRDefault="00846FA1" w:rsidP="005F0F52">
      <w:pPr>
        <w:pStyle w:val="FootnoteText"/>
        <w:ind w:firstLine="720"/>
      </w:pPr>
      <w:r>
        <w:rPr>
          <w:rStyle w:val="FootnoteReference"/>
        </w:rPr>
        <w:footnoteRef/>
      </w:r>
      <w:r>
        <w:t xml:space="preserve"> </w:t>
      </w:r>
      <w:r>
        <w:tab/>
      </w:r>
      <w:proofErr w:type="gramStart"/>
      <w:r>
        <w:t xml:space="preserve">See </w:t>
      </w:r>
      <w:r>
        <w:rPr>
          <w:u w:val="single"/>
        </w:rPr>
        <w:t xml:space="preserve">Norfolk </w:t>
      </w:r>
      <w:r w:rsidRPr="006E5FE7">
        <w:rPr>
          <w:u w:val="single"/>
        </w:rPr>
        <w:t>&amp; Western Ry. Company v. Pennsylvania Public Utility Commission</w:t>
      </w:r>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xml:space="preserve">, 480 A.2d 382 (Pa. </w:t>
      </w:r>
      <w:proofErr w:type="spellStart"/>
      <w:r w:rsidRPr="006E5FE7">
        <w:t>Cmwlth</w:t>
      </w:r>
      <w:proofErr w:type="spellEnd"/>
      <w:r w:rsidRPr="006E5FE7">
        <w:t>. 1984).</w:t>
      </w:r>
      <w:proofErr w:type="gramEnd"/>
    </w:p>
    <w:p w:rsidR="00467327" w:rsidRDefault="00467327" w:rsidP="005F0F52">
      <w:pPr>
        <w:pStyle w:val="FootnoteText"/>
        <w:ind w:firstLine="720"/>
      </w:pPr>
    </w:p>
  </w:footnote>
  <w:footnote w:id="4">
    <w:p w:rsidR="00762049" w:rsidRDefault="00762049" w:rsidP="00762049">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72 PA PUC 196 (1990)</w:t>
      </w:r>
      <w:r>
        <w:rPr>
          <w:spacing w:val="-3"/>
        </w:rPr>
        <w:t>;</w:t>
      </w:r>
      <w:r w:rsidRPr="0058651A">
        <w:rPr>
          <w:spacing w:val="-3"/>
        </w:rPr>
        <w:t xml:space="preserve">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footnote>
  <w:footnote w:id="5">
    <w:p w:rsidR="00762049" w:rsidRDefault="00762049" w:rsidP="00762049">
      <w:pPr>
        <w:pStyle w:val="FootnoteText"/>
        <w:ind w:firstLine="720"/>
      </w:pPr>
    </w:p>
    <w:p w:rsidR="00762049" w:rsidRDefault="00762049" w:rsidP="00762049">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134 Pa.</w:t>
      </w:r>
      <w:r>
        <w:rPr>
          <w:spacing w:val="-3"/>
        </w:rPr>
        <w:t xml:space="preserve"> </w:t>
      </w:r>
      <w:proofErr w:type="spellStart"/>
      <w:r w:rsidRPr="00EC0D25">
        <w:rPr>
          <w:spacing w:val="-3"/>
        </w:rPr>
        <w:t>Commw</w:t>
      </w:r>
      <w:proofErr w:type="spell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762049" w:rsidRPr="00EC0D25" w:rsidRDefault="00762049" w:rsidP="00762049">
      <w:pPr>
        <w:pStyle w:val="FootnoteText"/>
        <w:ind w:firstLine="720"/>
      </w:pPr>
    </w:p>
  </w:footnote>
  <w:footnote w:id="6">
    <w:p w:rsidR="00762049" w:rsidRPr="00A964A8" w:rsidRDefault="00762049" w:rsidP="00762049">
      <w:pPr>
        <w:tabs>
          <w:tab w:val="left" w:pos="-1440"/>
          <w:tab w:val="left" w:pos="-720"/>
        </w:tabs>
        <w:suppressAutoHyphens/>
      </w:pPr>
      <w:r>
        <w:tab/>
      </w:r>
      <w:r>
        <w:rPr>
          <w:rStyle w:val="FootnoteReference"/>
        </w:rPr>
        <w:footnoteRef/>
      </w:r>
      <w: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footnote>
  <w:footnote w:id="7">
    <w:p w:rsidR="00611C42" w:rsidRDefault="00611C42" w:rsidP="00611C42">
      <w:pPr>
        <w:pStyle w:val="FootnoteText"/>
        <w:ind w:firstLine="720"/>
      </w:pPr>
      <w:r>
        <w:rPr>
          <w:rStyle w:val="FootnoteReference"/>
        </w:rPr>
        <w:footnoteRef/>
      </w:r>
      <w:r>
        <w:t xml:space="preserve"> </w:t>
      </w:r>
      <w:r>
        <w:tab/>
      </w:r>
      <w:r w:rsidRPr="00A6043D">
        <w:t xml:space="preserve">See </w:t>
      </w:r>
      <w:proofErr w:type="spellStart"/>
      <w:r w:rsidRPr="00A6043D">
        <w:rPr>
          <w:u w:val="single"/>
        </w:rPr>
        <w:t>DeFranscesco</w:t>
      </w:r>
      <w:proofErr w:type="spellEnd"/>
      <w:r w:rsidRPr="00A6043D">
        <w:rPr>
          <w:u w:val="single"/>
        </w:rPr>
        <w:t xml:space="preserve"> v. West Penn Power Company</w:t>
      </w:r>
      <w:r w:rsidRPr="00A6043D">
        <w:t xml:space="preserve">, 329 Pa. Superior Ct. 508, </w:t>
      </w:r>
      <w:proofErr w:type="gramStart"/>
      <w:r w:rsidRPr="00A6043D">
        <w:t>478 A.2d 1295</w:t>
      </w:r>
      <w:proofErr w:type="gramEnd"/>
      <w:r w:rsidRPr="00A6043D">
        <w:t xml:space="preserve"> (1984).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F34EDC"/>
    <w:multiLevelType w:val="hybridMultilevel"/>
    <w:tmpl w:val="7E0296C0"/>
    <w:lvl w:ilvl="0" w:tplc="147635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6"/>
  </w:num>
  <w:num w:numId="3">
    <w:abstractNumId w:val="5"/>
  </w:num>
  <w:num w:numId="4">
    <w:abstractNumId w:val="8"/>
  </w:num>
  <w:num w:numId="5">
    <w:abstractNumId w:val="1"/>
  </w:num>
  <w:num w:numId="6">
    <w:abstractNumId w:val="4"/>
  </w:num>
  <w:num w:numId="7">
    <w:abstractNumId w:val="9"/>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2933"/>
    <w:rsid w:val="00005217"/>
    <w:rsid w:val="00014CD9"/>
    <w:rsid w:val="00015E77"/>
    <w:rsid w:val="00016EA3"/>
    <w:rsid w:val="000202E4"/>
    <w:rsid w:val="00020B78"/>
    <w:rsid w:val="000218E1"/>
    <w:rsid w:val="00023CF5"/>
    <w:rsid w:val="0002562B"/>
    <w:rsid w:val="00032447"/>
    <w:rsid w:val="0003254A"/>
    <w:rsid w:val="0003345F"/>
    <w:rsid w:val="00034231"/>
    <w:rsid w:val="00034D3C"/>
    <w:rsid w:val="0003581E"/>
    <w:rsid w:val="00036E7E"/>
    <w:rsid w:val="0003750C"/>
    <w:rsid w:val="0004246D"/>
    <w:rsid w:val="00042684"/>
    <w:rsid w:val="00047CF1"/>
    <w:rsid w:val="00050D6D"/>
    <w:rsid w:val="00051FFD"/>
    <w:rsid w:val="000522FF"/>
    <w:rsid w:val="000539E5"/>
    <w:rsid w:val="00054994"/>
    <w:rsid w:val="00057812"/>
    <w:rsid w:val="0006370C"/>
    <w:rsid w:val="00064E1B"/>
    <w:rsid w:val="00065B67"/>
    <w:rsid w:val="00066099"/>
    <w:rsid w:val="00067DC6"/>
    <w:rsid w:val="00073A29"/>
    <w:rsid w:val="00081933"/>
    <w:rsid w:val="000857D4"/>
    <w:rsid w:val="00086D0E"/>
    <w:rsid w:val="000876AA"/>
    <w:rsid w:val="00091434"/>
    <w:rsid w:val="000919E3"/>
    <w:rsid w:val="00091E6D"/>
    <w:rsid w:val="00092268"/>
    <w:rsid w:val="00094316"/>
    <w:rsid w:val="00094EC4"/>
    <w:rsid w:val="00095A48"/>
    <w:rsid w:val="000A224E"/>
    <w:rsid w:val="000A46F6"/>
    <w:rsid w:val="000A7A7E"/>
    <w:rsid w:val="000A7B01"/>
    <w:rsid w:val="000A7DE2"/>
    <w:rsid w:val="000B0443"/>
    <w:rsid w:val="000B12EC"/>
    <w:rsid w:val="000B1450"/>
    <w:rsid w:val="000B22DB"/>
    <w:rsid w:val="000B2586"/>
    <w:rsid w:val="000B4044"/>
    <w:rsid w:val="000B575F"/>
    <w:rsid w:val="000B7480"/>
    <w:rsid w:val="000C0C94"/>
    <w:rsid w:val="000C22D0"/>
    <w:rsid w:val="000C4FB0"/>
    <w:rsid w:val="000C6105"/>
    <w:rsid w:val="000C639E"/>
    <w:rsid w:val="000C6633"/>
    <w:rsid w:val="000C736C"/>
    <w:rsid w:val="000D20FB"/>
    <w:rsid w:val="000D332F"/>
    <w:rsid w:val="000D4E83"/>
    <w:rsid w:val="000D74CE"/>
    <w:rsid w:val="000D7D68"/>
    <w:rsid w:val="000E0DDA"/>
    <w:rsid w:val="000E33AA"/>
    <w:rsid w:val="000E4C15"/>
    <w:rsid w:val="000E4D29"/>
    <w:rsid w:val="000E52DA"/>
    <w:rsid w:val="000E6AC8"/>
    <w:rsid w:val="000F0F3C"/>
    <w:rsid w:val="000F45A3"/>
    <w:rsid w:val="000F4D6B"/>
    <w:rsid w:val="000F746C"/>
    <w:rsid w:val="0010019D"/>
    <w:rsid w:val="0010040A"/>
    <w:rsid w:val="00103215"/>
    <w:rsid w:val="00103B9D"/>
    <w:rsid w:val="0010437D"/>
    <w:rsid w:val="00104453"/>
    <w:rsid w:val="001044D8"/>
    <w:rsid w:val="00106746"/>
    <w:rsid w:val="001130C8"/>
    <w:rsid w:val="001140BC"/>
    <w:rsid w:val="001161AA"/>
    <w:rsid w:val="0011669D"/>
    <w:rsid w:val="0011788E"/>
    <w:rsid w:val="0012141F"/>
    <w:rsid w:val="00121AE5"/>
    <w:rsid w:val="001226EA"/>
    <w:rsid w:val="0012397B"/>
    <w:rsid w:val="0012478B"/>
    <w:rsid w:val="0012512A"/>
    <w:rsid w:val="00125933"/>
    <w:rsid w:val="00125CCD"/>
    <w:rsid w:val="00130536"/>
    <w:rsid w:val="00130E27"/>
    <w:rsid w:val="0013299A"/>
    <w:rsid w:val="001339E0"/>
    <w:rsid w:val="00133A47"/>
    <w:rsid w:val="00133B41"/>
    <w:rsid w:val="001354D6"/>
    <w:rsid w:val="00137307"/>
    <w:rsid w:val="001375AA"/>
    <w:rsid w:val="00137F4E"/>
    <w:rsid w:val="00142A80"/>
    <w:rsid w:val="00143FA7"/>
    <w:rsid w:val="00144748"/>
    <w:rsid w:val="001513EC"/>
    <w:rsid w:val="00152853"/>
    <w:rsid w:val="00153358"/>
    <w:rsid w:val="00153E19"/>
    <w:rsid w:val="00156938"/>
    <w:rsid w:val="00156A90"/>
    <w:rsid w:val="001579F8"/>
    <w:rsid w:val="00161DD4"/>
    <w:rsid w:val="001651EC"/>
    <w:rsid w:val="00165400"/>
    <w:rsid w:val="0016541B"/>
    <w:rsid w:val="00166791"/>
    <w:rsid w:val="00166C30"/>
    <w:rsid w:val="00166F22"/>
    <w:rsid w:val="00167534"/>
    <w:rsid w:val="00172F8D"/>
    <w:rsid w:val="001802CA"/>
    <w:rsid w:val="00182E52"/>
    <w:rsid w:val="00182EDA"/>
    <w:rsid w:val="00182F15"/>
    <w:rsid w:val="001835A0"/>
    <w:rsid w:val="0018379D"/>
    <w:rsid w:val="00183AE1"/>
    <w:rsid w:val="00185EF9"/>
    <w:rsid w:val="00192495"/>
    <w:rsid w:val="00195561"/>
    <w:rsid w:val="001961FE"/>
    <w:rsid w:val="00196E40"/>
    <w:rsid w:val="001A1053"/>
    <w:rsid w:val="001A10B8"/>
    <w:rsid w:val="001A5BC2"/>
    <w:rsid w:val="001A7B2A"/>
    <w:rsid w:val="001B02AE"/>
    <w:rsid w:val="001B1AD4"/>
    <w:rsid w:val="001B3B0D"/>
    <w:rsid w:val="001B436F"/>
    <w:rsid w:val="001C3008"/>
    <w:rsid w:val="001C4EBC"/>
    <w:rsid w:val="001C5AD4"/>
    <w:rsid w:val="001C5F76"/>
    <w:rsid w:val="001C77BD"/>
    <w:rsid w:val="001D1462"/>
    <w:rsid w:val="001D1DC6"/>
    <w:rsid w:val="001D4E69"/>
    <w:rsid w:val="001D5E87"/>
    <w:rsid w:val="001D67F3"/>
    <w:rsid w:val="001D6F49"/>
    <w:rsid w:val="001D7070"/>
    <w:rsid w:val="001D79FF"/>
    <w:rsid w:val="001E0B58"/>
    <w:rsid w:val="001E2C24"/>
    <w:rsid w:val="001E6E72"/>
    <w:rsid w:val="001F030C"/>
    <w:rsid w:val="001F20AC"/>
    <w:rsid w:val="001F2DB0"/>
    <w:rsid w:val="001F41BB"/>
    <w:rsid w:val="001F44B8"/>
    <w:rsid w:val="001F501B"/>
    <w:rsid w:val="001F7D51"/>
    <w:rsid w:val="001F7F3F"/>
    <w:rsid w:val="00200ED0"/>
    <w:rsid w:val="00205CC7"/>
    <w:rsid w:val="00206B04"/>
    <w:rsid w:val="002075E6"/>
    <w:rsid w:val="00210334"/>
    <w:rsid w:val="002103A1"/>
    <w:rsid w:val="00210460"/>
    <w:rsid w:val="00212D2D"/>
    <w:rsid w:val="00214A19"/>
    <w:rsid w:val="002154B5"/>
    <w:rsid w:val="002154CD"/>
    <w:rsid w:val="00216149"/>
    <w:rsid w:val="00216A05"/>
    <w:rsid w:val="0022141F"/>
    <w:rsid w:val="00222506"/>
    <w:rsid w:val="00223A5B"/>
    <w:rsid w:val="00226754"/>
    <w:rsid w:val="00226A82"/>
    <w:rsid w:val="00230C81"/>
    <w:rsid w:val="0023235E"/>
    <w:rsid w:val="00236778"/>
    <w:rsid w:val="002379B2"/>
    <w:rsid w:val="0024228E"/>
    <w:rsid w:val="00244AD1"/>
    <w:rsid w:val="00244F10"/>
    <w:rsid w:val="00245247"/>
    <w:rsid w:val="00251BBF"/>
    <w:rsid w:val="002520A5"/>
    <w:rsid w:val="00254BFC"/>
    <w:rsid w:val="00254FD1"/>
    <w:rsid w:val="0025557F"/>
    <w:rsid w:val="00255813"/>
    <w:rsid w:val="0025648B"/>
    <w:rsid w:val="00257459"/>
    <w:rsid w:val="0026028F"/>
    <w:rsid w:val="0026257D"/>
    <w:rsid w:val="00263EFE"/>
    <w:rsid w:val="00265108"/>
    <w:rsid w:val="0026526F"/>
    <w:rsid w:val="00271E72"/>
    <w:rsid w:val="00271FF1"/>
    <w:rsid w:val="00272FFB"/>
    <w:rsid w:val="002768A0"/>
    <w:rsid w:val="00277379"/>
    <w:rsid w:val="00280380"/>
    <w:rsid w:val="00280AF0"/>
    <w:rsid w:val="00283A3F"/>
    <w:rsid w:val="002867AD"/>
    <w:rsid w:val="0029002C"/>
    <w:rsid w:val="002904BB"/>
    <w:rsid w:val="00291636"/>
    <w:rsid w:val="00291917"/>
    <w:rsid w:val="00295403"/>
    <w:rsid w:val="00296B64"/>
    <w:rsid w:val="002A34ED"/>
    <w:rsid w:val="002A5387"/>
    <w:rsid w:val="002A788C"/>
    <w:rsid w:val="002A78AC"/>
    <w:rsid w:val="002B433A"/>
    <w:rsid w:val="002B4996"/>
    <w:rsid w:val="002B4DFA"/>
    <w:rsid w:val="002C0453"/>
    <w:rsid w:val="002C6923"/>
    <w:rsid w:val="002C703F"/>
    <w:rsid w:val="002C71EE"/>
    <w:rsid w:val="002C7AB0"/>
    <w:rsid w:val="002D154F"/>
    <w:rsid w:val="002D29E7"/>
    <w:rsid w:val="002E0648"/>
    <w:rsid w:val="002E2B6E"/>
    <w:rsid w:val="002E49A8"/>
    <w:rsid w:val="002E597B"/>
    <w:rsid w:val="002E5A74"/>
    <w:rsid w:val="002E6B15"/>
    <w:rsid w:val="002F490A"/>
    <w:rsid w:val="002F4F6F"/>
    <w:rsid w:val="002F6CA8"/>
    <w:rsid w:val="002F6DFB"/>
    <w:rsid w:val="00302C62"/>
    <w:rsid w:val="00302D41"/>
    <w:rsid w:val="003057F2"/>
    <w:rsid w:val="00307FF8"/>
    <w:rsid w:val="00311588"/>
    <w:rsid w:val="003121E7"/>
    <w:rsid w:val="0032389C"/>
    <w:rsid w:val="00324C80"/>
    <w:rsid w:val="00325F65"/>
    <w:rsid w:val="00326C73"/>
    <w:rsid w:val="003300D2"/>
    <w:rsid w:val="00330B01"/>
    <w:rsid w:val="0033183D"/>
    <w:rsid w:val="003360F0"/>
    <w:rsid w:val="00337340"/>
    <w:rsid w:val="00340B50"/>
    <w:rsid w:val="0034231B"/>
    <w:rsid w:val="00342B49"/>
    <w:rsid w:val="00343D42"/>
    <w:rsid w:val="0034410D"/>
    <w:rsid w:val="0034692A"/>
    <w:rsid w:val="003603C7"/>
    <w:rsid w:val="00360ACF"/>
    <w:rsid w:val="00360EB9"/>
    <w:rsid w:val="003648F3"/>
    <w:rsid w:val="003649AC"/>
    <w:rsid w:val="003678A1"/>
    <w:rsid w:val="00370128"/>
    <w:rsid w:val="00370B2D"/>
    <w:rsid w:val="00371848"/>
    <w:rsid w:val="00371933"/>
    <w:rsid w:val="00373245"/>
    <w:rsid w:val="00373AC6"/>
    <w:rsid w:val="0037694C"/>
    <w:rsid w:val="003776D7"/>
    <w:rsid w:val="00380103"/>
    <w:rsid w:val="00380F4B"/>
    <w:rsid w:val="00382CE0"/>
    <w:rsid w:val="00382EDB"/>
    <w:rsid w:val="00383F5D"/>
    <w:rsid w:val="00386C1C"/>
    <w:rsid w:val="00387E50"/>
    <w:rsid w:val="003908EE"/>
    <w:rsid w:val="00391096"/>
    <w:rsid w:val="00394A82"/>
    <w:rsid w:val="00394B1F"/>
    <w:rsid w:val="00397243"/>
    <w:rsid w:val="003A0265"/>
    <w:rsid w:val="003A0D6B"/>
    <w:rsid w:val="003A4A31"/>
    <w:rsid w:val="003A551E"/>
    <w:rsid w:val="003A55A7"/>
    <w:rsid w:val="003A62C3"/>
    <w:rsid w:val="003B2B8A"/>
    <w:rsid w:val="003B40DA"/>
    <w:rsid w:val="003B7783"/>
    <w:rsid w:val="003C13E7"/>
    <w:rsid w:val="003C181D"/>
    <w:rsid w:val="003C417D"/>
    <w:rsid w:val="003C7776"/>
    <w:rsid w:val="003D374F"/>
    <w:rsid w:val="003D3E20"/>
    <w:rsid w:val="003D500A"/>
    <w:rsid w:val="003D5173"/>
    <w:rsid w:val="003D54E7"/>
    <w:rsid w:val="003D67D8"/>
    <w:rsid w:val="003E20E4"/>
    <w:rsid w:val="003E2343"/>
    <w:rsid w:val="003E2BB0"/>
    <w:rsid w:val="003E2D32"/>
    <w:rsid w:val="003E4EFE"/>
    <w:rsid w:val="003E60E7"/>
    <w:rsid w:val="003E74A3"/>
    <w:rsid w:val="003F1BC1"/>
    <w:rsid w:val="003F36D7"/>
    <w:rsid w:val="003F3929"/>
    <w:rsid w:val="003F3F35"/>
    <w:rsid w:val="003F5065"/>
    <w:rsid w:val="003F56DB"/>
    <w:rsid w:val="003F66F1"/>
    <w:rsid w:val="003F6E27"/>
    <w:rsid w:val="0040125C"/>
    <w:rsid w:val="00413481"/>
    <w:rsid w:val="004151DE"/>
    <w:rsid w:val="0041637D"/>
    <w:rsid w:val="004201C6"/>
    <w:rsid w:val="00421585"/>
    <w:rsid w:val="004219BD"/>
    <w:rsid w:val="004247B1"/>
    <w:rsid w:val="00424E02"/>
    <w:rsid w:val="00424E72"/>
    <w:rsid w:val="004267EE"/>
    <w:rsid w:val="00430437"/>
    <w:rsid w:val="004306FB"/>
    <w:rsid w:val="004322BD"/>
    <w:rsid w:val="004340E3"/>
    <w:rsid w:val="00436F72"/>
    <w:rsid w:val="00440B6B"/>
    <w:rsid w:val="004451B4"/>
    <w:rsid w:val="004455C4"/>
    <w:rsid w:val="004624EF"/>
    <w:rsid w:val="00462770"/>
    <w:rsid w:val="0046290B"/>
    <w:rsid w:val="004635FD"/>
    <w:rsid w:val="00465667"/>
    <w:rsid w:val="00465878"/>
    <w:rsid w:val="0046638D"/>
    <w:rsid w:val="0046652F"/>
    <w:rsid w:val="0046716A"/>
    <w:rsid w:val="00467327"/>
    <w:rsid w:val="00470AFC"/>
    <w:rsid w:val="00471A85"/>
    <w:rsid w:val="0047283C"/>
    <w:rsid w:val="00474C53"/>
    <w:rsid w:val="00475AF4"/>
    <w:rsid w:val="00476080"/>
    <w:rsid w:val="00483A4C"/>
    <w:rsid w:val="00486608"/>
    <w:rsid w:val="00487AE0"/>
    <w:rsid w:val="00490AE2"/>
    <w:rsid w:val="004970DA"/>
    <w:rsid w:val="00497A4D"/>
    <w:rsid w:val="004A26B6"/>
    <w:rsid w:val="004A3CBF"/>
    <w:rsid w:val="004A6673"/>
    <w:rsid w:val="004B3011"/>
    <w:rsid w:val="004B34C6"/>
    <w:rsid w:val="004B422F"/>
    <w:rsid w:val="004B4B53"/>
    <w:rsid w:val="004B4C8B"/>
    <w:rsid w:val="004B583F"/>
    <w:rsid w:val="004B6FAD"/>
    <w:rsid w:val="004C2B63"/>
    <w:rsid w:val="004C5FA9"/>
    <w:rsid w:val="004C6202"/>
    <w:rsid w:val="004C7D2E"/>
    <w:rsid w:val="004D3A14"/>
    <w:rsid w:val="004D454A"/>
    <w:rsid w:val="004D6DDC"/>
    <w:rsid w:val="004D75D5"/>
    <w:rsid w:val="004D7E2F"/>
    <w:rsid w:val="004E01BD"/>
    <w:rsid w:val="004E0BE2"/>
    <w:rsid w:val="004E3B20"/>
    <w:rsid w:val="004E3E03"/>
    <w:rsid w:val="004E4252"/>
    <w:rsid w:val="004E605F"/>
    <w:rsid w:val="004F40E1"/>
    <w:rsid w:val="004F42F8"/>
    <w:rsid w:val="004F4EA5"/>
    <w:rsid w:val="0050181E"/>
    <w:rsid w:val="0050497A"/>
    <w:rsid w:val="00504A1A"/>
    <w:rsid w:val="00507E5B"/>
    <w:rsid w:val="00507ECF"/>
    <w:rsid w:val="00510646"/>
    <w:rsid w:val="00517217"/>
    <w:rsid w:val="00522985"/>
    <w:rsid w:val="005243F8"/>
    <w:rsid w:val="00526435"/>
    <w:rsid w:val="005267BB"/>
    <w:rsid w:val="005317C7"/>
    <w:rsid w:val="005326CD"/>
    <w:rsid w:val="00532876"/>
    <w:rsid w:val="00532900"/>
    <w:rsid w:val="0053390E"/>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5BD2"/>
    <w:rsid w:val="00557326"/>
    <w:rsid w:val="00563142"/>
    <w:rsid w:val="005637DF"/>
    <w:rsid w:val="00563FC3"/>
    <w:rsid w:val="005641C8"/>
    <w:rsid w:val="0057021B"/>
    <w:rsid w:val="00574344"/>
    <w:rsid w:val="005763CB"/>
    <w:rsid w:val="0057681F"/>
    <w:rsid w:val="00577567"/>
    <w:rsid w:val="00580981"/>
    <w:rsid w:val="00580D5E"/>
    <w:rsid w:val="0058201B"/>
    <w:rsid w:val="005900D4"/>
    <w:rsid w:val="0059029B"/>
    <w:rsid w:val="00590669"/>
    <w:rsid w:val="00590AA1"/>
    <w:rsid w:val="0059631D"/>
    <w:rsid w:val="005963F0"/>
    <w:rsid w:val="00597B28"/>
    <w:rsid w:val="005A3E08"/>
    <w:rsid w:val="005A49D6"/>
    <w:rsid w:val="005A6483"/>
    <w:rsid w:val="005A6C63"/>
    <w:rsid w:val="005A77D0"/>
    <w:rsid w:val="005B0283"/>
    <w:rsid w:val="005B1AF7"/>
    <w:rsid w:val="005B64BD"/>
    <w:rsid w:val="005C146E"/>
    <w:rsid w:val="005C1BB9"/>
    <w:rsid w:val="005C3225"/>
    <w:rsid w:val="005C32F7"/>
    <w:rsid w:val="005C715B"/>
    <w:rsid w:val="005D03F4"/>
    <w:rsid w:val="005D07F5"/>
    <w:rsid w:val="005D376C"/>
    <w:rsid w:val="005D4345"/>
    <w:rsid w:val="005D673D"/>
    <w:rsid w:val="005D71F9"/>
    <w:rsid w:val="005D7228"/>
    <w:rsid w:val="005E1CC5"/>
    <w:rsid w:val="005E636D"/>
    <w:rsid w:val="005E6DB5"/>
    <w:rsid w:val="005E7B20"/>
    <w:rsid w:val="005F0F52"/>
    <w:rsid w:val="005F69FE"/>
    <w:rsid w:val="00600EE9"/>
    <w:rsid w:val="00602A48"/>
    <w:rsid w:val="0060359F"/>
    <w:rsid w:val="006056E2"/>
    <w:rsid w:val="00606F97"/>
    <w:rsid w:val="0061116A"/>
    <w:rsid w:val="00611C42"/>
    <w:rsid w:val="00613AE9"/>
    <w:rsid w:val="00615F61"/>
    <w:rsid w:val="00616E73"/>
    <w:rsid w:val="00616FE9"/>
    <w:rsid w:val="00617395"/>
    <w:rsid w:val="00617C29"/>
    <w:rsid w:val="006220FF"/>
    <w:rsid w:val="00624D89"/>
    <w:rsid w:val="0062694F"/>
    <w:rsid w:val="00632F56"/>
    <w:rsid w:val="00633976"/>
    <w:rsid w:val="00633E89"/>
    <w:rsid w:val="0063487E"/>
    <w:rsid w:val="00634FE8"/>
    <w:rsid w:val="00636266"/>
    <w:rsid w:val="00641052"/>
    <w:rsid w:val="006416B1"/>
    <w:rsid w:val="00642EE9"/>
    <w:rsid w:val="00645FE8"/>
    <w:rsid w:val="006515DB"/>
    <w:rsid w:val="00651AB0"/>
    <w:rsid w:val="00653830"/>
    <w:rsid w:val="00653E94"/>
    <w:rsid w:val="00653FDE"/>
    <w:rsid w:val="006552C8"/>
    <w:rsid w:val="00656D84"/>
    <w:rsid w:val="00664032"/>
    <w:rsid w:val="00664A51"/>
    <w:rsid w:val="006663CA"/>
    <w:rsid w:val="0066791C"/>
    <w:rsid w:val="00674B93"/>
    <w:rsid w:val="006771E3"/>
    <w:rsid w:val="006772A2"/>
    <w:rsid w:val="00682B76"/>
    <w:rsid w:val="00685256"/>
    <w:rsid w:val="006869B5"/>
    <w:rsid w:val="006909A4"/>
    <w:rsid w:val="00691778"/>
    <w:rsid w:val="00691FDA"/>
    <w:rsid w:val="00692E3E"/>
    <w:rsid w:val="00694153"/>
    <w:rsid w:val="006954BC"/>
    <w:rsid w:val="006A0714"/>
    <w:rsid w:val="006A3061"/>
    <w:rsid w:val="006B0612"/>
    <w:rsid w:val="006B25F1"/>
    <w:rsid w:val="006B26AE"/>
    <w:rsid w:val="006B2DFE"/>
    <w:rsid w:val="006B3C06"/>
    <w:rsid w:val="006B50E8"/>
    <w:rsid w:val="006B629F"/>
    <w:rsid w:val="006B7431"/>
    <w:rsid w:val="006B7DE7"/>
    <w:rsid w:val="006C13BF"/>
    <w:rsid w:val="006C24C1"/>
    <w:rsid w:val="006C51C9"/>
    <w:rsid w:val="006C53A2"/>
    <w:rsid w:val="006C7D49"/>
    <w:rsid w:val="006D2CFC"/>
    <w:rsid w:val="006D2E25"/>
    <w:rsid w:val="006D2F3E"/>
    <w:rsid w:val="006D3697"/>
    <w:rsid w:val="006D38B1"/>
    <w:rsid w:val="006D52AB"/>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700704"/>
    <w:rsid w:val="00700E85"/>
    <w:rsid w:val="007033BD"/>
    <w:rsid w:val="00710B17"/>
    <w:rsid w:val="00710CE3"/>
    <w:rsid w:val="00711074"/>
    <w:rsid w:val="007116A1"/>
    <w:rsid w:val="0071171E"/>
    <w:rsid w:val="007121EF"/>
    <w:rsid w:val="00713DE8"/>
    <w:rsid w:val="0071586C"/>
    <w:rsid w:val="007172D2"/>
    <w:rsid w:val="007177FF"/>
    <w:rsid w:val="00720288"/>
    <w:rsid w:val="00723E29"/>
    <w:rsid w:val="00724325"/>
    <w:rsid w:val="007272A7"/>
    <w:rsid w:val="00732CDD"/>
    <w:rsid w:val="00734AEF"/>
    <w:rsid w:val="00734BAB"/>
    <w:rsid w:val="00734E95"/>
    <w:rsid w:val="00736DBA"/>
    <w:rsid w:val="0073725A"/>
    <w:rsid w:val="00740BC6"/>
    <w:rsid w:val="00741D6F"/>
    <w:rsid w:val="00744725"/>
    <w:rsid w:val="007464F7"/>
    <w:rsid w:val="0074730A"/>
    <w:rsid w:val="00747D0A"/>
    <w:rsid w:val="007516D0"/>
    <w:rsid w:val="00751CE0"/>
    <w:rsid w:val="00752EAE"/>
    <w:rsid w:val="00753A3F"/>
    <w:rsid w:val="00754EEB"/>
    <w:rsid w:val="00754FD3"/>
    <w:rsid w:val="00757A01"/>
    <w:rsid w:val="00761C29"/>
    <w:rsid w:val="00762049"/>
    <w:rsid w:val="00762EB0"/>
    <w:rsid w:val="00764246"/>
    <w:rsid w:val="00766B36"/>
    <w:rsid w:val="00766D86"/>
    <w:rsid w:val="0077037F"/>
    <w:rsid w:val="00772165"/>
    <w:rsid w:val="00772949"/>
    <w:rsid w:val="00772CFC"/>
    <w:rsid w:val="007751FB"/>
    <w:rsid w:val="007767D5"/>
    <w:rsid w:val="00776CD8"/>
    <w:rsid w:val="0078110D"/>
    <w:rsid w:val="00783095"/>
    <w:rsid w:val="00784F1D"/>
    <w:rsid w:val="00785AF3"/>
    <w:rsid w:val="00790209"/>
    <w:rsid w:val="0079328F"/>
    <w:rsid w:val="007939B6"/>
    <w:rsid w:val="00794F1B"/>
    <w:rsid w:val="007952E7"/>
    <w:rsid w:val="007A32D3"/>
    <w:rsid w:val="007A35F8"/>
    <w:rsid w:val="007A40D1"/>
    <w:rsid w:val="007A547D"/>
    <w:rsid w:val="007A5552"/>
    <w:rsid w:val="007B3113"/>
    <w:rsid w:val="007B4DE2"/>
    <w:rsid w:val="007B6775"/>
    <w:rsid w:val="007C1E12"/>
    <w:rsid w:val="007C1F39"/>
    <w:rsid w:val="007C404E"/>
    <w:rsid w:val="007D2958"/>
    <w:rsid w:val="007D2DA0"/>
    <w:rsid w:val="007D79D2"/>
    <w:rsid w:val="007D7F7F"/>
    <w:rsid w:val="007E5847"/>
    <w:rsid w:val="007E5EA0"/>
    <w:rsid w:val="007E78C1"/>
    <w:rsid w:val="007E7B4E"/>
    <w:rsid w:val="007F02A4"/>
    <w:rsid w:val="007F479E"/>
    <w:rsid w:val="007F4E21"/>
    <w:rsid w:val="00801B41"/>
    <w:rsid w:val="008037BB"/>
    <w:rsid w:val="00805B97"/>
    <w:rsid w:val="00806E0D"/>
    <w:rsid w:val="00810325"/>
    <w:rsid w:val="00816D2C"/>
    <w:rsid w:val="00817DF9"/>
    <w:rsid w:val="0082129E"/>
    <w:rsid w:val="00821749"/>
    <w:rsid w:val="0082186F"/>
    <w:rsid w:val="00823FCA"/>
    <w:rsid w:val="00824890"/>
    <w:rsid w:val="00825D6C"/>
    <w:rsid w:val="00826CBC"/>
    <w:rsid w:val="00832D0B"/>
    <w:rsid w:val="00834060"/>
    <w:rsid w:val="0083502A"/>
    <w:rsid w:val="00837A4B"/>
    <w:rsid w:val="00840B18"/>
    <w:rsid w:val="008418FC"/>
    <w:rsid w:val="008433E3"/>
    <w:rsid w:val="0084410C"/>
    <w:rsid w:val="00846FA1"/>
    <w:rsid w:val="008502CE"/>
    <w:rsid w:val="008550D6"/>
    <w:rsid w:val="0085780E"/>
    <w:rsid w:val="00861625"/>
    <w:rsid w:val="008618BE"/>
    <w:rsid w:val="00861DA4"/>
    <w:rsid w:val="00861DF9"/>
    <w:rsid w:val="008629A9"/>
    <w:rsid w:val="00862D6B"/>
    <w:rsid w:val="00863CD4"/>
    <w:rsid w:val="00864EB7"/>
    <w:rsid w:val="0086657E"/>
    <w:rsid w:val="00867F55"/>
    <w:rsid w:val="0087275B"/>
    <w:rsid w:val="00872957"/>
    <w:rsid w:val="00873D8A"/>
    <w:rsid w:val="00885088"/>
    <w:rsid w:val="008853DF"/>
    <w:rsid w:val="00891035"/>
    <w:rsid w:val="008918D9"/>
    <w:rsid w:val="008927B5"/>
    <w:rsid w:val="00892EA3"/>
    <w:rsid w:val="008A0A8F"/>
    <w:rsid w:val="008A28F8"/>
    <w:rsid w:val="008A3A67"/>
    <w:rsid w:val="008A5950"/>
    <w:rsid w:val="008A63E2"/>
    <w:rsid w:val="008A65D3"/>
    <w:rsid w:val="008B11CF"/>
    <w:rsid w:val="008B2613"/>
    <w:rsid w:val="008B2AE5"/>
    <w:rsid w:val="008B3142"/>
    <w:rsid w:val="008B361F"/>
    <w:rsid w:val="008B445B"/>
    <w:rsid w:val="008B58B2"/>
    <w:rsid w:val="008B6587"/>
    <w:rsid w:val="008C17E6"/>
    <w:rsid w:val="008C36F2"/>
    <w:rsid w:val="008C5067"/>
    <w:rsid w:val="008D0326"/>
    <w:rsid w:val="008D0D31"/>
    <w:rsid w:val="008D6CA9"/>
    <w:rsid w:val="008D6E2C"/>
    <w:rsid w:val="008D7DC6"/>
    <w:rsid w:val="008E09C6"/>
    <w:rsid w:val="008E0E89"/>
    <w:rsid w:val="008E4FD6"/>
    <w:rsid w:val="008E5C99"/>
    <w:rsid w:val="008E78BA"/>
    <w:rsid w:val="008F0933"/>
    <w:rsid w:val="008F33E3"/>
    <w:rsid w:val="008F4EF2"/>
    <w:rsid w:val="008F54D4"/>
    <w:rsid w:val="008F7C99"/>
    <w:rsid w:val="009001C9"/>
    <w:rsid w:val="00906FD4"/>
    <w:rsid w:val="009101FF"/>
    <w:rsid w:val="00910A53"/>
    <w:rsid w:val="00917283"/>
    <w:rsid w:val="0092068A"/>
    <w:rsid w:val="00921285"/>
    <w:rsid w:val="00921C77"/>
    <w:rsid w:val="009222BD"/>
    <w:rsid w:val="0092359B"/>
    <w:rsid w:val="009239E5"/>
    <w:rsid w:val="009252B2"/>
    <w:rsid w:val="009268A6"/>
    <w:rsid w:val="009310EE"/>
    <w:rsid w:val="00933485"/>
    <w:rsid w:val="00936783"/>
    <w:rsid w:val="00940640"/>
    <w:rsid w:val="0094142D"/>
    <w:rsid w:val="00941C92"/>
    <w:rsid w:val="00943CC8"/>
    <w:rsid w:val="00943E53"/>
    <w:rsid w:val="009442B7"/>
    <w:rsid w:val="009445CA"/>
    <w:rsid w:val="0094637D"/>
    <w:rsid w:val="00946E0A"/>
    <w:rsid w:val="00962EE7"/>
    <w:rsid w:val="00966C36"/>
    <w:rsid w:val="00970027"/>
    <w:rsid w:val="00970B33"/>
    <w:rsid w:val="009737DF"/>
    <w:rsid w:val="00974D2B"/>
    <w:rsid w:val="00975F45"/>
    <w:rsid w:val="009760CB"/>
    <w:rsid w:val="009848F7"/>
    <w:rsid w:val="009863CF"/>
    <w:rsid w:val="009918A1"/>
    <w:rsid w:val="0099770A"/>
    <w:rsid w:val="00997723"/>
    <w:rsid w:val="009A1029"/>
    <w:rsid w:val="009A2999"/>
    <w:rsid w:val="009A5AF8"/>
    <w:rsid w:val="009A5F12"/>
    <w:rsid w:val="009B446B"/>
    <w:rsid w:val="009B4685"/>
    <w:rsid w:val="009B7062"/>
    <w:rsid w:val="009C01A4"/>
    <w:rsid w:val="009C05E9"/>
    <w:rsid w:val="009C27D2"/>
    <w:rsid w:val="009C3132"/>
    <w:rsid w:val="009C4526"/>
    <w:rsid w:val="009C7CD8"/>
    <w:rsid w:val="009D11CA"/>
    <w:rsid w:val="009D227B"/>
    <w:rsid w:val="009D2B65"/>
    <w:rsid w:val="009D2B67"/>
    <w:rsid w:val="009D38C2"/>
    <w:rsid w:val="009D47A5"/>
    <w:rsid w:val="009D69B6"/>
    <w:rsid w:val="009D76EB"/>
    <w:rsid w:val="009E19EF"/>
    <w:rsid w:val="009E1F99"/>
    <w:rsid w:val="009E2244"/>
    <w:rsid w:val="009E4C05"/>
    <w:rsid w:val="009E6876"/>
    <w:rsid w:val="009F0D6C"/>
    <w:rsid w:val="009F19AE"/>
    <w:rsid w:val="009F3017"/>
    <w:rsid w:val="009F38D7"/>
    <w:rsid w:val="009F5EAB"/>
    <w:rsid w:val="009F6130"/>
    <w:rsid w:val="00A00793"/>
    <w:rsid w:val="00A01EAA"/>
    <w:rsid w:val="00A03847"/>
    <w:rsid w:val="00A04076"/>
    <w:rsid w:val="00A10010"/>
    <w:rsid w:val="00A10E1F"/>
    <w:rsid w:val="00A112F1"/>
    <w:rsid w:val="00A15866"/>
    <w:rsid w:val="00A15F9C"/>
    <w:rsid w:val="00A16D50"/>
    <w:rsid w:val="00A1789E"/>
    <w:rsid w:val="00A23CCA"/>
    <w:rsid w:val="00A24849"/>
    <w:rsid w:val="00A248FB"/>
    <w:rsid w:val="00A25147"/>
    <w:rsid w:val="00A255AD"/>
    <w:rsid w:val="00A26764"/>
    <w:rsid w:val="00A334E4"/>
    <w:rsid w:val="00A33DF5"/>
    <w:rsid w:val="00A36132"/>
    <w:rsid w:val="00A40462"/>
    <w:rsid w:val="00A4355E"/>
    <w:rsid w:val="00A469B4"/>
    <w:rsid w:val="00A46AA1"/>
    <w:rsid w:val="00A511AD"/>
    <w:rsid w:val="00A5233B"/>
    <w:rsid w:val="00A52673"/>
    <w:rsid w:val="00A55B86"/>
    <w:rsid w:val="00A55F7C"/>
    <w:rsid w:val="00A56C4D"/>
    <w:rsid w:val="00A656AE"/>
    <w:rsid w:val="00A66253"/>
    <w:rsid w:val="00A70C75"/>
    <w:rsid w:val="00A733A2"/>
    <w:rsid w:val="00A73F72"/>
    <w:rsid w:val="00A75D98"/>
    <w:rsid w:val="00A773D7"/>
    <w:rsid w:val="00A801E7"/>
    <w:rsid w:val="00A80D6E"/>
    <w:rsid w:val="00A80E4E"/>
    <w:rsid w:val="00A824F6"/>
    <w:rsid w:val="00A831C5"/>
    <w:rsid w:val="00A83CBE"/>
    <w:rsid w:val="00A8452A"/>
    <w:rsid w:val="00A848BA"/>
    <w:rsid w:val="00A85958"/>
    <w:rsid w:val="00A86E3D"/>
    <w:rsid w:val="00A90945"/>
    <w:rsid w:val="00A914E9"/>
    <w:rsid w:val="00A9346D"/>
    <w:rsid w:val="00A93EC0"/>
    <w:rsid w:val="00A94A48"/>
    <w:rsid w:val="00A96702"/>
    <w:rsid w:val="00AA140D"/>
    <w:rsid w:val="00AA1929"/>
    <w:rsid w:val="00AA26D2"/>
    <w:rsid w:val="00AA30C4"/>
    <w:rsid w:val="00AA4167"/>
    <w:rsid w:val="00AA6F36"/>
    <w:rsid w:val="00AA70E2"/>
    <w:rsid w:val="00AB082D"/>
    <w:rsid w:val="00AB0EB4"/>
    <w:rsid w:val="00AB30CF"/>
    <w:rsid w:val="00AB40A9"/>
    <w:rsid w:val="00AC1113"/>
    <w:rsid w:val="00AC11E3"/>
    <w:rsid w:val="00AC1F4C"/>
    <w:rsid w:val="00AC2F0F"/>
    <w:rsid w:val="00AC330F"/>
    <w:rsid w:val="00AC51A1"/>
    <w:rsid w:val="00AC6067"/>
    <w:rsid w:val="00AC6745"/>
    <w:rsid w:val="00AC7121"/>
    <w:rsid w:val="00AD0F18"/>
    <w:rsid w:val="00AD213E"/>
    <w:rsid w:val="00AD253F"/>
    <w:rsid w:val="00AD4AB8"/>
    <w:rsid w:val="00AD75C9"/>
    <w:rsid w:val="00AE290D"/>
    <w:rsid w:val="00AE3923"/>
    <w:rsid w:val="00AF192E"/>
    <w:rsid w:val="00AF4238"/>
    <w:rsid w:val="00AF5FC0"/>
    <w:rsid w:val="00AF63EA"/>
    <w:rsid w:val="00AF6A7C"/>
    <w:rsid w:val="00AF767F"/>
    <w:rsid w:val="00B00C4E"/>
    <w:rsid w:val="00B07286"/>
    <w:rsid w:val="00B1061D"/>
    <w:rsid w:val="00B16875"/>
    <w:rsid w:val="00B219F2"/>
    <w:rsid w:val="00B2307D"/>
    <w:rsid w:val="00B23445"/>
    <w:rsid w:val="00B27242"/>
    <w:rsid w:val="00B27454"/>
    <w:rsid w:val="00B317B3"/>
    <w:rsid w:val="00B31A0D"/>
    <w:rsid w:val="00B36351"/>
    <w:rsid w:val="00B37F62"/>
    <w:rsid w:val="00B406E2"/>
    <w:rsid w:val="00B41D82"/>
    <w:rsid w:val="00B428F4"/>
    <w:rsid w:val="00B4392D"/>
    <w:rsid w:val="00B43D51"/>
    <w:rsid w:val="00B45022"/>
    <w:rsid w:val="00B46636"/>
    <w:rsid w:val="00B46DE5"/>
    <w:rsid w:val="00B50814"/>
    <w:rsid w:val="00B5162C"/>
    <w:rsid w:val="00B55C84"/>
    <w:rsid w:val="00B57081"/>
    <w:rsid w:val="00B57B60"/>
    <w:rsid w:val="00B609E7"/>
    <w:rsid w:val="00B613EB"/>
    <w:rsid w:val="00B61643"/>
    <w:rsid w:val="00B62A84"/>
    <w:rsid w:val="00B65D37"/>
    <w:rsid w:val="00B66DDD"/>
    <w:rsid w:val="00B679BB"/>
    <w:rsid w:val="00B67B97"/>
    <w:rsid w:val="00B70655"/>
    <w:rsid w:val="00B7377B"/>
    <w:rsid w:val="00B77D10"/>
    <w:rsid w:val="00B80465"/>
    <w:rsid w:val="00B81FED"/>
    <w:rsid w:val="00B845F6"/>
    <w:rsid w:val="00B90439"/>
    <w:rsid w:val="00B90DA8"/>
    <w:rsid w:val="00B93A4F"/>
    <w:rsid w:val="00B94A3E"/>
    <w:rsid w:val="00B94FFF"/>
    <w:rsid w:val="00B97985"/>
    <w:rsid w:val="00BA3DE1"/>
    <w:rsid w:val="00BA45E7"/>
    <w:rsid w:val="00BA4C2A"/>
    <w:rsid w:val="00BA5695"/>
    <w:rsid w:val="00BA7B7B"/>
    <w:rsid w:val="00BB036D"/>
    <w:rsid w:val="00BB13B5"/>
    <w:rsid w:val="00BB1FC4"/>
    <w:rsid w:val="00BB3893"/>
    <w:rsid w:val="00BB6DAF"/>
    <w:rsid w:val="00BB7055"/>
    <w:rsid w:val="00BB70B3"/>
    <w:rsid w:val="00BB7D46"/>
    <w:rsid w:val="00BC1B4F"/>
    <w:rsid w:val="00BC360E"/>
    <w:rsid w:val="00BC4327"/>
    <w:rsid w:val="00BC45EB"/>
    <w:rsid w:val="00BC6CA5"/>
    <w:rsid w:val="00BD24C2"/>
    <w:rsid w:val="00BD3085"/>
    <w:rsid w:val="00BD457C"/>
    <w:rsid w:val="00BD6511"/>
    <w:rsid w:val="00BD76C8"/>
    <w:rsid w:val="00BE0DAB"/>
    <w:rsid w:val="00BE23A8"/>
    <w:rsid w:val="00BE4F3A"/>
    <w:rsid w:val="00BE55BE"/>
    <w:rsid w:val="00BE5FCB"/>
    <w:rsid w:val="00BE6E3A"/>
    <w:rsid w:val="00BE723C"/>
    <w:rsid w:val="00BF13F5"/>
    <w:rsid w:val="00BF2526"/>
    <w:rsid w:val="00BF28AB"/>
    <w:rsid w:val="00BF3F2C"/>
    <w:rsid w:val="00C03541"/>
    <w:rsid w:val="00C03561"/>
    <w:rsid w:val="00C0376D"/>
    <w:rsid w:val="00C03919"/>
    <w:rsid w:val="00C04FBB"/>
    <w:rsid w:val="00C0572F"/>
    <w:rsid w:val="00C06259"/>
    <w:rsid w:val="00C065C3"/>
    <w:rsid w:val="00C10290"/>
    <w:rsid w:val="00C10461"/>
    <w:rsid w:val="00C119E2"/>
    <w:rsid w:val="00C12C25"/>
    <w:rsid w:val="00C13DF0"/>
    <w:rsid w:val="00C14193"/>
    <w:rsid w:val="00C15A48"/>
    <w:rsid w:val="00C16FA3"/>
    <w:rsid w:val="00C17325"/>
    <w:rsid w:val="00C17738"/>
    <w:rsid w:val="00C2330B"/>
    <w:rsid w:val="00C235A9"/>
    <w:rsid w:val="00C23A79"/>
    <w:rsid w:val="00C23DE7"/>
    <w:rsid w:val="00C26323"/>
    <w:rsid w:val="00C30962"/>
    <w:rsid w:val="00C31A29"/>
    <w:rsid w:val="00C330CB"/>
    <w:rsid w:val="00C3358D"/>
    <w:rsid w:val="00C33F0E"/>
    <w:rsid w:val="00C36D97"/>
    <w:rsid w:val="00C378D0"/>
    <w:rsid w:val="00C37FDB"/>
    <w:rsid w:val="00C40364"/>
    <w:rsid w:val="00C405C8"/>
    <w:rsid w:val="00C42477"/>
    <w:rsid w:val="00C450EE"/>
    <w:rsid w:val="00C45F56"/>
    <w:rsid w:val="00C4616E"/>
    <w:rsid w:val="00C46830"/>
    <w:rsid w:val="00C471B1"/>
    <w:rsid w:val="00C4785F"/>
    <w:rsid w:val="00C545A2"/>
    <w:rsid w:val="00C55A4F"/>
    <w:rsid w:val="00C61317"/>
    <w:rsid w:val="00C655E8"/>
    <w:rsid w:val="00C7117A"/>
    <w:rsid w:val="00C74183"/>
    <w:rsid w:val="00C77A59"/>
    <w:rsid w:val="00C800CB"/>
    <w:rsid w:val="00C803A5"/>
    <w:rsid w:val="00C80DF6"/>
    <w:rsid w:val="00C82C14"/>
    <w:rsid w:val="00C83FB9"/>
    <w:rsid w:val="00C83FD5"/>
    <w:rsid w:val="00C85078"/>
    <w:rsid w:val="00C862F8"/>
    <w:rsid w:val="00C86A9C"/>
    <w:rsid w:val="00C908DB"/>
    <w:rsid w:val="00C931B6"/>
    <w:rsid w:val="00C93B23"/>
    <w:rsid w:val="00CA0FA9"/>
    <w:rsid w:val="00CA13E9"/>
    <w:rsid w:val="00CA37B5"/>
    <w:rsid w:val="00CA4819"/>
    <w:rsid w:val="00CA57BA"/>
    <w:rsid w:val="00CB3E03"/>
    <w:rsid w:val="00CB54CC"/>
    <w:rsid w:val="00CB6D43"/>
    <w:rsid w:val="00CB7EF0"/>
    <w:rsid w:val="00CC069F"/>
    <w:rsid w:val="00CC4EF5"/>
    <w:rsid w:val="00CC6651"/>
    <w:rsid w:val="00CD43F3"/>
    <w:rsid w:val="00CD4ED5"/>
    <w:rsid w:val="00CD53CA"/>
    <w:rsid w:val="00CD6092"/>
    <w:rsid w:val="00CE0915"/>
    <w:rsid w:val="00CE1628"/>
    <w:rsid w:val="00CE1A7B"/>
    <w:rsid w:val="00CE4399"/>
    <w:rsid w:val="00CE665F"/>
    <w:rsid w:val="00CE7033"/>
    <w:rsid w:val="00CE78B1"/>
    <w:rsid w:val="00CE7C12"/>
    <w:rsid w:val="00CF2E9A"/>
    <w:rsid w:val="00CF54D1"/>
    <w:rsid w:val="00CF7DA0"/>
    <w:rsid w:val="00CF7FD0"/>
    <w:rsid w:val="00D00DB1"/>
    <w:rsid w:val="00D010F1"/>
    <w:rsid w:val="00D01109"/>
    <w:rsid w:val="00D06971"/>
    <w:rsid w:val="00D06B34"/>
    <w:rsid w:val="00D07B5C"/>
    <w:rsid w:val="00D07E03"/>
    <w:rsid w:val="00D11E0E"/>
    <w:rsid w:val="00D13BDB"/>
    <w:rsid w:val="00D15B61"/>
    <w:rsid w:val="00D16CD8"/>
    <w:rsid w:val="00D22A37"/>
    <w:rsid w:val="00D2354E"/>
    <w:rsid w:val="00D23617"/>
    <w:rsid w:val="00D27A8A"/>
    <w:rsid w:val="00D3288D"/>
    <w:rsid w:val="00D354FD"/>
    <w:rsid w:val="00D3570E"/>
    <w:rsid w:val="00D37974"/>
    <w:rsid w:val="00D41A38"/>
    <w:rsid w:val="00D422B1"/>
    <w:rsid w:val="00D42C5B"/>
    <w:rsid w:val="00D43553"/>
    <w:rsid w:val="00D45250"/>
    <w:rsid w:val="00D45488"/>
    <w:rsid w:val="00D467C6"/>
    <w:rsid w:val="00D54567"/>
    <w:rsid w:val="00D654B3"/>
    <w:rsid w:val="00D65923"/>
    <w:rsid w:val="00D65D16"/>
    <w:rsid w:val="00D66AFA"/>
    <w:rsid w:val="00D761B6"/>
    <w:rsid w:val="00D76D1C"/>
    <w:rsid w:val="00D838A7"/>
    <w:rsid w:val="00D85A3F"/>
    <w:rsid w:val="00D868FB"/>
    <w:rsid w:val="00D86C43"/>
    <w:rsid w:val="00D86FEA"/>
    <w:rsid w:val="00D93CB5"/>
    <w:rsid w:val="00D94038"/>
    <w:rsid w:val="00D968EC"/>
    <w:rsid w:val="00DA430D"/>
    <w:rsid w:val="00DA5163"/>
    <w:rsid w:val="00DA52EA"/>
    <w:rsid w:val="00DA66D7"/>
    <w:rsid w:val="00DB192A"/>
    <w:rsid w:val="00DB1985"/>
    <w:rsid w:val="00DB27DA"/>
    <w:rsid w:val="00DB40BF"/>
    <w:rsid w:val="00DB66FD"/>
    <w:rsid w:val="00DB7463"/>
    <w:rsid w:val="00DC297D"/>
    <w:rsid w:val="00DC30DD"/>
    <w:rsid w:val="00DC3243"/>
    <w:rsid w:val="00DC6EA0"/>
    <w:rsid w:val="00DD020B"/>
    <w:rsid w:val="00DD1CF3"/>
    <w:rsid w:val="00DD2547"/>
    <w:rsid w:val="00DD511F"/>
    <w:rsid w:val="00DD6739"/>
    <w:rsid w:val="00DD6D12"/>
    <w:rsid w:val="00DD7859"/>
    <w:rsid w:val="00DE608E"/>
    <w:rsid w:val="00DF087F"/>
    <w:rsid w:val="00DF08BA"/>
    <w:rsid w:val="00DF0974"/>
    <w:rsid w:val="00DF2688"/>
    <w:rsid w:val="00DF26E1"/>
    <w:rsid w:val="00DF3972"/>
    <w:rsid w:val="00DF4B76"/>
    <w:rsid w:val="00E004AC"/>
    <w:rsid w:val="00E021F5"/>
    <w:rsid w:val="00E027A0"/>
    <w:rsid w:val="00E05C0F"/>
    <w:rsid w:val="00E05C97"/>
    <w:rsid w:val="00E109B6"/>
    <w:rsid w:val="00E11F39"/>
    <w:rsid w:val="00E13580"/>
    <w:rsid w:val="00E14394"/>
    <w:rsid w:val="00E14AE5"/>
    <w:rsid w:val="00E16E1F"/>
    <w:rsid w:val="00E16E9D"/>
    <w:rsid w:val="00E209CD"/>
    <w:rsid w:val="00E237EC"/>
    <w:rsid w:val="00E31B73"/>
    <w:rsid w:val="00E34A6F"/>
    <w:rsid w:val="00E35514"/>
    <w:rsid w:val="00E36F96"/>
    <w:rsid w:val="00E41DD8"/>
    <w:rsid w:val="00E463D6"/>
    <w:rsid w:val="00E47DCC"/>
    <w:rsid w:val="00E52B61"/>
    <w:rsid w:val="00E52BA8"/>
    <w:rsid w:val="00E55C1D"/>
    <w:rsid w:val="00E56F54"/>
    <w:rsid w:val="00E573FF"/>
    <w:rsid w:val="00E57675"/>
    <w:rsid w:val="00E645B5"/>
    <w:rsid w:val="00E669E9"/>
    <w:rsid w:val="00E6700A"/>
    <w:rsid w:val="00E729E2"/>
    <w:rsid w:val="00E75181"/>
    <w:rsid w:val="00E7573A"/>
    <w:rsid w:val="00E76643"/>
    <w:rsid w:val="00E7710C"/>
    <w:rsid w:val="00E77683"/>
    <w:rsid w:val="00E7797A"/>
    <w:rsid w:val="00E84ED9"/>
    <w:rsid w:val="00E86BB6"/>
    <w:rsid w:val="00E87654"/>
    <w:rsid w:val="00E9039A"/>
    <w:rsid w:val="00E90BC9"/>
    <w:rsid w:val="00E91C57"/>
    <w:rsid w:val="00E94A07"/>
    <w:rsid w:val="00E95158"/>
    <w:rsid w:val="00E97661"/>
    <w:rsid w:val="00EA075C"/>
    <w:rsid w:val="00EA12C1"/>
    <w:rsid w:val="00EA1625"/>
    <w:rsid w:val="00EA1752"/>
    <w:rsid w:val="00EA1EDF"/>
    <w:rsid w:val="00EA7329"/>
    <w:rsid w:val="00EB2F3A"/>
    <w:rsid w:val="00EB4C89"/>
    <w:rsid w:val="00EB6518"/>
    <w:rsid w:val="00EB78AA"/>
    <w:rsid w:val="00EC1213"/>
    <w:rsid w:val="00EC121B"/>
    <w:rsid w:val="00EC1954"/>
    <w:rsid w:val="00EC1C81"/>
    <w:rsid w:val="00EC6DA3"/>
    <w:rsid w:val="00ED0A26"/>
    <w:rsid w:val="00ED13BB"/>
    <w:rsid w:val="00ED4EC6"/>
    <w:rsid w:val="00ED5A1C"/>
    <w:rsid w:val="00ED6AF6"/>
    <w:rsid w:val="00ED7A75"/>
    <w:rsid w:val="00EE0E9D"/>
    <w:rsid w:val="00EE74BC"/>
    <w:rsid w:val="00EF0B42"/>
    <w:rsid w:val="00EF23D8"/>
    <w:rsid w:val="00EF23F4"/>
    <w:rsid w:val="00EF2471"/>
    <w:rsid w:val="00EF2B87"/>
    <w:rsid w:val="00EF49DF"/>
    <w:rsid w:val="00EF4E44"/>
    <w:rsid w:val="00EF5386"/>
    <w:rsid w:val="00EF6B54"/>
    <w:rsid w:val="00EF6D7D"/>
    <w:rsid w:val="00EF7458"/>
    <w:rsid w:val="00EF7BB1"/>
    <w:rsid w:val="00F0055D"/>
    <w:rsid w:val="00F01E66"/>
    <w:rsid w:val="00F06B97"/>
    <w:rsid w:val="00F10967"/>
    <w:rsid w:val="00F10EF2"/>
    <w:rsid w:val="00F12CBF"/>
    <w:rsid w:val="00F1611B"/>
    <w:rsid w:val="00F17004"/>
    <w:rsid w:val="00F17080"/>
    <w:rsid w:val="00F177F2"/>
    <w:rsid w:val="00F205AD"/>
    <w:rsid w:val="00F23AFD"/>
    <w:rsid w:val="00F2639D"/>
    <w:rsid w:val="00F2792A"/>
    <w:rsid w:val="00F27D7F"/>
    <w:rsid w:val="00F27E5E"/>
    <w:rsid w:val="00F31BDE"/>
    <w:rsid w:val="00F336B4"/>
    <w:rsid w:val="00F3411A"/>
    <w:rsid w:val="00F34A58"/>
    <w:rsid w:val="00F35726"/>
    <w:rsid w:val="00F35B71"/>
    <w:rsid w:val="00F42A12"/>
    <w:rsid w:val="00F4413D"/>
    <w:rsid w:val="00F47401"/>
    <w:rsid w:val="00F57008"/>
    <w:rsid w:val="00F606DA"/>
    <w:rsid w:val="00F60905"/>
    <w:rsid w:val="00F62C44"/>
    <w:rsid w:val="00F650AC"/>
    <w:rsid w:val="00F6612B"/>
    <w:rsid w:val="00F67901"/>
    <w:rsid w:val="00F7580A"/>
    <w:rsid w:val="00F768B3"/>
    <w:rsid w:val="00F866E9"/>
    <w:rsid w:val="00F872F3"/>
    <w:rsid w:val="00F93CE6"/>
    <w:rsid w:val="00F9451C"/>
    <w:rsid w:val="00F9542E"/>
    <w:rsid w:val="00F95F05"/>
    <w:rsid w:val="00F9732A"/>
    <w:rsid w:val="00F97469"/>
    <w:rsid w:val="00FA0946"/>
    <w:rsid w:val="00FA2D82"/>
    <w:rsid w:val="00FA766D"/>
    <w:rsid w:val="00FA7693"/>
    <w:rsid w:val="00FB039A"/>
    <w:rsid w:val="00FB12D4"/>
    <w:rsid w:val="00FB13F3"/>
    <w:rsid w:val="00FB579D"/>
    <w:rsid w:val="00FC0796"/>
    <w:rsid w:val="00FC23D6"/>
    <w:rsid w:val="00FC4468"/>
    <w:rsid w:val="00FD1A3C"/>
    <w:rsid w:val="00FD2BCC"/>
    <w:rsid w:val="00FD4410"/>
    <w:rsid w:val="00FD73AA"/>
    <w:rsid w:val="00FE052E"/>
    <w:rsid w:val="00FE49BA"/>
    <w:rsid w:val="00FE648F"/>
    <w:rsid w:val="00FF021A"/>
    <w:rsid w:val="00FF0E78"/>
    <w:rsid w:val="00FF2F07"/>
    <w:rsid w:val="00FF31A7"/>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paragraph" w:styleId="ListParagraph">
    <w:name w:val="List Paragraph"/>
    <w:basedOn w:val="Normal"/>
    <w:uiPriority w:val="34"/>
    <w:qFormat/>
    <w:rsid w:val="00CE7033"/>
    <w:pPr>
      <w:spacing w:line="360" w:lineRule="auto"/>
      <w:ind w:left="720"/>
      <w:contextualSpacing/>
    </w:pPr>
    <w:rPr>
      <w:sz w:val="26"/>
      <w:szCs w:val="20"/>
    </w:rPr>
  </w:style>
  <w:style w:type="paragraph" w:styleId="Header">
    <w:name w:val="header"/>
    <w:basedOn w:val="Normal"/>
    <w:link w:val="HeaderChar"/>
    <w:rsid w:val="00F34A58"/>
    <w:pPr>
      <w:tabs>
        <w:tab w:val="center" w:pos="4680"/>
        <w:tab w:val="right" w:pos="9360"/>
      </w:tabs>
    </w:pPr>
  </w:style>
  <w:style w:type="character" w:customStyle="1" w:styleId="HeaderChar">
    <w:name w:val="Header Char"/>
    <w:basedOn w:val="DefaultParagraphFont"/>
    <w:link w:val="Header"/>
    <w:rsid w:val="00F34A58"/>
    <w:rPr>
      <w:sz w:val="24"/>
      <w:szCs w:val="24"/>
    </w:rPr>
  </w:style>
  <w:style w:type="character" w:customStyle="1" w:styleId="BodyTextChar">
    <w:name w:val="Body Text Char"/>
    <w:basedOn w:val="DefaultParagraphFont"/>
    <w:link w:val="BodyText"/>
    <w:rsid w:val="00611C42"/>
    <w:rPr>
      <w:sz w:val="26"/>
    </w:rPr>
  </w:style>
  <w:style w:type="paragraph" w:styleId="PlainText">
    <w:name w:val="Plain Text"/>
    <w:basedOn w:val="Normal"/>
    <w:link w:val="PlainTextChar"/>
    <w:uiPriority w:val="99"/>
    <w:unhideWhenUsed/>
    <w:rsid w:val="00611C4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11C42"/>
    <w:rPr>
      <w:rFonts w:ascii="Calibri" w:eastAsiaTheme="minorHAnsi" w:hAnsi="Calibri" w:cstheme="minorBidi"/>
      <w:sz w:val="22"/>
      <w:szCs w:val="21"/>
    </w:rPr>
  </w:style>
  <w:style w:type="paragraph" w:styleId="BalloonText">
    <w:name w:val="Balloon Text"/>
    <w:basedOn w:val="Normal"/>
    <w:link w:val="BalloonTextChar"/>
    <w:rsid w:val="00BE23A8"/>
    <w:rPr>
      <w:rFonts w:ascii="Tahoma" w:hAnsi="Tahoma" w:cs="Tahoma"/>
      <w:sz w:val="16"/>
      <w:szCs w:val="16"/>
    </w:rPr>
  </w:style>
  <w:style w:type="character" w:customStyle="1" w:styleId="BalloonTextChar">
    <w:name w:val="Balloon Text Char"/>
    <w:basedOn w:val="DefaultParagraphFont"/>
    <w:link w:val="BalloonText"/>
    <w:rsid w:val="00BE23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paragraph" w:styleId="ListParagraph">
    <w:name w:val="List Paragraph"/>
    <w:basedOn w:val="Normal"/>
    <w:uiPriority w:val="34"/>
    <w:qFormat/>
    <w:rsid w:val="00CE7033"/>
    <w:pPr>
      <w:spacing w:line="360" w:lineRule="auto"/>
      <w:ind w:left="720"/>
      <w:contextualSpacing/>
    </w:pPr>
    <w:rPr>
      <w:sz w:val="26"/>
      <w:szCs w:val="20"/>
    </w:rPr>
  </w:style>
  <w:style w:type="paragraph" w:styleId="Header">
    <w:name w:val="header"/>
    <w:basedOn w:val="Normal"/>
    <w:link w:val="HeaderChar"/>
    <w:rsid w:val="00F34A58"/>
    <w:pPr>
      <w:tabs>
        <w:tab w:val="center" w:pos="4680"/>
        <w:tab w:val="right" w:pos="9360"/>
      </w:tabs>
    </w:pPr>
  </w:style>
  <w:style w:type="character" w:customStyle="1" w:styleId="HeaderChar">
    <w:name w:val="Header Char"/>
    <w:basedOn w:val="DefaultParagraphFont"/>
    <w:link w:val="Header"/>
    <w:rsid w:val="00F34A58"/>
    <w:rPr>
      <w:sz w:val="24"/>
      <w:szCs w:val="24"/>
    </w:rPr>
  </w:style>
  <w:style w:type="character" w:customStyle="1" w:styleId="BodyTextChar">
    <w:name w:val="Body Text Char"/>
    <w:basedOn w:val="DefaultParagraphFont"/>
    <w:link w:val="BodyText"/>
    <w:rsid w:val="00611C42"/>
    <w:rPr>
      <w:sz w:val="26"/>
    </w:rPr>
  </w:style>
  <w:style w:type="paragraph" w:styleId="PlainText">
    <w:name w:val="Plain Text"/>
    <w:basedOn w:val="Normal"/>
    <w:link w:val="PlainTextChar"/>
    <w:uiPriority w:val="99"/>
    <w:unhideWhenUsed/>
    <w:rsid w:val="00611C4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11C42"/>
    <w:rPr>
      <w:rFonts w:ascii="Calibri" w:eastAsiaTheme="minorHAnsi" w:hAnsi="Calibri" w:cstheme="minorBidi"/>
      <w:sz w:val="22"/>
      <w:szCs w:val="21"/>
    </w:rPr>
  </w:style>
  <w:style w:type="paragraph" w:styleId="BalloonText">
    <w:name w:val="Balloon Text"/>
    <w:basedOn w:val="Normal"/>
    <w:link w:val="BalloonTextChar"/>
    <w:rsid w:val="00BE23A8"/>
    <w:rPr>
      <w:rFonts w:ascii="Tahoma" w:hAnsi="Tahoma" w:cs="Tahoma"/>
      <w:sz w:val="16"/>
      <w:szCs w:val="16"/>
    </w:rPr>
  </w:style>
  <w:style w:type="character" w:customStyle="1" w:styleId="BalloonTextChar">
    <w:name w:val="Balloon Text Char"/>
    <w:basedOn w:val="DefaultParagraphFont"/>
    <w:link w:val="BalloonText"/>
    <w:rsid w:val="00BE2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3784-5302-4F59-9EF2-A20E713F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tibikunle</cp:lastModifiedBy>
  <cp:revision>2</cp:revision>
  <cp:lastPrinted>2012-02-28T14:55:00Z</cp:lastPrinted>
  <dcterms:created xsi:type="dcterms:W3CDTF">2012-03-07T18:51:00Z</dcterms:created>
  <dcterms:modified xsi:type="dcterms:W3CDTF">2012-03-07T18:51:00Z</dcterms:modified>
</cp:coreProperties>
</file>