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D33208" w:rsidP="00CE43B4">
      <w:pPr>
        <w:tabs>
          <w:tab w:val="left" w:pos="-720"/>
        </w:tabs>
        <w:suppressAutoHyphens/>
        <w:rPr>
          <w:b/>
          <w:bCs/>
          <w:spacing w:val="-3"/>
          <w:sz w:val="24"/>
          <w:szCs w:val="24"/>
        </w:rPr>
      </w:pPr>
      <w:r>
        <w:rPr>
          <w:bCs/>
          <w:spacing w:val="-3"/>
          <w:sz w:val="24"/>
          <w:szCs w:val="24"/>
        </w:rPr>
        <w:t xml:space="preserve">Lorraine </w:t>
      </w:r>
      <w:proofErr w:type="spellStart"/>
      <w:r>
        <w:rPr>
          <w:bCs/>
          <w:spacing w:val="-3"/>
          <w:sz w:val="24"/>
          <w:szCs w:val="24"/>
        </w:rPr>
        <w:t>Ferelli</w:t>
      </w:r>
      <w:proofErr w:type="spellEnd"/>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FB6CAC">
        <w:rPr>
          <w:spacing w:val="-3"/>
          <w:sz w:val="24"/>
          <w:szCs w:val="24"/>
        </w:rPr>
        <w:tab/>
      </w:r>
      <w:r w:rsidR="00D33208">
        <w:rPr>
          <w:spacing w:val="-3"/>
          <w:sz w:val="24"/>
          <w:szCs w:val="24"/>
        </w:rPr>
        <w:t>C-2010-2205565</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D33208" w:rsidP="00CE43B4">
      <w:pPr>
        <w:tabs>
          <w:tab w:val="left" w:pos="-720"/>
        </w:tabs>
        <w:suppressAutoHyphens/>
        <w:rPr>
          <w:spacing w:val="-3"/>
          <w:sz w:val="24"/>
          <w:szCs w:val="24"/>
        </w:rPr>
      </w:pPr>
      <w:r>
        <w:rPr>
          <w:spacing w:val="-3"/>
          <w:sz w:val="24"/>
          <w:szCs w:val="24"/>
        </w:rPr>
        <w:t xml:space="preserve">UGI Penn Natural Gas, Inc. </w:t>
      </w:r>
      <w:r>
        <w:rPr>
          <w:spacing w:val="-3"/>
          <w:sz w:val="24"/>
          <w:szCs w:val="24"/>
        </w:rPr>
        <w:tab/>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D33208">
        <w:rPr>
          <w:sz w:val="24"/>
          <w:szCs w:val="24"/>
        </w:rPr>
        <w:t xml:space="preserve"> October 13, 2010</w:t>
      </w:r>
      <w:r w:rsidR="007965B0" w:rsidRPr="007965B0">
        <w:rPr>
          <w:sz w:val="24"/>
          <w:szCs w:val="24"/>
        </w:rPr>
        <w:t xml:space="preserve">, </w:t>
      </w:r>
      <w:r w:rsidR="00D33208">
        <w:rPr>
          <w:sz w:val="24"/>
          <w:szCs w:val="24"/>
        </w:rPr>
        <w:t xml:space="preserve">Lorraine </w:t>
      </w:r>
      <w:proofErr w:type="spellStart"/>
      <w:r w:rsidR="00D33208">
        <w:rPr>
          <w:sz w:val="24"/>
          <w:szCs w:val="24"/>
        </w:rPr>
        <w:t>Ferelli</w:t>
      </w:r>
      <w:proofErr w:type="spellEnd"/>
      <w:r w:rsidR="007965B0" w:rsidRPr="007965B0">
        <w:rPr>
          <w:sz w:val="24"/>
          <w:szCs w:val="24"/>
        </w:rPr>
        <w:t xml:space="preserve"> (Complainant) filed a Formal Complaint with the Pennsylvania Public Utility Commission against </w:t>
      </w:r>
      <w:r w:rsidR="00D33208">
        <w:rPr>
          <w:sz w:val="24"/>
          <w:szCs w:val="24"/>
        </w:rPr>
        <w:t>UGI Penn Natural Gas, Inc. (PNG or Respondent)</w:t>
      </w:r>
      <w:r w:rsidR="007965B0" w:rsidRPr="007965B0">
        <w:rPr>
          <w:sz w:val="24"/>
          <w:szCs w:val="24"/>
        </w:rPr>
        <w:t xml:space="preserve"> alleging</w:t>
      </w:r>
      <w:r w:rsidR="00D33208">
        <w:rPr>
          <w:sz w:val="24"/>
          <w:szCs w:val="24"/>
        </w:rPr>
        <w:t xml:space="preserve"> </w:t>
      </w:r>
      <w:r w:rsidR="00ED7E4B">
        <w:rPr>
          <w:sz w:val="24"/>
          <w:szCs w:val="24"/>
        </w:rPr>
        <w:t>that her bills were inappropriately high</w:t>
      </w:r>
      <w:r w:rsidR="00214F11">
        <w:rPr>
          <w:sz w:val="24"/>
          <w:szCs w:val="24"/>
        </w:rPr>
        <w:t>, she requested that the Public Utility Commission find her landlord responsible.  The Complainant did not ask for payment arrangements.</w:t>
      </w:r>
      <w:r w:rsidR="007965B0" w:rsidRPr="007965B0">
        <w:rPr>
          <w:sz w:val="24"/>
          <w:szCs w:val="24"/>
        </w:rPr>
        <w:t xml:space="preserve"> </w:t>
      </w:r>
      <w:r w:rsidR="00E024BE">
        <w:rPr>
          <w:sz w:val="24"/>
          <w:szCs w:val="24"/>
        </w:rPr>
        <w:t xml:space="preserve"> </w:t>
      </w:r>
      <w:r w:rsidR="007965B0" w:rsidRPr="007965B0">
        <w:rPr>
          <w:sz w:val="24"/>
          <w:szCs w:val="24"/>
        </w:rPr>
        <w:t xml:space="preserve">On </w:t>
      </w:r>
      <w:r w:rsidR="00D33208">
        <w:rPr>
          <w:sz w:val="24"/>
          <w:szCs w:val="24"/>
        </w:rPr>
        <w:t>November 5, 2010</w:t>
      </w:r>
      <w:r w:rsidR="007965B0" w:rsidRPr="007965B0">
        <w:rPr>
          <w:sz w:val="24"/>
          <w:szCs w:val="24"/>
        </w:rPr>
        <w:t xml:space="preserve">, Respondent filed an </w:t>
      </w:r>
      <w:r w:rsidR="007965B0" w:rsidRPr="007965B0">
        <w:rPr>
          <w:spacing w:val="-3"/>
          <w:sz w:val="24"/>
          <w:szCs w:val="24"/>
        </w:rPr>
        <w:t>Answer</w:t>
      </w:r>
      <w:r w:rsidR="00ED7E4B">
        <w:rPr>
          <w:spacing w:val="-3"/>
          <w:sz w:val="24"/>
          <w:szCs w:val="24"/>
        </w:rPr>
        <w:t xml:space="preserve"> stating that the Complainant’s service was terminated for non</w:t>
      </w:r>
      <w:r w:rsidR="00355780">
        <w:rPr>
          <w:spacing w:val="-3"/>
          <w:sz w:val="24"/>
          <w:szCs w:val="24"/>
        </w:rPr>
        <w:t>-pay</w:t>
      </w:r>
      <w:r w:rsidR="00ED7E4B">
        <w:rPr>
          <w:spacing w:val="-3"/>
          <w:sz w:val="24"/>
          <w:szCs w:val="24"/>
        </w:rPr>
        <w:t>ment; the Complainant’s outstanding balance was $3,962.16; Complainant had been on Respondent’s customer assistance program and was removed for nonpayment; there is no foreign load; and no adjustment to Complainant’s bill is warranted.</w:t>
      </w:r>
      <w:r w:rsidR="007965B0" w:rsidRPr="007965B0">
        <w:rPr>
          <w:spacing w:val="-3"/>
          <w:sz w:val="24"/>
          <w:szCs w:val="24"/>
        </w:rPr>
        <w:t xml:space="preserve">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ED7E4B">
        <w:rPr>
          <w:sz w:val="24"/>
          <w:szCs w:val="24"/>
        </w:rPr>
        <w:t>August 31, 2011</w:t>
      </w:r>
      <w:r w:rsidRPr="007965B0">
        <w:rPr>
          <w:sz w:val="24"/>
          <w:szCs w:val="24"/>
        </w:rPr>
        <w:t xml:space="preserve">, the parties were notified that an Initial Hearing in this case was scheduled for the morning of </w:t>
      </w:r>
      <w:r w:rsidR="00ED7E4B">
        <w:rPr>
          <w:sz w:val="24"/>
          <w:szCs w:val="24"/>
        </w:rPr>
        <w:t>November 2, 2011</w:t>
      </w:r>
      <w:r w:rsidRPr="007965B0">
        <w:rPr>
          <w:sz w:val="24"/>
          <w:szCs w:val="24"/>
        </w:rPr>
        <w:t xml:space="preserve">.  A Prehearing Order was issued on </w:t>
      </w:r>
      <w:r w:rsidR="00ED7E4B">
        <w:rPr>
          <w:sz w:val="24"/>
          <w:szCs w:val="24"/>
        </w:rPr>
        <w:t>September 1,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EC41CE" w:rsidRDefault="007965B0" w:rsidP="007965B0">
      <w:pPr>
        <w:spacing w:line="360" w:lineRule="auto"/>
        <w:ind w:firstLine="1440"/>
        <w:rPr>
          <w:sz w:val="24"/>
          <w:szCs w:val="24"/>
        </w:rPr>
      </w:pPr>
      <w:r w:rsidRPr="007965B0">
        <w:rPr>
          <w:sz w:val="24"/>
          <w:szCs w:val="24"/>
        </w:rPr>
        <w:lastRenderedPageBreak/>
        <w:t>The hearing convened as scheduled.</w:t>
      </w:r>
      <w:r w:rsidR="00ED7E4B">
        <w:rPr>
          <w:sz w:val="24"/>
          <w:szCs w:val="24"/>
        </w:rPr>
        <w:t xml:space="preserve">  The Complainant appeared </w:t>
      </w:r>
      <w:r w:rsidR="00ED7E4B" w:rsidRPr="00A44BB9">
        <w:rPr>
          <w:i/>
          <w:sz w:val="24"/>
          <w:szCs w:val="24"/>
        </w:rPr>
        <w:t>pro se</w:t>
      </w:r>
      <w:r w:rsidR="00ED7E4B">
        <w:rPr>
          <w:sz w:val="24"/>
          <w:szCs w:val="24"/>
        </w:rPr>
        <w:t>; the Respondent appeared represented by counsel.  The Complainant proffered no exhibits.  The Respondent proffered four (4)</w:t>
      </w:r>
      <w:r w:rsidR="00EF4180">
        <w:rPr>
          <w:sz w:val="24"/>
          <w:szCs w:val="24"/>
        </w:rPr>
        <w:t xml:space="preserve"> exhibits</w:t>
      </w:r>
      <w:r w:rsidR="00ED7E4B">
        <w:rPr>
          <w:sz w:val="24"/>
          <w:szCs w:val="24"/>
        </w:rPr>
        <w:t xml:space="preserve">; all were entered into the record.  </w:t>
      </w:r>
      <w:r w:rsidR="00EC41CE">
        <w:rPr>
          <w:sz w:val="24"/>
          <w:szCs w:val="24"/>
        </w:rPr>
        <w:t xml:space="preserve">The record closed on </w:t>
      </w:r>
      <w:r w:rsidR="00ED7E4B">
        <w:rPr>
          <w:sz w:val="24"/>
          <w:szCs w:val="24"/>
        </w:rPr>
        <w:t>December</w:t>
      </w:r>
      <w:r w:rsidR="00C13AC9">
        <w:rPr>
          <w:sz w:val="24"/>
          <w:szCs w:val="24"/>
        </w:rPr>
        <w:t> </w:t>
      </w:r>
      <w:r w:rsidR="00ED7E4B">
        <w:rPr>
          <w:sz w:val="24"/>
          <w:szCs w:val="24"/>
        </w:rPr>
        <w:t>2, 2011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ED7E4B" w:rsidP="00C419F9">
      <w:pPr>
        <w:numPr>
          <w:ilvl w:val="0"/>
          <w:numId w:val="18"/>
        </w:numPr>
        <w:tabs>
          <w:tab w:val="left" w:pos="2160"/>
        </w:tabs>
        <w:spacing w:line="360" w:lineRule="auto"/>
        <w:ind w:left="0" w:firstLine="1440"/>
        <w:rPr>
          <w:sz w:val="24"/>
          <w:szCs w:val="24"/>
        </w:rPr>
      </w:pPr>
      <w:r>
        <w:rPr>
          <w:sz w:val="24"/>
          <w:szCs w:val="24"/>
        </w:rPr>
        <w:t>The Complainant rented and resided at 1031 Myers Avenue, Peckville, Pennsylvania during the period relevant to this complaint.  Tr. 5, Formal Complaint.</w:t>
      </w:r>
    </w:p>
    <w:p w:rsidR="006C49AD" w:rsidRDefault="006C49AD" w:rsidP="006C49AD">
      <w:pPr>
        <w:spacing w:line="360" w:lineRule="auto"/>
        <w:ind w:left="1440"/>
        <w:rPr>
          <w:sz w:val="24"/>
          <w:szCs w:val="24"/>
        </w:rPr>
      </w:pPr>
      <w:r>
        <w:rPr>
          <w:sz w:val="24"/>
          <w:szCs w:val="24"/>
        </w:rPr>
        <w:t xml:space="preserve"> </w:t>
      </w:r>
    </w:p>
    <w:p w:rsidR="006C49AD" w:rsidRDefault="006C49AD" w:rsidP="00C419F9">
      <w:pPr>
        <w:numPr>
          <w:ilvl w:val="0"/>
          <w:numId w:val="18"/>
        </w:numPr>
        <w:tabs>
          <w:tab w:val="left" w:pos="2160"/>
        </w:tabs>
        <w:spacing w:line="360" w:lineRule="auto"/>
        <w:ind w:left="0" w:firstLine="1440"/>
        <w:rPr>
          <w:sz w:val="24"/>
          <w:szCs w:val="24"/>
        </w:rPr>
      </w:pPr>
      <w:r>
        <w:rPr>
          <w:sz w:val="24"/>
          <w:szCs w:val="24"/>
        </w:rPr>
        <w:t>At the time of the hearing, the Complainant was no longer a customer of the Respondent.  Tr. 12.</w:t>
      </w:r>
    </w:p>
    <w:p w:rsidR="00ED7E4B" w:rsidRDefault="00ED7E4B" w:rsidP="00ED7E4B">
      <w:pPr>
        <w:spacing w:line="360" w:lineRule="auto"/>
        <w:ind w:left="1440"/>
        <w:rPr>
          <w:sz w:val="24"/>
          <w:szCs w:val="24"/>
        </w:rPr>
      </w:pPr>
      <w:r>
        <w:rPr>
          <w:sz w:val="24"/>
          <w:szCs w:val="24"/>
        </w:rPr>
        <w:t xml:space="preserve"> </w:t>
      </w:r>
    </w:p>
    <w:p w:rsidR="00ED7E4B" w:rsidRDefault="00ED7E4B" w:rsidP="00C419F9">
      <w:pPr>
        <w:numPr>
          <w:ilvl w:val="0"/>
          <w:numId w:val="18"/>
        </w:numPr>
        <w:tabs>
          <w:tab w:val="left" w:pos="2160"/>
        </w:tabs>
        <w:spacing w:line="360" w:lineRule="auto"/>
        <w:ind w:left="0" w:firstLine="1440"/>
        <w:rPr>
          <w:sz w:val="24"/>
          <w:szCs w:val="24"/>
        </w:rPr>
      </w:pPr>
      <w:r>
        <w:rPr>
          <w:sz w:val="24"/>
          <w:szCs w:val="24"/>
        </w:rPr>
        <w:t xml:space="preserve">The Respondent provided natural gas service to the Complainant during the period relevant to this complaint. </w:t>
      </w:r>
    </w:p>
    <w:p w:rsidR="00ED7E4B" w:rsidRDefault="00ED7E4B" w:rsidP="00ED7E4B">
      <w:pPr>
        <w:pStyle w:val="ListParagraph"/>
        <w:rPr>
          <w:sz w:val="24"/>
          <w:szCs w:val="24"/>
        </w:rPr>
      </w:pPr>
    </w:p>
    <w:p w:rsidR="00ED7E4B" w:rsidRDefault="00ED7E4B" w:rsidP="00C419F9">
      <w:pPr>
        <w:numPr>
          <w:ilvl w:val="0"/>
          <w:numId w:val="18"/>
        </w:numPr>
        <w:tabs>
          <w:tab w:val="left" w:pos="2160"/>
        </w:tabs>
        <w:spacing w:line="360" w:lineRule="auto"/>
        <w:ind w:left="0" w:firstLine="1440"/>
        <w:rPr>
          <w:sz w:val="24"/>
          <w:szCs w:val="24"/>
        </w:rPr>
      </w:pPr>
      <w:r>
        <w:rPr>
          <w:sz w:val="24"/>
          <w:szCs w:val="24"/>
        </w:rPr>
        <w:t>The Complainant had four (4) radiators in her apartment.  Tr. 5.</w:t>
      </w:r>
    </w:p>
    <w:p w:rsidR="00ED7E4B" w:rsidRDefault="00ED7E4B" w:rsidP="00ED7E4B">
      <w:pPr>
        <w:pStyle w:val="ListParagraph"/>
        <w:rPr>
          <w:sz w:val="24"/>
          <w:szCs w:val="24"/>
        </w:rPr>
      </w:pPr>
    </w:p>
    <w:p w:rsidR="00ED7E4B" w:rsidRDefault="00ED7E4B" w:rsidP="00C419F9">
      <w:pPr>
        <w:numPr>
          <w:ilvl w:val="0"/>
          <w:numId w:val="18"/>
        </w:numPr>
        <w:tabs>
          <w:tab w:val="left" w:pos="2160"/>
        </w:tabs>
        <w:spacing w:line="360" w:lineRule="auto"/>
        <w:ind w:left="0" w:firstLine="1440"/>
        <w:rPr>
          <w:sz w:val="24"/>
          <w:szCs w:val="24"/>
        </w:rPr>
      </w:pPr>
      <w:r>
        <w:rPr>
          <w:sz w:val="24"/>
          <w:szCs w:val="24"/>
        </w:rPr>
        <w:t xml:space="preserve">The Complainant found that her bills fluctuated and thought </w:t>
      </w:r>
      <w:r w:rsidR="006C49AD">
        <w:rPr>
          <w:sz w:val="24"/>
          <w:szCs w:val="24"/>
        </w:rPr>
        <w:t>she might be p</w:t>
      </w:r>
      <w:r>
        <w:rPr>
          <w:sz w:val="24"/>
          <w:szCs w:val="24"/>
        </w:rPr>
        <w:t>aying for another tenant</w:t>
      </w:r>
      <w:r w:rsidR="006C49AD">
        <w:rPr>
          <w:sz w:val="24"/>
          <w:szCs w:val="24"/>
        </w:rPr>
        <w:t>’</w:t>
      </w:r>
      <w:r>
        <w:rPr>
          <w:sz w:val="24"/>
          <w:szCs w:val="24"/>
        </w:rPr>
        <w:t>s service.</w:t>
      </w:r>
      <w:r w:rsidR="006C49AD">
        <w:rPr>
          <w:sz w:val="24"/>
          <w:szCs w:val="24"/>
        </w:rPr>
        <w:t xml:space="preserve">  Tr. 6.</w:t>
      </w:r>
    </w:p>
    <w:p w:rsidR="006C49AD" w:rsidRDefault="006C49AD" w:rsidP="006C49AD">
      <w:pPr>
        <w:pStyle w:val="ListParagraph"/>
        <w:rPr>
          <w:sz w:val="24"/>
          <w:szCs w:val="24"/>
        </w:rPr>
      </w:pPr>
    </w:p>
    <w:p w:rsidR="006C49AD" w:rsidRDefault="006C49AD" w:rsidP="00C419F9">
      <w:pPr>
        <w:numPr>
          <w:ilvl w:val="0"/>
          <w:numId w:val="18"/>
        </w:numPr>
        <w:tabs>
          <w:tab w:val="left" w:pos="2160"/>
        </w:tabs>
        <w:spacing w:line="360" w:lineRule="auto"/>
        <w:ind w:left="0" w:firstLine="1440"/>
        <w:rPr>
          <w:sz w:val="24"/>
          <w:szCs w:val="24"/>
        </w:rPr>
      </w:pPr>
      <w:r>
        <w:rPr>
          <w:sz w:val="24"/>
          <w:szCs w:val="24"/>
        </w:rPr>
        <w:t>When radiators were removed from an upstairs apartment, the Complainant thought there was a connection between her high bill and the removal of the radiators.  Tr. 6-7, 10.</w:t>
      </w:r>
    </w:p>
    <w:p w:rsidR="006C49AD" w:rsidRDefault="006C49AD" w:rsidP="006C49AD">
      <w:pPr>
        <w:pStyle w:val="ListParagraph"/>
        <w:rPr>
          <w:sz w:val="24"/>
          <w:szCs w:val="24"/>
        </w:rPr>
      </w:pPr>
    </w:p>
    <w:p w:rsidR="006C49AD" w:rsidRDefault="006C49AD" w:rsidP="00C419F9">
      <w:pPr>
        <w:numPr>
          <w:ilvl w:val="0"/>
          <w:numId w:val="18"/>
        </w:numPr>
        <w:tabs>
          <w:tab w:val="left" w:pos="2160"/>
        </w:tabs>
        <w:spacing w:line="360" w:lineRule="auto"/>
        <w:ind w:left="0" w:firstLine="1440"/>
        <w:rPr>
          <w:sz w:val="24"/>
          <w:szCs w:val="24"/>
        </w:rPr>
      </w:pPr>
      <w:r>
        <w:rPr>
          <w:sz w:val="24"/>
          <w:szCs w:val="24"/>
        </w:rPr>
        <w:t>At one point, the Complainant was on the Respondent’s customer assistance program and was required to pay $52 per month.  She did not do so.  Tr. 13.</w:t>
      </w:r>
    </w:p>
    <w:p w:rsidR="00C760D8" w:rsidRDefault="00C760D8" w:rsidP="00C760D8">
      <w:pPr>
        <w:pStyle w:val="ListParagraph"/>
        <w:rPr>
          <w:sz w:val="24"/>
          <w:szCs w:val="24"/>
        </w:rPr>
      </w:pPr>
    </w:p>
    <w:p w:rsidR="00C760D8" w:rsidRDefault="00C760D8" w:rsidP="00C419F9">
      <w:pPr>
        <w:numPr>
          <w:ilvl w:val="0"/>
          <w:numId w:val="18"/>
        </w:numPr>
        <w:tabs>
          <w:tab w:val="left" w:pos="2160"/>
        </w:tabs>
        <w:spacing w:line="360" w:lineRule="auto"/>
        <w:ind w:left="0" w:firstLine="1440"/>
        <w:rPr>
          <w:sz w:val="24"/>
          <w:szCs w:val="24"/>
        </w:rPr>
      </w:pPr>
      <w:r>
        <w:rPr>
          <w:sz w:val="24"/>
          <w:szCs w:val="24"/>
        </w:rPr>
        <w:t>The Complainant could not afford to pay the payment arrangement amount.  Tr. 18.</w:t>
      </w:r>
    </w:p>
    <w:p w:rsidR="006C49AD" w:rsidRDefault="006C49AD" w:rsidP="006C49AD">
      <w:pPr>
        <w:pStyle w:val="ListParagraph"/>
        <w:rPr>
          <w:sz w:val="24"/>
          <w:szCs w:val="24"/>
        </w:rPr>
      </w:pPr>
    </w:p>
    <w:p w:rsidR="006C49AD" w:rsidRDefault="006C49AD" w:rsidP="00C419F9">
      <w:pPr>
        <w:numPr>
          <w:ilvl w:val="0"/>
          <w:numId w:val="18"/>
        </w:numPr>
        <w:tabs>
          <w:tab w:val="left" w:pos="2160"/>
        </w:tabs>
        <w:spacing w:line="360" w:lineRule="auto"/>
        <w:ind w:left="0" w:firstLine="1440"/>
        <w:rPr>
          <w:sz w:val="24"/>
          <w:szCs w:val="24"/>
        </w:rPr>
      </w:pPr>
      <w:r>
        <w:rPr>
          <w:sz w:val="24"/>
          <w:szCs w:val="24"/>
        </w:rPr>
        <w:t xml:space="preserve">Gas service to the Complainant at her 1031 Myers </w:t>
      </w:r>
      <w:r w:rsidR="00214F11">
        <w:rPr>
          <w:sz w:val="24"/>
          <w:szCs w:val="24"/>
        </w:rPr>
        <w:t xml:space="preserve">Avenue </w:t>
      </w:r>
      <w:r>
        <w:rPr>
          <w:sz w:val="24"/>
          <w:szCs w:val="24"/>
        </w:rPr>
        <w:t xml:space="preserve">apartment was terminated April </w:t>
      </w:r>
      <w:r w:rsidR="00CF5F83">
        <w:rPr>
          <w:sz w:val="24"/>
          <w:szCs w:val="24"/>
        </w:rPr>
        <w:t xml:space="preserve">12, </w:t>
      </w:r>
      <w:r>
        <w:rPr>
          <w:sz w:val="24"/>
          <w:szCs w:val="24"/>
        </w:rPr>
        <w:t>2010.  Tr. 13-14</w:t>
      </w:r>
      <w:r w:rsidR="00CF5F83">
        <w:rPr>
          <w:sz w:val="24"/>
          <w:szCs w:val="24"/>
        </w:rPr>
        <w:t>, 23</w:t>
      </w:r>
      <w:r>
        <w:rPr>
          <w:sz w:val="24"/>
          <w:szCs w:val="24"/>
        </w:rPr>
        <w:t>.</w:t>
      </w:r>
    </w:p>
    <w:p w:rsidR="006C49AD" w:rsidRDefault="006C49AD" w:rsidP="00C419F9">
      <w:pPr>
        <w:numPr>
          <w:ilvl w:val="0"/>
          <w:numId w:val="18"/>
        </w:numPr>
        <w:tabs>
          <w:tab w:val="left" w:pos="2160"/>
        </w:tabs>
        <w:spacing w:line="360" w:lineRule="auto"/>
        <w:ind w:left="0" w:firstLine="1440"/>
        <w:rPr>
          <w:sz w:val="24"/>
          <w:szCs w:val="24"/>
        </w:rPr>
      </w:pPr>
      <w:r>
        <w:rPr>
          <w:sz w:val="24"/>
          <w:szCs w:val="24"/>
        </w:rPr>
        <w:t xml:space="preserve">The Complainant left the </w:t>
      </w:r>
      <w:r w:rsidR="00C760D8">
        <w:rPr>
          <w:sz w:val="24"/>
          <w:szCs w:val="24"/>
        </w:rPr>
        <w:t>1</w:t>
      </w:r>
      <w:r>
        <w:rPr>
          <w:sz w:val="24"/>
          <w:szCs w:val="24"/>
        </w:rPr>
        <w:t xml:space="preserve">031 Myers </w:t>
      </w:r>
      <w:r w:rsidR="00214F11">
        <w:rPr>
          <w:sz w:val="24"/>
          <w:szCs w:val="24"/>
        </w:rPr>
        <w:t xml:space="preserve">Avenue </w:t>
      </w:r>
      <w:r>
        <w:rPr>
          <w:sz w:val="24"/>
          <w:szCs w:val="24"/>
        </w:rPr>
        <w:t>apartment in October 2010.  Tr. 13.</w:t>
      </w:r>
    </w:p>
    <w:p w:rsidR="006C49AD" w:rsidRDefault="006C49AD" w:rsidP="006C49AD">
      <w:pPr>
        <w:pStyle w:val="ListParagraph"/>
        <w:rPr>
          <w:sz w:val="24"/>
          <w:szCs w:val="24"/>
        </w:rPr>
      </w:pPr>
    </w:p>
    <w:p w:rsidR="006C49AD" w:rsidRDefault="00CF5F83" w:rsidP="00C419F9">
      <w:pPr>
        <w:numPr>
          <w:ilvl w:val="0"/>
          <w:numId w:val="18"/>
        </w:numPr>
        <w:tabs>
          <w:tab w:val="left" w:pos="2160"/>
        </w:tabs>
        <w:spacing w:line="360" w:lineRule="auto"/>
        <w:ind w:left="0" w:firstLine="1440"/>
        <w:rPr>
          <w:sz w:val="24"/>
          <w:szCs w:val="24"/>
        </w:rPr>
      </w:pPr>
      <w:r>
        <w:rPr>
          <w:sz w:val="24"/>
          <w:szCs w:val="24"/>
        </w:rPr>
        <w:t xml:space="preserve">At the time of the hearing, the Complainant’s past due balance was $3,962.16.  </w:t>
      </w:r>
      <w:proofErr w:type="spellStart"/>
      <w:r>
        <w:rPr>
          <w:sz w:val="24"/>
          <w:szCs w:val="24"/>
        </w:rPr>
        <w:t>Exh</w:t>
      </w:r>
      <w:proofErr w:type="spellEnd"/>
      <w:r>
        <w:rPr>
          <w:sz w:val="24"/>
          <w:szCs w:val="24"/>
        </w:rPr>
        <w:t>. PNG-1.</w:t>
      </w:r>
    </w:p>
    <w:p w:rsidR="00CF5F83" w:rsidRDefault="00CF5F83" w:rsidP="00CF5F83">
      <w:pPr>
        <w:pStyle w:val="ListParagraph"/>
        <w:rPr>
          <w:sz w:val="24"/>
          <w:szCs w:val="24"/>
        </w:rPr>
      </w:pPr>
    </w:p>
    <w:p w:rsidR="00CF5F83" w:rsidRDefault="00CF5F83" w:rsidP="00C419F9">
      <w:pPr>
        <w:numPr>
          <w:ilvl w:val="0"/>
          <w:numId w:val="18"/>
        </w:numPr>
        <w:tabs>
          <w:tab w:val="left" w:pos="2160"/>
        </w:tabs>
        <w:spacing w:line="360" w:lineRule="auto"/>
        <w:ind w:left="0" w:firstLine="1440"/>
        <w:rPr>
          <w:sz w:val="24"/>
          <w:szCs w:val="24"/>
        </w:rPr>
      </w:pPr>
      <w:r>
        <w:rPr>
          <w:sz w:val="24"/>
          <w:szCs w:val="24"/>
        </w:rPr>
        <w:t>The Complainant’s meter was tested and tested within tolerance levels.  Tr. 31.</w:t>
      </w:r>
    </w:p>
    <w:p w:rsidR="00CF5F83" w:rsidRDefault="00CF5F83" w:rsidP="00CF5F83">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CF5F83">
        <w:rPr>
          <w:sz w:val="24"/>
          <w:szCs w:val="24"/>
        </w:rPr>
        <w:t>her</w:t>
      </w:r>
      <w:r w:rsidRPr="000B72BC">
        <w:rPr>
          <w:sz w:val="24"/>
          <w:szCs w:val="24"/>
        </w:rPr>
        <w:t xml:space="preserve"> case.  </w:t>
      </w:r>
      <w:proofErr w:type="gramStart"/>
      <w:r w:rsidRPr="000B72BC">
        <w:rPr>
          <w:sz w:val="24"/>
          <w:szCs w:val="24"/>
        </w:rPr>
        <w:t>66 Pa. C.S. §</w:t>
      </w:r>
      <w:r>
        <w:rPr>
          <w:sz w:val="24"/>
          <w:szCs w:val="24"/>
        </w:rPr>
        <w:t xml:space="preserve"> </w:t>
      </w:r>
      <w:r w:rsidRPr="000B72BC">
        <w:rPr>
          <w:sz w:val="24"/>
          <w:szCs w:val="24"/>
        </w:rPr>
        <w:t>332(a).</w:t>
      </w:r>
      <w:proofErr w:type="gramEnd"/>
      <w:r w:rsidRPr="000B72BC">
        <w:rPr>
          <w:sz w:val="24"/>
          <w:szCs w:val="24"/>
        </w:rPr>
        <w:t xml:space="preserve">  </w:t>
      </w:r>
      <w:r w:rsidRPr="000B72BC">
        <w:rPr>
          <w:spacing w:val="-3"/>
          <w:sz w:val="24"/>
          <w:szCs w:val="24"/>
        </w:rPr>
        <w:t xml:space="preserve">This must be shown by a preponderance of the evidence.  </w:t>
      </w:r>
      <w:proofErr w:type="gramStart"/>
      <w:r w:rsidRPr="000B72BC">
        <w:rPr>
          <w:i/>
          <w:spacing w:val="-3"/>
          <w:sz w:val="24"/>
          <w:szCs w:val="24"/>
        </w:rPr>
        <w:t xml:space="preserve">Samuel J. </w:t>
      </w:r>
      <w:proofErr w:type="spellStart"/>
      <w:r w:rsidRPr="000B72BC">
        <w:rPr>
          <w:i/>
          <w:spacing w:val="-3"/>
          <w:sz w:val="24"/>
          <w:szCs w:val="24"/>
        </w:rPr>
        <w:t>Lansberry</w:t>
      </w:r>
      <w:proofErr w:type="spellEnd"/>
      <w:r w:rsidRPr="000B72BC">
        <w:rPr>
          <w:i/>
          <w:spacing w:val="-3"/>
          <w:sz w:val="24"/>
          <w:szCs w:val="24"/>
        </w:rPr>
        <w:t>, Inc. v. Pa. Pub</w:t>
      </w:r>
      <w:r w:rsidR="00223E7E">
        <w:rPr>
          <w:i/>
          <w:spacing w:val="-3"/>
          <w:sz w:val="24"/>
          <w:szCs w:val="24"/>
        </w:rPr>
        <w:t>.</w:t>
      </w:r>
      <w:proofErr w:type="gramEnd"/>
      <w:r w:rsidR="0054375D">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w:t>
      </w:r>
      <w:proofErr w:type="gramStart"/>
      <w:r w:rsidRPr="000B72BC">
        <w:rPr>
          <w:i/>
          <w:spacing w:val="-3"/>
          <w:sz w:val="24"/>
          <w:szCs w:val="24"/>
        </w:rPr>
        <w:t>den.</w:t>
      </w:r>
      <w:r w:rsidRPr="000B72BC">
        <w:rPr>
          <w:spacing w:val="-3"/>
          <w:sz w:val="24"/>
          <w:szCs w:val="24"/>
        </w:rPr>
        <w:t>, 602 A.2d 863 (1992).</w:t>
      </w:r>
      <w:proofErr w:type="gramEnd"/>
      <w:r w:rsidRPr="000B72BC">
        <w:rPr>
          <w:spacing w:val="-3"/>
          <w:sz w:val="24"/>
          <w:szCs w:val="24"/>
        </w:rPr>
        <w:t xml:space="preserve">  That is, </w:t>
      </w:r>
      <w:r w:rsidR="00122882">
        <w:rPr>
          <w:spacing w:val="-3"/>
          <w:sz w:val="24"/>
          <w:szCs w:val="24"/>
        </w:rPr>
        <w:t xml:space="preserve">the complainant must present </w:t>
      </w:r>
      <w:r w:rsidRPr="000B72BC">
        <w:rPr>
          <w:spacing w:val="-3"/>
          <w:sz w:val="24"/>
          <w:szCs w:val="24"/>
        </w:rPr>
        <w:t xml:space="preserve">evidence more convincing, by even the smallest amount, than that presented by the other party.  </w:t>
      </w:r>
      <w:proofErr w:type="gramStart"/>
      <w:r w:rsidR="00223E7E">
        <w:rPr>
          <w:i/>
          <w:spacing w:val="-3"/>
          <w:sz w:val="24"/>
          <w:szCs w:val="24"/>
        </w:rPr>
        <w:t>Se-Ling Hosiery v. Marg</w:t>
      </w:r>
      <w:r w:rsidRPr="000B72BC">
        <w:rPr>
          <w:i/>
          <w:spacing w:val="-3"/>
          <w:sz w:val="24"/>
          <w:szCs w:val="24"/>
        </w:rPr>
        <w:t>ulies</w:t>
      </w:r>
      <w:r w:rsidRPr="000B72BC">
        <w:rPr>
          <w:spacing w:val="-3"/>
          <w:sz w:val="24"/>
          <w:szCs w:val="24"/>
        </w:rPr>
        <w:t>, 70 A.2d 854 (1950).</w:t>
      </w:r>
      <w:proofErr w:type="gramEnd"/>
      <w:r w:rsidRPr="000B72BC">
        <w:rPr>
          <w:spacing w:val="-3"/>
          <w:sz w:val="24"/>
          <w:szCs w:val="24"/>
        </w:rPr>
        <w:t xml:space="preserve">  </w:t>
      </w:r>
    </w:p>
    <w:p w:rsidR="00B0541E" w:rsidRPr="000B72BC" w:rsidRDefault="00B0541E" w:rsidP="00B0541E">
      <w:pPr>
        <w:spacing w:line="360" w:lineRule="auto"/>
        <w:ind w:firstLine="1440"/>
        <w:rPr>
          <w:spacing w:val="-3"/>
          <w:sz w:val="24"/>
          <w:szCs w:val="24"/>
        </w:rPr>
      </w:pPr>
    </w:p>
    <w:p w:rsidR="00B0541E" w:rsidRDefault="00B0541E" w:rsidP="00CF5F83">
      <w:pPr>
        <w:spacing w:line="360" w:lineRule="auto"/>
        <w:ind w:firstLine="1440"/>
        <w:rPr>
          <w:sz w:val="24"/>
          <w:szCs w:val="24"/>
        </w:rPr>
      </w:pPr>
      <w:r w:rsidRPr="000B72BC">
        <w:rPr>
          <w:spacing w:val="-3"/>
          <w:sz w:val="24"/>
          <w:szCs w:val="24"/>
        </w:rPr>
        <w:t xml:space="preserve">Additionally, any finding of fact necessary to support the Commission’s adjudication must be based upon substantial evidence.  </w:t>
      </w:r>
      <w:proofErr w:type="gramStart"/>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D965A4">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proofErr w:type="gramStart"/>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w:t>
      </w:r>
      <w:proofErr w:type="gramEnd"/>
      <w:r w:rsidRPr="000B72BC">
        <w:rPr>
          <w:i/>
          <w:spacing w:val="-3"/>
          <w:sz w:val="24"/>
          <w:szCs w:val="24"/>
        </w:rPr>
        <w:t xml:space="preserve"> </w:t>
      </w:r>
      <w:proofErr w:type="gramStart"/>
      <w:r w:rsidRPr="000B72BC">
        <w:rPr>
          <w:i/>
          <w:spacing w:val="-3"/>
          <w:sz w:val="24"/>
          <w:szCs w:val="24"/>
        </w:rPr>
        <w:t>of</w:t>
      </w:r>
      <w:proofErr w:type="gramEnd"/>
      <w:r w:rsidRPr="000B72BC">
        <w:rPr>
          <w:i/>
          <w:spacing w:val="-3"/>
          <w:sz w:val="24"/>
          <w:szCs w:val="24"/>
        </w:rPr>
        <w:t xml:space="preserve"> Public Welfare, White Haven Center</w:t>
      </w:r>
      <w:r w:rsidRPr="000B72BC">
        <w:rPr>
          <w:spacing w:val="-3"/>
          <w:sz w:val="24"/>
          <w:szCs w:val="24"/>
        </w:rPr>
        <w:t>, 480 A.2d 382 (1984).</w:t>
      </w:r>
      <w:r w:rsidR="00CF5F83">
        <w:rPr>
          <w:spacing w:val="-3"/>
          <w:sz w:val="24"/>
          <w:szCs w:val="24"/>
        </w:rPr>
        <w:t xml:space="preserve">  </w:t>
      </w:r>
      <w:r w:rsidRPr="000B72BC">
        <w:rPr>
          <w:sz w:val="24"/>
          <w:szCs w:val="24"/>
        </w:rPr>
        <w:t xml:space="preserve">The offense must be a violation of the Public Utility Code, the Commission’s regulations, or an outstanding order of the Commission.  </w:t>
      </w:r>
      <w:proofErr w:type="gramStart"/>
      <w:r w:rsidRPr="000B72BC">
        <w:rPr>
          <w:sz w:val="24"/>
          <w:szCs w:val="24"/>
        </w:rPr>
        <w:t>66 Pa. C.S. §</w:t>
      </w:r>
      <w:r>
        <w:rPr>
          <w:sz w:val="24"/>
          <w:szCs w:val="24"/>
        </w:rPr>
        <w:t xml:space="preserve"> </w:t>
      </w:r>
      <w:r w:rsidRPr="000B72BC">
        <w:rPr>
          <w:sz w:val="24"/>
          <w:szCs w:val="24"/>
        </w:rPr>
        <w:t>701.</w:t>
      </w:r>
      <w:proofErr w:type="gramEnd"/>
    </w:p>
    <w:p w:rsidR="00F54589" w:rsidRDefault="00F54589" w:rsidP="00CF5F83">
      <w:pPr>
        <w:spacing w:line="360" w:lineRule="auto"/>
        <w:ind w:firstLine="1440"/>
        <w:rPr>
          <w:sz w:val="24"/>
          <w:szCs w:val="24"/>
        </w:rPr>
      </w:pPr>
    </w:p>
    <w:p w:rsidR="00CB37C9" w:rsidRDefault="006B0510" w:rsidP="00CB37C9">
      <w:pPr>
        <w:spacing w:line="360" w:lineRule="auto"/>
        <w:ind w:firstLine="1440"/>
        <w:rPr>
          <w:sz w:val="24"/>
          <w:szCs w:val="24"/>
        </w:rPr>
      </w:pPr>
      <w:r>
        <w:rPr>
          <w:sz w:val="24"/>
          <w:szCs w:val="24"/>
        </w:rPr>
        <w:t>The Complainant asserts that her bill fluctuated.  She believes that she may have been paying for another’s usage</w:t>
      </w:r>
      <w:r w:rsidR="00214F11">
        <w:rPr>
          <w:sz w:val="24"/>
          <w:szCs w:val="24"/>
        </w:rPr>
        <w:t>, and in her complaint asked that her landlord be found responsible.</w:t>
      </w:r>
      <w:r>
        <w:rPr>
          <w:sz w:val="24"/>
          <w:szCs w:val="24"/>
        </w:rPr>
        <w:t xml:space="preserve">  She started natural gas service with the Respondent on April 1, 2009 and service was terminated for nonpayment on April 12, 2010.  During that year, the Complainant made four payments for service.  </w:t>
      </w:r>
      <w:proofErr w:type="gramStart"/>
      <w:r>
        <w:rPr>
          <w:sz w:val="24"/>
          <w:szCs w:val="24"/>
        </w:rPr>
        <w:t>(</w:t>
      </w:r>
      <w:proofErr w:type="spellStart"/>
      <w:r>
        <w:rPr>
          <w:sz w:val="24"/>
          <w:szCs w:val="24"/>
        </w:rPr>
        <w:t>Exh</w:t>
      </w:r>
      <w:proofErr w:type="spellEnd"/>
      <w:r>
        <w:rPr>
          <w:sz w:val="24"/>
          <w:szCs w:val="24"/>
        </w:rPr>
        <w:t>.</w:t>
      </w:r>
      <w:proofErr w:type="gramEnd"/>
      <w:r>
        <w:rPr>
          <w:sz w:val="24"/>
          <w:szCs w:val="24"/>
        </w:rPr>
        <w:t xml:space="preserve"> </w:t>
      </w:r>
      <w:proofErr w:type="gramStart"/>
      <w:r>
        <w:rPr>
          <w:sz w:val="24"/>
          <w:szCs w:val="24"/>
        </w:rPr>
        <w:t>PNG-1).</w:t>
      </w:r>
      <w:proofErr w:type="gramEnd"/>
      <w:r>
        <w:rPr>
          <w:sz w:val="24"/>
          <w:szCs w:val="24"/>
        </w:rPr>
        <w:t xml:space="preserve">  The Respondent made one payment agreement with the Complainant, but it was not kept.  The Complainant does not dispute that she used the gas service, and she has no proof of any foreign wiring.  The Respondent verified that her meter worked properly.</w:t>
      </w:r>
      <w:r w:rsidRPr="00CB37C9">
        <w:rPr>
          <w:sz w:val="24"/>
          <w:szCs w:val="24"/>
        </w:rPr>
        <w:t xml:space="preserve"> </w:t>
      </w:r>
    </w:p>
    <w:p w:rsidR="00CB37C9" w:rsidRDefault="00CB37C9" w:rsidP="00CB37C9">
      <w:pPr>
        <w:spacing w:line="360" w:lineRule="auto"/>
        <w:rPr>
          <w:sz w:val="24"/>
          <w:szCs w:val="24"/>
        </w:rPr>
      </w:pPr>
    </w:p>
    <w:p w:rsidR="006B1319" w:rsidRDefault="00CB37C9" w:rsidP="00CB37C9">
      <w:pPr>
        <w:spacing w:line="360" w:lineRule="auto"/>
        <w:ind w:firstLine="1440"/>
        <w:rPr>
          <w:sz w:val="24"/>
          <w:szCs w:val="24"/>
        </w:rPr>
      </w:pPr>
      <w:r w:rsidRPr="00CB37C9">
        <w:rPr>
          <w:sz w:val="24"/>
          <w:szCs w:val="24"/>
        </w:rPr>
        <w:t xml:space="preserve">In a complaint for overbilling by a customer of a public utility, the legislature has placed the burden of proof upon the complainant.  </w:t>
      </w:r>
      <w:proofErr w:type="gramStart"/>
      <w:r w:rsidRPr="00CB37C9">
        <w:rPr>
          <w:rStyle w:val="Hyperlink6"/>
          <w:color w:val="auto"/>
          <w:sz w:val="24"/>
          <w:szCs w:val="24"/>
        </w:rPr>
        <w:t xml:space="preserve">66 </w:t>
      </w:r>
      <w:proofErr w:type="spellStart"/>
      <w:r w:rsidRPr="00CB37C9">
        <w:rPr>
          <w:rStyle w:val="Hyperlink6"/>
          <w:color w:val="auto"/>
          <w:sz w:val="24"/>
          <w:szCs w:val="24"/>
        </w:rPr>
        <w:t>Pa.C.S.A</w:t>
      </w:r>
      <w:proofErr w:type="spellEnd"/>
      <w:r w:rsidRPr="00CB37C9">
        <w:rPr>
          <w:rStyle w:val="Hyperlink6"/>
          <w:color w:val="auto"/>
          <w:sz w:val="24"/>
          <w:szCs w:val="24"/>
        </w:rPr>
        <w:t>.</w:t>
      </w:r>
      <w:proofErr w:type="gramEnd"/>
      <w:r w:rsidRPr="00CB37C9">
        <w:rPr>
          <w:rStyle w:val="Hyperlink6"/>
          <w:color w:val="auto"/>
          <w:sz w:val="24"/>
          <w:szCs w:val="24"/>
        </w:rPr>
        <w:t xml:space="preserve"> §332(a)</w:t>
      </w:r>
      <w:r w:rsidRPr="00CB37C9">
        <w:rPr>
          <w:sz w:val="24"/>
          <w:szCs w:val="24"/>
        </w:rPr>
        <w:t xml:space="preserve">.  Under these requirements, a complainant may establish a </w:t>
      </w:r>
      <w:r w:rsidRPr="00CB37C9">
        <w:rPr>
          <w:i/>
          <w:sz w:val="24"/>
          <w:szCs w:val="24"/>
        </w:rPr>
        <w:t>prima facie</w:t>
      </w:r>
      <w:r w:rsidRPr="00CB37C9">
        <w:rPr>
          <w:sz w:val="24"/>
          <w:szCs w:val="24"/>
        </w:rPr>
        <w:t xml:space="preserve"> case by showing that his/her power usage for the billing period in question was unchanged from earlier periods and that the bill for the same period was higher than previous bills.  </w:t>
      </w:r>
      <w:proofErr w:type="gramStart"/>
      <w:r w:rsidRPr="00CB37C9">
        <w:rPr>
          <w:sz w:val="24"/>
          <w:szCs w:val="24"/>
        </w:rPr>
        <w:t xml:space="preserve">The burden of </w:t>
      </w:r>
      <w:r w:rsidRPr="00CB37C9">
        <w:rPr>
          <w:iCs/>
          <w:sz w:val="24"/>
          <w:szCs w:val="24"/>
        </w:rPr>
        <w:t>going forward</w:t>
      </w:r>
      <w:r w:rsidRPr="00CB37C9">
        <w:rPr>
          <w:sz w:val="24"/>
          <w:szCs w:val="24"/>
        </w:rPr>
        <w:t xml:space="preserve"> then shifts to the utility, which must rebut the complainant's case with co-equal or stronger evidence</w:t>
      </w:r>
      <w:r w:rsidRPr="00CB37C9">
        <w:rPr>
          <w:i/>
          <w:sz w:val="24"/>
          <w:szCs w:val="24"/>
        </w:rPr>
        <w:t>.</w:t>
      </w:r>
      <w:proofErr w:type="gramEnd"/>
      <w:r w:rsidRPr="00CB37C9">
        <w:rPr>
          <w:i/>
          <w:sz w:val="24"/>
          <w:szCs w:val="24"/>
        </w:rPr>
        <w:t xml:space="preserve">  </w:t>
      </w:r>
      <w:r w:rsidRPr="00CB37C9">
        <w:rPr>
          <w:rStyle w:val="Hyperlink6"/>
          <w:i/>
          <w:iCs/>
          <w:color w:val="auto"/>
          <w:sz w:val="24"/>
          <w:szCs w:val="24"/>
          <w:u w:val="none"/>
        </w:rPr>
        <w:t>Waldron v. Philadelphia Electric Company,</w:t>
      </w:r>
      <w:r w:rsidRPr="00CB37C9">
        <w:rPr>
          <w:rStyle w:val="Hyperlink6"/>
          <w:i/>
          <w:color w:val="auto"/>
          <w:sz w:val="24"/>
          <w:szCs w:val="24"/>
          <w:u w:val="none"/>
        </w:rPr>
        <w:t xml:space="preserve"> 54 Pa. PUC 98 (1980)</w:t>
      </w:r>
      <w:r w:rsidRPr="00CB37C9">
        <w:rPr>
          <w:sz w:val="24"/>
          <w:szCs w:val="24"/>
        </w:rPr>
        <w:t xml:space="preserve">.  In </w:t>
      </w:r>
      <w:r w:rsidRPr="00CB37C9">
        <w:rPr>
          <w:i/>
          <w:iCs/>
          <w:sz w:val="24"/>
          <w:szCs w:val="24"/>
        </w:rPr>
        <w:t>Waldron,</w:t>
      </w:r>
      <w:r w:rsidRPr="00CB37C9">
        <w:rPr>
          <w:sz w:val="24"/>
          <w:szCs w:val="24"/>
        </w:rPr>
        <w:t xml:space="preserve"> the Commission established a policy wherein a complainant establishes </w:t>
      </w:r>
      <w:r w:rsidRPr="00CB37C9">
        <w:rPr>
          <w:i/>
          <w:iCs/>
          <w:sz w:val="24"/>
          <w:szCs w:val="24"/>
        </w:rPr>
        <w:t>a prima facie</w:t>
      </w:r>
      <w:r w:rsidRPr="00CB37C9">
        <w:rPr>
          <w:sz w:val="24"/>
          <w:szCs w:val="24"/>
        </w:rPr>
        <w:t xml:space="preserve"> case by showing that: (1) the number of inhabitants has not changed; (2) there were no prior billing abnormalities; and (3) the customer could not have used the amount of energy for which he or she is charged.  If the Complainant is successful in establishing </w:t>
      </w:r>
      <w:r w:rsidRPr="00CB37C9">
        <w:rPr>
          <w:iCs/>
          <w:sz w:val="24"/>
          <w:szCs w:val="24"/>
        </w:rPr>
        <w:t>a</w:t>
      </w:r>
      <w:r w:rsidRPr="00CB37C9">
        <w:rPr>
          <w:i/>
          <w:iCs/>
          <w:sz w:val="24"/>
          <w:szCs w:val="24"/>
        </w:rPr>
        <w:t xml:space="preserve"> prima facie</w:t>
      </w:r>
      <w:r w:rsidRPr="00CB37C9">
        <w:rPr>
          <w:sz w:val="24"/>
          <w:szCs w:val="24"/>
        </w:rPr>
        <w:t xml:space="preserve"> case, then the burden of going forward with the evidence shifts to the utility.  The fact finder then measures the weight of all the evidence.  A complainant remains obligated to prove his/her case after the utility presents its rebuttal evidence.  </w:t>
      </w:r>
      <w:proofErr w:type="gramStart"/>
      <w:r w:rsidRPr="00CB37C9">
        <w:rPr>
          <w:i/>
          <w:sz w:val="24"/>
          <w:szCs w:val="24"/>
        </w:rPr>
        <w:t>Burleson v. PA PUC</w:t>
      </w:r>
      <w:r w:rsidRPr="00CB37C9">
        <w:rPr>
          <w:sz w:val="24"/>
          <w:szCs w:val="24"/>
        </w:rPr>
        <w:t>, 501 Pa. 433, 461 A. 2d 1234 (1983).</w:t>
      </w:r>
      <w:proofErr w:type="gramEnd"/>
      <w:r>
        <w:rPr>
          <w:sz w:val="24"/>
          <w:szCs w:val="24"/>
        </w:rPr>
        <w:t xml:space="preserve">  </w:t>
      </w:r>
    </w:p>
    <w:p w:rsidR="006B1319" w:rsidRDefault="006B1319" w:rsidP="00CB37C9">
      <w:pPr>
        <w:spacing w:line="360" w:lineRule="auto"/>
        <w:ind w:firstLine="1440"/>
        <w:rPr>
          <w:sz w:val="24"/>
          <w:szCs w:val="24"/>
        </w:rPr>
      </w:pPr>
    </w:p>
    <w:p w:rsidR="006B1319" w:rsidRDefault="006B1319" w:rsidP="00CB37C9">
      <w:pPr>
        <w:spacing w:line="360" w:lineRule="auto"/>
        <w:ind w:firstLine="1440"/>
        <w:rPr>
          <w:sz w:val="24"/>
          <w:szCs w:val="24"/>
        </w:rPr>
      </w:pPr>
      <w:proofErr w:type="gramStart"/>
      <w:r>
        <w:rPr>
          <w:sz w:val="24"/>
          <w:szCs w:val="24"/>
        </w:rPr>
        <w:t xml:space="preserve">In </w:t>
      </w:r>
      <w:r w:rsidRPr="006B1319">
        <w:rPr>
          <w:i/>
          <w:sz w:val="24"/>
          <w:szCs w:val="24"/>
        </w:rPr>
        <w:t>Bennett v.</w:t>
      </w:r>
      <w:proofErr w:type="gramEnd"/>
      <w:r w:rsidRPr="006B1319">
        <w:rPr>
          <w:i/>
          <w:sz w:val="24"/>
          <w:szCs w:val="24"/>
        </w:rPr>
        <w:t xml:space="preserve"> The Peoples Natural Gas Company, LLC</w:t>
      </w:r>
      <w:r>
        <w:rPr>
          <w:sz w:val="24"/>
          <w:szCs w:val="24"/>
        </w:rPr>
        <w:t xml:space="preserve">, Docket No C-209- 2122979, Order entered October 13, 2010, the Commission determined that Waldron is too narrow, and that “a complainant in a high bill case has the opportunity to present any other relevant evidence which if sufficient to establish a </w:t>
      </w:r>
      <w:r w:rsidRPr="006B1319">
        <w:rPr>
          <w:i/>
          <w:sz w:val="24"/>
          <w:szCs w:val="24"/>
        </w:rPr>
        <w:t>prima facie</w:t>
      </w:r>
      <w:r>
        <w:rPr>
          <w:sz w:val="24"/>
          <w:szCs w:val="24"/>
        </w:rPr>
        <w:t xml:space="preserve"> case can sustain the burden of proof.”. </w:t>
      </w:r>
      <w:r w:rsidRPr="006B1319">
        <w:rPr>
          <w:i/>
          <w:sz w:val="24"/>
          <w:szCs w:val="24"/>
        </w:rPr>
        <w:t>Bennett</w:t>
      </w:r>
      <w:r>
        <w:rPr>
          <w:sz w:val="24"/>
          <w:szCs w:val="24"/>
        </w:rPr>
        <w:t xml:space="preserve"> at 6-7.  See also </w:t>
      </w:r>
      <w:r w:rsidRPr="00234C86">
        <w:rPr>
          <w:i/>
          <w:sz w:val="24"/>
          <w:szCs w:val="24"/>
        </w:rPr>
        <w:t>Thomas v. PECO Energy Company</w:t>
      </w:r>
      <w:r>
        <w:rPr>
          <w:sz w:val="24"/>
          <w:szCs w:val="24"/>
        </w:rPr>
        <w:t>, Docket No. C-2010-2187197</w:t>
      </w:r>
      <w:r w:rsidR="00234C86">
        <w:rPr>
          <w:sz w:val="24"/>
          <w:szCs w:val="24"/>
        </w:rPr>
        <w:t>, Order entered November 15, 2011.</w:t>
      </w:r>
    </w:p>
    <w:p w:rsidR="006B1319" w:rsidRDefault="006B1319" w:rsidP="00CB37C9">
      <w:pPr>
        <w:spacing w:line="360" w:lineRule="auto"/>
        <w:ind w:firstLine="1440"/>
        <w:rPr>
          <w:sz w:val="24"/>
          <w:szCs w:val="24"/>
        </w:rPr>
      </w:pPr>
    </w:p>
    <w:p w:rsidR="00CB37C9" w:rsidRPr="00F505A1" w:rsidRDefault="00CB37C9" w:rsidP="00CB37C9">
      <w:pPr>
        <w:spacing w:line="360" w:lineRule="auto"/>
        <w:ind w:firstLine="1440"/>
      </w:pPr>
      <w:r>
        <w:rPr>
          <w:sz w:val="24"/>
          <w:szCs w:val="24"/>
        </w:rPr>
        <w:t xml:space="preserve">The Complainant failed to establish a </w:t>
      </w:r>
      <w:r w:rsidRPr="00CB37C9">
        <w:rPr>
          <w:i/>
          <w:sz w:val="24"/>
          <w:szCs w:val="24"/>
        </w:rPr>
        <w:t>prima facie</w:t>
      </w:r>
      <w:r>
        <w:rPr>
          <w:sz w:val="24"/>
          <w:szCs w:val="24"/>
        </w:rPr>
        <w:t xml:space="preserve"> case</w:t>
      </w:r>
      <w:r w:rsidR="009D2C10">
        <w:rPr>
          <w:sz w:val="24"/>
          <w:szCs w:val="24"/>
        </w:rPr>
        <w:t xml:space="preserve"> because she provided no evidence to support her allegations.  She provided no testimony of any change in the number of household members; testimony of prior billing anomalies was limited simply to allegation with no other supporting evidence; and she provided no evidence that she did not use the electricity for which she was billed.  Indeed, she testified that she did use the electricity for which she was billed.  No other relevant evidence was provided to support a claim of high billing; therefore, she failed to establish a </w:t>
      </w:r>
      <w:r w:rsidR="009D2C10" w:rsidRPr="009D2C10">
        <w:rPr>
          <w:i/>
          <w:sz w:val="24"/>
          <w:szCs w:val="24"/>
        </w:rPr>
        <w:t>prima facie</w:t>
      </w:r>
      <w:r w:rsidR="009D2C10">
        <w:rPr>
          <w:sz w:val="24"/>
          <w:szCs w:val="24"/>
        </w:rPr>
        <w:t xml:space="preserve"> case.</w:t>
      </w:r>
    </w:p>
    <w:p w:rsidR="00CB37C9" w:rsidRDefault="00CB37C9" w:rsidP="00CF5F83">
      <w:pPr>
        <w:spacing w:line="360" w:lineRule="auto"/>
        <w:ind w:firstLine="1440"/>
        <w:rPr>
          <w:sz w:val="24"/>
          <w:szCs w:val="24"/>
        </w:rPr>
      </w:pPr>
    </w:p>
    <w:p w:rsidR="006B0510" w:rsidRDefault="006B0510" w:rsidP="00CF5F83">
      <w:pPr>
        <w:spacing w:line="360" w:lineRule="auto"/>
        <w:ind w:firstLine="1440"/>
        <w:rPr>
          <w:sz w:val="24"/>
          <w:szCs w:val="24"/>
        </w:rPr>
      </w:pPr>
      <w:r>
        <w:rPr>
          <w:sz w:val="24"/>
          <w:szCs w:val="24"/>
        </w:rPr>
        <w:t xml:space="preserve"> The outstanding bill is accurate and due.</w:t>
      </w:r>
    </w:p>
    <w:p w:rsidR="006B0510" w:rsidRDefault="006B0510" w:rsidP="00CF5F83">
      <w:pPr>
        <w:spacing w:line="360" w:lineRule="auto"/>
        <w:ind w:firstLine="1440"/>
        <w:rPr>
          <w:sz w:val="24"/>
          <w:szCs w:val="24"/>
        </w:rPr>
      </w:pPr>
    </w:p>
    <w:p w:rsidR="006B0510" w:rsidRDefault="006B0510" w:rsidP="00CF5F83">
      <w:pPr>
        <w:spacing w:line="360" w:lineRule="auto"/>
        <w:ind w:firstLine="1440"/>
        <w:rPr>
          <w:sz w:val="24"/>
          <w:szCs w:val="24"/>
        </w:rPr>
      </w:pPr>
      <w:r>
        <w:rPr>
          <w:sz w:val="24"/>
          <w:szCs w:val="24"/>
        </w:rPr>
        <w:t xml:space="preserve">The Complainant did not provide any figure for her household income.  Therefore, I cannot determine an appropriate length of time for repayment.  </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81EF1">
        <w:rPr>
          <w:sz w:val="24"/>
          <w:szCs w:val="24"/>
        </w:rPr>
        <w:t xml:space="preserve">the </w:t>
      </w:r>
      <w:r w:rsidR="00C1140C">
        <w:rPr>
          <w:sz w:val="24"/>
          <w:szCs w:val="24"/>
        </w:rPr>
        <w:t>Complainant</w:t>
      </w:r>
      <w:r w:rsidRPr="007934E4">
        <w:rPr>
          <w:sz w:val="24"/>
          <w:szCs w:val="24"/>
        </w:rPr>
        <w:t xml:space="preserve"> bears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 xml:space="preserve">Samuel J. </w:t>
      </w:r>
      <w:proofErr w:type="spellStart"/>
      <w:r w:rsidR="003E594B">
        <w:rPr>
          <w:i/>
          <w:spacing w:val="-3"/>
          <w:sz w:val="24"/>
          <w:szCs w:val="24"/>
        </w:rPr>
        <w:t>Lansberry</w:t>
      </w:r>
      <w:proofErr w:type="spellEnd"/>
      <w:r w:rsidR="003E594B">
        <w:rPr>
          <w:i/>
          <w:spacing w:val="-3"/>
          <w:sz w:val="24"/>
          <w:szCs w:val="24"/>
        </w:rPr>
        <w:t>,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w:t>
      </w:r>
      <w:proofErr w:type="spellStart"/>
      <w:r w:rsidRPr="00C1140C">
        <w:rPr>
          <w:i/>
          <w:spacing w:val="-3"/>
          <w:sz w:val="24"/>
          <w:szCs w:val="24"/>
        </w:rPr>
        <w:t>Comm’n</w:t>
      </w:r>
      <w:proofErr w:type="spellEnd"/>
      <w:r w:rsidRPr="007934E4">
        <w:rPr>
          <w:spacing w:val="-3"/>
          <w:sz w:val="24"/>
          <w:szCs w:val="24"/>
        </w:rPr>
        <w:t xml:space="preserve">, 578 A.2d 600 (1990), </w:t>
      </w:r>
      <w:r w:rsidRPr="007934E4">
        <w:rPr>
          <w:i/>
          <w:spacing w:val="-3"/>
          <w:sz w:val="24"/>
          <w:szCs w:val="24"/>
        </w:rPr>
        <w:t>alloc.</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355780" w:rsidRDefault="00355780" w:rsidP="00382B1A">
      <w:pPr>
        <w:tabs>
          <w:tab w:val="left" w:pos="2160"/>
        </w:tabs>
        <w:spacing w:line="360" w:lineRule="auto"/>
        <w:ind w:firstLine="1440"/>
        <w:rPr>
          <w:spacing w:val="-3"/>
          <w:sz w:val="24"/>
          <w:szCs w:val="24"/>
        </w:rPr>
      </w:pPr>
    </w:p>
    <w:p w:rsidR="00355780" w:rsidRDefault="00355780"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The Complainant did not meet her burden of proof</w:t>
      </w:r>
      <w:r w:rsidR="00CB37C9">
        <w:rPr>
          <w:spacing w:val="-3"/>
          <w:sz w:val="24"/>
          <w:szCs w:val="24"/>
        </w:rPr>
        <w:t>.</w:t>
      </w:r>
    </w:p>
    <w:p w:rsidR="00B27307" w:rsidRDefault="00B27307" w:rsidP="00382B1A">
      <w:pPr>
        <w:tabs>
          <w:tab w:val="left" w:pos="2160"/>
        </w:tabs>
        <w:spacing w:line="360" w:lineRule="auto"/>
        <w:ind w:firstLine="1440"/>
        <w:rPr>
          <w:spacing w:val="-3"/>
          <w:sz w:val="24"/>
          <w:szCs w:val="24"/>
        </w:rPr>
      </w:pPr>
    </w:p>
    <w:p w:rsidR="00906FE1" w:rsidRPr="007934E4" w:rsidRDefault="00355780" w:rsidP="00382B1A">
      <w:pPr>
        <w:tabs>
          <w:tab w:val="left" w:pos="2160"/>
        </w:tabs>
        <w:spacing w:line="360" w:lineRule="auto"/>
        <w:ind w:firstLine="1440"/>
        <w:rPr>
          <w:spacing w:val="-3"/>
          <w:sz w:val="24"/>
          <w:szCs w:val="24"/>
        </w:rPr>
      </w:pPr>
      <w:r>
        <w:rPr>
          <w:spacing w:val="-3"/>
          <w:sz w:val="24"/>
          <w:szCs w:val="24"/>
        </w:rPr>
        <w:t>5</w:t>
      </w:r>
      <w:r w:rsidR="00906FE1">
        <w:rPr>
          <w:spacing w:val="-3"/>
          <w:sz w:val="24"/>
          <w:szCs w:val="24"/>
        </w:rPr>
        <w:t>.</w:t>
      </w:r>
      <w:r w:rsidR="00906FE1">
        <w:rPr>
          <w:spacing w:val="-3"/>
          <w:sz w:val="24"/>
          <w:szCs w:val="24"/>
        </w:rPr>
        <w:tab/>
        <w:t>The Complainant is responsible for the outstanding arrearage of $3,962.16.</w:t>
      </w:r>
    </w:p>
    <w:p w:rsidR="00C419F9" w:rsidRDefault="00C419F9" w:rsidP="00DE2348">
      <w:pPr>
        <w:spacing w:line="360" w:lineRule="auto"/>
        <w:jc w:val="center"/>
        <w:rPr>
          <w:sz w:val="24"/>
          <w:szCs w:val="24"/>
          <w:u w:val="single"/>
        </w:rPr>
      </w:pPr>
    </w:p>
    <w:p w:rsidR="00E7065F" w:rsidRDefault="00E7065F" w:rsidP="00C21F78">
      <w:pPr>
        <w:spacing w:line="360" w:lineRule="auto"/>
        <w:jc w:val="center"/>
        <w:rPr>
          <w:sz w:val="24"/>
          <w:szCs w:val="24"/>
          <w:u w:val="single"/>
        </w:rPr>
      </w:pPr>
    </w:p>
    <w:p w:rsidR="00E7065F" w:rsidRDefault="00E7065F"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bookmarkStart w:id="0" w:name="_GoBack"/>
      <w:bookmarkEnd w:id="0"/>
      <w:r w:rsidRPr="009649FC">
        <w:rPr>
          <w:sz w:val="24"/>
          <w:szCs w:val="24"/>
          <w:u w:val="single"/>
        </w:rPr>
        <w:t>ORDER</w:t>
      </w:r>
    </w:p>
    <w:p w:rsidR="009649FC" w:rsidRPr="009649FC" w:rsidRDefault="009649FC" w:rsidP="00CB37C9">
      <w:pPr>
        <w:spacing w:line="360" w:lineRule="auto"/>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906FE1" w:rsidRDefault="00906FE1" w:rsidP="00CB37C9">
      <w:pPr>
        <w:numPr>
          <w:ilvl w:val="0"/>
          <w:numId w:val="15"/>
        </w:numPr>
        <w:tabs>
          <w:tab w:val="clear" w:pos="2160"/>
        </w:tabs>
        <w:spacing w:line="360" w:lineRule="auto"/>
        <w:ind w:left="0" w:firstLine="1440"/>
        <w:rPr>
          <w:sz w:val="24"/>
          <w:szCs w:val="24"/>
        </w:rPr>
      </w:pPr>
      <w:r w:rsidRPr="00CB37C9">
        <w:rPr>
          <w:sz w:val="24"/>
          <w:szCs w:val="24"/>
        </w:rPr>
        <w:t xml:space="preserve">That the Complainant, Lorraine </w:t>
      </w:r>
      <w:proofErr w:type="spellStart"/>
      <w:r w:rsidRPr="00CB37C9">
        <w:rPr>
          <w:sz w:val="24"/>
          <w:szCs w:val="24"/>
        </w:rPr>
        <w:t>Ferelli</w:t>
      </w:r>
      <w:proofErr w:type="spellEnd"/>
      <w:r w:rsidRPr="00CB37C9">
        <w:rPr>
          <w:sz w:val="24"/>
          <w:szCs w:val="24"/>
        </w:rPr>
        <w:t xml:space="preserve"> at Docket No. C-2010-</w:t>
      </w:r>
      <w:r w:rsidR="002C4910" w:rsidRPr="00CB37C9">
        <w:rPr>
          <w:sz w:val="24"/>
          <w:szCs w:val="24"/>
        </w:rPr>
        <w:t>2205565</w:t>
      </w:r>
      <w:r w:rsidRPr="00CB37C9">
        <w:rPr>
          <w:sz w:val="24"/>
          <w:szCs w:val="24"/>
        </w:rPr>
        <w:t xml:space="preserve"> is responsible for the outstanding balance of $3,962.16 due to the Respondent.  </w:t>
      </w:r>
    </w:p>
    <w:p w:rsidR="002C4910" w:rsidRPr="00CB37C9" w:rsidRDefault="002C4910" w:rsidP="002C4910">
      <w:pPr>
        <w:spacing w:line="360" w:lineRule="auto"/>
        <w:ind w:left="1440"/>
        <w:rPr>
          <w:sz w:val="24"/>
          <w:szCs w:val="24"/>
        </w:rPr>
      </w:pPr>
    </w:p>
    <w:p w:rsidR="00906FE1" w:rsidRDefault="00906FE1" w:rsidP="00CB37C9">
      <w:pPr>
        <w:numPr>
          <w:ilvl w:val="0"/>
          <w:numId w:val="15"/>
        </w:numPr>
        <w:tabs>
          <w:tab w:val="clear" w:pos="2160"/>
        </w:tabs>
        <w:spacing w:line="360" w:lineRule="auto"/>
        <w:ind w:left="0" w:firstLine="1440"/>
        <w:rPr>
          <w:sz w:val="24"/>
          <w:szCs w:val="24"/>
        </w:rPr>
      </w:pPr>
      <w:r>
        <w:rPr>
          <w:sz w:val="24"/>
          <w:szCs w:val="24"/>
        </w:rPr>
        <w:t>That the Secretary’s Bureau shall mark Docket No. C-2010-2205565 closed.</w:t>
      </w:r>
    </w:p>
    <w:p w:rsidR="00CE68C6" w:rsidRDefault="00CE68C6" w:rsidP="00CB37C9">
      <w:pPr>
        <w:spacing w:line="360" w:lineRule="auto"/>
        <w:ind w:firstLine="1440"/>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906FE1">
        <w:rPr>
          <w:sz w:val="24"/>
          <w:szCs w:val="24"/>
          <w:u w:val="single"/>
        </w:rPr>
        <w:t>February 3, 2012</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955C5B">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EA" w:rsidRDefault="006265EA">
      <w:r>
        <w:separator/>
      </w:r>
    </w:p>
  </w:endnote>
  <w:endnote w:type="continuationSeparator" w:id="0">
    <w:p w:rsidR="006265EA" w:rsidRDefault="0062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955C5B" w:rsidRDefault="005D4D0C" w:rsidP="0028114B">
    <w:pPr>
      <w:pStyle w:val="Footer"/>
      <w:framePr w:wrap="around" w:vAnchor="text" w:hAnchor="margin" w:xAlign="center" w:y="1"/>
      <w:rPr>
        <w:rStyle w:val="PageNumber"/>
        <w:sz w:val="24"/>
        <w:szCs w:val="24"/>
      </w:rPr>
    </w:pPr>
    <w:r w:rsidRPr="00955C5B">
      <w:rPr>
        <w:rStyle w:val="PageNumber"/>
        <w:sz w:val="24"/>
        <w:szCs w:val="24"/>
      </w:rPr>
      <w:fldChar w:fldCharType="begin"/>
    </w:r>
    <w:r w:rsidR="00223E7E" w:rsidRPr="00955C5B">
      <w:rPr>
        <w:rStyle w:val="PageNumber"/>
        <w:sz w:val="24"/>
        <w:szCs w:val="24"/>
      </w:rPr>
      <w:instrText xml:space="preserve">PAGE  </w:instrText>
    </w:r>
    <w:r w:rsidRPr="00955C5B">
      <w:rPr>
        <w:rStyle w:val="PageNumber"/>
        <w:sz w:val="24"/>
        <w:szCs w:val="24"/>
      </w:rPr>
      <w:fldChar w:fldCharType="separate"/>
    </w:r>
    <w:r w:rsidR="00E7065F">
      <w:rPr>
        <w:rStyle w:val="PageNumber"/>
        <w:noProof/>
        <w:sz w:val="24"/>
        <w:szCs w:val="24"/>
      </w:rPr>
      <w:t>6</w:t>
    </w:r>
    <w:r w:rsidRPr="00955C5B">
      <w:rPr>
        <w:rStyle w:val="PageNumber"/>
        <w:sz w:val="24"/>
        <w:szCs w:val="24"/>
      </w:rPr>
      <w:fldChar w:fldCharType="end"/>
    </w:r>
  </w:p>
  <w:p w:rsidR="00223E7E" w:rsidRDefault="00223E7E" w:rsidP="000A001F">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5B" w:rsidRDefault="00955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EA" w:rsidRDefault="006265EA">
      <w:r>
        <w:separator/>
      </w:r>
    </w:p>
  </w:footnote>
  <w:footnote w:type="continuationSeparator" w:id="0">
    <w:p w:rsidR="006265EA" w:rsidRDefault="0062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5B" w:rsidRDefault="00955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5B" w:rsidRDefault="00955C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5B" w:rsidRDefault="00955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2882"/>
    <w:rsid w:val="00125871"/>
    <w:rsid w:val="00125B19"/>
    <w:rsid w:val="00126207"/>
    <w:rsid w:val="001312A6"/>
    <w:rsid w:val="00134E8D"/>
    <w:rsid w:val="00141DF5"/>
    <w:rsid w:val="00143C49"/>
    <w:rsid w:val="00147DEE"/>
    <w:rsid w:val="00152C6B"/>
    <w:rsid w:val="0015646C"/>
    <w:rsid w:val="001620CA"/>
    <w:rsid w:val="001635C4"/>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14B"/>
    <w:rsid w:val="0020095D"/>
    <w:rsid w:val="00214F11"/>
    <w:rsid w:val="00220C5E"/>
    <w:rsid w:val="00223E7E"/>
    <w:rsid w:val="00234619"/>
    <w:rsid w:val="00234C86"/>
    <w:rsid w:val="0023520D"/>
    <w:rsid w:val="00235C44"/>
    <w:rsid w:val="00236FF7"/>
    <w:rsid w:val="002416AB"/>
    <w:rsid w:val="0024496F"/>
    <w:rsid w:val="00244D86"/>
    <w:rsid w:val="0025370D"/>
    <w:rsid w:val="00260D19"/>
    <w:rsid w:val="002732DC"/>
    <w:rsid w:val="0028114B"/>
    <w:rsid w:val="0028185A"/>
    <w:rsid w:val="00290918"/>
    <w:rsid w:val="002919C6"/>
    <w:rsid w:val="00293058"/>
    <w:rsid w:val="00293557"/>
    <w:rsid w:val="002959E3"/>
    <w:rsid w:val="002A7C1C"/>
    <w:rsid w:val="002B19D4"/>
    <w:rsid w:val="002B3489"/>
    <w:rsid w:val="002B4EAE"/>
    <w:rsid w:val="002C17C0"/>
    <w:rsid w:val="002C3FDE"/>
    <w:rsid w:val="002C4910"/>
    <w:rsid w:val="002D13C5"/>
    <w:rsid w:val="002D554B"/>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312D"/>
    <w:rsid w:val="00346E30"/>
    <w:rsid w:val="003539D2"/>
    <w:rsid w:val="00355780"/>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4F6160"/>
    <w:rsid w:val="005032B5"/>
    <w:rsid w:val="00515937"/>
    <w:rsid w:val="00517AD1"/>
    <w:rsid w:val="00523780"/>
    <w:rsid w:val="00530D1B"/>
    <w:rsid w:val="00531226"/>
    <w:rsid w:val="00531409"/>
    <w:rsid w:val="00535DF7"/>
    <w:rsid w:val="00542107"/>
    <w:rsid w:val="0054375D"/>
    <w:rsid w:val="00553EEB"/>
    <w:rsid w:val="00564C41"/>
    <w:rsid w:val="00582896"/>
    <w:rsid w:val="00584798"/>
    <w:rsid w:val="0059070D"/>
    <w:rsid w:val="00592C86"/>
    <w:rsid w:val="005A33D0"/>
    <w:rsid w:val="005B250B"/>
    <w:rsid w:val="005B6749"/>
    <w:rsid w:val="005B7834"/>
    <w:rsid w:val="005C28EC"/>
    <w:rsid w:val="005C3E7C"/>
    <w:rsid w:val="005D19C4"/>
    <w:rsid w:val="005D2DEE"/>
    <w:rsid w:val="005D4D0C"/>
    <w:rsid w:val="005E2068"/>
    <w:rsid w:val="005E3007"/>
    <w:rsid w:val="005E4663"/>
    <w:rsid w:val="005E6321"/>
    <w:rsid w:val="005E6C27"/>
    <w:rsid w:val="005F17F5"/>
    <w:rsid w:val="005F38EC"/>
    <w:rsid w:val="005F3B50"/>
    <w:rsid w:val="005F452A"/>
    <w:rsid w:val="006034D3"/>
    <w:rsid w:val="00605916"/>
    <w:rsid w:val="0062087D"/>
    <w:rsid w:val="006215E0"/>
    <w:rsid w:val="006265EA"/>
    <w:rsid w:val="006306EB"/>
    <w:rsid w:val="00634A5C"/>
    <w:rsid w:val="006352B9"/>
    <w:rsid w:val="00641596"/>
    <w:rsid w:val="0064329B"/>
    <w:rsid w:val="006441F5"/>
    <w:rsid w:val="00644E60"/>
    <w:rsid w:val="00645B55"/>
    <w:rsid w:val="00652C21"/>
    <w:rsid w:val="0066237B"/>
    <w:rsid w:val="006656FC"/>
    <w:rsid w:val="00667FA1"/>
    <w:rsid w:val="00675607"/>
    <w:rsid w:val="00675986"/>
    <w:rsid w:val="00695694"/>
    <w:rsid w:val="006A21C2"/>
    <w:rsid w:val="006A3B47"/>
    <w:rsid w:val="006A7A0A"/>
    <w:rsid w:val="006B0510"/>
    <w:rsid w:val="006B1319"/>
    <w:rsid w:val="006C1047"/>
    <w:rsid w:val="006C3226"/>
    <w:rsid w:val="006C49AD"/>
    <w:rsid w:val="006D4BB7"/>
    <w:rsid w:val="006D4D13"/>
    <w:rsid w:val="006D75BD"/>
    <w:rsid w:val="006E4407"/>
    <w:rsid w:val="006F44F9"/>
    <w:rsid w:val="007114E7"/>
    <w:rsid w:val="0071588F"/>
    <w:rsid w:val="0073239A"/>
    <w:rsid w:val="0073727C"/>
    <w:rsid w:val="00744AF3"/>
    <w:rsid w:val="00747E56"/>
    <w:rsid w:val="00751672"/>
    <w:rsid w:val="0075510C"/>
    <w:rsid w:val="00775593"/>
    <w:rsid w:val="00775DD6"/>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114"/>
    <w:rsid w:val="008B282A"/>
    <w:rsid w:val="008B2B8B"/>
    <w:rsid w:val="008D6D09"/>
    <w:rsid w:val="008D761F"/>
    <w:rsid w:val="008E2883"/>
    <w:rsid w:val="008E5A53"/>
    <w:rsid w:val="008F013A"/>
    <w:rsid w:val="008F22F9"/>
    <w:rsid w:val="008F554F"/>
    <w:rsid w:val="008F6AC3"/>
    <w:rsid w:val="00906FE1"/>
    <w:rsid w:val="009077E3"/>
    <w:rsid w:val="00910EF2"/>
    <w:rsid w:val="00913B17"/>
    <w:rsid w:val="009166DD"/>
    <w:rsid w:val="0091672D"/>
    <w:rsid w:val="00922FE6"/>
    <w:rsid w:val="009342E4"/>
    <w:rsid w:val="009445E9"/>
    <w:rsid w:val="00955C5B"/>
    <w:rsid w:val="009634B4"/>
    <w:rsid w:val="009643E3"/>
    <w:rsid w:val="009649FC"/>
    <w:rsid w:val="00965F82"/>
    <w:rsid w:val="0098237A"/>
    <w:rsid w:val="00982B8E"/>
    <w:rsid w:val="009830C8"/>
    <w:rsid w:val="00983B9A"/>
    <w:rsid w:val="009877CF"/>
    <w:rsid w:val="00987B98"/>
    <w:rsid w:val="00993237"/>
    <w:rsid w:val="00995E0A"/>
    <w:rsid w:val="009B1C06"/>
    <w:rsid w:val="009C22D0"/>
    <w:rsid w:val="009D2C10"/>
    <w:rsid w:val="009D5A08"/>
    <w:rsid w:val="009E1F59"/>
    <w:rsid w:val="009E69A1"/>
    <w:rsid w:val="009F24FB"/>
    <w:rsid w:val="009F4939"/>
    <w:rsid w:val="009F7BD8"/>
    <w:rsid w:val="00A022C7"/>
    <w:rsid w:val="00A02D20"/>
    <w:rsid w:val="00A0627A"/>
    <w:rsid w:val="00A22653"/>
    <w:rsid w:val="00A23BC5"/>
    <w:rsid w:val="00A24F45"/>
    <w:rsid w:val="00A345AE"/>
    <w:rsid w:val="00A409B8"/>
    <w:rsid w:val="00A4383B"/>
    <w:rsid w:val="00A44BB9"/>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173D8"/>
    <w:rsid w:val="00B23067"/>
    <w:rsid w:val="00B2590D"/>
    <w:rsid w:val="00B27307"/>
    <w:rsid w:val="00B32E66"/>
    <w:rsid w:val="00B34848"/>
    <w:rsid w:val="00B40E21"/>
    <w:rsid w:val="00B45676"/>
    <w:rsid w:val="00B45F71"/>
    <w:rsid w:val="00B5018B"/>
    <w:rsid w:val="00B625D9"/>
    <w:rsid w:val="00B665D7"/>
    <w:rsid w:val="00B70860"/>
    <w:rsid w:val="00B71D02"/>
    <w:rsid w:val="00B922CF"/>
    <w:rsid w:val="00BA47D2"/>
    <w:rsid w:val="00BA61F7"/>
    <w:rsid w:val="00BB3104"/>
    <w:rsid w:val="00BB352A"/>
    <w:rsid w:val="00BB47F5"/>
    <w:rsid w:val="00BC2D8F"/>
    <w:rsid w:val="00BC2DE6"/>
    <w:rsid w:val="00BC7240"/>
    <w:rsid w:val="00BD18AA"/>
    <w:rsid w:val="00BD42F1"/>
    <w:rsid w:val="00BE1D82"/>
    <w:rsid w:val="00BE6352"/>
    <w:rsid w:val="00BF5F04"/>
    <w:rsid w:val="00C052E4"/>
    <w:rsid w:val="00C1140C"/>
    <w:rsid w:val="00C1195C"/>
    <w:rsid w:val="00C136F0"/>
    <w:rsid w:val="00C13AC9"/>
    <w:rsid w:val="00C150A5"/>
    <w:rsid w:val="00C21F78"/>
    <w:rsid w:val="00C224B0"/>
    <w:rsid w:val="00C25C02"/>
    <w:rsid w:val="00C27A38"/>
    <w:rsid w:val="00C322C5"/>
    <w:rsid w:val="00C34D87"/>
    <w:rsid w:val="00C35DC0"/>
    <w:rsid w:val="00C37F96"/>
    <w:rsid w:val="00C419F9"/>
    <w:rsid w:val="00C426F5"/>
    <w:rsid w:val="00C45D4C"/>
    <w:rsid w:val="00C546D2"/>
    <w:rsid w:val="00C61510"/>
    <w:rsid w:val="00C61561"/>
    <w:rsid w:val="00C6634A"/>
    <w:rsid w:val="00C7068E"/>
    <w:rsid w:val="00C760D8"/>
    <w:rsid w:val="00C769EE"/>
    <w:rsid w:val="00C81EF1"/>
    <w:rsid w:val="00C86201"/>
    <w:rsid w:val="00C908AD"/>
    <w:rsid w:val="00C920E5"/>
    <w:rsid w:val="00C94BB9"/>
    <w:rsid w:val="00CA1E0E"/>
    <w:rsid w:val="00CA5BA3"/>
    <w:rsid w:val="00CB0D2B"/>
    <w:rsid w:val="00CB37C9"/>
    <w:rsid w:val="00CB4F5E"/>
    <w:rsid w:val="00CC49DA"/>
    <w:rsid w:val="00CC5E96"/>
    <w:rsid w:val="00CD4A78"/>
    <w:rsid w:val="00CD6B6A"/>
    <w:rsid w:val="00CE43B4"/>
    <w:rsid w:val="00CE68C6"/>
    <w:rsid w:val="00CF3BB0"/>
    <w:rsid w:val="00CF5F83"/>
    <w:rsid w:val="00CF7138"/>
    <w:rsid w:val="00D02084"/>
    <w:rsid w:val="00D050DE"/>
    <w:rsid w:val="00D077EC"/>
    <w:rsid w:val="00D1284B"/>
    <w:rsid w:val="00D13B06"/>
    <w:rsid w:val="00D1728D"/>
    <w:rsid w:val="00D21BFC"/>
    <w:rsid w:val="00D21D55"/>
    <w:rsid w:val="00D21EF9"/>
    <w:rsid w:val="00D22F4A"/>
    <w:rsid w:val="00D23330"/>
    <w:rsid w:val="00D32326"/>
    <w:rsid w:val="00D33208"/>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965A4"/>
    <w:rsid w:val="00DA7FD6"/>
    <w:rsid w:val="00DB1328"/>
    <w:rsid w:val="00DB7EE0"/>
    <w:rsid w:val="00DD3E7F"/>
    <w:rsid w:val="00DE0ECC"/>
    <w:rsid w:val="00DE2348"/>
    <w:rsid w:val="00DE3943"/>
    <w:rsid w:val="00DE562E"/>
    <w:rsid w:val="00DE77F8"/>
    <w:rsid w:val="00DF0138"/>
    <w:rsid w:val="00DF294A"/>
    <w:rsid w:val="00E00EAF"/>
    <w:rsid w:val="00E0236A"/>
    <w:rsid w:val="00E024BE"/>
    <w:rsid w:val="00E11739"/>
    <w:rsid w:val="00E12F72"/>
    <w:rsid w:val="00E15A2D"/>
    <w:rsid w:val="00E15B2B"/>
    <w:rsid w:val="00E267A5"/>
    <w:rsid w:val="00E35AC9"/>
    <w:rsid w:val="00E413A9"/>
    <w:rsid w:val="00E5003A"/>
    <w:rsid w:val="00E514FA"/>
    <w:rsid w:val="00E56529"/>
    <w:rsid w:val="00E6135C"/>
    <w:rsid w:val="00E66725"/>
    <w:rsid w:val="00E67591"/>
    <w:rsid w:val="00E67A2A"/>
    <w:rsid w:val="00E7065F"/>
    <w:rsid w:val="00E728B0"/>
    <w:rsid w:val="00E75758"/>
    <w:rsid w:val="00E75BC0"/>
    <w:rsid w:val="00E85ECC"/>
    <w:rsid w:val="00E9292D"/>
    <w:rsid w:val="00EA2B0E"/>
    <w:rsid w:val="00EA56F6"/>
    <w:rsid w:val="00EA77CE"/>
    <w:rsid w:val="00EB1DAB"/>
    <w:rsid w:val="00EB1EEE"/>
    <w:rsid w:val="00EC15BD"/>
    <w:rsid w:val="00EC38D5"/>
    <w:rsid w:val="00EC41CE"/>
    <w:rsid w:val="00EC477B"/>
    <w:rsid w:val="00ED0F47"/>
    <w:rsid w:val="00ED1317"/>
    <w:rsid w:val="00ED7E4B"/>
    <w:rsid w:val="00EE34BE"/>
    <w:rsid w:val="00EF4180"/>
    <w:rsid w:val="00EF6C7F"/>
    <w:rsid w:val="00F2180F"/>
    <w:rsid w:val="00F31732"/>
    <w:rsid w:val="00F31F04"/>
    <w:rsid w:val="00F327E2"/>
    <w:rsid w:val="00F34A38"/>
    <w:rsid w:val="00F375FF"/>
    <w:rsid w:val="00F50C2B"/>
    <w:rsid w:val="00F54589"/>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B6CAC"/>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D7E4B"/>
    <w:pPr>
      <w:ind w:left="720"/>
      <w:contextualSpacing/>
    </w:pPr>
  </w:style>
  <w:style w:type="character" w:customStyle="1" w:styleId="Hyperlink6">
    <w:name w:val="Hyperlink6"/>
    <w:basedOn w:val="DefaultParagraphFont"/>
    <w:rsid w:val="00CB37C9"/>
    <w:rPr>
      <w:color w:val="33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D7E4B"/>
    <w:pPr>
      <w:ind w:left="720"/>
      <w:contextualSpacing/>
    </w:pPr>
  </w:style>
  <w:style w:type="character" w:customStyle="1" w:styleId="Hyperlink6">
    <w:name w:val="Hyperlink6"/>
    <w:basedOn w:val="DefaultParagraphFont"/>
    <w:rsid w:val="00CB37C9"/>
    <w:rPr>
      <w:color w:val="33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C2-5975-4222-9BC8-6D757370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2012-03-02T19:55:00Z</cp:lastPrinted>
  <dcterms:created xsi:type="dcterms:W3CDTF">2012-03-02T19:53:00Z</dcterms:created>
  <dcterms:modified xsi:type="dcterms:W3CDTF">2012-03-02T20:01:00Z</dcterms:modified>
</cp:coreProperties>
</file>