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C1140C" w:rsidP="00F201C6">
      <w:pPr>
        <w:jc w:val="center"/>
        <w:outlineLvl w:val="0"/>
        <w:rPr>
          <w:b/>
          <w:sz w:val="24"/>
          <w:szCs w:val="24"/>
        </w:rPr>
      </w:pPr>
      <w:r>
        <w:rPr>
          <w:b/>
          <w:sz w:val="24"/>
          <w:szCs w:val="24"/>
        </w:rPr>
        <w:t xml:space="preserve"> </w:t>
      </w:r>
      <w:r w:rsidR="000F1894" w:rsidRPr="00DE562E">
        <w:rPr>
          <w:b/>
          <w:sz w:val="24"/>
          <w:szCs w:val="24"/>
        </w:rPr>
        <w:t>BEFORE THE</w:t>
      </w:r>
    </w:p>
    <w:p w:rsidR="0088763C" w:rsidRPr="001027AA" w:rsidRDefault="000F1894" w:rsidP="00F201C6">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F201C6">
      <w:pPr>
        <w:jc w:val="center"/>
        <w:rPr>
          <w:sz w:val="24"/>
          <w:szCs w:val="24"/>
        </w:rPr>
      </w:pPr>
    </w:p>
    <w:p w:rsidR="000F1894" w:rsidRDefault="000F1894" w:rsidP="00F201C6">
      <w:pPr>
        <w:jc w:val="center"/>
        <w:rPr>
          <w:sz w:val="24"/>
          <w:szCs w:val="24"/>
        </w:rPr>
      </w:pPr>
    </w:p>
    <w:p w:rsidR="000F1894" w:rsidRPr="006C3226" w:rsidRDefault="000F1894" w:rsidP="00F201C6">
      <w:pPr>
        <w:jc w:val="center"/>
        <w:rPr>
          <w:sz w:val="24"/>
          <w:szCs w:val="24"/>
        </w:rPr>
      </w:pPr>
    </w:p>
    <w:p w:rsidR="00CE43B4" w:rsidRDefault="00AE2448" w:rsidP="00F201C6">
      <w:pPr>
        <w:tabs>
          <w:tab w:val="left" w:pos="-720"/>
        </w:tabs>
        <w:suppressAutoHyphens/>
        <w:rPr>
          <w:b/>
          <w:bCs/>
          <w:spacing w:val="-3"/>
          <w:sz w:val="24"/>
          <w:szCs w:val="24"/>
        </w:rPr>
      </w:pPr>
      <w:r>
        <w:rPr>
          <w:bCs/>
          <w:spacing w:val="-3"/>
          <w:sz w:val="24"/>
          <w:szCs w:val="24"/>
        </w:rPr>
        <w:t>Francine Mound</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p>
    <w:p w:rsidR="00893F0B" w:rsidRPr="00893F0B" w:rsidRDefault="00893F0B" w:rsidP="00F201C6">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F201C6">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F201C6">
        <w:rPr>
          <w:spacing w:val="-3"/>
          <w:sz w:val="24"/>
          <w:szCs w:val="24"/>
        </w:rPr>
        <w:tab/>
      </w:r>
      <w:r w:rsidR="00F201C6">
        <w:rPr>
          <w:spacing w:val="-3"/>
          <w:sz w:val="24"/>
          <w:szCs w:val="24"/>
        </w:rPr>
        <w:tab/>
      </w:r>
      <w:r w:rsidR="00AE2448">
        <w:rPr>
          <w:spacing w:val="-3"/>
          <w:sz w:val="24"/>
          <w:szCs w:val="24"/>
        </w:rPr>
        <w:t>C-2010-2195201</w:t>
      </w:r>
    </w:p>
    <w:p w:rsidR="00CE43B4" w:rsidRPr="00CE43B4" w:rsidRDefault="00CE43B4" w:rsidP="00F201C6">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AE2448" w:rsidP="00F201C6">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F201C6">
      <w:pPr>
        <w:tabs>
          <w:tab w:val="left" w:pos="-720"/>
        </w:tabs>
        <w:suppressAutoHyphens/>
        <w:rPr>
          <w:spacing w:val="-3"/>
          <w:sz w:val="24"/>
          <w:szCs w:val="24"/>
        </w:rPr>
      </w:pPr>
    </w:p>
    <w:p w:rsidR="005E3007" w:rsidRDefault="005E3007" w:rsidP="00F201C6">
      <w:pPr>
        <w:tabs>
          <w:tab w:val="left" w:pos="-720"/>
        </w:tabs>
        <w:suppressAutoHyphens/>
        <w:rPr>
          <w:spacing w:val="-3"/>
          <w:sz w:val="24"/>
          <w:szCs w:val="24"/>
        </w:rPr>
      </w:pPr>
    </w:p>
    <w:p w:rsidR="005E3007" w:rsidRPr="00CE43B4" w:rsidRDefault="005E3007" w:rsidP="00F201C6">
      <w:pPr>
        <w:tabs>
          <w:tab w:val="left" w:pos="-720"/>
        </w:tabs>
        <w:suppressAutoHyphens/>
        <w:rPr>
          <w:spacing w:val="-3"/>
          <w:sz w:val="24"/>
          <w:szCs w:val="24"/>
        </w:rPr>
      </w:pPr>
    </w:p>
    <w:p w:rsidR="00782A08" w:rsidRPr="007965B0" w:rsidRDefault="00C419F9" w:rsidP="00F201C6">
      <w:pPr>
        <w:jc w:val="center"/>
        <w:outlineLvl w:val="0"/>
        <w:rPr>
          <w:caps/>
          <w:sz w:val="24"/>
          <w:szCs w:val="24"/>
        </w:rPr>
      </w:pPr>
      <w:r w:rsidRPr="007965B0">
        <w:rPr>
          <w:b/>
          <w:caps/>
          <w:sz w:val="24"/>
          <w:szCs w:val="24"/>
          <w:u w:val="single"/>
        </w:rPr>
        <w:t>Initial Decision</w:t>
      </w:r>
    </w:p>
    <w:p w:rsidR="000F1894" w:rsidRPr="00E514FA" w:rsidRDefault="000F1894" w:rsidP="00F201C6">
      <w:pPr>
        <w:jc w:val="center"/>
        <w:rPr>
          <w:b/>
          <w:sz w:val="24"/>
          <w:szCs w:val="24"/>
        </w:rPr>
      </w:pPr>
    </w:p>
    <w:p w:rsidR="006A21C2" w:rsidRPr="006A21C2" w:rsidRDefault="006A21C2" w:rsidP="00F201C6">
      <w:pPr>
        <w:jc w:val="center"/>
        <w:rPr>
          <w:sz w:val="24"/>
          <w:szCs w:val="24"/>
        </w:rPr>
      </w:pPr>
    </w:p>
    <w:p w:rsidR="000F1894" w:rsidRPr="00DE562E" w:rsidRDefault="000F1894" w:rsidP="00F201C6">
      <w:pPr>
        <w:jc w:val="center"/>
        <w:outlineLvl w:val="0"/>
        <w:rPr>
          <w:sz w:val="24"/>
          <w:szCs w:val="24"/>
        </w:rPr>
      </w:pPr>
      <w:r w:rsidRPr="00DE562E">
        <w:rPr>
          <w:sz w:val="24"/>
          <w:szCs w:val="24"/>
        </w:rPr>
        <w:t>Before</w:t>
      </w:r>
    </w:p>
    <w:p w:rsidR="000F1894" w:rsidRPr="00DE562E" w:rsidRDefault="001F7F73" w:rsidP="00F201C6">
      <w:pPr>
        <w:jc w:val="center"/>
        <w:rPr>
          <w:sz w:val="24"/>
          <w:szCs w:val="24"/>
        </w:rPr>
      </w:pPr>
      <w:r>
        <w:rPr>
          <w:sz w:val="24"/>
          <w:szCs w:val="24"/>
        </w:rPr>
        <w:t>Ember S. Jandebeur</w:t>
      </w:r>
    </w:p>
    <w:p w:rsidR="000F1894" w:rsidRDefault="000F1894" w:rsidP="00F201C6">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F201C6">
      <w:pPr>
        <w:jc w:val="center"/>
        <w:rPr>
          <w:b/>
          <w:sz w:val="24"/>
          <w:szCs w:val="24"/>
        </w:rPr>
      </w:pPr>
    </w:p>
    <w:p w:rsidR="000F1894" w:rsidRPr="006A21C2" w:rsidRDefault="000F1894" w:rsidP="00F201C6">
      <w:pPr>
        <w:jc w:val="center"/>
        <w:rPr>
          <w:b/>
          <w:sz w:val="24"/>
          <w:szCs w:val="24"/>
        </w:rPr>
      </w:pPr>
    </w:p>
    <w:p w:rsidR="000967DB" w:rsidRDefault="000967DB" w:rsidP="00F201C6">
      <w:pPr>
        <w:jc w:val="center"/>
        <w:rPr>
          <w:sz w:val="24"/>
          <w:szCs w:val="24"/>
          <w:u w:val="single"/>
        </w:rPr>
      </w:pPr>
      <w:r>
        <w:rPr>
          <w:sz w:val="24"/>
          <w:szCs w:val="24"/>
          <w:u w:val="single"/>
        </w:rPr>
        <w:t>HISTORY OF THE PROCEEDINGS</w:t>
      </w:r>
    </w:p>
    <w:p w:rsidR="007965B0" w:rsidRDefault="007965B0" w:rsidP="00F201C6">
      <w:pPr>
        <w:tabs>
          <w:tab w:val="left" w:pos="-1440"/>
          <w:tab w:val="left" w:pos="-720"/>
        </w:tabs>
        <w:suppressAutoHyphens/>
        <w:ind w:firstLine="1440"/>
        <w:rPr>
          <w:sz w:val="24"/>
          <w:szCs w:val="24"/>
        </w:rPr>
      </w:pPr>
    </w:p>
    <w:p w:rsidR="007965B0" w:rsidRDefault="007965B0" w:rsidP="00F201C6">
      <w:pPr>
        <w:tabs>
          <w:tab w:val="left" w:pos="-1440"/>
          <w:tab w:val="left" w:pos="-720"/>
        </w:tabs>
        <w:suppressAutoHyphens/>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AE2448">
        <w:rPr>
          <w:sz w:val="24"/>
          <w:szCs w:val="24"/>
        </w:rPr>
        <w:t xml:space="preserve"> August 23, 2010</w:t>
      </w:r>
      <w:r w:rsidR="007965B0" w:rsidRPr="007965B0">
        <w:rPr>
          <w:sz w:val="24"/>
          <w:szCs w:val="24"/>
        </w:rPr>
        <w:t xml:space="preserve">, </w:t>
      </w:r>
      <w:r w:rsidR="00AE2448">
        <w:rPr>
          <w:sz w:val="24"/>
          <w:szCs w:val="24"/>
        </w:rPr>
        <w:t>Francine Mound</w:t>
      </w:r>
      <w:r w:rsidR="007965B0" w:rsidRPr="007965B0">
        <w:rPr>
          <w:sz w:val="24"/>
          <w:szCs w:val="24"/>
        </w:rPr>
        <w:t xml:space="preserve"> (Complainant) filed a Formal Complaint with the Pennsylvania Public Utility Commission against </w:t>
      </w:r>
      <w:r w:rsidR="00AE2448">
        <w:rPr>
          <w:sz w:val="24"/>
          <w:szCs w:val="24"/>
        </w:rPr>
        <w:t>PPL Electric Utilities Corporation</w:t>
      </w:r>
      <w:r w:rsidR="007965B0" w:rsidRPr="007965B0">
        <w:rPr>
          <w:sz w:val="24"/>
          <w:szCs w:val="24"/>
        </w:rPr>
        <w:t xml:space="preserve"> (Respondent</w:t>
      </w:r>
      <w:r w:rsidR="00AE2448">
        <w:rPr>
          <w:sz w:val="24"/>
          <w:szCs w:val="24"/>
        </w:rPr>
        <w:t xml:space="preserve"> or PPL</w:t>
      </w:r>
      <w:r w:rsidR="007965B0" w:rsidRPr="007965B0">
        <w:rPr>
          <w:sz w:val="24"/>
          <w:szCs w:val="24"/>
        </w:rPr>
        <w:t xml:space="preserve">) alleging </w:t>
      </w:r>
      <w:r w:rsidR="00AE2448">
        <w:rPr>
          <w:sz w:val="24"/>
          <w:szCs w:val="24"/>
        </w:rPr>
        <w:t>that PPL told her she had foreign wiring, and that the bill was improperly put into her name.  The Complainant wants the</w:t>
      </w:r>
      <w:r w:rsidR="00AA5FC7">
        <w:rPr>
          <w:sz w:val="24"/>
          <w:szCs w:val="24"/>
        </w:rPr>
        <w:t xml:space="preserve"> transferred</w:t>
      </w:r>
      <w:r w:rsidR="00AE2448">
        <w:rPr>
          <w:sz w:val="24"/>
          <w:szCs w:val="24"/>
        </w:rPr>
        <w:t xml:space="preserve"> bill put</w:t>
      </w:r>
      <w:r w:rsidR="00AA5FC7">
        <w:rPr>
          <w:sz w:val="24"/>
          <w:szCs w:val="24"/>
        </w:rPr>
        <w:t xml:space="preserve"> back</w:t>
      </w:r>
      <w:r w:rsidR="00AE2448">
        <w:rPr>
          <w:sz w:val="24"/>
          <w:szCs w:val="24"/>
        </w:rPr>
        <w:t xml:space="preserve"> int</w:t>
      </w:r>
      <w:r w:rsidR="00C94E7B">
        <w:rPr>
          <w:sz w:val="24"/>
          <w:szCs w:val="24"/>
        </w:rPr>
        <w:t xml:space="preserve">o </w:t>
      </w:r>
      <w:r w:rsidR="00246A19">
        <w:rPr>
          <w:sz w:val="24"/>
          <w:szCs w:val="24"/>
        </w:rPr>
        <w:t xml:space="preserve">her </w:t>
      </w:r>
      <w:r w:rsidR="00AA5FC7">
        <w:rPr>
          <w:sz w:val="24"/>
          <w:szCs w:val="24"/>
        </w:rPr>
        <w:t xml:space="preserve">former </w:t>
      </w:r>
      <w:r w:rsidR="00246A19">
        <w:rPr>
          <w:sz w:val="24"/>
          <w:szCs w:val="24"/>
        </w:rPr>
        <w:t>tenant’s</w:t>
      </w:r>
      <w:r w:rsidR="00A26883">
        <w:rPr>
          <w:sz w:val="24"/>
          <w:szCs w:val="24"/>
        </w:rPr>
        <w:t xml:space="preserve"> name </w:t>
      </w:r>
      <w:r w:rsidR="00AE2448">
        <w:rPr>
          <w:sz w:val="24"/>
          <w:szCs w:val="24"/>
        </w:rPr>
        <w:t xml:space="preserve">and for PPL to accept service in </w:t>
      </w:r>
      <w:r w:rsidR="00AA5FC7">
        <w:rPr>
          <w:sz w:val="24"/>
          <w:szCs w:val="24"/>
        </w:rPr>
        <w:t>her current</w:t>
      </w:r>
      <w:r w:rsidR="00AE2448">
        <w:rPr>
          <w:sz w:val="24"/>
          <w:szCs w:val="24"/>
        </w:rPr>
        <w:t xml:space="preserve"> </w:t>
      </w:r>
      <w:r w:rsidR="00246A19">
        <w:rPr>
          <w:sz w:val="24"/>
          <w:szCs w:val="24"/>
        </w:rPr>
        <w:t>tenant’s</w:t>
      </w:r>
      <w:r w:rsidR="00AE2448">
        <w:rPr>
          <w:sz w:val="24"/>
          <w:szCs w:val="24"/>
        </w:rPr>
        <w:t xml:space="preserve"> name instead of hers.  </w:t>
      </w:r>
      <w:r w:rsidR="007965B0" w:rsidRPr="007965B0">
        <w:rPr>
          <w:sz w:val="24"/>
          <w:szCs w:val="24"/>
        </w:rPr>
        <w:t xml:space="preserve">On </w:t>
      </w:r>
      <w:r w:rsidR="00AE2448">
        <w:rPr>
          <w:sz w:val="24"/>
          <w:szCs w:val="24"/>
        </w:rPr>
        <w:t>or about September 13, 2010</w:t>
      </w:r>
      <w:r w:rsidR="007965B0" w:rsidRPr="007965B0">
        <w:rPr>
          <w:sz w:val="24"/>
          <w:szCs w:val="24"/>
        </w:rPr>
        <w:t xml:space="preserve">, Respondent filed an </w:t>
      </w:r>
      <w:r w:rsidR="007965B0" w:rsidRPr="007965B0">
        <w:rPr>
          <w:spacing w:val="-3"/>
          <w:sz w:val="24"/>
          <w:szCs w:val="24"/>
        </w:rPr>
        <w:t xml:space="preserve">Answer denying the material allegations of the Complaint.  </w:t>
      </w:r>
      <w:r w:rsidR="00223E7E">
        <w:rPr>
          <w:spacing w:val="-3"/>
          <w:sz w:val="24"/>
          <w:szCs w:val="24"/>
        </w:rPr>
        <w:t>New Matter</w:t>
      </w:r>
      <w:r w:rsidR="00AE2448">
        <w:rPr>
          <w:spacing w:val="-3"/>
          <w:sz w:val="24"/>
          <w:szCs w:val="24"/>
        </w:rPr>
        <w:t xml:space="preserve"> was filed on the same date.  No Response to the New Matter was received.</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8345AB">
        <w:rPr>
          <w:sz w:val="24"/>
          <w:szCs w:val="24"/>
        </w:rPr>
        <w:t>August 8, 2011</w:t>
      </w:r>
      <w:r w:rsidRPr="007965B0">
        <w:rPr>
          <w:sz w:val="24"/>
          <w:szCs w:val="24"/>
        </w:rPr>
        <w:t xml:space="preserve">, the parties were notified that an Initial Hearing in this case was scheduled for the morning of </w:t>
      </w:r>
      <w:r w:rsidR="00AE2448">
        <w:rPr>
          <w:sz w:val="24"/>
          <w:szCs w:val="24"/>
        </w:rPr>
        <w:t>September 19, 201</w:t>
      </w:r>
      <w:r w:rsidR="008345AB">
        <w:rPr>
          <w:sz w:val="24"/>
          <w:szCs w:val="24"/>
        </w:rPr>
        <w:t>1</w:t>
      </w:r>
      <w:r w:rsidRPr="007965B0">
        <w:rPr>
          <w:sz w:val="24"/>
          <w:szCs w:val="24"/>
        </w:rPr>
        <w:t>.</w:t>
      </w:r>
      <w:r w:rsidR="00AE2448">
        <w:rPr>
          <w:sz w:val="24"/>
          <w:szCs w:val="24"/>
        </w:rPr>
        <w:t xml:space="preserve">  On October 18, 201</w:t>
      </w:r>
      <w:r w:rsidR="001A5991">
        <w:rPr>
          <w:sz w:val="24"/>
          <w:szCs w:val="24"/>
        </w:rPr>
        <w:t>1</w:t>
      </w:r>
      <w:r w:rsidR="00AE2448">
        <w:rPr>
          <w:sz w:val="24"/>
          <w:szCs w:val="24"/>
        </w:rPr>
        <w:t>, a Corrected Hearing Notice s</w:t>
      </w:r>
      <w:r w:rsidR="008345AB">
        <w:rPr>
          <w:sz w:val="24"/>
          <w:szCs w:val="24"/>
        </w:rPr>
        <w:t>et the date for October 24, 2011</w:t>
      </w:r>
      <w:r w:rsidR="00AE2448">
        <w:rPr>
          <w:sz w:val="24"/>
          <w:szCs w:val="24"/>
        </w:rPr>
        <w:t xml:space="preserve">.  </w:t>
      </w:r>
      <w:r w:rsidR="008345AB">
        <w:rPr>
          <w:sz w:val="24"/>
          <w:szCs w:val="24"/>
        </w:rPr>
        <w:t>On October 24, 2011</w:t>
      </w:r>
      <w:r w:rsidR="00A30952">
        <w:rPr>
          <w:sz w:val="24"/>
          <w:szCs w:val="24"/>
        </w:rPr>
        <w:t xml:space="preserve">, </w:t>
      </w:r>
      <w:r w:rsidR="00246A19">
        <w:rPr>
          <w:sz w:val="24"/>
          <w:szCs w:val="24"/>
        </w:rPr>
        <w:t>a</w:t>
      </w:r>
      <w:r w:rsidR="00A30952">
        <w:rPr>
          <w:sz w:val="24"/>
          <w:szCs w:val="24"/>
        </w:rPr>
        <w:t xml:space="preserve"> Hearing Cancellation/Reschedule Notice set the hearing f</w:t>
      </w:r>
      <w:r w:rsidR="008345AB">
        <w:rPr>
          <w:sz w:val="24"/>
          <w:szCs w:val="24"/>
        </w:rPr>
        <w:t>or December 1, 2011</w:t>
      </w:r>
      <w:r w:rsidR="00A30952">
        <w:rPr>
          <w:sz w:val="24"/>
          <w:szCs w:val="24"/>
        </w:rPr>
        <w:t>.</w:t>
      </w:r>
      <w:r w:rsidRPr="007965B0">
        <w:rPr>
          <w:sz w:val="24"/>
          <w:szCs w:val="24"/>
        </w:rPr>
        <w:t xml:space="preserve">  A Prehearing Order was issued on </w:t>
      </w:r>
      <w:r w:rsidR="008345AB">
        <w:rPr>
          <w:sz w:val="24"/>
          <w:szCs w:val="24"/>
        </w:rPr>
        <w:t>August 10, 2011</w:t>
      </w:r>
      <w:r w:rsidRPr="007965B0">
        <w:rPr>
          <w:sz w:val="24"/>
          <w:szCs w:val="24"/>
        </w:rPr>
        <w:t xml:space="preserve">, stating the date and time of the scheduled hearing and advising the parties that the case could be dismissed if they failed to obtain a continuance and </w:t>
      </w:r>
      <w:r w:rsidRPr="007965B0">
        <w:rPr>
          <w:sz w:val="24"/>
          <w:szCs w:val="24"/>
        </w:rPr>
        <w:lastRenderedPageBreak/>
        <w:t xml:space="preserve">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A30952">
      <w:pPr>
        <w:spacing w:line="360" w:lineRule="auto"/>
        <w:ind w:firstLine="1440"/>
        <w:rPr>
          <w:sz w:val="24"/>
          <w:szCs w:val="24"/>
        </w:rPr>
      </w:pPr>
      <w:r w:rsidRPr="007965B0">
        <w:rPr>
          <w:sz w:val="24"/>
          <w:szCs w:val="24"/>
        </w:rPr>
        <w:t>The hearing convened as scheduled</w:t>
      </w:r>
      <w:r w:rsidR="008345AB">
        <w:rPr>
          <w:sz w:val="24"/>
          <w:szCs w:val="24"/>
        </w:rPr>
        <w:t xml:space="preserve"> on December 1, 2011</w:t>
      </w:r>
      <w:r w:rsidRPr="007965B0">
        <w:rPr>
          <w:sz w:val="24"/>
          <w:szCs w:val="24"/>
        </w:rPr>
        <w:t>.</w:t>
      </w:r>
      <w:r w:rsidR="00A30952">
        <w:rPr>
          <w:sz w:val="24"/>
          <w:szCs w:val="24"/>
        </w:rPr>
        <w:t xml:space="preserve">  The Complainant appeared </w:t>
      </w:r>
      <w:r w:rsidR="00A30952" w:rsidRPr="00246A19">
        <w:rPr>
          <w:i/>
          <w:sz w:val="24"/>
          <w:szCs w:val="24"/>
        </w:rPr>
        <w:t>pro se</w:t>
      </w:r>
      <w:r w:rsidR="00A30952">
        <w:rPr>
          <w:sz w:val="24"/>
          <w:szCs w:val="24"/>
        </w:rPr>
        <w:t>.  The Respondent was represented by counsel.</w:t>
      </w:r>
      <w:r w:rsidRPr="007965B0">
        <w:rPr>
          <w:sz w:val="24"/>
          <w:szCs w:val="24"/>
        </w:rPr>
        <w:t xml:space="preserve">  </w:t>
      </w:r>
      <w:r w:rsidR="00EC41CE">
        <w:rPr>
          <w:sz w:val="24"/>
          <w:szCs w:val="24"/>
        </w:rPr>
        <w:t xml:space="preserve">The record closed on </w:t>
      </w:r>
      <w:r w:rsidR="00F201C6">
        <w:rPr>
          <w:sz w:val="24"/>
          <w:szCs w:val="24"/>
        </w:rPr>
        <w:t>December </w:t>
      </w:r>
      <w:r w:rsidR="008345AB">
        <w:rPr>
          <w:sz w:val="24"/>
          <w:szCs w:val="24"/>
        </w:rPr>
        <w:t>30, 2011</w:t>
      </w:r>
      <w:r w:rsidR="00EC41CE">
        <w:rPr>
          <w:sz w:val="24"/>
          <w:szCs w:val="24"/>
        </w:rPr>
        <w:t>.</w:t>
      </w:r>
    </w:p>
    <w:p w:rsidR="00223E7E" w:rsidRPr="007965B0"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A30952" w:rsidP="00C419F9">
      <w:pPr>
        <w:numPr>
          <w:ilvl w:val="0"/>
          <w:numId w:val="18"/>
        </w:numPr>
        <w:tabs>
          <w:tab w:val="left" w:pos="2160"/>
        </w:tabs>
        <w:spacing w:line="360" w:lineRule="auto"/>
        <w:ind w:left="0" w:firstLine="1440"/>
        <w:rPr>
          <w:sz w:val="24"/>
          <w:szCs w:val="24"/>
        </w:rPr>
      </w:pPr>
      <w:r>
        <w:rPr>
          <w:sz w:val="24"/>
          <w:szCs w:val="24"/>
        </w:rPr>
        <w:t xml:space="preserve">The Complainant is Francine Mound.  She receives electric service from the Respondent at a home she owns at RR1 Box </w:t>
      </w:r>
      <w:r w:rsidR="00AA5FC7">
        <w:rPr>
          <w:sz w:val="24"/>
          <w:szCs w:val="24"/>
        </w:rPr>
        <w:t>417;</w:t>
      </w:r>
      <w:r>
        <w:rPr>
          <w:sz w:val="24"/>
          <w:szCs w:val="24"/>
        </w:rPr>
        <w:t xml:space="preserve"> </w:t>
      </w:r>
      <w:r w:rsidR="008345AB">
        <w:rPr>
          <w:sz w:val="24"/>
          <w:szCs w:val="24"/>
        </w:rPr>
        <w:t>the service address is</w:t>
      </w:r>
      <w:r w:rsidR="00E82D44">
        <w:rPr>
          <w:sz w:val="24"/>
          <w:szCs w:val="24"/>
        </w:rPr>
        <w:t xml:space="preserve"> 30 Lake Drive, </w:t>
      </w:r>
      <w:proofErr w:type="spellStart"/>
      <w:r>
        <w:rPr>
          <w:sz w:val="24"/>
          <w:szCs w:val="24"/>
        </w:rPr>
        <w:t>Scotrun</w:t>
      </w:r>
      <w:proofErr w:type="spellEnd"/>
      <w:r>
        <w:rPr>
          <w:sz w:val="24"/>
          <w:szCs w:val="24"/>
        </w:rPr>
        <w:t>, Pennsylvania, 18355.</w:t>
      </w:r>
      <w:r w:rsidR="00E82D44">
        <w:rPr>
          <w:sz w:val="24"/>
          <w:szCs w:val="24"/>
        </w:rPr>
        <w:t xml:space="preserve">  Tr. 5 and Complaint.</w:t>
      </w:r>
    </w:p>
    <w:p w:rsidR="00C94E7B" w:rsidRDefault="00C94E7B" w:rsidP="00C94E7B">
      <w:pPr>
        <w:spacing w:line="360" w:lineRule="auto"/>
        <w:ind w:left="1440"/>
        <w:rPr>
          <w:sz w:val="24"/>
          <w:szCs w:val="24"/>
        </w:rPr>
      </w:pPr>
    </w:p>
    <w:p w:rsidR="00E82D44" w:rsidRDefault="00E82D44" w:rsidP="00C419F9">
      <w:pPr>
        <w:numPr>
          <w:ilvl w:val="0"/>
          <w:numId w:val="18"/>
        </w:numPr>
        <w:tabs>
          <w:tab w:val="left" w:pos="2160"/>
        </w:tabs>
        <w:spacing w:line="360" w:lineRule="auto"/>
        <w:ind w:left="0" w:firstLine="1440"/>
        <w:rPr>
          <w:sz w:val="24"/>
          <w:szCs w:val="24"/>
        </w:rPr>
      </w:pPr>
      <w:r>
        <w:rPr>
          <w:sz w:val="24"/>
          <w:szCs w:val="24"/>
        </w:rPr>
        <w:t>The Complainant lives at and receives her mail at 222 East 93</w:t>
      </w:r>
      <w:r w:rsidRPr="00E82D44">
        <w:rPr>
          <w:sz w:val="24"/>
          <w:szCs w:val="24"/>
          <w:vertAlign w:val="superscript"/>
        </w:rPr>
        <w:t>rd</w:t>
      </w:r>
      <w:r>
        <w:rPr>
          <w:sz w:val="24"/>
          <w:szCs w:val="24"/>
        </w:rPr>
        <w:t xml:space="preserve"> Street, New York, New York 10128.  Tr. 5.</w:t>
      </w:r>
    </w:p>
    <w:p w:rsidR="00A30952" w:rsidRDefault="00A30952" w:rsidP="00A30952">
      <w:pPr>
        <w:spacing w:line="360" w:lineRule="auto"/>
        <w:ind w:left="1440"/>
        <w:rPr>
          <w:sz w:val="24"/>
          <w:szCs w:val="24"/>
        </w:rPr>
      </w:pPr>
      <w:r>
        <w:rPr>
          <w:sz w:val="24"/>
          <w:szCs w:val="24"/>
        </w:rPr>
        <w:t xml:space="preserve"> </w:t>
      </w:r>
    </w:p>
    <w:p w:rsidR="00A30952" w:rsidRDefault="00A30952" w:rsidP="00C419F9">
      <w:pPr>
        <w:numPr>
          <w:ilvl w:val="0"/>
          <w:numId w:val="18"/>
        </w:numPr>
        <w:tabs>
          <w:tab w:val="left" w:pos="2160"/>
        </w:tabs>
        <w:spacing w:line="360" w:lineRule="auto"/>
        <w:ind w:left="0" w:firstLine="1440"/>
        <w:rPr>
          <w:sz w:val="24"/>
          <w:szCs w:val="24"/>
        </w:rPr>
      </w:pPr>
      <w:r>
        <w:rPr>
          <w:sz w:val="24"/>
          <w:szCs w:val="24"/>
        </w:rPr>
        <w:t>The Respondent is a jurisdictional public utility providing electric service to the Complainant</w:t>
      </w:r>
      <w:r w:rsidR="00246A19">
        <w:rPr>
          <w:sz w:val="24"/>
          <w:szCs w:val="24"/>
        </w:rPr>
        <w:t xml:space="preserve">’s </w:t>
      </w:r>
      <w:proofErr w:type="spellStart"/>
      <w:r w:rsidR="00246A19">
        <w:rPr>
          <w:sz w:val="24"/>
          <w:szCs w:val="24"/>
        </w:rPr>
        <w:t>Scotrun</w:t>
      </w:r>
      <w:proofErr w:type="spellEnd"/>
      <w:r w:rsidR="00246A19">
        <w:rPr>
          <w:sz w:val="24"/>
          <w:szCs w:val="24"/>
        </w:rPr>
        <w:t xml:space="preserve"> </w:t>
      </w:r>
      <w:r w:rsidR="00AA5FC7">
        <w:rPr>
          <w:sz w:val="24"/>
          <w:szCs w:val="24"/>
        </w:rPr>
        <w:t xml:space="preserve">rental </w:t>
      </w:r>
      <w:r w:rsidR="00246A19">
        <w:rPr>
          <w:sz w:val="24"/>
          <w:szCs w:val="24"/>
        </w:rPr>
        <w:t>home</w:t>
      </w:r>
      <w:r>
        <w:rPr>
          <w:sz w:val="24"/>
          <w:szCs w:val="24"/>
        </w:rPr>
        <w:t>.</w:t>
      </w:r>
    </w:p>
    <w:p w:rsidR="00A30952" w:rsidRDefault="00A30952" w:rsidP="00A30952">
      <w:pPr>
        <w:pStyle w:val="ListParagraph"/>
        <w:rPr>
          <w:sz w:val="24"/>
          <w:szCs w:val="24"/>
        </w:rPr>
      </w:pPr>
    </w:p>
    <w:p w:rsidR="00A30952" w:rsidRDefault="00E82D44" w:rsidP="00C419F9">
      <w:pPr>
        <w:numPr>
          <w:ilvl w:val="0"/>
          <w:numId w:val="18"/>
        </w:numPr>
        <w:tabs>
          <w:tab w:val="left" w:pos="2160"/>
        </w:tabs>
        <w:spacing w:line="360" w:lineRule="auto"/>
        <w:ind w:left="0" w:firstLine="1440"/>
        <w:rPr>
          <w:sz w:val="24"/>
          <w:szCs w:val="24"/>
        </w:rPr>
      </w:pPr>
      <w:r>
        <w:rPr>
          <w:sz w:val="24"/>
          <w:szCs w:val="24"/>
        </w:rPr>
        <w:t xml:space="preserve">The Complainant had </w:t>
      </w:r>
      <w:r w:rsidR="00AA5FC7">
        <w:rPr>
          <w:sz w:val="24"/>
          <w:szCs w:val="24"/>
        </w:rPr>
        <w:t xml:space="preserve">three </w:t>
      </w:r>
      <w:r>
        <w:rPr>
          <w:sz w:val="24"/>
          <w:szCs w:val="24"/>
        </w:rPr>
        <w:t xml:space="preserve">tenants in </w:t>
      </w:r>
      <w:r w:rsidR="00AA5FC7">
        <w:rPr>
          <w:sz w:val="24"/>
          <w:szCs w:val="24"/>
        </w:rPr>
        <w:t>t</w:t>
      </w:r>
      <w:r>
        <w:rPr>
          <w:sz w:val="24"/>
          <w:szCs w:val="24"/>
        </w:rPr>
        <w:t>he</w:t>
      </w:r>
      <w:r w:rsidR="00AA5FC7">
        <w:rPr>
          <w:sz w:val="24"/>
          <w:szCs w:val="24"/>
        </w:rPr>
        <w:t xml:space="preserve"> rental</w:t>
      </w:r>
      <w:r>
        <w:rPr>
          <w:sz w:val="24"/>
          <w:szCs w:val="24"/>
        </w:rPr>
        <w:t xml:space="preserve"> home.  The tenants were Mary </w:t>
      </w:r>
      <w:proofErr w:type="spellStart"/>
      <w:r>
        <w:rPr>
          <w:sz w:val="24"/>
          <w:szCs w:val="24"/>
        </w:rPr>
        <w:t>Licitra</w:t>
      </w:r>
      <w:proofErr w:type="spellEnd"/>
      <w:r w:rsidR="009B4BBA">
        <w:rPr>
          <w:sz w:val="24"/>
          <w:szCs w:val="24"/>
        </w:rPr>
        <w:t xml:space="preserve">, </w:t>
      </w:r>
      <w:r w:rsidR="00525CEA">
        <w:rPr>
          <w:sz w:val="24"/>
          <w:szCs w:val="24"/>
        </w:rPr>
        <w:t>Lou He</w:t>
      </w:r>
      <w:r w:rsidR="00154BF8">
        <w:rPr>
          <w:sz w:val="24"/>
          <w:szCs w:val="24"/>
        </w:rPr>
        <w:t>rrera</w:t>
      </w:r>
      <w:r w:rsidR="00B0648D">
        <w:rPr>
          <w:sz w:val="24"/>
          <w:szCs w:val="24"/>
        </w:rPr>
        <w:t xml:space="preserve"> and </w:t>
      </w:r>
      <w:r w:rsidR="00973AA0">
        <w:rPr>
          <w:sz w:val="24"/>
          <w:szCs w:val="24"/>
        </w:rPr>
        <w:t>Anthon</w:t>
      </w:r>
      <w:r w:rsidR="00B0648D">
        <w:rPr>
          <w:sz w:val="24"/>
          <w:szCs w:val="24"/>
        </w:rPr>
        <w:t>y Wilson</w:t>
      </w:r>
      <w:r>
        <w:rPr>
          <w:sz w:val="24"/>
          <w:szCs w:val="24"/>
        </w:rPr>
        <w:t xml:space="preserve">.  Tr. 6. </w:t>
      </w:r>
    </w:p>
    <w:p w:rsidR="00AA5FC7" w:rsidRDefault="00AA5FC7" w:rsidP="00AA5FC7">
      <w:pPr>
        <w:pStyle w:val="ListParagraph"/>
        <w:rPr>
          <w:sz w:val="24"/>
          <w:szCs w:val="24"/>
        </w:rPr>
      </w:pPr>
    </w:p>
    <w:p w:rsidR="00E82D44" w:rsidRPr="00C8738A" w:rsidRDefault="00AA5FC7" w:rsidP="00D404FE">
      <w:pPr>
        <w:numPr>
          <w:ilvl w:val="0"/>
          <w:numId w:val="18"/>
        </w:numPr>
        <w:tabs>
          <w:tab w:val="clear" w:pos="2160"/>
        </w:tabs>
        <w:spacing w:line="360" w:lineRule="auto"/>
        <w:ind w:left="0" w:firstLine="1440"/>
        <w:rPr>
          <w:sz w:val="24"/>
          <w:szCs w:val="24"/>
        </w:rPr>
      </w:pPr>
      <w:r w:rsidRPr="00C8738A">
        <w:rPr>
          <w:sz w:val="24"/>
          <w:szCs w:val="24"/>
        </w:rPr>
        <w:t xml:space="preserve">Electric service was connected June 10, 2009, </w:t>
      </w:r>
      <w:r w:rsidR="00D404FE" w:rsidRPr="00C8738A">
        <w:rPr>
          <w:sz w:val="24"/>
          <w:szCs w:val="24"/>
        </w:rPr>
        <w:t xml:space="preserve">in Mary </w:t>
      </w:r>
      <w:proofErr w:type="spellStart"/>
      <w:r w:rsidR="00D404FE" w:rsidRPr="00C8738A">
        <w:rPr>
          <w:sz w:val="24"/>
          <w:szCs w:val="24"/>
        </w:rPr>
        <w:t>Licitra’s</w:t>
      </w:r>
      <w:proofErr w:type="spellEnd"/>
      <w:r w:rsidR="00D404FE" w:rsidRPr="00C8738A">
        <w:rPr>
          <w:sz w:val="24"/>
          <w:szCs w:val="24"/>
        </w:rPr>
        <w:t xml:space="preserve"> name.  Tr.</w:t>
      </w:r>
      <w:r w:rsidR="007D060D">
        <w:rPr>
          <w:sz w:val="24"/>
          <w:szCs w:val="24"/>
        </w:rPr>
        <w:t> 58.</w:t>
      </w:r>
    </w:p>
    <w:p w:rsidR="00154BF8" w:rsidRPr="00246A19" w:rsidRDefault="00154BF8" w:rsidP="00246A19">
      <w:pPr>
        <w:rPr>
          <w:sz w:val="24"/>
          <w:szCs w:val="24"/>
        </w:rPr>
      </w:pPr>
    </w:p>
    <w:p w:rsidR="00154BF8" w:rsidRDefault="00154BF8" w:rsidP="00C419F9">
      <w:pPr>
        <w:numPr>
          <w:ilvl w:val="0"/>
          <w:numId w:val="18"/>
        </w:numPr>
        <w:tabs>
          <w:tab w:val="left" w:pos="2160"/>
        </w:tabs>
        <w:spacing w:line="360" w:lineRule="auto"/>
        <w:ind w:left="0" w:firstLine="1440"/>
        <w:rPr>
          <w:sz w:val="24"/>
          <w:szCs w:val="24"/>
        </w:rPr>
      </w:pPr>
      <w:r>
        <w:rPr>
          <w:sz w:val="24"/>
          <w:szCs w:val="24"/>
        </w:rPr>
        <w:t>The rental home has</w:t>
      </w:r>
      <w:r w:rsidR="00AA5FC7">
        <w:rPr>
          <w:sz w:val="24"/>
          <w:szCs w:val="24"/>
        </w:rPr>
        <w:t xml:space="preserve"> only</w:t>
      </w:r>
      <w:r>
        <w:rPr>
          <w:sz w:val="24"/>
          <w:szCs w:val="24"/>
        </w:rPr>
        <w:t xml:space="preserve"> one meter.  Tr. 16.</w:t>
      </w:r>
    </w:p>
    <w:p w:rsidR="00154BF8" w:rsidRDefault="00154BF8" w:rsidP="00154BF8">
      <w:pPr>
        <w:pStyle w:val="ListParagraph"/>
        <w:rPr>
          <w:sz w:val="24"/>
          <w:szCs w:val="24"/>
        </w:rPr>
      </w:pPr>
    </w:p>
    <w:p w:rsidR="00F70880" w:rsidRDefault="00F70880" w:rsidP="00C419F9">
      <w:pPr>
        <w:numPr>
          <w:ilvl w:val="0"/>
          <w:numId w:val="18"/>
        </w:numPr>
        <w:tabs>
          <w:tab w:val="left" w:pos="2160"/>
        </w:tabs>
        <w:spacing w:line="360" w:lineRule="auto"/>
        <w:ind w:left="0" w:firstLine="1440"/>
        <w:rPr>
          <w:sz w:val="24"/>
          <w:szCs w:val="24"/>
        </w:rPr>
      </w:pPr>
      <w:r>
        <w:rPr>
          <w:sz w:val="24"/>
          <w:szCs w:val="24"/>
        </w:rPr>
        <w:t>Occasionally</w:t>
      </w:r>
      <w:r w:rsidR="00AA5FC7">
        <w:rPr>
          <w:sz w:val="24"/>
          <w:szCs w:val="24"/>
        </w:rPr>
        <w:t>,</w:t>
      </w:r>
      <w:r>
        <w:rPr>
          <w:sz w:val="24"/>
          <w:szCs w:val="24"/>
        </w:rPr>
        <w:t xml:space="preserve"> the Complainant stayed at the rental home.  Tr. 30.</w:t>
      </w:r>
    </w:p>
    <w:p w:rsidR="00AA5FC7" w:rsidRDefault="00AA5FC7" w:rsidP="00AA5FC7">
      <w:pPr>
        <w:pStyle w:val="ListParagraph"/>
        <w:rPr>
          <w:sz w:val="24"/>
          <w:szCs w:val="24"/>
        </w:rPr>
      </w:pPr>
    </w:p>
    <w:p w:rsidR="00AA5FC7" w:rsidRDefault="00AA5FC7" w:rsidP="00C419F9">
      <w:pPr>
        <w:numPr>
          <w:ilvl w:val="0"/>
          <w:numId w:val="18"/>
        </w:numPr>
        <w:tabs>
          <w:tab w:val="left" w:pos="2160"/>
        </w:tabs>
        <w:spacing w:line="360" w:lineRule="auto"/>
        <w:ind w:left="0" w:firstLine="1440"/>
        <w:rPr>
          <w:sz w:val="24"/>
          <w:szCs w:val="24"/>
        </w:rPr>
      </w:pPr>
      <w:r>
        <w:rPr>
          <w:sz w:val="24"/>
          <w:szCs w:val="24"/>
        </w:rPr>
        <w:t>Occasionally, the Complainant’s nephew stayed at the rental home.</w:t>
      </w:r>
    </w:p>
    <w:p w:rsidR="00F70880" w:rsidRDefault="00F70880" w:rsidP="00F70880">
      <w:pPr>
        <w:pStyle w:val="ListParagraph"/>
        <w:rPr>
          <w:sz w:val="24"/>
          <w:szCs w:val="24"/>
        </w:rPr>
      </w:pPr>
    </w:p>
    <w:p w:rsidR="006E7726" w:rsidRDefault="00F70880" w:rsidP="00C419F9">
      <w:pPr>
        <w:numPr>
          <w:ilvl w:val="0"/>
          <w:numId w:val="18"/>
        </w:numPr>
        <w:tabs>
          <w:tab w:val="left" w:pos="2160"/>
        </w:tabs>
        <w:spacing w:line="360" w:lineRule="auto"/>
        <w:ind w:left="0" w:firstLine="1440"/>
        <w:rPr>
          <w:sz w:val="24"/>
          <w:szCs w:val="24"/>
        </w:rPr>
      </w:pPr>
      <w:r>
        <w:rPr>
          <w:sz w:val="24"/>
          <w:szCs w:val="24"/>
        </w:rPr>
        <w:t xml:space="preserve">The Complainant had a </w:t>
      </w:r>
      <w:r w:rsidR="006E7726">
        <w:rPr>
          <w:sz w:val="24"/>
          <w:szCs w:val="24"/>
        </w:rPr>
        <w:t>difficult</w:t>
      </w:r>
      <w:r>
        <w:rPr>
          <w:sz w:val="24"/>
          <w:szCs w:val="24"/>
        </w:rPr>
        <w:t xml:space="preserve"> time remembering events and dates.  Tr. 13, 14, 28, 29, 32</w:t>
      </w:r>
      <w:r w:rsidR="006E7726">
        <w:rPr>
          <w:sz w:val="24"/>
          <w:szCs w:val="24"/>
        </w:rPr>
        <w:t>, 34, 35, 36.</w:t>
      </w:r>
    </w:p>
    <w:p w:rsidR="006E7726" w:rsidRDefault="00F70880" w:rsidP="00C419F9">
      <w:pPr>
        <w:numPr>
          <w:ilvl w:val="0"/>
          <w:numId w:val="18"/>
        </w:numPr>
        <w:tabs>
          <w:tab w:val="left" w:pos="2160"/>
        </w:tabs>
        <w:spacing w:line="360" w:lineRule="auto"/>
        <w:ind w:left="0" w:firstLine="1440"/>
        <w:rPr>
          <w:sz w:val="24"/>
          <w:szCs w:val="24"/>
        </w:rPr>
      </w:pPr>
      <w:r>
        <w:rPr>
          <w:sz w:val="24"/>
          <w:szCs w:val="24"/>
        </w:rPr>
        <w:t xml:space="preserve"> </w:t>
      </w:r>
      <w:r w:rsidR="006E7726">
        <w:rPr>
          <w:sz w:val="24"/>
          <w:szCs w:val="24"/>
        </w:rPr>
        <w:t>Kevin George, a customer contact representative testified for PPL.  Tr. 56.</w:t>
      </w:r>
    </w:p>
    <w:p w:rsidR="006E7726" w:rsidRDefault="006E7726" w:rsidP="006E7726">
      <w:pPr>
        <w:pStyle w:val="ListParagraph"/>
        <w:rPr>
          <w:sz w:val="24"/>
          <w:szCs w:val="24"/>
        </w:rPr>
      </w:pPr>
    </w:p>
    <w:p w:rsidR="006E7726" w:rsidRDefault="006E7726" w:rsidP="00C419F9">
      <w:pPr>
        <w:numPr>
          <w:ilvl w:val="0"/>
          <w:numId w:val="18"/>
        </w:numPr>
        <w:tabs>
          <w:tab w:val="left" w:pos="2160"/>
        </w:tabs>
        <w:spacing w:line="360" w:lineRule="auto"/>
        <w:ind w:left="0" w:firstLine="1440"/>
        <w:rPr>
          <w:sz w:val="24"/>
          <w:szCs w:val="24"/>
        </w:rPr>
      </w:pPr>
      <w:r>
        <w:rPr>
          <w:sz w:val="24"/>
          <w:szCs w:val="24"/>
        </w:rPr>
        <w:t>Kevin George was at the Complainant’s rental home on September 22, 2009.  Tr. 58.</w:t>
      </w:r>
    </w:p>
    <w:p w:rsidR="006E7726" w:rsidRDefault="006E7726" w:rsidP="006E7726">
      <w:pPr>
        <w:pStyle w:val="ListParagraph"/>
        <w:rPr>
          <w:sz w:val="24"/>
          <w:szCs w:val="24"/>
        </w:rPr>
      </w:pPr>
    </w:p>
    <w:p w:rsidR="006E7726" w:rsidRDefault="00C94E7B" w:rsidP="00C419F9">
      <w:pPr>
        <w:numPr>
          <w:ilvl w:val="0"/>
          <w:numId w:val="18"/>
        </w:numPr>
        <w:tabs>
          <w:tab w:val="left" w:pos="2160"/>
        </w:tabs>
        <w:spacing w:line="360" w:lineRule="auto"/>
        <w:ind w:left="0" w:firstLine="1440"/>
        <w:rPr>
          <w:sz w:val="24"/>
          <w:szCs w:val="24"/>
        </w:rPr>
      </w:pPr>
      <w:r>
        <w:rPr>
          <w:sz w:val="24"/>
          <w:szCs w:val="24"/>
        </w:rPr>
        <w:t xml:space="preserve">On September 22, 2009, when Kevin George visited the rental home, </w:t>
      </w:r>
      <w:r w:rsidR="006E7726">
        <w:rPr>
          <w:sz w:val="24"/>
          <w:szCs w:val="24"/>
        </w:rPr>
        <w:t xml:space="preserve">Mary </w:t>
      </w:r>
      <w:proofErr w:type="spellStart"/>
      <w:r w:rsidR="006E7726">
        <w:rPr>
          <w:sz w:val="24"/>
          <w:szCs w:val="24"/>
        </w:rPr>
        <w:t>Licitra</w:t>
      </w:r>
      <w:proofErr w:type="spellEnd"/>
      <w:r w:rsidR="006E7726">
        <w:rPr>
          <w:sz w:val="24"/>
          <w:szCs w:val="24"/>
        </w:rPr>
        <w:t xml:space="preserve"> </w:t>
      </w:r>
      <w:r>
        <w:rPr>
          <w:sz w:val="24"/>
          <w:szCs w:val="24"/>
        </w:rPr>
        <w:t>told him</w:t>
      </w:r>
      <w:r w:rsidR="006E7726">
        <w:rPr>
          <w:sz w:val="24"/>
          <w:szCs w:val="24"/>
        </w:rPr>
        <w:t xml:space="preserve"> that Anthony Wilson lived in</w:t>
      </w:r>
      <w:r w:rsidR="00AA5FC7">
        <w:rPr>
          <w:sz w:val="24"/>
          <w:szCs w:val="24"/>
        </w:rPr>
        <w:t xml:space="preserve"> one part</w:t>
      </w:r>
      <w:r w:rsidR="00D404FE">
        <w:rPr>
          <w:sz w:val="24"/>
          <w:szCs w:val="24"/>
        </w:rPr>
        <w:t xml:space="preserve"> of</w:t>
      </w:r>
      <w:r w:rsidR="006E7726">
        <w:rPr>
          <w:sz w:val="24"/>
          <w:szCs w:val="24"/>
        </w:rPr>
        <w:t xml:space="preserve"> the home, and that she was paying for his service.  Tr. 61.</w:t>
      </w:r>
    </w:p>
    <w:p w:rsidR="006E7726" w:rsidRDefault="006E7726" w:rsidP="006E7726">
      <w:pPr>
        <w:pStyle w:val="ListParagraph"/>
        <w:rPr>
          <w:sz w:val="24"/>
          <w:szCs w:val="24"/>
        </w:rPr>
      </w:pPr>
    </w:p>
    <w:p w:rsidR="007719F4" w:rsidRDefault="00D404FE" w:rsidP="00C419F9">
      <w:pPr>
        <w:numPr>
          <w:ilvl w:val="0"/>
          <w:numId w:val="18"/>
        </w:numPr>
        <w:tabs>
          <w:tab w:val="left" w:pos="2160"/>
        </w:tabs>
        <w:spacing w:line="360" w:lineRule="auto"/>
        <w:ind w:left="0" w:firstLine="1440"/>
        <w:rPr>
          <w:sz w:val="24"/>
          <w:szCs w:val="24"/>
        </w:rPr>
      </w:pPr>
      <w:r>
        <w:rPr>
          <w:sz w:val="24"/>
          <w:szCs w:val="24"/>
        </w:rPr>
        <w:t xml:space="preserve">On </w:t>
      </w:r>
      <w:r w:rsidR="007719F4">
        <w:rPr>
          <w:sz w:val="24"/>
          <w:szCs w:val="24"/>
        </w:rPr>
        <w:t xml:space="preserve">September 25, 2009, PPL sent a letter to the Complainant </w:t>
      </w:r>
      <w:r w:rsidR="009B4BBA">
        <w:rPr>
          <w:sz w:val="24"/>
          <w:szCs w:val="24"/>
        </w:rPr>
        <w:t>explaining</w:t>
      </w:r>
      <w:r w:rsidR="007719F4">
        <w:rPr>
          <w:sz w:val="24"/>
          <w:szCs w:val="24"/>
        </w:rPr>
        <w:t xml:space="preserve"> that after investigation, they found that the “entire 2</w:t>
      </w:r>
      <w:r w:rsidR="007719F4" w:rsidRPr="007719F4">
        <w:rPr>
          <w:sz w:val="24"/>
          <w:szCs w:val="24"/>
          <w:vertAlign w:val="superscript"/>
        </w:rPr>
        <w:t>nd</w:t>
      </w:r>
      <w:r w:rsidR="007719F4">
        <w:rPr>
          <w:sz w:val="24"/>
          <w:szCs w:val="24"/>
        </w:rPr>
        <w:t xml:space="preserve"> and 3</w:t>
      </w:r>
      <w:r w:rsidR="007719F4" w:rsidRPr="007719F4">
        <w:rPr>
          <w:sz w:val="24"/>
          <w:szCs w:val="24"/>
          <w:vertAlign w:val="superscript"/>
        </w:rPr>
        <w:t>rd</w:t>
      </w:r>
      <w:r w:rsidR="007719F4">
        <w:rPr>
          <w:sz w:val="24"/>
          <w:szCs w:val="24"/>
        </w:rPr>
        <w:t xml:space="preserve"> floor apartment is connected to the meter serving Mary </w:t>
      </w:r>
      <w:proofErr w:type="spellStart"/>
      <w:r w:rsidR="007719F4">
        <w:rPr>
          <w:sz w:val="24"/>
          <w:szCs w:val="24"/>
        </w:rPr>
        <w:t>Licitra</w:t>
      </w:r>
      <w:proofErr w:type="spellEnd"/>
      <w:r w:rsidR="007719F4">
        <w:rPr>
          <w:sz w:val="24"/>
          <w:szCs w:val="24"/>
        </w:rPr>
        <w:t xml:space="preserve">.  This is known as foreign load.”  Tr. 63, PPL </w:t>
      </w:r>
      <w:proofErr w:type="spellStart"/>
      <w:r w:rsidR="007719F4">
        <w:rPr>
          <w:sz w:val="24"/>
          <w:szCs w:val="24"/>
        </w:rPr>
        <w:t>Exh</w:t>
      </w:r>
      <w:proofErr w:type="spellEnd"/>
      <w:r w:rsidR="007719F4">
        <w:rPr>
          <w:sz w:val="24"/>
          <w:szCs w:val="24"/>
        </w:rPr>
        <w:t>. 3.</w:t>
      </w:r>
    </w:p>
    <w:p w:rsidR="007719F4" w:rsidRDefault="007719F4" w:rsidP="007719F4">
      <w:pPr>
        <w:pStyle w:val="ListParagraph"/>
        <w:rPr>
          <w:sz w:val="24"/>
          <w:szCs w:val="24"/>
        </w:rPr>
      </w:pPr>
    </w:p>
    <w:p w:rsidR="00B0648D" w:rsidRDefault="00973AA0" w:rsidP="00C8738A">
      <w:pPr>
        <w:numPr>
          <w:ilvl w:val="0"/>
          <w:numId w:val="18"/>
        </w:numPr>
        <w:tabs>
          <w:tab w:val="left" w:pos="2160"/>
        </w:tabs>
        <w:spacing w:line="360" w:lineRule="auto"/>
        <w:ind w:left="0" w:firstLine="1440"/>
        <w:rPr>
          <w:sz w:val="24"/>
          <w:szCs w:val="24"/>
        </w:rPr>
      </w:pPr>
      <w:r>
        <w:rPr>
          <w:sz w:val="24"/>
          <w:szCs w:val="24"/>
        </w:rPr>
        <w:t xml:space="preserve"> </w:t>
      </w:r>
      <w:r w:rsidR="00D404FE">
        <w:rPr>
          <w:sz w:val="24"/>
          <w:szCs w:val="24"/>
        </w:rPr>
        <w:t xml:space="preserve">On </w:t>
      </w:r>
      <w:r w:rsidR="00C94E7B">
        <w:rPr>
          <w:sz w:val="24"/>
          <w:szCs w:val="24"/>
        </w:rPr>
        <w:t xml:space="preserve">January 21, 2010, Kevin George spoke to the Complainant about her (Complainant’s) nephew staying at the rental home and that </w:t>
      </w:r>
      <w:r w:rsidR="00246A19">
        <w:rPr>
          <w:sz w:val="24"/>
          <w:szCs w:val="24"/>
        </w:rPr>
        <w:t xml:space="preserve">a </w:t>
      </w:r>
      <w:r w:rsidR="00C94E7B">
        <w:rPr>
          <w:sz w:val="24"/>
          <w:szCs w:val="24"/>
        </w:rPr>
        <w:t>tenant s</w:t>
      </w:r>
      <w:r w:rsidR="00AA5FC7">
        <w:rPr>
          <w:sz w:val="24"/>
          <w:szCs w:val="24"/>
        </w:rPr>
        <w:t>hould have full use of the h</w:t>
      </w:r>
      <w:r w:rsidR="00A26883">
        <w:rPr>
          <w:sz w:val="24"/>
          <w:szCs w:val="24"/>
        </w:rPr>
        <w:t>ome, that if the nephew visited</w:t>
      </w:r>
      <w:r w:rsidR="0055562E">
        <w:rPr>
          <w:sz w:val="24"/>
          <w:szCs w:val="24"/>
        </w:rPr>
        <w:t>,</w:t>
      </w:r>
      <w:r w:rsidR="00A26883">
        <w:rPr>
          <w:sz w:val="24"/>
          <w:szCs w:val="24"/>
        </w:rPr>
        <w:t xml:space="preserve"> the tenant would not have full use of the home,</w:t>
      </w:r>
      <w:r w:rsidR="00AA5FC7">
        <w:rPr>
          <w:sz w:val="24"/>
          <w:szCs w:val="24"/>
        </w:rPr>
        <w:t xml:space="preserve"> and the electric service w</w:t>
      </w:r>
      <w:r w:rsidR="00C94E7B">
        <w:rPr>
          <w:sz w:val="24"/>
          <w:szCs w:val="24"/>
        </w:rPr>
        <w:t xml:space="preserve">ould be put in the Complainant’s name.  Tr. 65-66., PPL </w:t>
      </w:r>
      <w:proofErr w:type="spellStart"/>
      <w:r w:rsidR="00C94E7B">
        <w:rPr>
          <w:sz w:val="24"/>
          <w:szCs w:val="24"/>
        </w:rPr>
        <w:t>Exh</w:t>
      </w:r>
      <w:proofErr w:type="spellEnd"/>
      <w:r w:rsidR="00C94E7B">
        <w:rPr>
          <w:sz w:val="24"/>
          <w:szCs w:val="24"/>
        </w:rPr>
        <w:t>. 2.</w:t>
      </w:r>
    </w:p>
    <w:p w:rsidR="00C94E7B" w:rsidRDefault="00C94E7B" w:rsidP="00C8738A">
      <w:pPr>
        <w:pStyle w:val="ListParagraph"/>
        <w:spacing w:line="360" w:lineRule="auto"/>
        <w:rPr>
          <w:sz w:val="24"/>
          <w:szCs w:val="24"/>
        </w:rPr>
      </w:pPr>
    </w:p>
    <w:p w:rsidR="00C419F9" w:rsidRDefault="00C419F9" w:rsidP="00C8738A">
      <w:pPr>
        <w:spacing w:line="360" w:lineRule="auto"/>
        <w:jc w:val="center"/>
        <w:rPr>
          <w:sz w:val="24"/>
          <w:szCs w:val="24"/>
          <w:u w:val="single"/>
        </w:rPr>
      </w:pPr>
      <w:r>
        <w:rPr>
          <w:sz w:val="24"/>
          <w:szCs w:val="24"/>
          <w:u w:val="single"/>
        </w:rPr>
        <w:t>DISCUSSION</w:t>
      </w:r>
    </w:p>
    <w:p w:rsidR="00C419F9" w:rsidRDefault="00C419F9" w:rsidP="00C8738A">
      <w:pPr>
        <w:spacing w:line="360" w:lineRule="auto"/>
        <w:jc w:val="center"/>
        <w:rPr>
          <w:sz w:val="24"/>
          <w:szCs w:val="24"/>
          <w:u w:val="single"/>
        </w:rPr>
      </w:pPr>
    </w:p>
    <w:p w:rsidR="00B0541E" w:rsidRDefault="00B0541E" w:rsidP="00C8738A">
      <w:pPr>
        <w:spacing w:line="360" w:lineRule="auto"/>
        <w:rPr>
          <w:sz w:val="24"/>
          <w:szCs w:val="24"/>
        </w:rPr>
      </w:pPr>
      <w:r w:rsidRPr="003325A0">
        <w:rPr>
          <w:sz w:val="24"/>
          <w:szCs w:val="24"/>
          <w:u w:val="single"/>
        </w:rPr>
        <w:t>Burden of Proof</w:t>
      </w:r>
      <w:r>
        <w:rPr>
          <w:sz w:val="24"/>
          <w:szCs w:val="24"/>
        </w:rPr>
        <w:t>:</w:t>
      </w:r>
    </w:p>
    <w:p w:rsidR="00B0541E" w:rsidRDefault="00B0541E" w:rsidP="00C8738A">
      <w:pPr>
        <w:spacing w:line="360" w:lineRule="auto"/>
        <w:rPr>
          <w:sz w:val="24"/>
          <w:szCs w:val="24"/>
        </w:rPr>
      </w:pPr>
    </w:p>
    <w:p w:rsidR="00B0541E" w:rsidRPr="000B72BC" w:rsidRDefault="00B0541E" w:rsidP="00C8738A">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A30952">
        <w:rPr>
          <w:sz w:val="24"/>
          <w:szCs w:val="24"/>
        </w:rPr>
        <w:t>her</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 xml:space="preserve">Samuel J. Lansberry, Inc. v. Pa. </w:t>
      </w:r>
      <w:proofErr w:type="spellStart"/>
      <w:r w:rsidRPr="000B72BC">
        <w:rPr>
          <w:i/>
          <w:spacing w:val="-3"/>
          <w:sz w:val="24"/>
          <w:szCs w:val="24"/>
        </w:rPr>
        <w:t>Pub</w:t>
      </w:r>
      <w:r w:rsidR="00223E7E">
        <w:rPr>
          <w:i/>
          <w:spacing w:val="-3"/>
          <w:sz w:val="24"/>
          <w:szCs w:val="24"/>
        </w:rPr>
        <w:t>.</w:t>
      </w:r>
      <w:r w:rsidRPr="000B72BC">
        <w:rPr>
          <w:i/>
          <w:spacing w:val="-3"/>
          <w:sz w:val="24"/>
          <w:szCs w:val="24"/>
        </w:rPr>
        <w:t>Uti</w:t>
      </w:r>
      <w:r w:rsidR="00223E7E">
        <w:rPr>
          <w:i/>
          <w:spacing w:val="-3"/>
          <w:sz w:val="24"/>
          <w:szCs w:val="24"/>
        </w:rPr>
        <w:t>l</w:t>
      </w:r>
      <w:proofErr w:type="spellEnd"/>
      <w:r w:rsidR="00223E7E">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578 A.2d 600 (1990), </w:t>
      </w:r>
      <w:r w:rsidRPr="000B72BC">
        <w:rPr>
          <w:i/>
          <w:spacing w:val="-3"/>
          <w:sz w:val="24"/>
          <w:szCs w:val="24"/>
        </w:rPr>
        <w:t>alloc. den.</w:t>
      </w:r>
      <w:r w:rsidRPr="000B72BC">
        <w:rPr>
          <w:spacing w:val="-3"/>
          <w:sz w:val="24"/>
          <w:szCs w:val="24"/>
        </w:rPr>
        <w:t xml:space="preserve">, 602 A.2d 863 (1992).  That is, by presenting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 xml:space="preserve">Mill v. Pa. Publ. Util. </w:t>
      </w:r>
      <w:proofErr w:type="spellStart"/>
      <w:r w:rsidRPr="000B72BC">
        <w:rPr>
          <w:i/>
          <w:spacing w:val="-3"/>
          <w:sz w:val="24"/>
          <w:szCs w:val="24"/>
        </w:rPr>
        <w:t>Comm’n</w:t>
      </w:r>
      <w:proofErr w:type="spellEnd"/>
      <w:r w:rsidRPr="000B72BC">
        <w:rPr>
          <w:spacing w:val="-3"/>
          <w:sz w:val="24"/>
          <w:szCs w:val="24"/>
        </w:rPr>
        <w:t xml:space="preserve">, 447 A.2d 1100 (1982); </w:t>
      </w:r>
      <w:proofErr w:type="spellStart"/>
      <w:r w:rsidR="003E594B">
        <w:rPr>
          <w:i/>
          <w:spacing w:val="-3"/>
          <w:sz w:val="24"/>
          <w:szCs w:val="24"/>
        </w:rPr>
        <w:t>Edan</w:t>
      </w:r>
      <w:proofErr w:type="spellEnd"/>
      <w:r w:rsidR="003E594B">
        <w:rPr>
          <w:i/>
          <w:spacing w:val="-3"/>
          <w:sz w:val="24"/>
          <w:szCs w:val="24"/>
        </w:rPr>
        <w:t xml:space="preserve">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i/>
          <w:spacing w:val="-3"/>
          <w:sz w:val="24"/>
          <w:szCs w:val="24"/>
        </w:rPr>
        <w:t>,</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C8738A">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DC2C90" w:rsidRDefault="00DC2C90" w:rsidP="00B0541E">
      <w:pPr>
        <w:spacing w:line="360" w:lineRule="auto"/>
        <w:rPr>
          <w:sz w:val="24"/>
          <w:szCs w:val="24"/>
        </w:rPr>
      </w:pPr>
    </w:p>
    <w:p w:rsidR="000D7D38" w:rsidRDefault="00DC2C90" w:rsidP="000D7D38">
      <w:pPr>
        <w:spacing w:line="360" w:lineRule="auto"/>
        <w:ind w:firstLine="1440"/>
        <w:rPr>
          <w:sz w:val="24"/>
          <w:szCs w:val="24"/>
        </w:rPr>
      </w:pPr>
      <w:r>
        <w:rPr>
          <w:sz w:val="24"/>
          <w:szCs w:val="24"/>
        </w:rPr>
        <w:t xml:space="preserve">This formal complaint relates to the Complainant’s confusion about what was described to her as foreign </w:t>
      </w:r>
      <w:r w:rsidR="00246A19">
        <w:rPr>
          <w:sz w:val="24"/>
          <w:szCs w:val="24"/>
        </w:rPr>
        <w:t xml:space="preserve">load </w:t>
      </w:r>
      <w:r>
        <w:rPr>
          <w:sz w:val="24"/>
          <w:szCs w:val="24"/>
        </w:rPr>
        <w:t xml:space="preserve">at </w:t>
      </w:r>
      <w:r w:rsidR="00AA5FC7">
        <w:rPr>
          <w:sz w:val="24"/>
          <w:szCs w:val="24"/>
        </w:rPr>
        <w:t>her</w:t>
      </w:r>
      <w:r>
        <w:rPr>
          <w:sz w:val="24"/>
          <w:szCs w:val="24"/>
        </w:rPr>
        <w:t xml:space="preserve"> rental property.  The Complainant owns and rents a </w:t>
      </w:r>
      <w:r w:rsidR="00D404FE">
        <w:rPr>
          <w:sz w:val="24"/>
          <w:szCs w:val="24"/>
        </w:rPr>
        <w:t xml:space="preserve">single family </w:t>
      </w:r>
      <w:r w:rsidR="00AA5FC7">
        <w:rPr>
          <w:sz w:val="24"/>
          <w:szCs w:val="24"/>
        </w:rPr>
        <w:t>home</w:t>
      </w:r>
      <w:r>
        <w:rPr>
          <w:sz w:val="24"/>
          <w:szCs w:val="24"/>
        </w:rPr>
        <w:t xml:space="preserve"> in </w:t>
      </w:r>
      <w:proofErr w:type="spellStart"/>
      <w:r>
        <w:rPr>
          <w:sz w:val="24"/>
          <w:szCs w:val="24"/>
        </w:rPr>
        <w:t>Scotrun</w:t>
      </w:r>
      <w:proofErr w:type="spellEnd"/>
      <w:r>
        <w:rPr>
          <w:sz w:val="24"/>
          <w:szCs w:val="24"/>
        </w:rPr>
        <w:t xml:space="preserve">, Pennsylvania.  During the time relevant to this complaint, the Complainant agreed to let Mary </w:t>
      </w:r>
      <w:proofErr w:type="spellStart"/>
      <w:r>
        <w:rPr>
          <w:sz w:val="24"/>
          <w:szCs w:val="24"/>
        </w:rPr>
        <w:t>Licitra</w:t>
      </w:r>
      <w:proofErr w:type="spellEnd"/>
      <w:r>
        <w:rPr>
          <w:sz w:val="24"/>
          <w:szCs w:val="24"/>
        </w:rPr>
        <w:t>, Lou He</w:t>
      </w:r>
      <w:r w:rsidR="0047039A">
        <w:rPr>
          <w:sz w:val="24"/>
          <w:szCs w:val="24"/>
        </w:rPr>
        <w:t>r</w:t>
      </w:r>
      <w:r>
        <w:rPr>
          <w:sz w:val="24"/>
          <w:szCs w:val="24"/>
        </w:rPr>
        <w:t xml:space="preserve">rera and Anthony Wilson live in her rental home in exchange for repairing the roof on the home.  </w:t>
      </w:r>
    </w:p>
    <w:p w:rsidR="000D7D38" w:rsidRDefault="000D7D38" w:rsidP="000D7D38">
      <w:pPr>
        <w:spacing w:line="360" w:lineRule="auto"/>
        <w:ind w:firstLine="1440"/>
        <w:rPr>
          <w:sz w:val="24"/>
          <w:szCs w:val="24"/>
        </w:rPr>
      </w:pPr>
    </w:p>
    <w:p w:rsidR="00D404FE" w:rsidRDefault="00DC2C90" w:rsidP="00EB10DA">
      <w:pPr>
        <w:spacing w:line="360" w:lineRule="auto"/>
        <w:ind w:firstLine="1440"/>
        <w:rPr>
          <w:sz w:val="24"/>
          <w:szCs w:val="24"/>
        </w:rPr>
      </w:pPr>
      <w:r>
        <w:rPr>
          <w:sz w:val="24"/>
          <w:szCs w:val="24"/>
        </w:rPr>
        <w:t>At some point, Mary</w:t>
      </w:r>
      <w:r w:rsidR="006D1810">
        <w:rPr>
          <w:sz w:val="24"/>
          <w:szCs w:val="24"/>
        </w:rPr>
        <w:t xml:space="preserve"> </w:t>
      </w:r>
      <w:proofErr w:type="spellStart"/>
      <w:r w:rsidR="006D1810">
        <w:rPr>
          <w:sz w:val="24"/>
          <w:szCs w:val="24"/>
        </w:rPr>
        <w:t>Licitra</w:t>
      </w:r>
      <w:proofErr w:type="spellEnd"/>
      <w:r>
        <w:rPr>
          <w:sz w:val="24"/>
          <w:szCs w:val="24"/>
        </w:rPr>
        <w:t xml:space="preserve"> </w:t>
      </w:r>
      <w:r w:rsidR="00A26883">
        <w:rPr>
          <w:sz w:val="24"/>
          <w:szCs w:val="24"/>
        </w:rPr>
        <w:t>telephoned</w:t>
      </w:r>
      <w:r>
        <w:rPr>
          <w:sz w:val="24"/>
          <w:szCs w:val="24"/>
        </w:rPr>
        <w:t xml:space="preserve"> PPL to report t</w:t>
      </w:r>
      <w:r w:rsidR="006D1810">
        <w:rPr>
          <w:sz w:val="24"/>
          <w:szCs w:val="24"/>
        </w:rPr>
        <w:t>hat she was paying for Anthony Wilson’s</w:t>
      </w:r>
      <w:r>
        <w:rPr>
          <w:sz w:val="24"/>
          <w:szCs w:val="24"/>
        </w:rPr>
        <w:t xml:space="preserve"> electric service.  PPL visited the property and determined that the second and third floors were </w:t>
      </w:r>
      <w:r w:rsidR="00A26883">
        <w:rPr>
          <w:sz w:val="24"/>
          <w:szCs w:val="24"/>
        </w:rPr>
        <w:t>provided to Anthony Wilson,</w:t>
      </w:r>
      <w:r>
        <w:rPr>
          <w:sz w:val="24"/>
          <w:szCs w:val="24"/>
        </w:rPr>
        <w:t xml:space="preserve"> and the first floor </w:t>
      </w:r>
      <w:r w:rsidR="00A26883">
        <w:rPr>
          <w:sz w:val="24"/>
          <w:szCs w:val="24"/>
        </w:rPr>
        <w:t xml:space="preserve">to Mary </w:t>
      </w:r>
      <w:proofErr w:type="spellStart"/>
      <w:r w:rsidR="00A26883">
        <w:rPr>
          <w:sz w:val="24"/>
          <w:szCs w:val="24"/>
        </w:rPr>
        <w:t>Licitra</w:t>
      </w:r>
      <w:proofErr w:type="spellEnd"/>
      <w:r w:rsidR="00A26883">
        <w:rPr>
          <w:sz w:val="24"/>
          <w:szCs w:val="24"/>
        </w:rPr>
        <w:t xml:space="preserve"> and Lou Herrera</w:t>
      </w:r>
      <w:r>
        <w:rPr>
          <w:sz w:val="24"/>
          <w:szCs w:val="24"/>
        </w:rPr>
        <w:t xml:space="preserve">, </w:t>
      </w:r>
      <w:r w:rsidR="00246A19">
        <w:rPr>
          <w:sz w:val="24"/>
          <w:szCs w:val="24"/>
        </w:rPr>
        <w:t xml:space="preserve">and </w:t>
      </w:r>
      <w:r>
        <w:rPr>
          <w:sz w:val="24"/>
          <w:szCs w:val="24"/>
        </w:rPr>
        <w:t xml:space="preserve">that there was only one meter. </w:t>
      </w:r>
      <w:r w:rsidR="00165B49">
        <w:rPr>
          <w:sz w:val="24"/>
          <w:szCs w:val="24"/>
        </w:rPr>
        <w:t>T</w:t>
      </w:r>
      <w:r w:rsidR="00FE4B07">
        <w:rPr>
          <w:sz w:val="24"/>
          <w:szCs w:val="24"/>
        </w:rPr>
        <w:t xml:space="preserve">herefore, </w:t>
      </w:r>
      <w:r>
        <w:rPr>
          <w:sz w:val="24"/>
          <w:szCs w:val="24"/>
        </w:rPr>
        <w:t>PPL sent the Complainant a letter stating such</w:t>
      </w:r>
      <w:r w:rsidR="00D404FE">
        <w:rPr>
          <w:sz w:val="24"/>
          <w:szCs w:val="24"/>
        </w:rPr>
        <w:t>, described it as foreign load,</w:t>
      </w:r>
      <w:r>
        <w:rPr>
          <w:sz w:val="24"/>
          <w:szCs w:val="24"/>
        </w:rPr>
        <w:t xml:space="preserve"> and put the account in the Complainant’s name.</w:t>
      </w:r>
      <w:r w:rsidR="00E937F7">
        <w:rPr>
          <w:sz w:val="24"/>
          <w:szCs w:val="24"/>
        </w:rPr>
        <w:t xml:space="preserve"> </w:t>
      </w:r>
    </w:p>
    <w:p w:rsidR="00D404FE" w:rsidRDefault="00D404FE" w:rsidP="00EB10DA">
      <w:pPr>
        <w:spacing w:line="360" w:lineRule="auto"/>
        <w:ind w:firstLine="1440"/>
        <w:rPr>
          <w:sz w:val="24"/>
          <w:szCs w:val="24"/>
        </w:rPr>
      </w:pPr>
    </w:p>
    <w:p w:rsidR="00FE4687" w:rsidRDefault="00E937F7" w:rsidP="00EB10DA">
      <w:pPr>
        <w:spacing w:line="360" w:lineRule="auto"/>
        <w:ind w:firstLine="1440"/>
        <w:rPr>
          <w:color w:val="333333"/>
          <w:sz w:val="24"/>
          <w:szCs w:val="24"/>
        </w:rPr>
      </w:pPr>
      <w:r>
        <w:rPr>
          <w:sz w:val="24"/>
          <w:szCs w:val="24"/>
        </w:rPr>
        <w:t xml:space="preserve">The Complainant found the letter very confusing and did not understand what </w:t>
      </w:r>
      <w:r w:rsidR="000D7D38">
        <w:rPr>
          <w:sz w:val="24"/>
          <w:szCs w:val="24"/>
        </w:rPr>
        <w:t>the phrase “</w:t>
      </w:r>
      <w:r>
        <w:rPr>
          <w:sz w:val="24"/>
          <w:szCs w:val="24"/>
        </w:rPr>
        <w:t>foreign load</w:t>
      </w:r>
      <w:r w:rsidR="000D7D38">
        <w:rPr>
          <w:sz w:val="24"/>
          <w:szCs w:val="24"/>
        </w:rPr>
        <w:t>”</w:t>
      </w:r>
      <w:r>
        <w:rPr>
          <w:sz w:val="24"/>
          <w:szCs w:val="24"/>
        </w:rPr>
        <w:t xml:space="preserve"> meant</w:t>
      </w:r>
      <w:r w:rsidR="000D7D38">
        <w:rPr>
          <w:sz w:val="24"/>
          <w:szCs w:val="24"/>
        </w:rPr>
        <w:t xml:space="preserve">.  </w:t>
      </w:r>
      <w:r w:rsidR="000D7D38" w:rsidRPr="000D7D38">
        <w:rPr>
          <w:color w:val="333333"/>
          <w:sz w:val="24"/>
          <w:szCs w:val="24"/>
        </w:rPr>
        <w:t>A "</w:t>
      </w:r>
      <w:r w:rsidR="000D7D38" w:rsidRPr="000D7D38">
        <w:rPr>
          <w:rStyle w:val="term1"/>
          <w:b w:val="0"/>
          <w:color w:val="333333"/>
          <w:sz w:val="24"/>
          <w:szCs w:val="24"/>
        </w:rPr>
        <w:t>foreign load</w:t>
      </w:r>
      <w:r w:rsidR="000D7D38" w:rsidRPr="000D7D38">
        <w:rPr>
          <w:color w:val="333333"/>
          <w:sz w:val="24"/>
          <w:szCs w:val="24"/>
        </w:rPr>
        <w:t xml:space="preserve">" exists when a tenant is being billed for utility service that is </w:t>
      </w:r>
      <w:r w:rsidR="000D7D38" w:rsidRPr="00FE4B07">
        <w:rPr>
          <w:color w:val="333333"/>
          <w:sz w:val="24"/>
          <w:szCs w:val="24"/>
          <w:u w:val="single"/>
        </w:rPr>
        <w:t>not</w:t>
      </w:r>
      <w:r w:rsidR="000D7D38" w:rsidRPr="000D7D38">
        <w:rPr>
          <w:color w:val="333333"/>
          <w:sz w:val="24"/>
          <w:szCs w:val="24"/>
        </w:rPr>
        <w:t xml:space="preserve"> solely related to utility services to the tenant. </w:t>
      </w:r>
      <w:hyperlink r:id="rId9" w:history="1">
        <w:r w:rsidR="000D7D38" w:rsidRPr="000D7D38">
          <w:rPr>
            <w:rStyle w:val="Hyperlink"/>
            <w:i/>
            <w:iCs/>
            <w:color w:val="auto"/>
            <w:sz w:val="24"/>
            <w:szCs w:val="24"/>
          </w:rPr>
          <w:t xml:space="preserve">Mary M. </w:t>
        </w:r>
        <w:proofErr w:type="spellStart"/>
        <w:r w:rsidR="000D7D38" w:rsidRPr="000D7D38">
          <w:rPr>
            <w:rStyle w:val="Hyperlink"/>
            <w:i/>
            <w:iCs/>
            <w:color w:val="auto"/>
            <w:sz w:val="24"/>
            <w:szCs w:val="24"/>
          </w:rPr>
          <w:t>Sobota</w:t>
        </w:r>
        <w:proofErr w:type="spellEnd"/>
        <w:r w:rsidR="000D7D38" w:rsidRPr="000D7D38">
          <w:rPr>
            <w:rStyle w:val="Hyperlink"/>
            <w:i/>
            <w:iCs/>
            <w:color w:val="auto"/>
            <w:sz w:val="24"/>
            <w:szCs w:val="24"/>
          </w:rPr>
          <w:t xml:space="preserve"> v. Equitable Gas Company</w:t>
        </w:r>
        <w:r w:rsidR="000D7D38" w:rsidRPr="000D7D38">
          <w:rPr>
            <w:rStyle w:val="Hyperlink"/>
            <w:color w:val="auto"/>
            <w:sz w:val="24"/>
            <w:szCs w:val="24"/>
          </w:rPr>
          <w:t>, Docket No. C-00981661, 1999 Pa. PUC LEXIS 67</w:t>
        </w:r>
      </w:hyperlink>
      <w:r w:rsidR="000D7D38">
        <w:rPr>
          <w:color w:val="333333"/>
          <w:sz w:val="24"/>
          <w:szCs w:val="24"/>
        </w:rPr>
        <w:t xml:space="preserve">. </w:t>
      </w:r>
      <w:r w:rsidR="000D7D38" w:rsidRPr="000D7D38">
        <w:rPr>
          <w:color w:val="333333"/>
          <w:sz w:val="24"/>
          <w:szCs w:val="24"/>
        </w:rPr>
        <w:t> (October 18, 1999)</w:t>
      </w:r>
      <w:r w:rsidR="000D7D38">
        <w:rPr>
          <w:color w:val="333333"/>
          <w:sz w:val="24"/>
          <w:szCs w:val="24"/>
        </w:rPr>
        <w:t xml:space="preserve">.  </w:t>
      </w:r>
      <w:r w:rsidR="000F3A24">
        <w:rPr>
          <w:color w:val="333333"/>
          <w:sz w:val="24"/>
          <w:szCs w:val="24"/>
        </w:rPr>
        <w:t xml:space="preserve">Mary </w:t>
      </w:r>
      <w:proofErr w:type="spellStart"/>
      <w:r w:rsidR="000F3A24">
        <w:rPr>
          <w:color w:val="333333"/>
          <w:sz w:val="24"/>
          <w:szCs w:val="24"/>
        </w:rPr>
        <w:t>Licitra</w:t>
      </w:r>
      <w:proofErr w:type="spellEnd"/>
      <w:r w:rsidR="000F3A24">
        <w:rPr>
          <w:color w:val="333333"/>
          <w:sz w:val="24"/>
          <w:szCs w:val="24"/>
        </w:rPr>
        <w:t xml:space="preserve"> was indeed the customer and </w:t>
      </w:r>
      <w:r w:rsidR="00A26883">
        <w:rPr>
          <w:color w:val="333333"/>
          <w:sz w:val="24"/>
          <w:szCs w:val="24"/>
        </w:rPr>
        <w:t>was paying for Anthony Wilson’s service to the upper apartment</w:t>
      </w:r>
      <w:r w:rsidR="00FE4B07">
        <w:rPr>
          <w:color w:val="333333"/>
          <w:sz w:val="24"/>
          <w:szCs w:val="24"/>
        </w:rPr>
        <w:t xml:space="preserve">.  </w:t>
      </w:r>
      <w:r w:rsidR="00A26883">
        <w:rPr>
          <w:color w:val="333333"/>
          <w:sz w:val="24"/>
          <w:szCs w:val="24"/>
        </w:rPr>
        <w:t>T</w:t>
      </w:r>
      <w:r w:rsidR="000F3A24">
        <w:rPr>
          <w:color w:val="333333"/>
          <w:sz w:val="24"/>
          <w:szCs w:val="24"/>
        </w:rPr>
        <w:t xml:space="preserve">herefore, PPL was correct in its understanding that “a tenant is being billed for utility service that is not solely related to utility services to the tenant.”  </w:t>
      </w:r>
      <w:proofErr w:type="spellStart"/>
      <w:r w:rsidR="000F3A24" w:rsidRPr="000F3A24">
        <w:rPr>
          <w:i/>
          <w:color w:val="333333"/>
          <w:sz w:val="24"/>
          <w:szCs w:val="24"/>
        </w:rPr>
        <w:t>Sobota</w:t>
      </w:r>
      <w:proofErr w:type="spellEnd"/>
      <w:r w:rsidR="00D404FE">
        <w:rPr>
          <w:i/>
          <w:color w:val="333333"/>
          <w:sz w:val="24"/>
          <w:szCs w:val="24"/>
        </w:rPr>
        <w:t xml:space="preserve">.  </w:t>
      </w:r>
      <w:r w:rsidR="00765A31" w:rsidRPr="00765A31">
        <w:rPr>
          <w:color w:val="333333"/>
          <w:sz w:val="24"/>
          <w:szCs w:val="24"/>
        </w:rPr>
        <w:t>P</w:t>
      </w:r>
      <w:r w:rsidR="00EB10DA">
        <w:rPr>
          <w:color w:val="333333"/>
          <w:sz w:val="24"/>
          <w:szCs w:val="24"/>
        </w:rPr>
        <w:t xml:space="preserve">PL </w:t>
      </w:r>
      <w:r w:rsidR="00765A31">
        <w:rPr>
          <w:color w:val="333333"/>
          <w:sz w:val="24"/>
          <w:szCs w:val="24"/>
        </w:rPr>
        <w:t>did not err</w:t>
      </w:r>
      <w:r w:rsidR="00EB10DA">
        <w:rPr>
          <w:color w:val="333333"/>
          <w:sz w:val="24"/>
          <w:szCs w:val="24"/>
        </w:rPr>
        <w:t xml:space="preserve"> in determining that there was foreign load.  Based upon what they were told by Mary </w:t>
      </w:r>
      <w:proofErr w:type="spellStart"/>
      <w:r w:rsidR="00EB10DA">
        <w:rPr>
          <w:color w:val="333333"/>
          <w:sz w:val="24"/>
          <w:szCs w:val="24"/>
        </w:rPr>
        <w:t>Licitra</w:t>
      </w:r>
      <w:proofErr w:type="spellEnd"/>
      <w:r w:rsidR="00EB10DA">
        <w:rPr>
          <w:color w:val="333333"/>
          <w:sz w:val="24"/>
          <w:szCs w:val="24"/>
        </w:rPr>
        <w:t xml:space="preserve">, </w:t>
      </w:r>
      <w:r w:rsidR="00D404FE">
        <w:rPr>
          <w:color w:val="333333"/>
          <w:sz w:val="24"/>
          <w:szCs w:val="24"/>
        </w:rPr>
        <w:t xml:space="preserve">and </w:t>
      </w:r>
      <w:r w:rsidR="00765A31">
        <w:rPr>
          <w:color w:val="333333"/>
          <w:sz w:val="24"/>
          <w:szCs w:val="24"/>
        </w:rPr>
        <w:t>PPL’s</w:t>
      </w:r>
      <w:r w:rsidR="00D404FE">
        <w:rPr>
          <w:color w:val="333333"/>
          <w:sz w:val="24"/>
          <w:szCs w:val="24"/>
        </w:rPr>
        <w:t xml:space="preserve"> </w:t>
      </w:r>
      <w:r w:rsidR="00A26883">
        <w:rPr>
          <w:color w:val="333333"/>
          <w:sz w:val="24"/>
          <w:szCs w:val="24"/>
        </w:rPr>
        <w:t>investigation at</w:t>
      </w:r>
      <w:r w:rsidR="00D404FE">
        <w:rPr>
          <w:color w:val="333333"/>
          <w:sz w:val="24"/>
          <w:szCs w:val="24"/>
        </w:rPr>
        <w:t xml:space="preserve"> the home, </w:t>
      </w:r>
      <w:r w:rsidR="00765A31">
        <w:rPr>
          <w:color w:val="333333"/>
          <w:sz w:val="24"/>
          <w:szCs w:val="24"/>
        </w:rPr>
        <w:t xml:space="preserve">PPL correctly concluded that there was </w:t>
      </w:r>
      <w:r w:rsidR="00EB10DA">
        <w:rPr>
          <w:color w:val="333333"/>
          <w:sz w:val="24"/>
          <w:szCs w:val="24"/>
        </w:rPr>
        <w:t xml:space="preserve">foreign load.  </w:t>
      </w:r>
      <w:r w:rsidR="00480F96">
        <w:rPr>
          <w:color w:val="333333"/>
          <w:sz w:val="24"/>
          <w:szCs w:val="24"/>
        </w:rPr>
        <w:t xml:space="preserve">I.e., there was a “residential building” with “one or more dwelling units” “not individually metered.”  66 Pa. C.S. § 1529.1.  </w:t>
      </w:r>
      <w:r w:rsidR="00FE4687">
        <w:rPr>
          <w:color w:val="333333"/>
          <w:sz w:val="24"/>
          <w:szCs w:val="24"/>
        </w:rPr>
        <w:t xml:space="preserve">See </w:t>
      </w:r>
      <w:r w:rsidR="00FE4687" w:rsidRPr="00FE4687">
        <w:rPr>
          <w:i/>
          <w:color w:val="333333"/>
          <w:sz w:val="24"/>
          <w:szCs w:val="24"/>
        </w:rPr>
        <w:t xml:space="preserve">Edmund </w:t>
      </w:r>
      <w:proofErr w:type="spellStart"/>
      <w:r w:rsidR="00FE4687" w:rsidRPr="00FE4687">
        <w:rPr>
          <w:i/>
          <w:color w:val="333333"/>
          <w:sz w:val="24"/>
          <w:szCs w:val="24"/>
        </w:rPr>
        <w:t>Corazzini</w:t>
      </w:r>
      <w:proofErr w:type="spellEnd"/>
      <w:r w:rsidR="00FE4687" w:rsidRPr="00FE4687">
        <w:rPr>
          <w:i/>
          <w:color w:val="333333"/>
          <w:sz w:val="24"/>
          <w:szCs w:val="24"/>
        </w:rPr>
        <w:t xml:space="preserve"> v. UGI, Penn Natural Gas</w:t>
      </w:r>
      <w:r w:rsidR="00FE4687">
        <w:rPr>
          <w:color w:val="333333"/>
          <w:sz w:val="24"/>
          <w:szCs w:val="24"/>
        </w:rPr>
        <w:t>, Inc., (Order entered July 15, 2010), where the landlord rented to one tenant upstairs and one tenant downstairs.  It was found that one tenant was paying a portion of the other’s gas bill and the bill was put into the landlord</w:t>
      </w:r>
      <w:r w:rsidR="008B3FB1">
        <w:rPr>
          <w:color w:val="333333"/>
          <w:sz w:val="24"/>
          <w:szCs w:val="24"/>
        </w:rPr>
        <w:t>’</w:t>
      </w:r>
      <w:r w:rsidR="00FE4687">
        <w:rPr>
          <w:color w:val="333333"/>
          <w:sz w:val="24"/>
          <w:szCs w:val="24"/>
        </w:rPr>
        <w:t xml:space="preserve">s name pursuant to 66 Pa. C.S. § 1529.1. </w:t>
      </w:r>
    </w:p>
    <w:p w:rsidR="00FE4687" w:rsidRDefault="00FE4687" w:rsidP="00EB10DA">
      <w:pPr>
        <w:spacing w:line="360" w:lineRule="auto"/>
        <w:ind w:firstLine="1440"/>
        <w:rPr>
          <w:color w:val="333333"/>
          <w:sz w:val="24"/>
          <w:szCs w:val="24"/>
        </w:rPr>
      </w:pPr>
    </w:p>
    <w:p w:rsidR="00EB10DA" w:rsidRDefault="00FE4687" w:rsidP="00EB10DA">
      <w:pPr>
        <w:spacing w:line="360" w:lineRule="auto"/>
        <w:ind w:firstLine="1440"/>
        <w:rPr>
          <w:color w:val="333333"/>
          <w:sz w:val="24"/>
          <w:szCs w:val="24"/>
        </w:rPr>
      </w:pPr>
      <w:r>
        <w:rPr>
          <w:color w:val="333333"/>
          <w:sz w:val="24"/>
          <w:szCs w:val="24"/>
        </w:rPr>
        <w:t>In this case, the</w:t>
      </w:r>
      <w:r w:rsidR="000F3A24">
        <w:rPr>
          <w:color w:val="333333"/>
          <w:sz w:val="24"/>
          <w:szCs w:val="24"/>
        </w:rPr>
        <w:t xml:space="preserve"> Complainant wants the </w:t>
      </w:r>
      <w:r w:rsidR="00EB10DA">
        <w:rPr>
          <w:color w:val="333333"/>
          <w:sz w:val="24"/>
          <w:szCs w:val="24"/>
        </w:rPr>
        <w:t xml:space="preserve">outstanding </w:t>
      </w:r>
      <w:r w:rsidR="000F3A24">
        <w:rPr>
          <w:color w:val="333333"/>
          <w:sz w:val="24"/>
          <w:szCs w:val="24"/>
        </w:rPr>
        <w:t xml:space="preserve">bill put </w:t>
      </w:r>
      <w:r w:rsidR="00EB10DA">
        <w:rPr>
          <w:color w:val="333333"/>
          <w:sz w:val="24"/>
          <w:szCs w:val="24"/>
        </w:rPr>
        <w:t xml:space="preserve">back </w:t>
      </w:r>
      <w:r w:rsidR="000F3A24">
        <w:rPr>
          <w:color w:val="333333"/>
          <w:sz w:val="24"/>
          <w:szCs w:val="24"/>
        </w:rPr>
        <w:t xml:space="preserve">into Mary </w:t>
      </w:r>
      <w:proofErr w:type="spellStart"/>
      <w:r w:rsidR="000F3A24">
        <w:rPr>
          <w:color w:val="333333"/>
          <w:sz w:val="24"/>
          <w:szCs w:val="24"/>
        </w:rPr>
        <w:t>Licitra’s</w:t>
      </w:r>
      <w:proofErr w:type="spellEnd"/>
      <w:r w:rsidR="000F3A24">
        <w:rPr>
          <w:color w:val="333333"/>
          <w:sz w:val="24"/>
          <w:szCs w:val="24"/>
        </w:rPr>
        <w:t xml:space="preserve"> name.</w:t>
      </w:r>
      <w:r w:rsidR="00EB10DA">
        <w:rPr>
          <w:color w:val="333333"/>
          <w:sz w:val="24"/>
          <w:szCs w:val="24"/>
        </w:rPr>
        <w:t xml:space="preserve">  That is not possibl</w:t>
      </w:r>
      <w:r w:rsidR="006D1810">
        <w:rPr>
          <w:color w:val="333333"/>
          <w:sz w:val="24"/>
          <w:szCs w:val="24"/>
        </w:rPr>
        <w:t xml:space="preserve">e under the Public Utility Code and </w:t>
      </w:r>
      <w:r w:rsidR="006D1810" w:rsidRPr="006D1810">
        <w:rPr>
          <w:i/>
          <w:color w:val="333333"/>
          <w:sz w:val="24"/>
          <w:szCs w:val="24"/>
        </w:rPr>
        <w:t>Ace Check Cashing, Inc.</w:t>
      </w:r>
      <w:r w:rsidR="006D1810">
        <w:rPr>
          <w:color w:val="333333"/>
          <w:sz w:val="24"/>
          <w:szCs w:val="24"/>
        </w:rPr>
        <w:t xml:space="preserve"> </w:t>
      </w:r>
      <w:r w:rsidR="00765A31">
        <w:rPr>
          <w:color w:val="333333"/>
          <w:sz w:val="24"/>
          <w:szCs w:val="24"/>
        </w:rPr>
        <w:t xml:space="preserve">v. </w:t>
      </w:r>
      <w:r w:rsidR="00765A31" w:rsidRPr="00765A31">
        <w:rPr>
          <w:i/>
          <w:iCs/>
          <w:sz w:val="24"/>
          <w:szCs w:val="24"/>
        </w:rPr>
        <w:t>Philadelphia Gas Works, Eddie and Jennifer West</w:t>
      </w:r>
      <w:r w:rsidR="00765A31">
        <w:t xml:space="preserve">, </w:t>
      </w:r>
      <w:r w:rsidR="006D1810">
        <w:rPr>
          <w:color w:val="333333"/>
          <w:sz w:val="24"/>
          <w:szCs w:val="24"/>
        </w:rPr>
        <w:t xml:space="preserve">Docket No C-2008-2056428, </w:t>
      </w:r>
      <w:r>
        <w:rPr>
          <w:color w:val="333333"/>
          <w:sz w:val="24"/>
          <w:szCs w:val="24"/>
        </w:rPr>
        <w:t>(</w:t>
      </w:r>
      <w:r w:rsidR="006D1810">
        <w:rPr>
          <w:color w:val="333333"/>
          <w:sz w:val="24"/>
          <w:szCs w:val="24"/>
        </w:rPr>
        <w:t>Order entered April 22, 1010</w:t>
      </w:r>
      <w:r>
        <w:rPr>
          <w:color w:val="333333"/>
          <w:sz w:val="24"/>
          <w:szCs w:val="24"/>
        </w:rPr>
        <w:t>)</w:t>
      </w:r>
      <w:r w:rsidR="006D1810">
        <w:rPr>
          <w:color w:val="333333"/>
          <w:sz w:val="24"/>
          <w:szCs w:val="24"/>
        </w:rPr>
        <w:t>.</w:t>
      </w:r>
      <w:r w:rsidR="00EB10DA">
        <w:rPr>
          <w:color w:val="333333"/>
          <w:sz w:val="24"/>
          <w:szCs w:val="24"/>
        </w:rPr>
        <w:t xml:space="preserve"> </w:t>
      </w:r>
    </w:p>
    <w:p w:rsidR="00EB10DA" w:rsidRDefault="00EB10DA" w:rsidP="00EB10DA">
      <w:pPr>
        <w:spacing w:line="360" w:lineRule="auto"/>
        <w:ind w:firstLine="1440"/>
        <w:rPr>
          <w:color w:val="333333"/>
          <w:sz w:val="24"/>
          <w:szCs w:val="24"/>
        </w:rPr>
      </w:pPr>
    </w:p>
    <w:p w:rsidR="00EB10DA" w:rsidRPr="009B3E34" w:rsidRDefault="00EB10DA" w:rsidP="00EB10DA">
      <w:pPr>
        <w:spacing w:line="360" w:lineRule="auto"/>
        <w:ind w:firstLine="1440"/>
        <w:rPr>
          <w:sz w:val="24"/>
          <w:szCs w:val="24"/>
        </w:rPr>
      </w:pPr>
      <w:r w:rsidRPr="009B3E34">
        <w:rPr>
          <w:sz w:val="24"/>
          <w:szCs w:val="24"/>
        </w:rPr>
        <w:t>In 1993, the Public Utility Code was am</w:t>
      </w:r>
      <w:r w:rsidR="00165B49">
        <w:rPr>
          <w:sz w:val="24"/>
          <w:szCs w:val="24"/>
        </w:rPr>
        <w:t xml:space="preserve">ended to include Section 1529.1. </w:t>
      </w:r>
      <w:r w:rsidRPr="009B3E34">
        <w:rPr>
          <w:sz w:val="24"/>
          <w:szCs w:val="24"/>
        </w:rPr>
        <w:t xml:space="preserve"> 66 Pa. C.S. § 1529.1.</w:t>
      </w:r>
      <w:r>
        <w:rPr>
          <w:sz w:val="24"/>
          <w:szCs w:val="24"/>
        </w:rPr>
        <w:t xml:space="preserve"> </w:t>
      </w:r>
      <w:r w:rsidRPr="009B3E34">
        <w:rPr>
          <w:sz w:val="24"/>
          <w:szCs w:val="24"/>
        </w:rPr>
        <w:t xml:space="preserve"> This Section transfers the responsibility for </w:t>
      </w:r>
      <w:r w:rsidRPr="009B3E34">
        <w:rPr>
          <w:rStyle w:val="term1"/>
          <w:b w:val="0"/>
          <w:sz w:val="24"/>
          <w:szCs w:val="24"/>
        </w:rPr>
        <w:t>foreign load</w:t>
      </w:r>
      <w:r w:rsidRPr="009B3E34">
        <w:rPr>
          <w:sz w:val="24"/>
          <w:szCs w:val="24"/>
        </w:rPr>
        <w:t xml:space="preserve"> from the tenant to the building owner. </w:t>
      </w:r>
      <w:r>
        <w:rPr>
          <w:sz w:val="24"/>
          <w:szCs w:val="24"/>
        </w:rPr>
        <w:t xml:space="preserve"> </w:t>
      </w:r>
      <w:r w:rsidRPr="009B3E34">
        <w:rPr>
          <w:sz w:val="24"/>
          <w:szCs w:val="24"/>
        </w:rPr>
        <w:t xml:space="preserve">This is accomplished by placing a duty on the building owner to disclose to the utility the existence of </w:t>
      </w:r>
      <w:r w:rsidRPr="009B3E34">
        <w:rPr>
          <w:rStyle w:val="term1"/>
          <w:b w:val="0"/>
          <w:sz w:val="24"/>
          <w:szCs w:val="24"/>
        </w:rPr>
        <w:t>foreign load</w:t>
      </w:r>
      <w:r w:rsidRPr="009B3E34">
        <w:rPr>
          <w:rStyle w:val="term1"/>
          <w:sz w:val="24"/>
          <w:szCs w:val="24"/>
        </w:rPr>
        <w:t>.</w:t>
      </w:r>
      <w:r>
        <w:rPr>
          <w:rStyle w:val="term1"/>
          <w:sz w:val="24"/>
          <w:szCs w:val="24"/>
        </w:rPr>
        <w:t xml:space="preserve"> </w:t>
      </w:r>
      <w:r w:rsidRPr="009B3E34">
        <w:rPr>
          <w:sz w:val="24"/>
          <w:szCs w:val="24"/>
        </w:rPr>
        <w:t xml:space="preserve"> </w:t>
      </w:r>
      <w:r>
        <w:rPr>
          <w:sz w:val="24"/>
          <w:szCs w:val="24"/>
        </w:rPr>
        <w:t>The</w:t>
      </w:r>
      <w:r w:rsidRPr="009B3E34">
        <w:rPr>
          <w:sz w:val="24"/>
          <w:szCs w:val="24"/>
        </w:rPr>
        <w:t xml:space="preserve"> building owner is </w:t>
      </w:r>
      <w:r>
        <w:rPr>
          <w:sz w:val="24"/>
          <w:szCs w:val="24"/>
        </w:rPr>
        <w:t xml:space="preserve">considered to be </w:t>
      </w:r>
      <w:r w:rsidRPr="009B3E34">
        <w:rPr>
          <w:sz w:val="24"/>
          <w:szCs w:val="24"/>
        </w:rPr>
        <w:t xml:space="preserve">in a better position to know about the existence of a </w:t>
      </w:r>
      <w:r w:rsidRPr="009B3E34">
        <w:rPr>
          <w:rStyle w:val="term1"/>
          <w:b w:val="0"/>
          <w:sz w:val="24"/>
          <w:szCs w:val="24"/>
        </w:rPr>
        <w:t>foreign load</w:t>
      </w:r>
      <w:r w:rsidRPr="009B3E34">
        <w:rPr>
          <w:sz w:val="24"/>
          <w:szCs w:val="24"/>
        </w:rPr>
        <w:t xml:space="preserve"> situation than a tenant.</w:t>
      </w:r>
    </w:p>
    <w:p w:rsidR="00EB10DA" w:rsidRDefault="00EB10DA" w:rsidP="00EB10DA">
      <w:pPr>
        <w:rPr>
          <w:rFonts w:ascii="Verdana" w:hAnsi="Verdana"/>
          <w:szCs w:val="20"/>
        </w:rPr>
      </w:pPr>
    </w:p>
    <w:p w:rsidR="00EB10DA" w:rsidRPr="00A54658" w:rsidRDefault="00EB10DA" w:rsidP="00EB10DA">
      <w:pPr>
        <w:rPr>
          <w:sz w:val="24"/>
          <w:szCs w:val="24"/>
        </w:rPr>
      </w:pPr>
      <w:r w:rsidRPr="00A54658">
        <w:rPr>
          <w:sz w:val="24"/>
          <w:szCs w:val="24"/>
        </w:rPr>
        <w:t xml:space="preserve">Section 1529.1 of the Public Utility Code, 66 </w:t>
      </w:r>
      <w:smartTag w:uri="urn:schemas-microsoft-com:office:smarttags" w:element="State">
        <w:smartTag w:uri="urn:schemas-microsoft-com:office:smarttags" w:element="place">
          <w:r w:rsidRPr="00A54658">
            <w:rPr>
              <w:sz w:val="24"/>
              <w:szCs w:val="24"/>
            </w:rPr>
            <w:t>Pa.</w:t>
          </w:r>
        </w:smartTag>
      </w:smartTag>
      <w:r w:rsidRPr="00A54658">
        <w:rPr>
          <w:sz w:val="24"/>
          <w:szCs w:val="24"/>
        </w:rPr>
        <w:t xml:space="preserve"> C. S. § 1529.1, reads as follows: </w:t>
      </w:r>
    </w:p>
    <w:p w:rsidR="00EB10DA" w:rsidRPr="00A54658" w:rsidRDefault="00EB10DA" w:rsidP="00EB10DA">
      <w:pPr>
        <w:pStyle w:val="FootnoteText"/>
        <w:rPr>
          <w:sz w:val="24"/>
          <w:szCs w:val="24"/>
        </w:rPr>
      </w:pPr>
    </w:p>
    <w:p w:rsidR="008B3FB1" w:rsidRDefault="00EB10DA" w:rsidP="008B3FB1">
      <w:pPr>
        <w:ind w:left="720" w:right="720"/>
        <w:rPr>
          <w:sz w:val="24"/>
          <w:szCs w:val="24"/>
        </w:rPr>
      </w:pPr>
      <w:r w:rsidRPr="00A54658">
        <w:rPr>
          <w:bCs/>
          <w:sz w:val="24"/>
          <w:szCs w:val="24"/>
        </w:rPr>
        <w:t xml:space="preserve">§ 1529.1. </w:t>
      </w:r>
      <w:r>
        <w:rPr>
          <w:bCs/>
          <w:sz w:val="24"/>
          <w:szCs w:val="24"/>
        </w:rPr>
        <w:t xml:space="preserve"> </w:t>
      </w:r>
      <w:r w:rsidRPr="00A54658">
        <w:rPr>
          <w:bCs/>
          <w:sz w:val="24"/>
          <w:szCs w:val="24"/>
        </w:rPr>
        <w:t>Duty of owners of rental property</w:t>
      </w:r>
    </w:p>
    <w:p w:rsidR="00EB10DA" w:rsidRDefault="00EB10DA" w:rsidP="008B3FB1">
      <w:pPr>
        <w:ind w:left="720" w:right="720"/>
        <w:rPr>
          <w:sz w:val="24"/>
          <w:szCs w:val="24"/>
        </w:rPr>
      </w:pPr>
      <w:r w:rsidRPr="00A54658">
        <w:rPr>
          <w:sz w:val="24"/>
          <w:szCs w:val="24"/>
        </w:rPr>
        <w:t> </w:t>
      </w:r>
      <w:r w:rsidRPr="00A54658">
        <w:rPr>
          <w:sz w:val="24"/>
          <w:szCs w:val="24"/>
        </w:rPr>
        <w:br/>
      </w:r>
      <w:r w:rsidRPr="00A54658">
        <w:rPr>
          <w:bCs/>
          <w:sz w:val="24"/>
          <w:szCs w:val="24"/>
        </w:rPr>
        <w:t>(a) Notice to public utility.</w:t>
      </w:r>
      <w:r w:rsidRPr="00A54658">
        <w:rPr>
          <w:sz w:val="24"/>
          <w:szCs w:val="24"/>
        </w:rPr>
        <w:t xml:space="preserve"> - </w:t>
      </w:r>
      <w:r w:rsidRPr="00EB10DA">
        <w:rPr>
          <w:b/>
          <w:sz w:val="24"/>
          <w:szCs w:val="24"/>
        </w:rPr>
        <w:t>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r w:rsidRPr="00EB10DA">
        <w:rPr>
          <w:b/>
          <w:sz w:val="24"/>
          <w:szCs w:val="24"/>
        </w:rPr>
        <w:br/>
      </w:r>
      <w:r w:rsidRPr="00EB10DA">
        <w:rPr>
          <w:b/>
          <w:sz w:val="24"/>
          <w:szCs w:val="24"/>
        </w:rPr>
        <w:br/>
      </w:r>
      <w:r w:rsidRPr="00A54658">
        <w:rPr>
          <w:bCs/>
          <w:sz w:val="24"/>
          <w:szCs w:val="24"/>
        </w:rPr>
        <w:t>(b) History of account.</w:t>
      </w:r>
      <w:r w:rsidRPr="00A54658">
        <w:rPr>
          <w:sz w:val="24"/>
          <w:szCs w:val="24"/>
        </w:rPr>
        <w:t xml:space="preserve"> </w:t>
      </w:r>
      <w:r>
        <w:rPr>
          <w:sz w:val="24"/>
          <w:szCs w:val="24"/>
        </w:rPr>
        <w:t xml:space="preserve"> </w:t>
      </w:r>
      <w:r w:rsidRPr="00A54658">
        <w:rPr>
          <w:sz w:val="24"/>
          <w:szCs w:val="24"/>
        </w:rPr>
        <w:t>-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w:t>
      </w:r>
      <w:r>
        <w:rPr>
          <w:sz w:val="24"/>
          <w:szCs w:val="24"/>
        </w:rPr>
        <w:t>lity services to the premises.</w:t>
      </w:r>
      <w:r>
        <w:rPr>
          <w:sz w:val="24"/>
          <w:szCs w:val="24"/>
        </w:rPr>
        <w:br/>
      </w:r>
      <w:r w:rsidRPr="00A54658">
        <w:rPr>
          <w:sz w:val="24"/>
          <w:szCs w:val="24"/>
        </w:rPr>
        <w:br/>
      </w:r>
      <w:r w:rsidRPr="00A54658">
        <w:rPr>
          <w:bCs/>
          <w:sz w:val="24"/>
          <w:szCs w:val="24"/>
        </w:rPr>
        <w:t>(c) Failure to give notice.</w:t>
      </w:r>
      <w:r>
        <w:rPr>
          <w:bCs/>
          <w:sz w:val="24"/>
          <w:szCs w:val="24"/>
        </w:rPr>
        <w:t xml:space="preserve"> </w:t>
      </w:r>
      <w:r w:rsidRPr="00A54658">
        <w:rPr>
          <w:sz w:val="24"/>
          <w:szCs w:val="24"/>
        </w:rPr>
        <w:t xml:space="preserve"> - </w:t>
      </w:r>
      <w:r w:rsidRPr="00EB10DA">
        <w:rPr>
          <w:b/>
          <w:sz w:val="24"/>
          <w:szCs w:val="24"/>
        </w:rPr>
        <w:t>Any owner of a residential building or mobile home park failing to notify affected public utilities as required by this section shall nonetheless be responsible for payment of the utility services as if the required notice had been given.</w:t>
      </w:r>
      <w:r>
        <w:rPr>
          <w:b/>
          <w:sz w:val="24"/>
          <w:szCs w:val="24"/>
        </w:rPr>
        <w:t xml:space="preserve">  </w:t>
      </w:r>
      <w:r>
        <w:rPr>
          <w:sz w:val="24"/>
          <w:szCs w:val="24"/>
        </w:rPr>
        <w:t>66 Pa. C.S. § 1529.1 (Emphasis added.)</w:t>
      </w:r>
    </w:p>
    <w:p w:rsidR="00EB10DA" w:rsidRDefault="00EB10DA" w:rsidP="00C8738A">
      <w:pPr>
        <w:spacing w:line="360" w:lineRule="auto"/>
        <w:ind w:firstLine="1440"/>
        <w:rPr>
          <w:sz w:val="24"/>
          <w:szCs w:val="24"/>
        </w:rPr>
      </w:pPr>
      <w:r w:rsidRPr="00690EAE">
        <w:rPr>
          <w:sz w:val="24"/>
          <w:szCs w:val="24"/>
        </w:rPr>
        <w:t>The Commission has clearly established that the presence of "foreign load" prevents a dwelling unit from being deemed "individually metered" as that term is used in 66 Pa.</w:t>
      </w:r>
      <w:r>
        <w:rPr>
          <w:sz w:val="24"/>
          <w:szCs w:val="24"/>
        </w:rPr>
        <w:t xml:space="preserve"> </w:t>
      </w:r>
      <w:r w:rsidRPr="00690EAE">
        <w:rPr>
          <w:sz w:val="24"/>
          <w:szCs w:val="24"/>
        </w:rPr>
        <w:t>C.</w:t>
      </w:r>
      <w:r>
        <w:rPr>
          <w:sz w:val="24"/>
          <w:szCs w:val="24"/>
        </w:rPr>
        <w:t xml:space="preserve"> </w:t>
      </w:r>
      <w:r w:rsidRPr="00690EAE">
        <w:rPr>
          <w:sz w:val="24"/>
          <w:szCs w:val="24"/>
        </w:rPr>
        <w:t>S. § 1529.1.</w:t>
      </w:r>
      <w:r>
        <w:rPr>
          <w:sz w:val="24"/>
          <w:szCs w:val="24"/>
        </w:rPr>
        <w:t xml:space="preserve"> </w:t>
      </w:r>
      <w:r w:rsidRPr="00690EAE">
        <w:rPr>
          <w:sz w:val="24"/>
          <w:szCs w:val="24"/>
        </w:rPr>
        <w:t xml:space="preserve"> </w:t>
      </w:r>
      <w:r w:rsidRPr="00165B49">
        <w:rPr>
          <w:i/>
          <w:sz w:val="24"/>
          <w:szCs w:val="24"/>
        </w:rPr>
        <w:t>David P. Boyce v. Duquesne Light Company</w:t>
      </w:r>
      <w:r w:rsidRPr="00690EAE">
        <w:rPr>
          <w:sz w:val="24"/>
          <w:szCs w:val="24"/>
        </w:rPr>
        <w:t xml:space="preserve">, Docket Number Z-00223698, Opinion and Order adopted June 30, 1994, entered September 1, </w:t>
      </w:r>
      <w:r w:rsidR="00F1030D" w:rsidRPr="00690EAE">
        <w:rPr>
          <w:sz w:val="24"/>
          <w:szCs w:val="24"/>
        </w:rPr>
        <w:t>1994;</w:t>
      </w:r>
      <w:r w:rsidRPr="00690EAE">
        <w:rPr>
          <w:sz w:val="24"/>
          <w:szCs w:val="24"/>
        </w:rPr>
        <w:t xml:space="preserve"> </w:t>
      </w:r>
      <w:r w:rsidRPr="00165B49">
        <w:rPr>
          <w:i/>
          <w:sz w:val="24"/>
          <w:szCs w:val="24"/>
        </w:rPr>
        <w:t xml:space="preserve">Elizabeth </w:t>
      </w:r>
      <w:r w:rsidRPr="00165B49">
        <w:rPr>
          <w:rStyle w:val="term1"/>
          <w:b w:val="0"/>
          <w:i/>
          <w:sz w:val="24"/>
          <w:szCs w:val="24"/>
        </w:rPr>
        <w:t>Santos</w:t>
      </w:r>
      <w:r w:rsidRPr="00165B49">
        <w:rPr>
          <w:i/>
          <w:sz w:val="24"/>
          <w:szCs w:val="24"/>
        </w:rPr>
        <w:t xml:space="preserve"> v. Metropolitan Edison Company</w:t>
      </w:r>
      <w:r w:rsidRPr="00690EAE">
        <w:rPr>
          <w:sz w:val="24"/>
          <w:szCs w:val="24"/>
        </w:rPr>
        <w:t xml:space="preserve">, Docket Number C-00967757, Opinion and Order adopted July 10, 1997, entered August 7, 1997. </w:t>
      </w:r>
      <w:r w:rsidR="00F1030D">
        <w:rPr>
          <w:sz w:val="24"/>
          <w:szCs w:val="24"/>
        </w:rPr>
        <w:t xml:space="preserve"> As described earlier, </w:t>
      </w:r>
      <w:r w:rsidRPr="00690EAE">
        <w:rPr>
          <w:sz w:val="24"/>
          <w:szCs w:val="24"/>
        </w:rPr>
        <w:t>"</w:t>
      </w:r>
      <w:r w:rsidR="00F1030D">
        <w:rPr>
          <w:sz w:val="24"/>
          <w:szCs w:val="24"/>
        </w:rPr>
        <w:t>f</w:t>
      </w:r>
      <w:r w:rsidRPr="00690EAE">
        <w:rPr>
          <w:sz w:val="24"/>
          <w:szCs w:val="24"/>
        </w:rPr>
        <w:t xml:space="preserve">oreign load" exists where </w:t>
      </w:r>
      <w:r w:rsidR="00F1030D">
        <w:rPr>
          <w:sz w:val="24"/>
          <w:szCs w:val="24"/>
        </w:rPr>
        <w:t xml:space="preserve">a </w:t>
      </w:r>
      <w:r w:rsidRPr="00690EAE">
        <w:rPr>
          <w:sz w:val="24"/>
          <w:szCs w:val="24"/>
        </w:rPr>
        <w:t>tenant ha</w:t>
      </w:r>
      <w:r w:rsidR="00F1030D">
        <w:rPr>
          <w:sz w:val="24"/>
          <w:szCs w:val="24"/>
        </w:rPr>
        <w:t>s</w:t>
      </w:r>
      <w:r w:rsidRPr="00690EAE">
        <w:rPr>
          <w:sz w:val="24"/>
          <w:szCs w:val="24"/>
        </w:rPr>
        <w:t xml:space="preserve"> a meter and </w:t>
      </w:r>
      <w:r w:rsidR="008B3FB1">
        <w:rPr>
          <w:sz w:val="24"/>
          <w:szCs w:val="24"/>
        </w:rPr>
        <w:t>is a direct utility customer</w:t>
      </w:r>
      <w:r w:rsidRPr="00690EAE">
        <w:rPr>
          <w:sz w:val="24"/>
          <w:szCs w:val="24"/>
        </w:rPr>
        <w:t xml:space="preserve"> and utility service for other tenants or for the landlord is being billed through </w:t>
      </w:r>
      <w:r w:rsidR="008B3FB1">
        <w:rPr>
          <w:sz w:val="24"/>
          <w:szCs w:val="24"/>
        </w:rPr>
        <w:t>his</w:t>
      </w:r>
      <w:r w:rsidRPr="00690EAE">
        <w:rPr>
          <w:sz w:val="24"/>
          <w:szCs w:val="24"/>
        </w:rPr>
        <w:t xml:space="preserve"> meter. </w:t>
      </w:r>
      <w:r>
        <w:rPr>
          <w:sz w:val="24"/>
          <w:szCs w:val="24"/>
        </w:rPr>
        <w:t xml:space="preserve"> </w:t>
      </w:r>
      <w:r w:rsidRPr="00165B49">
        <w:rPr>
          <w:i/>
          <w:sz w:val="24"/>
          <w:szCs w:val="24"/>
        </w:rPr>
        <w:t>Boyce</w:t>
      </w:r>
      <w:r w:rsidRPr="00690EAE">
        <w:rPr>
          <w:sz w:val="24"/>
          <w:szCs w:val="24"/>
        </w:rPr>
        <w:t xml:space="preserve"> at 4-5. </w:t>
      </w:r>
      <w:r>
        <w:rPr>
          <w:sz w:val="24"/>
          <w:szCs w:val="24"/>
        </w:rPr>
        <w:t xml:space="preserve"> </w:t>
      </w:r>
      <w:r w:rsidRPr="00690EAE">
        <w:rPr>
          <w:sz w:val="24"/>
          <w:szCs w:val="24"/>
        </w:rPr>
        <w:t xml:space="preserve">In other words, "foreign load" is utility service which is not related to serving a tenant, but for which the tenant is being billed. </w:t>
      </w:r>
      <w:r>
        <w:rPr>
          <w:sz w:val="24"/>
          <w:szCs w:val="24"/>
        </w:rPr>
        <w:t xml:space="preserve"> </w:t>
      </w:r>
      <w:r w:rsidRPr="00165B49">
        <w:rPr>
          <w:rStyle w:val="term1"/>
          <w:b w:val="0"/>
          <w:i/>
          <w:sz w:val="24"/>
          <w:szCs w:val="24"/>
        </w:rPr>
        <w:t>Santos</w:t>
      </w:r>
      <w:r w:rsidRPr="00690EAE">
        <w:rPr>
          <w:sz w:val="24"/>
          <w:szCs w:val="24"/>
        </w:rPr>
        <w:t xml:space="preserve"> at 4. </w:t>
      </w:r>
      <w:r>
        <w:rPr>
          <w:sz w:val="24"/>
          <w:szCs w:val="24"/>
        </w:rPr>
        <w:t xml:space="preserve"> </w:t>
      </w:r>
      <w:r w:rsidRPr="00690EAE">
        <w:rPr>
          <w:sz w:val="24"/>
          <w:szCs w:val="24"/>
        </w:rPr>
        <w:t xml:space="preserve">Section 1529.1 of the Public Utility Code, 66 </w:t>
      </w:r>
      <w:smartTag w:uri="urn:schemas-microsoft-com:office:smarttags" w:element="place">
        <w:smartTag w:uri="urn:schemas-microsoft-com:office:smarttags" w:element="State">
          <w:r w:rsidRPr="00690EAE">
            <w:rPr>
              <w:sz w:val="24"/>
              <w:szCs w:val="24"/>
            </w:rPr>
            <w:t>Pa.</w:t>
          </w:r>
        </w:smartTag>
      </w:smartTag>
      <w:r>
        <w:rPr>
          <w:sz w:val="24"/>
          <w:szCs w:val="24"/>
        </w:rPr>
        <w:t xml:space="preserve"> </w:t>
      </w:r>
      <w:r w:rsidRPr="00690EAE">
        <w:rPr>
          <w:sz w:val="24"/>
          <w:szCs w:val="24"/>
        </w:rPr>
        <w:t>C.</w:t>
      </w:r>
      <w:r>
        <w:rPr>
          <w:sz w:val="24"/>
          <w:szCs w:val="24"/>
        </w:rPr>
        <w:t xml:space="preserve"> </w:t>
      </w:r>
      <w:r w:rsidRPr="00690EAE">
        <w:rPr>
          <w:sz w:val="24"/>
          <w:szCs w:val="24"/>
        </w:rPr>
        <w:t xml:space="preserve">S. § 1529.1, requires that an affected public utility "shall forthwith list the account for the premises in question in the name of the owner" when a residential building contains one or more dwelling units not individually metered. </w:t>
      </w:r>
      <w:r>
        <w:rPr>
          <w:sz w:val="24"/>
          <w:szCs w:val="24"/>
        </w:rPr>
        <w:t xml:space="preserve"> </w:t>
      </w:r>
      <w:proofErr w:type="gramStart"/>
      <w:r w:rsidRPr="00690EAE">
        <w:rPr>
          <w:sz w:val="24"/>
          <w:szCs w:val="24"/>
        </w:rPr>
        <w:t>66 Pa.</w:t>
      </w:r>
      <w:r w:rsidR="00A26883">
        <w:rPr>
          <w:sz w:val="24"/>
          <w:szCs w:val="24"/>
        </w:rPr>
        <w:t xml:space="preserve"> </w:t>
      </w:r>
      <w:r w:rsidRPr="00690EAE">
        <w:rPr>
          <w:sz w:val="24"/>
          <w:szCs w:val="24"/>
        </w:rPr>
        <w:t>C.S. § 1529.1(b).</w:t>
      </w:r>
      <w:proofErr w:type="gramEnd"/>
    </w:p>
    <w:p w:rsidR="00FE4687" w:rsidRDefault="00FE4687" w:rsidP="00EB10DA">
      <w:pPr>
        <w:spacing w:line="360" w:lineRule="auto"/>
        <w:ind w:firstLine="1440"/>
        <w:rPr>
          <w:sz w:val="24"/>
          <w:szCs w:val="24"/>
        </w:rPr>
      </w:pPr>
    </w:p>
    <w:p w:rsidR="00FE4687" w:rsidRDefault="00A26883" w:rsidP="00EB10DA">
      <w:pPr>
        <w:spacing w:line="360" w:lineRule="auto"/>
        <w:ind w:firstLine="1440"/>
        <w:rPr>
          <w:sz w:val="24"/>
          <w:szCs w:val="24"/>
        </w:rPr>
      </w:pPr>
      <w:r>
        <w:rPr>
          <w:sz w:val="24"/>
          <w:szCs w:val="24"/>
        </w:rPr>
        <w:t>Additionally, i</w:t>
      </w:r>
      <w:r w:rsidR="00FE4687">
        <w:rPr>
          <w:sz w:val="24"/>
          <w:szCs w:val="24"/>
        </w:rPr>
        <w:t xml:space="preserve">n </w:t>
      </w:r>
      <w:r w:rsidR="00FE4687" w:rsidRPr="00480F96">
        <w:rPr>
          <w:i/>
          <w:sz w:val="24"/>
          <w:szCs w:val="24"/>
        </w:rPr>
        <w:t>Ace Check Cashing</w:t>
      </w:r>
      <w:r w:rsidR="00F23251">
        <w:rPr>
          <w:sz w:val="24"/>
          <w:szCs w:val="24"/>
        </w:rPr>
        <w:t xml:space="preserve">, the Commission clarified </w:t>
      </w:r>
      <w:r w:rsidR="00FE4687">
        <w:rPr>
          <w:sz w:val="24"/>
          <w:szCs w:val="24"/>
        </w:rPr>
        <w:t>the fact that it does not have subject matter jurisdiction over financial dispute</w:t>
      </w:r>
      <w:r>
        <w:rPr>
          <w:sz w:val="24"/>
          <w:szCs w:val="24"/>
        </w:rPr>
        <w:t>s</w:t>
      </w:r>
      <w:r w:rsidR="00FE4687">
        <w:rPr>
          <w:sz w:val="24"/>
          <w:szCs w:val="24"/>
        </w:rPr>
        <w:t xml:space="preserve"> between two non-utility parties.  While the Commission has jurisdiction over the regulation of utility companies and utility service, the Commission does not have jurisdiction </w:t>
      </w:r>
      <w:r w:rsidR="00B62169">
        <w:rPr>
          <w:sz w:val="24"/>
          <w:szCs w:val="24"/>
        </w:rPr>
        <w:t>over</w:t>
      </w:r>
      <w:r w:rsidR="00FE4687">
        <w:rPr>
          <w:sz w:val="24"/>
          <w:szCs w:val="24"/>
        </w:rPr>
        <w:t xml:space="preserve"> every </w:t>
      </w:r>
      <w:r w:rsidR="00480F96">
        <w:rPr>
          <w:sz w:val="24"/>
          <w:szCs w:val="24"/>
        </w:rPr>
        <w:t xml:space="preserve">dispute that involves a utility.  Thus the Commission does not have jurisdiction over a dispute between a property owner and a tenant.  That matter should be handled by the courts.  </w:t>
      </w:r>
      <w:proofErr w:type="spellStart"/>
      <w:r w:rsidR="00480F96" w:rsidRPr="00480F96">
        <w:rPr>
          <w:i/>
          <w:sz w:val="24"/>
          <w:szCs w:val="24"/>
        </w:rPr>
        <w:t>Corazzini</w:t>
      </w:r>
      <w:proofErr w:type="spellEnd"/>
      <w:r w:rsidR="00480F96">
        <w:rPr>
          <w:sz w:val="24"/>
          <w:szCs w:val="24"/>
        </w:rPr>
        <w:t xml:space="preserve"> at 10-11.</w:t>
      </w:r>
    </w:p>
    <w:p w:rsidR="00F1030D" w:rsidRPr="00690EAE" w:rsidRDefault="00F1030D" w:rsidP="00EB10DA">
      <w:pPr>
        <w:spacing w:line="360" w:lineRule="auto"/>
        <w:ind w:firstLine="1440"/>
        <w:rPr>
          <w:sz w:val="24"/>
          <w:szCs w:val="24"/>
        </w:rPr>
      </w:pPr>
    </w:p>
    <w:p w:rsidR="000F3A24" w:rsidRDefault="000F3A24" w:rsidP="000D7D38">
      <w:pPr>
        <w:spacing w:line="360" w:lineRule="auto"/>
        <w:ind w:firstLine="1440"/>
        <w:rPr>
          <w:sz w:val="24"/>
          <w:szCs w:val="24"/>
        </w:rPr>
      </w:pPr>
      <w:r>
        <w:rPr>
          <w:color w:val="333333"/>
          <w:sz w:val="24"/>
          <w:szCs w:val="24"/>
        </w:rPr>
        <w:t>Under Section 1529.1 (b)</w:t>
      </w:r>
      <w:r>
        <w:rPr>
          <w:rStyle w:val="FootnoteReference"/>
          <w:color w:val="333333"/>
          <w:sz w:val="24"/>
          <w:szCs w:val="24"/>
        </w:rPr>
        <w:footnoteReference w:id="1"/>
      </w:r>
      <w:r>
        <w:rPr>
          <w:color w:val="333333"/>
          <w:sz w:val="24"/>
          <w:szCs w:val="24"/>
        </w:rPr>
        <w:t xml:space="preserve"> of the Public Utility Code, the account was properly put into the Complainant’s name and the Complainant will have to seek remuneration from </w:t>
      </w:r>
      <w:r w:rsidR="005408E0">
        <w:rPr>
          <w:color w:val="333333"/>
          <w:sz w:val="24"/>
          <w:szCs w:val="24"/>
        </w:rPr>
        <w:t>her tenants</w:t>
      </w:r>
      <w:r>
        <w:rPr>
          <w:color w:val="333333"/>
          <w:sz w:val="24"/>
          <w:szCs w:val="24"/>
        </w:rPr>
        <w:t xml:space="preserve"> for service during the time Mary </w:t>
      </w:r>
      <w:proofErr w:type="spellStart"/>
      <w:r>
        <w:rPr>
          <w:color w:val="333333"/>
          <w:sz w:val="24"/>
          <w:szCs w:val="24"/>
        </w:rPr>
        <w:t>Licitra</w:t>
      </w:r>
      <w:proofErr w:type="spellEnd"/>
      <w:r w:rsidR="00A26883">
        <w:rPr>
          <w:color w:val="333333"/>
          <w:sz w:val="24"/>
          <w:szCs w:val="24"/>
        </w:rPr>
        <w:t>, Lou Herre</w:t>
      </w:r>
      <w:r w:rsidR="005408E0">
        <w:rPr>
          <w:color w:val="333333"/>
          <w:sz w:val="24"/>
          <w:szCs w:val="24"/>
        </w:rPr>
        <w:t>ra and Anthony Wilson</w:t>
      </w:r>
      <w:r>
        <w:rPr>
          <w:color w:val="333333"/>
          <w:sz w:val="24"/>
          <w:szCs w:val="24"/>
        </w:rPr>
        <w:t xml:space="preserve"> lived in the rental home. </w:t>
      </w:r>
    </w:p>
    <w:p w:rsidR="00382B1A" w:rsidRDefault="00382B1A" w:rsidP="00E82D44">
      <w:pPr>
        <w:spacing w:line="360" w:lineRule="auto"/>
        <w:ind w:firstLine="1440"/>
        <w:rPr>
          <w:sz w:val="24"/>
          <w:szCs w:val="24"/>
        </w:rPr>
      </w:pPr>
    </w:p>
    <w:p w:rsidR="005408E0" w:rsidRDefault="005408E0" w:rsidP="00E82D44">
      <w:pPr>
        <w:spacing w:line="360" w:lineRule="auto"/>
        <w:ind w:firstLine="1440"/>
        <w:rPr>
          <w:sz w:val="24"/>
          <w:szCs w:val="24"/>
        </w:rPr>
      </w:pPr>
      <w:r>
        <w:rPr>
          <w:sz w:val="24"/>
          <w:szCs w:val="24"/>
        </w:rPr>
        <w:t xml:space="preserve">Finally, the Complainant asks that PPL allow </w:t>
      </w:r>
      <w:r w:rsidR="00F1030D">
        <w:rPr>
          <w:sz w:val="24"/>
          <w:szCs w:val="24"/>
        </w:rPr>
        <w:t xml:space="preserve">her current </w:t>
      </w:r>
      <w:r>
        <w:rPr>
          <w:sz w:val="24"/>
          <w:szCs w:val="24"/>
        </w:rPr>
        <w:t>tenant</w:t>
      </w:r>
      <w:r w:rsidR="00F1030D">
        <w:rPr>
          <w:sz w:val="24"/>
          <w:szCs w:val="24"/>
        </w:rPr>
        <w:t>s</w:t>
      </w:r>
      <w:r>
        <w:rPr>
          <w:sz w:val="24"/>
          <w:szCs w:val="24"/>
        </w:rPr>
        <w:t xml:space="preserve"> to put service into their own name</w:t>
      </w:r>
      <w:r w:rsidR="005D6A24">
        <w:rPr>
          <w:sz w:val="24"/>
          <w:szCs w:val="24"/>
        </w:rPr>
        <w:t>s</w:t>
      </w:r>
      <w:r>
        <w:rPr>
          <w:sz w:val="24"/>
          <w:szCs w:val="24"/>
        </w:rPr>
        <w:t>.  PPL explained during the hearing that to do so, the tenant</w:t>
      </w:r>
      <w:r w:rsidR="005D6A24">
        <w:rPr>
          <w:sz w:val="24"/>
          <w:szCs w:val="24"/>
        </w:rPr>
        <w:t>s need</w:t>
      </w:r>
      <w:r>
        <w:rPr>
          <w:sz w:val="24"/>
          <w:szCs w:val="24"/>
        </w:rPr>
        <w:t xml:space="preserve"> to call PPL and explain that there is no </w:t>
      </w:r>
      <w:r w:rsidR="005D6A24">
        <w:rPr>
          <w:sz w:val="24"/>
          <w:szCs w:val="24"/>
        </w:rPr>
        <w:t>longer a foreign load situation;</w:t>
      </w:r>
      <w:r>
        <w:rPr>
          <w:sz w:val="24"/>
          <w:szCs w:val="24"/>
        </w:rPr>
        <w:t xml:space="preserve"> PPL will then conduct a site visit to verify </w:t>
      </w:r>
      <w:r w:rsidR="005D6A24">
        <w:rPr>
          <w:sz w:val="24"/>
          <w:szCs w:val="24"/>
        </w:rPr>
        <w:t xml:space="preserve">the </w:t>
      </w:r>
      <w:r>
        <w:rPr>
          <w:sz w:val="24"/>
          <w:szCs w:val="24"/>
        </w:rPr>
        <w:t>same and the tenant</w:t>
      </w:r>
      <w:r w:rsidR="00480F96">
        <w:rPr>
          <w:sz w:val="24"/>
          <w:szCs w:val="24"/>
        </w:rPr>
        <w:t>s</w:t>
      </w:r>
      <w:r>
        <w:rPr>
          <w:sz w:val="24"/>
          <w:szCs w:val="24"/>
        </w:rPr>
        <w:t xml:space="preserve"> will be allowed to put service into their own name</w:t>
      </w:r>
      <w:r w:rsidR="005D6A24">
        <w:rPr>
          <w:sz w:val="24"/>
          <w:szCs w:val="24"/>
        </w:rPr>
        <w:t>s</w:t>
      </w:r>
      <w:r>
        <w:rPr>
          <w:sz w:val="24"/>
          <w:szCs w:val="24"/>
        </w:rPr>
        <w:t>.</w:t>
      </w:r>
      <w:r w:rsidR="00F1030D">
        <w:rPr>
          <w:sz w:val="24"/>
          <w:szCs w:val="24"/>
        </w:rPr>
        <w:t xml:space="preserve">  Lastly, the Complainant explained that sometimes she or her nephew visits </w:t>
      </w:r>
      <w:r w:rsidR="005D6A24">
        <w:rPr>
          <w:sz w:val="24"/>
          <w:szCs w:val="24"/>
        </w:rPr>
        <w:t>and stays at the rental</w:t>
      </w:r>
      <w:r w:rsidR="00335D67">
        <w:rPr>
          <w:sz w:val="24"/>
          <w:szCs w:val="24"/>
        </w:rPr>
        <w:t xml:space="preserve">.  </w:t>
      </w:r>
      <w:r w:rsidR="00F1030D">
        <w:rPr>
          <w:sz w:val="24"/>
          <w:szCs w:val="24"/>
        </w:rPr>
        <w:t>To do</w:t>
      </w:r>
      <w:r w:rsidR="00BF03BB">
        <w:rPr>
          <w:sz w:val="24"/>
          <w:szCs w:val="24"/>
        </w:rPr>
        <w:t xml:space="preserve"> so </w:t>
      </w:r>
      <w:r w:rsidR="00F1030D">
        <w:rPr>
          <w:sz w:val="24"/>
          <w:szCs w:val="24"/>
        </w:rPr>
        <w:t>will once again thrust the rental into a foreign load situation and prevent the tenants from being able to have service in their name</w:t>
      </w:r>
      <w:r w:rsidR="00242B5B">
        <w:rPr>
          <w:sz w:val="24"/>
          <w:szCs w:val="24"/>
        </w:rPr>
        <w:t>s</w:t>
      </w:r>
      <w:r w:rsidR="00F1030D">
        <w:rPr>
          <w:sz w:val="24"/>
          <w:szCs w:val="24"/>
        </w:rPr>
        <w:t xml:space="preserve">.  </w:t>
      </w:r>
      <w:r>
        <w:rPr>
          <w:sz w:val="24"/>
          <w:szCs w:val="24"/>
        </w:rPr>
        <w:t xml:space="preserve">  </w:t>
      </w:r>
    </w:p>
    <w:p w:rsidR="005408E0" w:rsidRDefault="005408E0" w:rsidP="00E82D44">
      <w:pPr>
        <w:spacing w:line="360" w:lineRule="auto"/>
        <w:ind w:firstLine="1440"/>
        <w:rPr>
          <w:sz w:val="24"/>
          <w:szCs w:val="24"/>
        </w:rPr>
      </w:pPr>
    </w:p>
    <w:p w:rsidR="005408E0" w:rsidRPr="000B72BC" w:rsidRDefault="005408E0" w:rsidP="00E82D44">
      <w:pPr>
        <w:spacing w:line="360" w:lineRule="auto"/>
        <w:ind w:firstLine="1440"/>
        <w:rPr>
          <w:sz w:val="24"/>
          <w:szCs w:val="24"/>
        </w:rPr>
      </w:pPr>
      <w:r>
        <w:rPr>
          <w:sz w:val="24"/>
          <w:szCs w:val="24"/>
        </w:rPr>
        <w:t xml:space="preserve">In summary, PPL was correct to put service into the Complainant’s name and to hold the Complainant responsible for service to her rental home as long as </w:t>
      </w:r>
      <w:r w:rsidR="00A26883">
        <w:rPr>
          <w:sz w:val="24"/>
          <w:szCs w:val="24"/>
        </w:rPr>
        <w:t>the residential building contains on</w:t>
      </w:r>
      <w:r w:rsidR="009A0027">
        <w:rPr>
          <w:sz w:val="24"/>
          <w:szCs w:val="24"/>
        </w:rPr>
        <w:t>e</w:t>
      </w:r>
      <w:r w:rsidR="00A26883">
        <w:rPr>
          <w:sz w:val="24"/>
          <w:szCs w:val="24"/>
        </w:rPr>
        <w:t xml:space="preserve"> or more dwelling units not individually metered.</w:t>
      </w:r>
      <w:r>
        <w:rPr>
          <w:sz w:val="24"/>
          <w:szCs w:val="24"/>
        </w:rPr>
        <w:t xml:space="preserve">  The Complainant failed to meet her burden of proof and this form</w:t>
      </w:r>
      <w:r w:rsidR="00246A19">
        <w:rPr>
          <w:sz w:val="24"/>
          <w:szCs w:val="24"/>
        </w:rPr>
        <w:t>al</w:t>
      </w:r>
      <w:r>
        <w:rPr>
          <w:sz w:val="24"/>
          <w:szCs w:val="24"/>
        </w:rPr>
        <w:t xml:space="preserve"> complaint will be denied and dismissed in the ordering paragraphs below.</w:t>
      </w:r>
    </w:p>
    <w:p w:rsidR="005408E0" w:rsidRDefault="005408E0" w:rsidP="00DE2348">
      <w:pPr>
        <w:spacing w:line="360" w:lineRule="auto"/>
        <w:jc w:val="center"/>
        <w:rPr>
          <w:sz w:val="24"/>
          <w:szCs w:val="24"/>
          <w:u w:val="single"/>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bears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Complaint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w:t>
      </w:r>
      <w:proofErr w:type="spellStart"/>
      <w:r w:rsidRPr="00C1140C">
        <w:rPr>
          <w:i/>
          <w:spacing w:val="-3"/>
          <w:sz w:val="24"/>
          <w:szCs w:val="24"/>
        </w:rPr>
        <w:t>Comm’n</w:t>
      </w:r>
      <w:proofErr w:type="spellEnd"/>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F1030D" w:rsidRDefault="00F1030D" w:rsidP="00382B1A">
      <w:pPr>
        <w:tabs>
          <w:tab w:val="left" w:pos="2160"/>
        </w:tabs>
        <w:spacing w:line="360" w:lineRule="auto"/>
        <w:ind w:firstLine="1440"/>
        <w:rPr>
          <w:spacing w:val="-3"/>
          <w:sz w:val="24"/>
          <w:szCs w:val="24"/>
        </w:rPr>
      </w:pPr>
    </w:p>
    <w:p w:rsidR="005408E0" w:rsidRDefault="005408E0" w:rsidP="00382B1A">
      <w:pPr>
        <w:tabs>
          <w:tab w:val="left" w:pos="2160"/>
        </w:tabs>
        <w:spacing w:line="360" w:lineRule="auto"/>
        <w:ind w:firstLine="1440"/>
        <w:rPr>
          <w:spacing w:val="-3"/>
          <w:sz w:val="24"/>
          <w:szCs w:val="24"/>
        </w:rPr>
      </w:pPr>
      <w:r>
        <w:rPr>
          <w:spacing w:val="-3"/>
          <w:sz w:val="24"/>
          <w:szCs w:val="24"/>
        </w:rPr>
        <w:t>4.</w:t>
      </w:r>
      <w:r>
        <w:rPr>
          <w:spacing w:val="-3"/>
          <w:sz w:val="24"/>
          <w:szCs w:val="24"/>
        </w:rPr>
        <w:tab/>
        <w:t>The Complainant failed to show that PPL violated any law, regulation or Commission order.</w:t>
      </w:r>
    </w:p>
    <w:p w:rsidR="005408E0" w:rsidRDefault="005408E0" w:rsidP="00382B1A">
      <w:pPr>
        <w:tabs>
          <w:tab w:val="left" w:pos="2160"/>
        </w:tabs>
        <w:spacing w:line="360" w:lineRule="auto"/>
        <w:ind w:firstLine="1440"/>
        <w:rPr>
          <w:spacing w:val="-3"/>
          <w:sz w:val="24"/>
          <w:szCs w:val="24"/>
        </w:rPr>
      </w:pPr>
    </w:p>
    <w:p w:rsidR="005408E0" w:rsidRDefault="005408E0" w:rsidP="00382B1A">
      <w:pPr>
        <w:tabs>
          <w:tab w:val="left" w:pos="2160"/>
        </w:tabs>
        <w:spacing w:line="360" w:lineRule="auto"/>
        <w:ind w:firstLine="1440"/>
        <w:rPr>
          <w:spacing w:val="-3"/>
          <w:sz w:val="24"/>
          <w:szCs w:val="24"/>
        </w:rPr>
      </w:pPr>
      <w:r>
        <w:rPr>
          <w:spacing w:val="-3"/>
          <w:sz w:val="24"/>
          <w:szCs w:val="24"/>
        </w:rPr>
        <w:t>5.</w:t>
      </w:r>
      <w:r>
        <w:rPr>
          <w:spacing w:val="-3"/>
          <w:sz w:val="24"/>
          <w:szCs w:val="24"/>
        </w:rPr>
        <w:tab/>
        <w:t xml:space="preserve">[I]f the </w:t>
      </w:r>
      <w:r w:rsidR="00480F96">
        <w:rPr>
          <w:spacing w:val="-3"/>
          <w:sz w:val="24"/>
          <w:szCs w:val="24"/>
        </w:rPr>
        <w:t>…</w:t>
      </w:r>
      <w:r>
        <w:rPr>
          <w:spacing w:val="-3"/>
          <w:sz w:val="24"/>
          <w:szCs w:val="24"/>
        </w:rPr>
        <w:t xml:space="preserve"> residential building contains one or more dwelling units not individually metered, an affected utility shall forthwith list the account for the premises in question in the name of the owner.  66 Pa. C.S. § 1529.1 (b).</w:t>
      </w:r>
    </w:p>
    <w:p w:rsidR="00480F96" w:rsidRDefault="00480F96" w:rsidP="00382B1A">
      <w:pPr>
        <w:tabs>
          <w:tab w:val="left" w:pos="2160"/>
        </w:tabs>
        <w:spacing w:line="360" w:lineRule="auto"/>
        <w:ind w:firstLine="1440"/>
        <w:rPr>
          <w:spacing w:val="-3"/>
          <w:sz w:val="24"/>
          <w:szCs w:val="24"/>
        </w:rPr>
      </w:pPr>
    </w:p>
    <w:p w:rsidR="007D060D" w:rsidRPr="007934E4" w:rsidRDefault="007D060D" w:rsidP="00382B1A">
      <w:pPr>
        <w:tabs>
          <w:tab w:val="left" w:pos="2160"/>
        </w:tabs>
        <w:spacing w:line="360" w:lineRule="auto"/>
        <w:ind w:firstLine="1440"/>
        <w:rPr>
          <w:spacing w:val="-3"/>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bookmarkStart w:id="0" w:name="_GoBack"/>
      <w:bookmarkEnd w:id="0"/>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5408E0" w:rsidP="001420B3">
      <w:pPr>
        <w:numPr>
          <w:ilvl w:val="0"/>
          <w:numId w:val="15"/>
        </w:numPr>
        <w:tabs>
          <w:tab w:val="clear" w:pos="2160"/>
        </w:tabs>
        <w:spacing w:line="360" w:lineRule="auto"/>
        <w:ind w:left="0" w:firstLine="1440"/>
        <w:rPr>
          <w:sz w:val="24"/>
          <w:szCs w:val="24"/>
        </w:rPr>
      </w:pPr>
      <w:r>
        <w:rPr>
          <w:sz w:val="24"/>
          <w:szCs w:val="24"/>
        </w:rPr>
        <w:t>That the formal complaint of Francine Mound is denied and dismissed.</w:t>
      </w:r>
    </w:p>
    <w:p w:rsidR="005408E0" w:rsidRDefault="005408E0" w:rsidP="001420B3">
      <w:pPr>
        <w:spacing w:line="360" w:lineRule="auto"/>
        <w:ind w:left="1440"/>
        <w:rPr>
          <w:sz w:val="24"/>
          <w:szCs w:val="24"/>
        </w:rPr>
      </w:pPr>
    </w:p>
    <w:p w:rsidR="005408E0" w:rsidRDefault="005408E0" w:rsidP="001420B3">
      <w:pPr>
        <w:numPr>
          <w:ilvl w:val="0"/>
          <w:numId w:val="15"/>
        </w:numPr>
        <w:tabs>
          <w:tab w:val="clear" w:pos="2160"/>
        </w:tabs>
        <w:spacing w:line="360" w:lineRule="auto"/>
        <w:ind w:left="0" w:firstLine="1440"/>
        <w:rPr>
          <w:sz w:val="24"/>
          <w:szCs w:val="24"/>
        </w:rPr>
      </w:pPr>
      <w:r>
        <w:rPr>
          <w:sz w:val="24"/>
          <w:szCs w:val="24"/>
        </w:rPr>
        <w:t>That the Secretary’s Bureau mark Docket No. C-2010-2195201 closed.</w:t>
      </w:r>
    </w:p>
    <w:p w:rsidR="005408E0" w:rsidRDefault="005408E0" w:rsidP="001420B3">
      <w:pPr>
        <w:spacing w:line="360" w:lineRule="auto"/>
        <w:ind w:left="1440"/>
        <w:rPr>
          <w:sz w:val="24"/>
          <w:szCs w:val="24"/>
        </w:rPr>
      </w:pP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5408E0">
        <w:rPr>
          <w:sz w:val="24"/>
          <w:szCs w:val="24"/>
          <w:u w:val="single"/>
        </w:rPr>
        <w:t>February 23, 2012</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C8738A">
      <w:pPr>
        <w:tabs>
          <w:tab w:val="center" w:pos="4752"/>
        </w:tabs>
        <w:suppressAutoHyphens/>
        <w:rPr>
          <w:kern w:val="1"/>
        </w:rPr>
      </w:pPr>
    </w:p>
    <w:p w:rsidR="002B19D4" w:rsidRPr="001027AA" w:rsidRDefault="002B19D4" w:rsidP="001027AA">
      <w:pPr>
        <w:jc w:val="both"/>
        <w:rPr>
          <w:sz w:val="24"/>
          <w:szCs w:val="24"/>
        </w:rPr>
      </w:pPr>
    </w:p>
    <w:sectPr w:rsidR="002B19D4" w:rsidRPr="001027AA" w:rsidSect="005F452A">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70D" w:rsidRDefault="00E0170D">
      <w:r>
        <w:separator/>
      </w:r>
    </w:p>
  </w:endnote>
  <w:endnote w:type="continuationSeparator" w:id="0">
    <w:p w:rsidR="00E0170D" w:rsidRDefault="00E0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1420B3">
      <w:rPr>
        <w:rStyle w:val="PageNumber"/>
        <w:noProof/>
        <w:sz w:val="20"/>
        <w:szCs w:val="20"/>
      </w:rPr>
      <w:t>8</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70D" w:rsidRDefault="00E0170D">
      <w:r>
        <w:separator/>
      </w:r>
    </w:p>
  </w:footnote>
  <w:footnote w:type="continuationSeparator" w:id="0">
    <w:p w:rsidR="00E0170D" w:rsidRDefault="00E0170D">
      <w:r>
        <w:continuationSeparator/>
      </w:r>
    </w:p>
  </w:footnote>
  <w:footnote w:id="1">
    <w:p w:rsidR="000F3A24" w:rsidRDefault="000F3A24">
      <w:pPr>
        <w:pStyle w:val="FootnoteText"/>
      </w:pPr>
      <w:r>
        <w:rPr>
          <w:rStyle w:val="FootnoteReference"/>
        </w:rPr>
        <w:footnoteRef/>
      </w:r>
      <w:r>
        <w:t xml:space="preserve"> [I]</w:t>
      </w:r>
      <w:r w:rsidR="00480F96">
        <w:t xml:space="preserve">f </w:t>
      </w:r>
      <w:r>
        <w:t>the</w:t>
      </w:r>
      <w:r w:rsidR="00480F96">
        <w:t xml:space="preserve"> …</w:t>
      </w:r>
      <w:r>
        <w:t xml:space="preserve"> residential building contains one or more dwelling units not individually metered, an affected public utility shall forthwith list the account for the premises in question in the name of the owner…</w:t>
      </w:r>
      <w:r w:rsidR="005408E0">
        <w:t>6</w:t>
      </w:r>
      <w:r w:rsidR="00165B49">
        <w:t>6</w:t>
      </w:r>
      <w:r w:rsidR="005408E0">
        <w:t xml:space="preserve"> Pa. C.S § 1529.1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46C8B2F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A22"/>
    <w:rsid w:val="00082976"/>
    <w:rsid w:val="00091672"/>
    <w:rsid w:val="00091CE2"/>
    <w:rsid w:val="000967DB"/>
    <w:rsid w:val="000A001F"/>
    <w:rsid w:val="000A1CB9"/>
    <w:rsid w:val="000A20A3"/>
    <w:rsid w:val="000B5F6A"/>
    <w:rsid w:val="000C6F32"/>
    <w:rsid w:val="000D7D38"/>
    <w:rsid w:val="000E0BD8"/>
    <w:rsid w:val="000E277A"/>
    <w:rsid w:val="000E2934"/>
    <w:rsid w:val="000E6B17"/>
    <w:rsid w:val="000F0833"/>
    <w:rsid w:val="000F1894"/>
    <w:rsid w:val="000F1F62"/>
    <w:rsid w:val="000F2F0A"/>
    <w:rsid w:val="000F3A24"/>
    <w:rsid w:val="001027AA"/>
    <w:rsid w:val="00110C23"/>
    <w:rsid w:val="001122A9"/>
    <w:rsid w:val="001155B6"/>
    <w:rsid w:val="00116136"/>
    <w:rsid w:val="00125871"/>
    <w:rsid w:val="00126207"/>
    <w:rsid w:val="001312A6"/>
    <w:rsid w:val="00134E8D"/>
    <w:rsid w:val="00141DF5"/>
    <w:rsid w:val="001420B3"/>
    <w:rsid w:val="00143C49"/>
    <w:rsid w:val="00147DEE"/>
    <w:rsid w:val="00150A3E"/>
    <w:rsid w:val="00152C6B"/>
    <w:rsid w:val="00154BF8"/>
    <w:rsid w:val="0015646C"/>
    <w:rsid w:val="001620CA"/>
    <w:rsid w:val="00165B49"/>
    <w:rsid w:val="00176F82"/>
    <w:rsid w:val="0018160C"/>
    <w:rsid w:val="00187B87"/>
    <w:rsid w:val="001930DE"/>
    <w:rsid w:val="00193B6C"/>
    <w:rsid w:val="001A4CC0"/>
    <w:rsid w:val="001A5991"/>
    <w:rsid w:val="001A721E"/>
    <w:rsid w:val="001B123C"/>
    <w:rsid w:val="001B3235"/>
    <w:rsid w:val="001C20B7"/>
    <w:rsid w:val="001C715B"/>
    <w:rsid w:val="001D3206"/>
    <w:rsid w:val="001D4DE0"/>
    <w:rsid w:val="001D6FC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2B5B"/>
    <w:rsid w:val="0024496F"/>
    <w:rsid w:val="00244D86"/>
    <w:rsid w:val="00246A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F66F9"/>
    <w:rsid w:val="002F6BC1"/>
    <w:rsid w:val="00300A0A"/>
    <w:rsid w:val="00300CB7"/>
    <w:rsid w:val="00300F91"/>
    <w:rsid w:val="0030207C"/>
    <w:rsid w:val="003129F7"/>
    <w:rsid w:val="00312E1C"/>
    <w:rsid w:val="00317B5C"/>
    <w:rsid w:val="00323AAE"/>
    <w:rsid w:val="00324F3E"/>
    <w:rsid w:val="0033043C"/>
    <w:rsid w:val="00335D67"/>
    <w:rsid w:val="0033647C"/>
    <w:rsid w:val="00337C53"/>
    <w:rsid w:val="00340AB8"/>
    <w:rsid w:val="0034312D"/>
    <w:rsid w:val="003440A6"/>
    <w:rsid w:val="00346E30"/>
    <w:rsid w:val="003539D2"/>
    <w:rsid w:val="0035737A"/>
    <w:rsid w:val="003657A8"/>
    <w:rsid w:val="00375103"/>
    <w:rsid w:val="00380AD7"/>
    <w:rsid w:val="00382B1A"/>
    <w:rsid w:val="00386CDC"/>
    <w:rsid w:val="00392382"/>
    <w:rsid w:val="00394493"/>
    <w:rsid w:val="003959AC"/>
    <w:rsid w:val="00395E03"/>
    <w:rsid w:val="00396DE1"/>
    <w:rsid w:val="003A167D"/>
    <w:rsid w:val="003B715B"/>
    <w:rsid w:val="003C050F"/>
    <w:rsid w:val="003C0716"/>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1BEF"/>
    <w:rsid w:val="00442854"/>
    <w:rsid w:val="0046339D"/>
    <w:rsid w:val="0047039A"/>
    <w:rsid w:val="00476C8A"/>
    <w:rsid w:val="00480F96"/>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937"/>
    <w:rsid w:val="00517AD1"/>
    <w:rsid w:val="00523561"/>
    <w:rsid w:val="00523780"/>
    <w:rsid w:val="00525CEA"/>
    <w:rsid w:val="00530D1B"/>
    <w:rsid w:val="00531226"/>
    <w:rsid w:val="00531409"/>
    <w:rsid w:val="00535DF7"/>
    <w:rsid w:val="005408E0"/>
    <w:rsid w:val="00542107"/>
    <w:rsid w:val="00553EEB"/>
    <w:rsid w:val="0055562E"/>
    <w:rsid w:val="00564C41"/>
    <w:rsid w:val="00582896"/>
    <w:rsid w:val="00584798"/>
    <w:rsid w:val="0059070D"/>
    <w:rsid w:val="00592C86"/>
    <w:rsid w:val="00593DD0"/>
    <w:rsid w:val="005A33D0"/>
    <w:rsid w:val="005B250B"/>
    <w:rsid w:val="005B6749"/>
    <w:rsid w:val="005B7834"/>
    <w:rsid w:val="005C28EC"/>
    <w:rsid w:val="005D19C4"/>
    <w:rsid w:val="005D2DEE"/>
    <w:rsid w:val="005D4D0C"/>
    <w:rsid w:val="005D6A24"/>
    <w:rsid w:val="005E2068"/>
    <w:rsid w:val="005E3007"/>
    <w:rsid w:val="005E6321"/>
    <w:rsid w:val="005E6C27"/>
    <w:rsid w:val="005F17F5"/>
    <w:rsid w:val="005F38EC"/>
    <w:rsid w:val="005F3B50"/>
    <w:rsid w:val="005F452A"/>
    <w:rsid w:val="006034D3"/>
    <w:rsid w:val="00613F4B"/>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1810"/>
    <w:rsid w:val="006D4BB7"/>
    <w:rsid w:val="006D75BD"/>
    <w:rsid w:val="006E4407"/>
    <w:rsid w:val="006E7726"/>
    <w:rsid w:val="006F44F9"/>
    <w:rsid w:val="007114E7"/>
    <w:rsid w:val="0071588F"/>
    <w:rsid w:val="0073239A"/>
    <w:rsid w:val="0073727C"/>
    <w:rsid w:val="00744AF3"/>
    <w:rsid w:val="00747E56"/>
    <w:rsid w:val="00751672"/>
    <w:rsid w:val="0075510C"/>
    <w:rsid w:val="00765A31"/>
    <w:rsid w:val="007719F4"/>
    <w:rsid w:val="00775593"/>
    <w:rsid w:val="00782A08"/>
    <w:rsid w:val="00786153"/>
    <w:rsid w:val="00792C70"/>
    <w:rsid w:val="007965B0"/>
    <w:rsid w:val="007A08C2"/>
    <w:rsid w:val="007A49B5"/>
    <w:rsid w:val="007B1672"/>
    <w:rsid w:val="007B1D2D"/>
    <w:rsid w:val="007B46F9"/>
    <w:rsid w:val="007B6CFE"/>
    <w:rsid w:val="007C74E3"/>
    <w:rsid w:val="007D060D"/>
    <w:rsid w:val="007D3E3E"/>
    <w:rsid w:val="007D6063"/>
    <w:rsid w:val="007E09E5"/>
    <w:rsid w:val="007E31DB"/>
    <w:rsid w:val="007E7871"/>
    <w:rsid w:val="00803141"/>
    <w:rsid w:val="0081070B"/>
    <w:rsid w:val="008142EB"/>
    <w:rsid w:val="0081669B"/>
    <w:rsid w:val="0081696C"/>
    <w:rsid w:val="008228F3"/>
    <w:rsid w:val="00823F91"/>
    <w:rsid w:val="00824683"/>
    <w:rsid w:val="008345AB"/>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410B"/>
    <w:rsid w:val="008A60E2"/>
    <w:rsid w:val="008B1A8B"/>
    <w:rsid w:val="008B282A"/>
    <w:rsid w:val="008B2B8B"/>
    <w:rsid w:val="008B3FB1"/>
    <w:rsid w:val="008D6D09"/>
    <w:rsid w:val="008D761F"/>
    <w:rsid w:val="008E5A53"/>
    <w:rsid w:val="008F013A"/>
    <w:rsid w:val="008F22F9"/>
    <w:rsid w:val="008F554F"/>
    <w:rsid w:val="008F6AC3"/>
    <w:rsid w:val="0090398B"/>
    <w:rsid w:val="009077E3"/>
    <w:rsid w:val="00910EF2"/>
    <w:rsid w:val="00913B17"/>
    <w:rsid w:val="00915BAE"/>
    <w:rsid w:val="009166DD"/>
    <w:rsid w:val="0091672D"/>
    <w:rsid w:val="00922FE6"/>
    <w:rsid w:val="009342E4"/>
    <w:rsid w:val="009445E9"/>
    <w:rsid w:val="009634B4"/>
    <w:rsid w:val="009643E3"/>
    <w:rsid w:val="009649FC"/>
    <w:rsid w:val="00965F82"/>
    <w:rsid w:val="00973AA0"/>
    <w:rsid w:val="0098237A"/>
    <w:rsid w:val="00982B8E"/>
    <w:rsid w:val="009830C8"/>
    <w:rsid w:val="00983B9A"/>
    <w:rsid w:val="009877CF"/>
    <w:rsid w:val="00987B98"/>
    <w:rsid w:val="00995E0A"/>
    <w:rsid w:val="009A0027"/>
    <w:rsid w:val="009B1C06"/>
    <w:rsid w:val="009B4BBA"/>
    <w:rsid w:val="009C22D0"/>
    <w:rsid w:val="009D5A08"/>
    <w:rsid w:val="009E69A1"/>
    <w:rsid w:val="009F24FB"/>
    <w:rsid w:val="009F4939"/>
    <w:rsid w:val="009F7BD8"/>
    <w:rsid w:val="00A022C7"/>
    <w:rsid w:val="00A02D20"/>
    <w:rsid w:val="00A0627A"/>
    <w:rsid w:val="00A22653"/>
    <w:rsid w:val="00A23BC5"/>
    <w:rsid w:val="00A24F45"/>
    <w:rsid w:val="00A26883"/>
    <w:rsid w:val="00A30952"/>
    <w:rsid w:val="00A345AE"/>
    <w:rsid w:val="00A409B8"/>
    <w:rsid w:val="00A40B83"/>
    <w:rsid w:val="00A4383B"/>
    <w:rsid w:val="00A475EE"/>
    <w:rsid w:val="00A523A9"/>
    <w:rsid w:val="00A52E9C"/>
    <w:rsid w:val="00A67786"/>
    <w:rsid w:val="00A67C1E"/>
    <w:rsid w:val="00A761ED"/>
    <w:rsid w:val="00A76B1D"/>
    <w:rsid w:val="00A84770"/>
    <w:rsid w:val="00A86505"/>
    <w:rsid w:val="00AA00A9"/>
    <w:rsid w:val="00AA0438"/>
    <w:rsid w:val="00AA1DE2"/>
    <w:rsid w:val="00AA5FC7"/>
    <w:rsid w:val="00AA6434"/>
    <w:rsid w:val="00AA7B5D"/>
    <w:rsid w:val="00AB3A78"/>
    <w:rsid w:val="00AC4DB7"/>
    <w:rsid w:val="00AC7513"/>
    <w:rsid w:val="00AC7FED"/>
    <w:rsid w:val="00AD0497"/>
    <w:rsid w:val="00AD0503"/>
    <w:rsid w:val="00AD0929"/>
    <w:rsid w:val="00AD507E"/>
    <w:rsid w:val="00AE00BA"/>
    <w:rsid w:val="00AE2448"/>
    <w:rsid w:val="00AE3E93"/>
    <w:rsid w:val="00AE6D1F"/>
    <w:rsid w:val="00AF2068"/>
    <w:rsid w:val="00AF7EAE"/>
    <w:rsid w:val="00B03092"/>
    <w:rsid w:val="00B0541E"/>
    <w:rsid w:val="00B0648D"/>
    <w:rsid w:val="00B13849"/>
    <w:rsid w:val="00B23067"/>
    <w:rsid w:val="00B2590D"/>
    <w:rsid w:val="00B32E66"/>
    <w:rsid w:val="00B34848"/>
    <w:rsid w:val="00B40E21"/>
    <w:rsid w:val="00B45676"/>
    <w:rsid w:val="00B45F71"/>
    <w:rsid w:val="00B5018B"/>
    <w:rsid w:val="00B62169"/>
    <w:rsid w:val="00B625D9"/>
    <w:rsid w:val="00B665D7"/>
    <w:rsid w:val="00B70860"/>
    <w:rsid w:val="00B71D02"/>
    <w:rsid w:val="00B922CF"/>
    <w:rsid w:val="00BA47D2"/>
    <w:rsid w:val="00BA61F7"/>
    <w:rsid w:val="00BB3104"/>
    <w:rsid w:val="00BB352A"/>
    <w:rsid w:val="00BC2D8F"/>
    <w:rsid w:val="00BC2DE6"/>
    <w:rsid w:val="00BC7240"/>
    <w:rsid w:val="00BD42F1"/>
    <w:rsid w:val="00BE1D82"/>
    <w:rsid w:val="00BE6352"/>
    <w:rsid w:val="00BF03BB"/>
    <w:rsid w:val="00BF5F04"/>
    <w:rsid w:val="00C052E4"/>
    <w:rsid w:val="00C1140C"/>
    <w:rsid w:val="00C1195C"/>
    <w:rsid w:val="00C136F0"/>
    <w:rsid w:val="00C150A5"/>
    <w:rsid w:val="00C21F78"/>
    <w:rsid w:val="00C224B0"/>
    <w:rsid w:val="00C25C02"/>
    <w:rsid w:val="00C27A38"/>
    <w:rsid w:val="00C31862"/>
    <w:rsid w:val="00C322C5"/>
    <w:rsid w:val="00C34D87"/>
    <w:rsid w:val="00C37F96"/>
    <w:rsid w:val="00C419F9"/>
    <w:rsid w:val="00C426F5"/>
    <w:rsid w:val="00C45D4C"/>
    <w:rsid w:val="00C546D2"/>
    <w:rsid w:val="00C61510"/>
    <w:rsid w:val="00C61561"/>
    <w:rsid w:val="00C6634A"/>
    <w:rsid w:val="00C7068E"/>
    <w:rsid w:val="00C758B9"/>
    <w:rsid w:val="00C769EE"/>
    <w:rsid w:val="00C86201"/>
    <w:rsid w:val="00C8738A"/>
    <w:rsid w:val="00C908AD"/>
    <w:rsid w:val="00C920E5"/>
    <w:rsid w:val="00C94BB9"/>
    <w:rsid w:val="00C94E7B"/>
    <w:rsid w:val="00CA1E0E"/>
    <w:rsid w:val="00CA5BA3"/>
    <w:rsid w:val="00CB0D2B"/>
    <w:rsid w:val="00CB4F5E"/>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251E"/>
    <w:rsid w:val="00D34B76"/>
    <w:rsid w:val="00D35E32"/>
    <w:rsid w:val="00D35F74"/>
    <w:rsid w:val="00D4029A"/>
    <w:rsid w:val="00D404FE"/>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C2C90"/>
    <w:rsid w:val="00DD3E7F"/>
    <w:rsid w:val="00DE0ECC"/>
    <w:rsid w:val="00DE2348"/>
    <w:rsid w:val="00DE3943"/>
    <w:rsid w:val="00DE562E"/>
    <w:rsid w:val="00DE77F8"/>
    <w:rsid w:val="00DF0138"/>
    <w:rsid w:val="00DF294A"/>
    <w:rsid w:val="00E00EAF"/>
    <w:rsid w:val="00E0170D"/>
    <w:rsid w:val="00E0236A"/>
    <w:rsid w:val="00E11739"/>
    <w:rsid w:val="00E12F72"/>
    <w:rsid w:val="00E15A2D"/>
    <w:rsid w:val="00E15B2B"/>
    <w:rsid w:val="00E267A5"/>
    <w:rsid w:val="00E35AC9"/>
    <w:rsid w:val="00E413A9"/>
    <w:rsid w:val="00E5003A"/>
    <w:rsid w:val="00E514FA"/>
    <w:rsid w:val="00E56529"/>
    <w:rsid w:val="00E6135C"/>
    <w:rsid w:val="00E66725"/>
    <w:rsid w:val="00E67591"/>
    <w:rsid w:val="00E67A2A"/>
    <w:rsid w:val="00E728B0"/>
    <w:rsid w:val="00E75758"/>
    <w:rsid w:val="00E75BC0"/>
    <w:rsid w:val="00E82D44"/>
    <w:rsid w:val="00E85ECC"/>
    <w:rsid w:val="00E9292D"/>
    <w:rsid w:val="00E937F7"/>
    <w:rsid w:val="00EA2B0E"/>
    <w:rsid w:val="00EA56F6"/>
    <w:rsid w:val="00EA77CE"/>
    <w:rsid w:val="00EB10DA"/>
    <w:rsid w:val="00EB1DAB"/>
    <w:rsid w:val="00EB1EEE"/>
    <w:rsid w:val="00EC15BD"/>
    <w:rsid w:val="00EC38D5"/>
    <w:rsid w:val="00EC41CE"/>
    <w:rsid w:val="00EC477B"/>
    <w:rsid w:val="00ED0F47"/>
    <w:rsid w:val="00EE34BE"/>
    <w:rsid w:val="00EF6C7F"/>
    <w:rsid w:val="00F0259C"/>
    <w:rsid w:val="00F1030D"/>
    <w:rsid w:val="00F201C6"/>
    <w:rsid w:val="00F2180F"/>
    <w:rsid w:val="00F23251"/>
    <w:rsid w:val="00F31732"/>
    <w:rsid w:val="00F31F04"/>
    <w:rsid w:val="00F327E2"/>
    <w:rsid w:val="00F34A38"/>
    <w:rsid w:val="00F375FF"/>
    <w:rsid w:val="00F50C2B"/>
    <w:rsid w:val="00F566E6"/>
    <w:rsid w:val="00F702DD"/>
    <w:rsid w:val="00F70880"/>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0A06"/>
    <w:rsid w:val="00FD1DCC"/>
    <w:rsid w:val="00FD2E3D"/>
    <w:rsid w:val="00FE4687"/>
    <w:rsid w:val="00FE4B07"/>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A30952"/>
    <w:pPr>
      <w:ind w:left="720"/>
      <w:contextualSpacing/>
    </w:pPr>
  </w:style>
  <w:style w:type="character" w:styleId="Hyperlink">
    <w:name w:val="Hyperlink"/>
    <w:basedOn w:val="DefaultParagraphFont"/>
    <w:uiPriority w:val="99"/>
    <w:unhideWhenUsed/>
    <w:rsid w:val="000D7D38"/>
    <w:rPr>
      <w:strike w:val="0"/>
      <w:dstrike w:val="0"/>
      <w:color w:val="004B91"/>
      <w:u w:val="none"/>
      <w:effect w:val="none"/>
    </w:rPr>
  </w:style>
  <w:style w:type="character" w:customStyle="1" w:styleId="term1">
    <w:name w:val="term1"/>
    <w:basedOn w:val="DefaultParagraphFont"/>
    <w:rsid w:val="000D7D38"/>
    <w:rPr>
      <w:b/>
      <w:bCs/>
    </w:rPr>
  </w:style>
  <w:style w:type="character" w:customStyle="1" w:styleId="pmterms11">
    <w:name w:val="pmterms11"/>
    <w:basedOn w:val="DefaultParagraphFont"/>
    <w:rsid w:val="000D7D38"/>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A30952"/>
    <w:pPr>
      <w:ind w:left="720"/>
      <w:contextualSpacing/>
    </w:pPr>
  </w:style>
  <w:style w:type="character" w:styleId="Hyperlink">
    <w:name w:val="Hyperlink"/>
    <w:basedOn w:val="DefaultParagraphFont"/>
    <w:uiPriority w:val="99"/>
    <w:unhideWhenUsed/>
    <w:rsid w:val="000D7D38"/>
    <w:rPr>
      <w:strike w:val="0"/>
      <w:dstrike w:val="0"/>
      <w:color w:val="004B91"/>
      <w:u w:val="none"/>
      <w:effect w:val="none"/>
    </w:rPr>
  </w:style>
  <w:style w:type="character" w:customStyle="1" w:styleId="term1">
    <w:name w:val="term1"/>
    <w:basedOn w:val="DefaultParagraphFont"/>
    <w:rsid w:val="000D7D38"/>
    <w:rPr>
      <w:b/>
      <w:bCs/>
    </w:rPr>
  </w:style>
  <w:style w:type="character" w:customStyle="1" w:styleId="pmterms11">
    <w:name w:val="pmterms11"/>
    <w:basedOn w:val="DefaultParagraphFont"/>
    <w:rsid w:val="000D7D38"/>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is.com/research/buttonTFLink?_m=984bf59cfcc6e10a54e0da18c92c03f7&amp;_xfercite=%3ccite%20cc%3d%22USA%22%3e%3c%21%5bCDATA%5b2011%20Pa.%20PUC%20LEXIS%20656%5d%5d%3e%3c%2fcite%3e&amp;_butType=3&amp;_butStat=2&amp;_butNum=8&amp;_butInline=1&amp;_butinfo=%3ccite%20cc%3d%22USA%22%3e%3c%21%5bCDATA%5b1999%20Pa.%20PUC%20LEXIS%2067%5d%5d%3e%3c%2fcite%3e&amp;_fmtstr=FULL&amp;docnum=6&amp;_startdoc=1&amp;wchp=dGLzVzS-zSkAl&amp;_md5=4e67f4f9c9b72381d11de9431c0dc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1C829-84DE-4791-9623-E1D7E61C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6</cp:revision>
  <cp:lastPrinted>2012-03-13T17:31:00Z</cp:lastPrinted>
  <dcterms:created xsi:type="dcterms:W3CDTF">2012-03-13T17:01:00Z</dcterms:created>
  <dcterms:modified xsi:type="dcterms:W3CDTF">2012-03-13T17:32:00Z</dcterms:modified>
</cp:coreProperties>
</file>