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7F27A1" w:rsidRDefault="00303D99">
      <w:pPr>
        <w:jc w:val="center"/>
        <w:rPr>
          <w:b/>
          <w:bCs/>
          <w:sz w:val="24"/>
          <w:szCs w:val="24"/>
        </w:rPr>
      </w:pPr>
      <w:bookmarkStart w:id="0" w:name="_GoBack"/>
      <w:bookmarkEnd w:id="0"/>
      <w:r w:rsidRPr="007F27A1">
        <w:rPr>
          <w:b/>
          <w:bCs/>
          <w:sz w:val="24"/>
          <w:szCs w:val="24"/>
        </w:rPr>
        <w:t>BEFORE THE</w:t>
      </w:r>
    </w:p>
    <w:p w:rsidR="00303D99" w:rsidRPr="007F27A1" w:rsidRDefault="00303D99">
      <w:pPr>
        <w:jc w:val="center"/>
        <w:rPr>
          <w:b/>
          <w:bCs/>
          <w:sz w:val="24"/>
          <w:szCs w:val="24"/>
        </w:rPr>
      </w:pPr>
      <w:r w:rsidRPr="007F27A1">
        <w:rPr>
          <w:b/>
          <w:bCs/>
          <w:sz w:val="24"/>
          <w:szCs w:val="24"/>
        </w:rPr>
        <w:t>PENNSYLVANIA PUBLIC UTILITY</w:t>
      </w:r>
      <w:r w:rsidR="00042D7B" w:rsidRPr="007F27A1">
        <w:rPr>
          <w:b/>
          <w:bCs/>
          <w:sz w:val="24"/>
          <w:szCs w:val="24"/>
        </w:rPr>
        <w:t xml:space="preserve"> COMMISSION</w:t>
      </w:r>
    </w:p>
    <w:p w:rsidR="00303D99" w:rsidRPr="007F27A1" w:rsidRDefault="00303D99">
      <w:pPr>
        <w:spacing w:line="360" w:lineRule="auto"/>
        <w:ind w:firstLine="1440"/>
        <w:rPr>
          <w:sz w:val="24"/>
          <w:szCs w:val="24"/>
        </w:rPr>
      </w:pPr>
    </w:p>
    <w:p w:rsidR="00303D99" w:rsidRPr="007F27A1" w:rsidRDefault="00303D99">
      <w:pPr>
        <w:spacing w:line="360" w:lineRule="auto"/>
        <w:ind w:firstLine="1440"/>
        <w:rPr>
          <w:sz w:val="24"/>
          <w:szCs w:val="24"/>
        </w:rPr>
      </w:pPr>
    </w:p>
    <w:p w:rsidR="00303D99" w:rsidRPr="007F27A1" w:rsidRDefault="00D64027">
      <w:pPr>
        <w:jc w:val="both"/>
        <w:rPr>
          <w:sz w:val="24"/>
          <w:szCs w:val="24"/>
        </w:rPr>
      </w:pPr>
      <w:r>
        <w:rPr>
          <w:sz w:val="24"/>
          <w:szCs w:val="24"/>
        </w:rPr>
        <w:t>Lamarr Crenshaw</w:t>
      </w:r>
      <w:r>
        <w:rPr>
          <w:sz w:val="24"/>
          <w:szCs w:val="24"/>
        </w:rPr>
        <w:tab/>
      </w:r>
      <w:r>
        <w:rPr>
          <w:sz w:val="24"/>
          <w:szCs w:val="24"/>
        </w:rPr>
        <w:tab/>
      </w:r>
      <w:r>
        <w:rPr>
          <w:sz w:val="24"/>
          <w:szCs w:val="24"/>
        </w:rPr>
        <w:tab/>
      </w:r>
      <w:r>
        <w:rPr>
          <w:sz w:val="24"/>
          <w:szCs w:val="24"/>
        </w:rPr>
        <w:tab/>
      </w:r>
      <w:r w:rsidR="00303D99" w:rsidRPr="007F27A1">
        <w:rPr>
          <w:sz w:val="24"/>
          <w:szCs w:val="24"/>
        </w:rPr>
        <w:tab/>
        <w:t>:</w:t>
      </w:r>
      <w:r w:rsidR="00B446A3"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r>
      <w:r w:rsidR="009F470A">
        <w:rPr>
          <w:sz w:val="24"/>
          <w:szCs w:val="24"/>
        </w:rPr>
        <w:tab/>
      </w:r>
      <w:r w:rsidR="009F470A">
        <w:rPr>
          <w:sz w:val="24"/>
          <w:szCs w:val="24"/>
        </w:rPr>
        <w:tab/>
      </w:r>
      <w:r w:rsidR="009F470A">
        <w:rPr>
          <w:sz w:val="24"/>
          <w:szCs w:val="24"/>
        </w:rPr>
        <w:tab/>
      </w:r>
      <w:r w:rsidR="009F470A">
        <w:rPr>
          <w:sz w:val="24"/>
          <w:szCs w:val="24"/>
        </w:rPr>
        <w:tab/>
      </w:r>
      <w:r w:rsidR="009F470A">
        <w:rPr>
          <w:sz w:val="24"/>
          <w:szCs w:val="24"/>
        </w:rPr>
        <w:tab/>
      </w:r>
      <w:r w:rsidR="00303D99" w:rsidRPr="007F27A1">
        <w:rPr>
          <w:sz w:val="24"/>
          <w:szCs w:val="24"/>
        </w:rPr>
        <w:t>:</w:t>
      </w:r>
    </w:p>
    <w:p w:rsidR="009F470A" w:rsidRPr="007F27A1" w:rsidRDefault="00303D99" w:rsidP="009F470A">
      <w:pPr>
        <w:jc w:val="both"/>
        <w:rPr>
          <w:sz w:val="24"/>
          <w:szCs w:val="24"/>
        </w:rPr>
      </w:pPr>
      <w:r w:rsidRPr="007F27A1">
        <w:rPr>
          <w:sz w:val="24"/>
          <w:szCs w:val="24"/>
        </w:rPr>
        <w:tab/>
      </w:r>
      <w:r w:rsidRPr="007F27A1">
        <w:rPr>
          <w:sz w:val="24"/>
          <w:szCs w:val="24"/>
        </w:rPr>
        <w:tab/>
        <w:t>v.</w:t>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t>:</w:t>
      </w:r>
      <w:r w:rsidR="009F470A" w:rsidRPr="009F470A">
        <w:rPr>
          <w:sz w:val="24"/>
          <w:szCs w:val="24"/>
        </w:rPr>
        <w:t xml:space="preserve"> </w:t>
      </w:r>
      <w:r w:rsidR="009F470A">
        <w:rPr>
          <w:sz w:val="24"/>
          <w:szCs w:val="24"/>
        </w:rPr>
        <w:tab/>
      </w:r>
      <w:r w:rsidR="009F470A" w:rsidRPr="007F27A1">
        <w:rPr>
          <w:sz w:val="24"/>
          <w:szCs w:val="24"/>
        </w:rPr>
        <w:t xml:space="preserve">Docket No.  </w:t>
      </w:r>
      <w:r w:rsidR="00D64027">
        <w:rPr>
          <w:sz w:val="24"/>
          <w:szCs w:val="24"/>
        </w:rPr>
        <w:t>F</w:t>
      </w:r>
      <w:r w:rsidR="009F470A" w:rsidRPr="007F27A1">
        <w:rPr>
          <w:sz w:val="24"/>
          <w:szCs w:val="24"/>
        </w:rPr>
        <w:t>-201</w:t>
      </w:r>
      <w:r w:rsidR="00D64027">
        <w:rPr>
          <w:sz w:val="24"/>
          <w:szCs w:val="24"/>
        </w:rPr>
        <w:t>2</w:t>
      </w:r>
      <w:r w:rsidR="009F470A" w:rsidRPr="007F27A1">
        <w:rPr>
          <w:sz w:val="24"/>
          <w:szCs w:val="24"/>
        </w:rPr>
        <w:t>-</w:t>
      </w:r>
      <w:r w:rsidR="00D64027">
        <w:rPr>
          <w:sz w:val="24"/>
          <w:szCs w:val="24"/>
        </w:rPr>
        <w:t>2285268</w:t>
      </w:r>
    </w:p>
    <w:p w:rsidR="00303D99" w:rsidRPr="007F27A1" w:rsidRDefault="009F470A">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03D99" w:rsidRPr="007F27A1">
        <w:rPr>
          <w:sz w:val="24"/>
          <w:szCs w:val="24"/>
        </w:rPr>
        <w:t>:</w:t>
      </w:r>
    </w:p>
    <w:p w:rsidR="00303D99" w:rsidRPr="007F27A1" w:rsidRDefault="00C1290D">
      <w:pPr>
        <w:jc w:val="both"/>
        <w:rPr>
          <w:sz w:val="24"/>
          <w:szCs w:val="24"/>
        </w:rPr>
      </w:pPr>
      <w:r>
        <w:rPr>
          <w:sz w:val="24"/>
          <w:szCs w:val="24"/>
        </w:rPr>
        <w:t>PECO Energy Company</w:t>
      </w:r>
      <w:r w:rsidR="00042D7B" w:rsidRPr="007F27A1">
        <w:rPr>
          <w:sz w:val="24"/>
          <w:szCs w:val="24"/>
        </w:rPr>
        <w:tab/>
      </w:r>
      <w:r w:rsidR="00042D7B" w:rsidRPr="007F27A1">
        <w:rPr>
          <w:sz w:val="24"/>
          <w:szCs w:val="24"/>
        </w:rPr>
        <w:tab/>
      </w:r>
      <w:r w:rsidR="00042D7B" w:rsidRPr="007F27A1">
        <w:rPr>
          <w:sz w:val="24"/>
          <w:szCs w:val="24"/>
        </w:rPr>
        <w:tab/>
      </w:r>
      <w:r w:rsidR="00303D99" w:rsidRPr="007F27A1">
        <w:rPr>
          <w:sz w:val="24"/>
          <w:szCs w:val="24"/>
        </w:rPr>
        <w:tab/>
        <w:t>:</w:t>
      </w:r>
    </w:p>
    <w:p w:rsidR="00303D99" w:rsidRPr="007F27A1" w:rsidRDefault="00303D99">
      <w:pPr>
        <w:spacing w:line="360" w:lineRule="auto"/>
        <w:ind w:firstLine="1440"/>
        <w:rPr>
          <w:sz w:val="24"/>
          <w:szCs w:val="24"/>
        </w:rPr>
      </w:pPr>
    </w:p>
    <w:p w:rsidR="00303D99" w:rsidRPr="007F27A1" w:rsidRDefault="00303D99">
      <w:pPr>
        <w:spacing w:line="360" w:lineRule="auto"/>
        <w:ind w:firstLine="1440"/>
        <w:rPr>
          <w:sz w:val="24"/>
          <w:szCs w:val="24"/>
        </w:rPr>
      </w:pPr>
    </w:p>
    <w:p w:rsidR="00303D99" w:rsidRPr="007F27A1" w:rsidRDefault="00D64027">
      <w:pPr>
        <w:jc w:val="center"/>
        <w:rPr>
          <w:b/>
          <w:bCs/>
          <w:sz w:val="24"/>
          <w:szCs w:val="24"/>
          <w:u w:val="single"/>
        </w:rPr>
      </w:pPr>
      <w:r>
        <w:rPr>
          <w:b/>
          <w:bCs/>
          <w:sz w:val="24"/>
          <w:szCs w:val="24"/>
          <w:u w:val="single"/>
        </w:rPr>
        <w:t>ORDER DENYING</w:t>
      </w:r>
      <w:r w:rsidR="00303D99" w:rsidRPr="007F27A1">
        <w:rPr>
          <w:b/>
          <w:bCs/>
          <w:sz w:val="24"/>
          <w:szCs w:val="24"/>
          <w:u w:val="single"/>
        </w:rPr>
        <w:t xml:space="preserve"> </w:t>
      </w:r>
      <w:r w:rsidR="00187230" w:rsidRPr="007F27A1">
        <w:rPr>
          <w:b/>
          <w:bCs/>
          <w:sz w:val="24"/>
          <w:szCs w:val="24"/>
          <w:u w:val="single"/>
        </w:rPr>
        <w:t>PRELIMINARY OBJECTIONS</w:t>
      </w:r>
    </w:p>
    <w:p w:rsidR="00187230" w:rsidRPr="007F27A1" w:rsidRDefault="00187230">
      <w:pPr>
        <w:jc w:val="center"/>
        <w:rPr>
          <w:b/>
          <w:bCs/>
          <w:sz w:val="24"/>
          <w:szCs w:val="24"/>
          <w:u w:val="single"/>
        </w:rPr>
      </w:pPr>
    </w:p>
    <w:p w:rsidR="00B446A3" w:rsidRPr="007F27A1" w:rsidRDefault="00B446A3">
      <w:pPr>
        <w:jc w:val="center"/>
        <w:rPr>
          <w:b/>
          <w:bCs/>
          <w:sz w:val="24"/>
          <w:szCs w:val="24"/>
          <w:u w:val="single"/>
        </w:rPr>
      </w:pPr>
    </w:p>
    <w:p w:rsidR="00303D99" w:rsidRPr="007F27A1" w:rsidRDefault="00303D99">
      <w:pPr>
        <w:jc w:val="center"/>
        <w:rPr>
          <w:sz w:val="24"/>
          <w:szCs w:val="24"/>
        </w:rPr>
      </w:pPr>
      <w:r w:rsidRPr="007F27A1">
        <w:rPr>
          <w:sz w:val="24"/>
          <w:szCs w:val="24"/>
        </w:rPr>
        <w:t>Before</w:t>
      </w:r>
    </w:p>
    <w:p w:rsidR="00303D99" w:rsidRPr="007F27A1" w:rsidRDefault="00042D7B">
      <w:pPr>
        <w:jc w:val="center"/>
        <w:rPr>
          <w:sz w:val="24"/>
          <w:szCs w:val="24"/>
        </w:rPr>
      </w:pPr>
      <w:r w:rsidRPr="007F27A1">
        <w:rPr>
          <w:sz w:val="24"/>
          <w:szCs w:val="24"/>
        </w:rPr>
        <w:t>Elizabeth Barnes</w:t>
      </w:r>
    </w:p>
    <w:p w:rsidR="00303D99" w:rsidRPr="007F27A1" w:rsidRDefault="00303D99">
      <w:pPr>
        <w:jc w:val="center"/>
        <w:rPr>
          <w:sz w:val="24"/>
          <w:szCs w:val="24"/>
        </w:rPr>
      </w:pPr>
      <w:r w:rsidRPr="007F27A1">
        <w:rPr>
          <w:sz w:val="24"/>
          <w:szCs w:val="24"/>
        </w:rPr>
        <w:t>Administrative Law Judge</w:t>
      </w:r>
    </w:p>
    <w:p w:rsidR="00303D99" w:rsidRPr="007F27A1" w:rsidRDefault="00303D99">
      <w:pPr>
        <w:spacing w:line="360" w:lineRule="auto"/>
        <w:ind w:firstLine="1440"/>
        <w:rPr>
          <w:sz w:val="24"/>
          <w:szCs w:val="24"/>
        </w:rPr>
      </w:pPr>
    </w:p>
    <w:p w:rsidR="00303D99" w:rsidRPr="007F27A1" w:rsidRDefault="00B446A3" w:rsidP="00DC38FC">
      <w:pPr>
        <w:jc w:val="center"/>
        <w:rPr>
          <w:sz w:val="24"/>
          <w:szCs w:val="24"/>
          <w:u w:val="single"/>
        </w:rPr>
      </w:pPr>
      <w:r w:rsidRPr="007F27A1">
        <w:rPr>
          <w:sz w:val="24"/>
          <w:szCs w:val="24"/>
          <w:u w:val="single"/>
        </w:rPr>
        <w:t>HISTORY OF THE PROCEEDING</w:t>
      </w:r>
    </w:p>
    <w:p w:rsidR="00303D99" w:rsidRDefault="00303D99">
      <w:pPr>
        <w:spacing w:line="360" w:lineRule="auto"/>
        <w:ind w:firstLine="1440"/>
        <w:rPr>
          <w:sz w:val="24"/>
          <w:szCs w:val="24"/>
          <w:u w:val="single"/>
        </w:rPr>
      </w:pPr>
    </w:p>
    <w:p w:rsidR="00DC38FC" w:rsidRPr="007F27A1" w:rsidRDefault="00DC38FC">
      <w:pPr>
        <w:spacing w:line="360" w:lineRule="auto"/>
        <w:ind w:firstLine="1440"/>
        <w:rPr>
          <w:sz w:val="24"/>
          <w:szCs w:val="24"/>
          <w:u w:val="single"/>
        </w:rPr>
      </w:pPr>
    </w:p>
    <w:p w:rsidR="00303D99" w:rsidRPr="007F27A1" w:rsidRDefault="00303D99" w:rsidP="00DC38FC">
      <w:pPr>
        <w:spacing w:line="360" w:lineRule="auto"/>
        <w:ind w:firstLine="1440"/>
        <w:rPr>
          <w:sz w:val="24"/>
          <w:szCs w:val="24"/>
        </w:rPr>
      </w:pPr>
      <w:r w:rsidRPr="007F27A1">
        <w:rPr>
          <w:sz w:val="24"/>
          <w:szCs w:val="24"/>
        </w:rPr>
        <w:t>On</w:t>
      </w:r>
      <w:r w:rsidR="00D64027">
        <w:rPr>
          <w:sz w:val="24"/>
          <w:szCs w:val="24"/>
        </w:rPr>
        <w:t xml:space="preserve"> January 25, 2012, Lamarr Crenshaw</w:t>
      </w:r>
      <w:r w:rsidRPr="007F27A1">
        <w:rPr>
          <w:sz w:val="24"/>
          <w:szCs w:val="24"/>
        </w:rPr>
        <w:t xml:space="preserve"> (</w:t>
      </w:r>
      <w:r w:rsidR="00042D7B" w:rsidRPr="007F27A1">
        <w:rPr>
          <w:sz w:val="24"/>
          <w:szCs w:val="24"/>
        </w:rPr>
        <w:t>C</w:t>
      </w:r>
      <w:r w:rsidRPr="007F27A1">
        <w:rPr>
          <w:sz w:val="24"/>
          <w:szCs w:val="24"/>
        </w:rPr>
        <w:t>omplainant),</w:t>
      </w:r>
      <w:r w:rsidR="00042D7B" w:rsidRPr="007F27A1">
        <w:rPr>
          <w:sz w:val="24"/>
          <w:szCs w:val="24"/>
        </w:rPr>
        <w:t xml:space="preserve"> </w:t>
      </w:r>
      <w:r w:rsidR="00042D7B" w:rsidRPr="007F27A1">
        <w:rPr>
          <w:i/>
          <w:sz w:val="24"/>
          <w:szCs w:val="24"/>
        </w:rPr>
        <w:t>pro se</w:t>
      </w:r>
      <w:r w:rsidRPr="007F27A1">
        <w:rPr>
          <w:sz w:val="24"/>
          <w:szCs w:val="24"/>
        </w:rPr>
        <w:t xml:space="preserve"> filed a formal Complaint (Complaint) against </w:t>
      </w:r>
      <w:r w:rsidR="00D64027">
        <w:rPr>
          <w:sz w:val="24"/>
          <w:szCs w:val="24"/>
        </w:rPr>
        <w:t>PECO Energy Company</w:t>
      </w:r>
      <w:r w:rsidRPr="007F27A1">
        <w:rPr>
          <w:sz w:val="24"/>
          <w:szCs w:val="24"/>
        </w:rPr>
        <w:t xml:space="preserve"> (</w:t>
      </w:r>
      <w:r w:rsidR="00D64027">
        <w:rPr>
          <w:sz w:val="24"/>
          <w:szCs w:val="24"/>
        </w:rPr>
        <w:t>PECO</w:t>
      </w:r>
      <w:r w:rsidRPr="007F27A1">
        <w:rPr>
          <w:sz w:val="24"/>
          <w:szCs w:val="24"/>
        </w:rPr>
        <w:t>), (</w:t>
      </w:r>
      <w:r w:rsidR="00042D7B" w:rsidRPr="007F27A1">
        <w:rPr>
          <w:sz w:val="24"/>
          <w:szCs w:val="24"/>
        </w:rPr>
        <w:t>R</w:t>
      </w:r>
      <w:r w:rsidRPr="007F27A1">
        <w:rPr>
          <w:sz w:val="24"/>
          <w:szCs w:val="24"/>
        </w:rPr>
        <w:t>espondent), with the Pennsylvania Public Utility Commission (Commission)</w:t>
      </w:r>
      <w:r w:rsidR="00042D7B" w:rsidRPr="007F27A1">
        <w:rPr>
          <w:sz w:val="24"/>
          <w:szCs w:val="24"/>
        </w:rPr>
        <w:t xml:space="preserve"> at Docket No.</w:t>
      </w:r>
      <w:r w:rsidR="00D64027">
        <w:rPr>
          <w:sz w:val="24"/>
          <w:szCs w:val="24"/>
        </w:rPr>
        <w:t xml:space="preserve"> F-2012-2285268</w:t>
      </w:r>
      <w:r w:rsidR="00DC38FC">
        <w:rPr>
          <w:sz w:val="24"/>
          <w:szCs w:val="24"/>
        </w:rPr>
        <w:t>.</w:t>
      </w:r>
      <w:r w:rsidR="002349A8">
        <w:rPr>
          <w:rStyle w:val="FootnoteReference"/>
          <w:sz w:val="24"/>
          <w:szCs w:val="24"/>
        </w:rPr>
        <w:footnoteReference w:id="1"/>
      </w:r>
    </w:p>
    <w:p w:rsidR="00906B96" w:rsidRPr="007F27A1" w:rsidRDefault="00906B96" w:rsidP="00DC38FC">
      <w:pPr>
        <w:spacing w:line="360" w:lineRule="auto"/>
        <w:ind w:firstLine="1440"/>
        <w:rPr>
          <w:sz w:val="24"/>
          <w:szCs w:val="24"/>
        </w:rPr>
      </w:pPr>
    </w:p>
    <w:p w:rsidR="000B4265" w:rsidRDefault="00303D99">
      <w:pPr>
        <w:spacing w:line="360" w:lineRule="auto"/>
        <w:ind w:firstLine="1440"/>
        <w:rPr>
          <w:sz w:val="24"/>
          <w:szCs w:val="24"/>
        </w:rPr>
      </w:pPr>
      <w:r w:rsidRPr="007F27A1">
        <w:rPr>
          <w:sz w:val="24"/>
          <w:szCs w:val="24"/>
        </w:rPr>
        <w:t>Complain</w:t>
      </w:r>
      <w:r w:rsidR="00906B96" w:rsidRPr="007F27A1">
        <w:rPr>
          <w:sz w:val="24"/>
          <w:szCs w:val="24"/>
        </w:rPr>
        <w:t>an</w:t>
      </w:r>
      <w:r w:rsidRPr="007F27A1">
        <w:rPr>
          <w:sz w:val="24"/>
          <w:szCs w:val="24"/>
        </w:rPr>
        <w:t xml:space="preserve">t </w:t>
      </w:r>
      <w:r w:rsidR="00F9654E">
        <w:rPr>
          <w:sz w:val="24"/>
          <w:szCs w:val="24"/>
        </w:rPr>
        <w:t xml:space="preserve">is a landlord who </w:t>
      </w:r>
      <w:r w:rsidR="00D64027">
        <w:rPr>
          <w:sz w:val="24"/>
          <w:szCs w:val="24"/>
        </w:rPr>
        <w:t>claims that PECO has been charging the first floor meter to the second floor</w:t>
      </w:r>
      <w:r w:rsidR="00C1290D">
        <w:rPr>
          <w:sz w:val="24"/>
          <w:szCs w:val="24"/>
        </w:rPr>
        <w:t xml:space="preserve"> tenant</w:t>
      </w:r>
      <w:r w:rsidR="00D64027">
        <w:rPr>
          <w:sz w:val="24"/>
          <w:szCs w:val="24"/>
        </w:rPr>
        <w:t xml:space="preserve"> and the second floor meter to the first floor</w:t>
      </w:r>
      <w:r w:rsidR="00C1290D">
        <w:rPr>
          <w:sz w:val="24"/>
          <w:szCs w:val="24"/>
        </w:rPr>
        <w:t xml:space="preserve"> tenant in a building owned by Complainant</w:t>
      </w:r>
      <w:r w:rsidR="00D64027">
        <w:rPr>
          <w:sz w:val="24"/>
          <w:szCs w:val="24"/>
        </w:rPr>
        <w:t xml:space="preserve">.  </w:t>
      </w:r>
      <w:r w:rsidR="001A455A">
        <w:rPr>
          <w:sz w:val="24"/>
          <w:szCs w:val="24"/>
        </w:rPr>
        <w:t xml:space="preserve">Complainant claims </w:t>
      </w:r>
      <w:r w:rsidR="00D64027">
        <w:rPr>
          <w:sz w:val="24"/>
          <w:szCs w:val="24"/>
        </w:rPr>
        <w:t>there is a reliability, safety</w:t>
      </w:r>
      <w:r w:rsidR="00C1290D">
        <w:rPr>
          <w:sz w:val="24"/>
          <w:szCs w:val="24"/>
        </w:rPr>
        <w:t>,</w:t>
      </w:r>
      <w:r w:rsidR="00D64027">
        <w:rPr>
          <w:sz w:val="24"/>
          <w:szCs w:val="24"/>
        </w:rPr>
        <w:t xml:space="preserve"> or quality problem with his service and he requests PECO be responsible for its mistake in this matter</w:t>
      </w:r>
      <w:r w:rsidR="001A455A">
        <w:rPr>
          <w:sz w:val="24"/>
          <w:szCs w:val="24"/>
        </w:rPr>
        <w:t>.  Complainant requests PECO be held accountable for its mix up; however,</w:t>
      </w:r>
      <w:r w:rsidR="00D64027">
        <w:rPr>
          <w:sz w:val="24"/>
          <w:szCs w:val="24"/>
        </w:rPr>
        <w:t xml:space="preserve"> Complainant </w:t>
      </w:r>
      <w:r w:rsidR="00C1290D">
        <w:rPr>
          <w:sz w:val="24"/>
          <w:szCs w:val="24"/>
        </w:rPr>
        <w:t>does not expressly request</w:t>
      </w:r>
      <w:r w:rsidR="00D64027">
        <w:rPr>
          <w:sz w:val="24"/>
          <w:szCs w:val="24"/>
        </w:rPr>
        <w:t xml:space="preserve"> </w:t>
      </w:r>
      <w:r w:rsidR="002178A3">
        <w:rPr>
          <w:sz w:val="24"/>
          <w:szCs w:val="24"/>
        </w:rPr>
        <w:t xml:space="preserve">monetary damages, credits on his account, </w:t>
      </w:r>
      <w:r w:rsidR="00C1290D">
        <w:rPr>
          <w:sz w:val="24"/>
          <w:szCs w:val="24"/>
        </w:rPr>
        <w:t>and/</w:t>
      </w:r>
      <w:r w:rsidR="002178A3">
        <w:rPr>
          <w:sz w:val="24"/>
          <w:szCs w:val="24"/>
        </w:rPr>
        <w:t>or civil penalties</w:t>
      </w:r>
      <w:r w:rsidR="00C1290D">
        <w:rPr>
          <w:sz w:val="24"/>
          <w:szCs w:val="24"/>
        </w:rPr>
        <w:t xml:space="preserve"> against Respondent</w:t>
      </w:r>
      <w:r w:rsidR="002178A3">
        <w:rPr>
          <w:sz w:val="24"/>
          <w:szCs w:val="24"/>
        </w:rPr>
        <w:t xml:space="preserve">. </w:t>
      </w:r>
      <w:r w:rsidR="000B4265">
        <w:rPr>
          <w:sz w:val="24"/>
          <w:szCs w:val="24"/>
        </w:rPr>
        <w:t xml:space="preserve"> </w:t>
      </w:r>
    </w:p>
    <w:p w:rsidR="00880FA8" w:rsidRDefault="00880FA8">
      <w:pPr>
        <w:spacing w:line="360" w:lineRule="auto"/>
        <w:ind w:firstLine="1440"/>
        <w:rPr>
          <w:sz w:val="24"/>
          <w:szCs w:val="24"/>
        </w:rPr>
      </w:pPr>
    </w:p>
    <w:p w:rsidR="002178A3" w:rsidRDefault="00303D99" w:rsidP="00C401B1">
      <w:pPr>
        <w:spacing w:line="360" w:lineRule="auto"/>
        <w:ind w:firstLine="1440"/>
        <w:rPr>
          <w:sz w:val="24"/>
          <w:szCs w:val="24"/>
        </w:rPr>
      </w:pPr>
      <w:r w:rsidRPr="007F27A1">
        <w:rPr>
          <w:sz w:val="24"/>
          <w:szCs w:val="24"/>
        </w:rPr>
        <w:t xml:space="preserve">On </w:t>
      </w:r>
      <w:r w:rsidR="002178A3">
        <w:rPr>
          <w:sz w:val="24"/>
          <w:szCs w:val="24"/>
        </w:rPr>
        <w:t>February 15, 2012</w:t>
      </w:r>
      <w:r w:rsidR="00D37FC8">
        <w:rPr>
          <w:sz w:val="24"/>
          <w:szCs w:val="24"/>
        </w:rPr>
        <w:t>, Respondent</w:t>
      </w:r>
      <w:r w:rsidRPr="007F27A1">
        <w:rPr>
          <w:sz w:val="24"/>
          <w:szCs w:val="24"/>
        </w:rPr>
        <w:t xml:space="preserve"> </w:t>
      </w:r>
      <w:r w:rsidR="00C401B1" w:rsidRPr="007F27A1">
        <w:rPr>
          <w:sz w:val="24"/>
          <w:szCs w:val="24"/>
        </w:rPr>
        <w:t xml:space="preserve">timely </w:t>
      </w:r>
      <w:r w:rsidRPr="007F27A1">
        <w:rPr>
          <w:sz w:val="24"/>
          <w:szCs w:val="24"/>
        </w:rPr>
        <w:t xml:space="preserve">filed and served an Answer and </w:t>
      </w:r>
      <w:r w:rsidR="0057507A" w:rsidRPr="007F27A1">
        <w:rPr>
          <w:sz w:val="24"/>
          <w:szCs w:val="24"/>
        </w:rPr>
        <w:t>Preliminary Objection</w:t>
      </w:r>
      <w:r w:rsidR="00906F34" w:rsidRPr="007F27A1">
        <w:rPr>
          <w:sz w:val="24"/>
          <w:szCs w:val="24"/>
        </w:rPr>
        <w:t>s</w:t>
      </w:r>
      <w:r w:rsidRPr="007F27A1">
        <w:rPr>
          <w:sz w:val="24"/>
          <w:szCs w:val="24"/>
        </w:rPr>
        <w:t>.  The Answer admitted and denied various material facts in the Complaint.</w:t>
      </w:r>
      <w:r w:rsidR="0057507A" w:rsidRPr="007F27A1">
        <w:rPr>
          <w:sz w:val="24"/>
          <w:szCs w:val="24"/>
        </w:rPr>
        <w:t xml:space="preserve">  </w:t>
      </w:r>
      <w:r w:rsidR="002178A3">
        <w:rPr>
          <w:sz w:val="24"/>
          <w:szCs w:val="24"/>
        </w:rPr>
        <w:t xml:space="preserve">PECO denies there is a reliability, safety or quality problem with service.  PECO </w:t>
      </w:r>
      <w:r w:rsidR="002178A3">
        <w:rPr>
          <w:sz w:val="24"/>
          <w:szCs w:val="24"/>
        </w:rPr>
        <w:lastRenderedPageBreak/>
        <w:t xml:space="preserve">admits the electric meter assigned to the first floor tenant and the electric </w:t>
      </w:r>
      <w:r w:rsidR="008C21F6">
        <w:rPr>
          <w:sz w:val="24"/>
          <w:szCs w:val="24"/>
        </w:rPr>
        <w:t>meter assigned to the second floor tenant was</w:t>
      </w:r>
      <w:r w:rsidR="002178A3">
        <w:rPr>
          <w:sz w:val="24"/>
          <w:szCs w:val="24"/>
        </w:rPr>
        <w:t xml:space="preserve"> transposed.  </w:t>
      </w:r>
      <w:r w:rsidR="00F9654E">
        <w:rPr>
          <w:sz w:val="24"/>
          <w:szCs w:val="24"/>
        </w:rPr>
        <w:t xml:space="preserve">PECO argues it discovered the foreign wiring and meter mix up on March 11, 2011, but that it legally </w:t>
      </w:r>
      <w:r w:rsidR="002178A3">
        <w:rPr>
          <w:sz w:val="24"/>
          <w:szCs w:val="24"/>
        </w:rPr>
        <w:t>list</w:t>
      </w:r>
      <w:r w:rsidR="00F9654E">
        <w:rPr>
          <w:sz w:val="24"/>
          <w:szCs w:val="24"/>
        </w:rPr>
        <w:t>ed</w:t>
      </w:r>
      <w:r w:rsidR="002178A3">
        <w:rPr>
          <w:sz w:val="24"/>
          <w:szCs w:val="24"/>
        </w:rPr>
        <w:t xml:space="preserve"> the account</w:t>
      </w:r>
      <w:r w:rsidR="00F9654E">
        <w:rPr>
          <w:sz w:val="24"/>
          <w:szCs w:val="24"/>
        </w:rPr>
        <w:t>s of the two tenants</w:t>
      </w:r>
      <w:r w:rsidR="002178A3">
        <w:rPr>
          <w:sz w:val="24"/>
          <w:szCs w:val="24"/>
        </w:rPr>
        <w:t xml:space="preserve">, including any arrearages in the name of the landlord who </w:t>
      </w:r>
      <w:r w:rsidR="00C1290D">
        <w:rPr>
          <w:sz w:val="24"/>
          <w:szCs w:val="24"/>
        </w:rPr>
        <w:t>wa</w:t>
      </w:r>
      <w:r w:rsidR="002178A3">
        <w:rPr>
          <w:sz w:val="24"/>
          <w:szCs w:val="24"/>
        </w:rPr>
        <w:t xml:space="preserve">s then responsible for paying the utility bills until the foreign load </w:t>
      </w:r>
      <w:r w:rsidR="00F9654E">
        <w:rPr>
          <w:sz w:val="24"/>
          <w:szCs w:val="24"/>
        </w:rPr>
        <w:t>was</w:t>
      </w:r>
      <w:r w:rsidR="002178A3">
        <w:rPr>
          <w:sz w:val="24"/>
          <w:szCs w:val="24"/>
        </w:rPr>
        <w:t xml:space="preserve"> corrected.</w:t>
      </w:r>
      <w:r w:rsidR="00F9654E">
        <w:rPr>
          <w:sz w:val="24"/>
          <w:szCs w:val="24"/>
        </w:rPr>
        <w:t xml:space="preserve">  Even after the correction </w:t>
      </w:r>
      <w:r w:rsidR="002349A8">
        <w:rPr>
          <w:sz w:val="24"/>
          <w:szCs w:val="24"/>
        </w:rPr>
        <w:t>was</w:t>
      </w:r>
      <w:r w:rsidR="00F9654E">
        <w:rPr>
          <w:sz w:val="24"/>
          <w:szCs w:val="24"/>
        </w:rPr>
        <w:t xml:space="preserve"> made, PECO claims it legally kept the arrearage the landlord’s responsibility.  PECO argues that to the extent any dispute regarding the financial parties exists, that is a matter to be resolved in the Court of Common Pleas as it is outside the Commission’s jurisdiction.  </w:t>
      </w:r>
    </w:p>
    <w:p w:rsidR="002178A3" w:rsidRDefault="002178A3" w:rsidP="00C401B1">
      <w:pPr>
        <w:spacing w:line="360" w:lineRule="auto"/>
        <w:ind w:firstLine="1440"/>
        <w:rPr>
          <w:sz w:val="24"/>
          <w:szCs w:val="24"/>
        </w:rPr>
      </w:pPr>
    </w:p>
    <w:p w:rsidR="00C401B1" w:rsidRPr="007F27A1" w:rsidRDefault="002178A3" w:rsidP="00C401B1">
      <w:pPr>
        <w:spacing w:line="360" w:lineRule="auto"/>
        <w:ind w:firstLine="1440"/>
        <w:rPr>
          <w:sz w:val="24"/>
          <w:szCs w:val="24"/>
        </w:rPr>
      </w:pPr>
      <w:r>
        <w:rPr>
          <w:sz w:val="24"/>
          <w:szCs w:val="24"/>
        </w:rPr>
        <w:t>PECO’s</w:t>
      </w:r>
      <w:r w:rsidR="00C401B1" w:rsidRPr="007F27A1">
        <w:rPr>
          <w:sz w:val="24"/>
          <w:szCs w:val="24"/>
        </w:rPr>
        <w:t xml:space="preserve"> Preliminary Objections are ripe for a decision.</w:t>
      </w:r>
    </w:p>
    <w:p w:rsidR="00D94420" w:rsidRPr="007F27A1" w:rsidRDefault="00D94420" w:rsidP="00D94420">
      <w:pPr>
        <w:spacing w:line="360" w:lineRule="auto"/>
        <w:jc w:val="center"/>
        <w:rPr>
          <w:sz w:val="24"/>
          <w:szCs w:val="24"/>
          <w:u w:val="single"/>
        </w:rPr>
      </w:pPr>
    </w:p>
    <w:p w:rsidR="00BE352F" w:rsidRDefault="00BE352F" w:rsidP="00BE352F">
      <w:pPr>
        <w:spacing w:line="360" w:lineRule="auto"/>
        <w:jc w:val="center"/>
        <w:rPr>
          <w:u w:val="single"/>
        </w:rPr>
      </w:pPr>
      <w:r>
        <w:rPr>
          <w:u w:val="single"/>
        </w:rPr>
        <w:t>DISCUSSION</w:t>
      </w:r>
    </w:p>
    <w:p w:rsidR="00BE352F" w:rsidRDefault="00BE352F" w:rsidP="00BE352F">
      <w:pPr>
        <w:spacing w:line="360" w:lineRule="auto"/>
        <w:jc w:val="center"/>
        <w:rPr>
          <w:u w:val="single"/>
        </w:rPr>
      </w:pPr>
    </w:p>
    <w:p w:rsidR="00BE352F" w:rsidRDefault="00BE352F" w:rsidP="00BE352F">
      <w:pPr>
        <w:spacing w:line="360" w:lineRule="auto"/>
      </w:pPr>
      <w:r>
        <w:tab/>
      </w:r>
      <w:r>
        <w:tab/>
        <w:t xml:space="preserve">Preliminary objections are appropriate under Commission regulations.  52 Pa. Code § 5.101.  Commission preliminary objection practice is similar to </w:t>
      </w:r>
      <w:smartTag w:uri="urn:schemas-microsoft-com:office:smarttags" w:element="place">
        <w:smartTag w:uri="urn:schemas-microsoft-com:office:smarttags" w:element="State">
          <w:r>
            <w:t>Pennsylvania</w:t>
          </w:r>
        </w:smartTag>
      </w:smartTag>
      <w:r>
        <w:t xml:space="preserve"> civil practice respecting the filing of preliminary objections.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C-000935435 (July 18, 1994).    </w:t>
      </w:r>
    </w:p>
    <w:p w:rsidR="00BE352F" w:rsidRDefault="00BE352F" w:rsidP="00BE352F">
      <w:pPr>
        <w:spacing w:line="360" w:lineRule="auto"/>
      </w:pPr>
    </w:p>
    <w:p w:rsidR="00BE352F" w:rsidRDefault="00BE352F" w:rsidP="00BE352F">
      <w:pPr>
        <w:spacing w:line="360" w:lineRule="auto"/>
        <w:ind w:left="720" w:firstLine="720"/>
      </w:pPr>
      <w:r>
        <w:t>Preliminary objections are limited to the following:</w:t>
      </w:r>
    </w:p>
    <w:p w:rsidR="00BE352F" w:rsidRDefault="00BE352F" w:rsidP="00BE352F">
      <w:pPr>
        <w:spacing w:line="360" w:lineRule="auto"/>
      </w:pPr>
    </w:p>
    <w:p w:rsidR="00BE352F" w:rsidRDefault="00BE352F" w:rsidP="00BE352F">
      <w:pPr>
        <w:ind w:left="1440" w:right="1440"/>
        <w:rPr>
          <w:b/>
        </w:rPr>
      </w:pPr>
      <w:r>
        <w:rPr>
          <w:b/>
        </w:rPr>
        <w:t>§ 5.101.  Preliminary objections.</w:t>
      </w:r>
    </w:p>
    <w:p w:rsidR="00BE352F" w:rsidRDefault="00BE352F" w:rsidP="00BE352F">
      <w:pPr>
        <w:ind w:left="1440" w:right="1440"/>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E352F" w:rsidRDefault="00BE352F" w:rsidP="00BE352F">
      <w:pPr>
        <w:ind w:left="1440" w:right="1440"/>
        <w:rPr>
          <w:i/>
        </w:rPr>
      </w:pPr>
    </w:p>
    <w:p w:rsidR="00BE352F" w:rsidRDefault="00BE352F" w:rsidP="00BE352F">
      <w:pPr>
        <w:ind w:left="1440" w:right="1440"/>
      </w:pPr>
      <w:r>
        <w:t>(1)  Lack of Commission jurisdiction or improper service of the pleading initiating the proceeding.</w:t>
      </w:r>
    </w:p>
    <w:p w:rsidR="00BE352F" w:rsidRDefault="00BE352F" w:rsidP="00BE352F">
      <w:pPr>
        <w:ind w:left="1440" w:right="1440"/>
      </w:pPr>
    </w:p>
    <w:p w:rsidR="00BE352F" w:rsidRDefault="00BE352F" w:rsidP="00BE352F">
      <w:pPr>
        <w:ind w:left="1440" w:right="1440"/>
      </w:pPr>
      <w:r>
        <w:t>(2)  Failure of a pleading to conform to this chapter or the inclusion of scandalous or impertinent matter.</w:t>
      </w:r>
    </w:p>
    <w:p w:rsidR="00BE352F" w:rsidRDefault="00BE352F" w:rsidP="00BE352F">
      <w:pPr>
        <w:ind w:left="1440" w:right="1440"/>
      </w:pPr>
    </w:p>
    <w:p w:rsidR="00BE352F" w:rsidRDefault="00BE352F" w:rsidP="00BE352F">
      <w:pPr>
        <w:ind w:left="1440" w:right="1440"/>
      </w:pPr>
      <w:r>
        <w:t>(3)  Insufficient specificity of a pleading.</w:t>
      </w:r>
    </w:p>
    <w:p w:rsidR="00BE352F" w:rsidRDefault="00BE352F" w:rsidP="00BE352F">
      <w:pPr>
        <w:ind w:left="1440" w:right="1440"/>
      </w:pPr>
    </w:p>
    <w:p w:rsidR="00BE352F" w:rsidRDefault="00BE352F" w:rsidP="00BE352F">
      <w:pPr>
        <w:ind w:left="1440" w:right="1440"/>
      </w:pPr>
      <w:r>
        <w:t>(4)  Legal insufficiency of a pleading.</w:t>
      </w:r>
    </w:p>
    <w:p w:rsidR="00BE352F" w:rsidRDefault="00BE352F" w:rsidP="00BE352F">
      <w:pPr>
        <w:ind w:left="1440" w:right="1440"/>
      </w:pPr>
    </w:p>
    <w:p w:rsidR="00BE352F" w:rsidRDefault="00BE352F" w:rsidP="00BE352F">
      <w:pPr>
        <w:ind w:left="1440" w:right="1440"/>
      </w:pPr>
      <w:r>
        <w:t>(5) Lack of capacity to sue, nonjoinder of a necessary party or misjoinder of a cause of action.</w:t>
      </w:r>
    </w:p>
    <w:p w:rsidR="00BE352F" w:rsidRDefault="00BE352F" w:rsidP="00BE352F">
      <w:pPr>
        <w:ind w:left="1440" w:right="1440"/>
      </w:pPr>
    </w:p>
    <w:p w:rsidR="00BE352F" w:rsidRDefault="00BE352F" w:rsidP="00BE352F">
      <w:pPr>
        <w:ind w:left="1440" w:right="1440"/>
      </w:pPr>
      <w:r>
        <w:t>(6)  Pendency of a prior proceeding or agreement for alternative dispute resolution.</w:t>
      </w:r>
    </w:p>
    <w:p w:rsidR="00BE352F" w:rsidRDefault="00BE352F" w:rsidP="00BE352F">
      <w:pPr>
        <w:ind w:left="1440" w:right="1440"/>
        <w:jc w:val="center"/>
      </w:pPr>
      <w:r>
        <w:t xml:space="preserve">* * * </w:t>
      </w:r>
    </w:p>
    <w:p w:rsidR="00BE352F" w:rsidRDefault="00BE352F" w:rsidP="00BE352F">
      <w:pPr>
        <w:ind w:left="1440" w:right="1440"/>
      </w:pPr>
      <w:r>
        <w:t xml:space="preserve">52 Pa. Code § 5.101(a).  </w:t>
      </w:r>
    </w:p>
    <w:p w:rsidR="00BE352F" w:rsidRDefault="00BE352F" w:rsidP="00BE352F">
      <w:pPr>
        <w:spacing w:line="360" w:lineRule="auto"/>
      </w:pPr>
      <w:r>
        <w:tab/>
      </w:r>
      <w:r>
        <w:tab/>
      </w:r>
    </w:p>
    <w:p w:rsidR="00BE352F" w:rsidRDefault="00BE352F" w:rsidP="00BE352F">
      <w:pPr>
        <w:spacing w:line="360" w:lineRule="auto"/>
      </w:pPr>
      <w:r>
        <w:tab/>
      </w:r>
      <w:r>
        <w:tab/>
        <w:t xml:space="preserve">When considering the preliminary objection, the Commission must determine “whether the law says with certainty, based on well-pleading factual averments . . . that no recovery or relief is possible.”  </w:t>
      </w:r>
      <w:r>
        <w:rPr>
          <w:i/>
        </w:rPr>
        <w:t xml:space="preserve">P. J. S. v. Pa. State Ethics Commission, </w:t>
      </w:r>
      <w:r>
        <w:t xml:space="preserve">669 A.2d 1105 (Pa. Cmwlth. 1996).  Any doubt must be resolved in favor of the non-moving party by refusing to sustain the preliminary objections.  </w:t>
      </w:r>
      <w:r>
        <w:rPr>
          <w:i/>
        </w:rPr>
        <w:t xml:space="preserve">Boyd v. Ward, </w:t>
      </w:r>
      <w:r>
        <w:t xml:space="preserve">802 A.2d 705 (Pa. Cmwlth. 2002).”  </w:t>
      </w:r>
      <w:r>
        <w:rPr>
          <w:i/>
        </w:rPr>
        <w:t xml:space="preserve">Dept. of Auditor General, et al. v. State Employees’ Retirement System, et al., </w:t>
      </w:r>
      <w:r>
        <w:t xml:space="preserve">836 A.2d 1053, 1064 (Pa. Cmwlth. 2003).  </w:t>
      </w:r>
      <w:r>
        <w:rPr>
          <w:i/>
        </w:rPr>
        <w:t xml:space="preserve"> </w:t>
      </w:r>
    </w:p>
    <w:p w:rsidR="00BE352F" w:rsidRDefault="00BE352F" w:rsidP="00BE352F">
      <w:pPr>
        <w:tabs>
          <w:tab w:val="left" w:pos="-1440"/>
          <w:tab w:val="left" w:pos="-720"/>
        </w:tabs>
        <w:suppressAutoHyphens/>
        <w:spacing w:line="360" w:lineRule="auto"/>
        <w:ind w:firstLine="1440"/>
      </w:pPr>
    </w:p>
    <w:p w:rsidR="00BE352F" w:rsidRDefault="00BE352F" w:rsidP="00BE352F">
      <w:pPr>
        <w:tabs>
          <w:tab w:val="left" w:pos="-1440"/>
          <w:tab w:val="left" w:pos="-720"/>
        </w:tabs>
        <w:suppressAutoHyphens/>
        <w:spacing w:line="360" w:lineRule="auto"/>
        <w:ind w:firstLine="1440"/>
      </w:pPr>
      <w:r>
        <w:t xml:space="preserve">The Commission must act within, and cannot exceed its jurisdiction.  </w:t>
      </w:r>
      <w:r>
        <w:rPr>
          <w:i/>
        </w:rPr>
        <w:t xml:space="preserve">City of Pittsburgh v. PUC, </w:t>
      </w:r>
      <w:r>
        <w:t xml:space="preserve">157 Pa. Super 595, 43 A.2d 348 (1945).  Jurisdiction may not be conferred by the parties where none exists.  </w:t>
      </w:r>
      <w:r>
        <w:rPr>
          <w:i/>
        </w:rPr>
        <w:t xml:space="preserve">Roberts v. Martorano, </w:t>
      </w:r>
      <w:r>
        <w:t>427 Pa. 581, 235 A.2d 602</w:t>
      </w:r>
      <w:r w:rsidR="001A455A">
        <w:t xml:space="preserve"> </w:t>
      </w:r>
      <w:r>
        <w:t xml:space="preserve">(1967).  A hearing is necessary only to resolve disputed questions of fact, and when the question presented is one of law, the Commission need not hold a hearing  </w:t>
      </w:r>
      <w:r>
        <w:rPr>
          <w:i/>
        </w:rPr>
        <w:t xml:space="preserve">Lehigh Valley Power Comm. V. PUC, </w:t>
      </w:r>
      <w:r>
        <w:t xml:space="preserve">128 Pa.Cmwlth. 259, 563 A.2d 548 (1989), </w:t>
      </w:r>
      <w:r>
        <w:rPr>
          <w:i/>
        </w:rPr>
        <w:t xml:space="preserve">Edan Transportation Corp. v. PUC, </w:t>
      </w:r>
      <w:r>
        <w:t xml:space="preserve">154 Pa.Cmwlth. 21, 623 A.2d 6 (1993).  </w:t>
      </w:r>
    </w:p>
    <w:p w:rsidR="00BE352F" w:rsidRDefault="00BE352F" w:rsidP="00BE352F">
      <w:pPr>
        <w:tabs>
          <w:tab w:val="left" w:pos="-1440"/>
          <w:tab w:val="left" w:pos="-720"/>
        </w:tabs>
        <w:suppressAutoHyphens/>
        <w:spacing w:line="360" w:lineRule="auto"/>
        <w:ind w:firstLine="1440"/>
      </w:pPr>
    </w:p>
    <w:p w:rsidR="00BE352F" w:rsidRDefault="00BE352F" w:rsidP="00BE352F">
      <w:pPr>
        <w:tabs>
          <w:tab w:val="left" w:pos="-1440"/>
          <w:tab w:val="left" w:pos="-720"/>
        </w:tabs>
        <w:suppressAutoHyphens/>
        <w:spacing w:line="360" w:lineRule="auto"/>
        <w:ind w:firstLine="1440"/>
      </w:pPr>
      <w:r>
        <w:t xml:space="preserve">Preliminary objections in civil practice requesting dismissal of a pleading will be granted only where the right to relief is clearly warranted and free from doubt.  </w:t>
      </w:r>
      <w:r>
        <w:rPr>
          <w:i/>
        </w:rPr>
        <w:t>Interstate Traveller Services, Inc. v. Pa. Dept. of Environment Resources,</w:t>
      </w:r>
      <w:r>
        <w:t xml:space="preserve"> 406 A.2d 1020 (Pa. 1979); </w:t>
      </w:r>
      <w:r>
        <w:rPr>
          <w:i/>
        </w:rPr>
        <w:t>Rivera v. Philadelphia Theological Seminary of St. Charles Borromeo, Inc.</w:t>
      </w:r>
      <w:r>
        <w:t xml:space="preserve">, </w:t>
      </w:r>
      <w:r>
        <w:lastRenderedPageBreak/>
        <w:t xml:space="preserve">595 A.2d 172 (Pa. Super 1991).  The Commission follows this standard.  </w:t>
      </w:r>
      <w:r>
        <w:rPr>
          <w:i/>
        </w:rPr>
        <w:t>Montague v. Philadelphia Electric Company,</w:t>
      </w:r>
      <w:r>
        <w:t xml:space="preserve"> 66 Pa.PUC 24 (1988).</w:t>
      </w:r>
    </w:p>
    <w:p w:rsidR="00C10E88" w:rsidRPr="00C10E88" w:rsidRDefault="00C10E88" w:rsidP="00C401B1">
      <w:pPr>
        <w:tabs>
          <w:tab w:val="left" w:pos="-1440"/>
          <w:tab w:val="left" w:pos="-720"/>
        </w:tabs>
        <w:suppressAutoHyphens/>
        <w:spacing w:line="360" w:lineRule="auto"/>
        <w:ind w:firstLine="1440"/>
        <w:rPr>
          <w:sz w:val="24"/>
          <w:szCs w:val="24"/>
          <w:u w:val="single"/>
        </w:rPr>
      </w:pPr>
    </w:p>
    <w:p w:rsidR="00FB4E91" w:rsidRDefault="00261C7A" w:rsidP="00662041">
      <w:pPr>
        <w:tabs>
          <w:tab w:val="left" w:pos="-1440"/>
          <w:tab w:val="left" w:pos="-720"/>
        </w:tabs>
        <w:suppressAutoHyphens/>
        <w:spacing w:line="360" w:lineRule="auto"/>
        <w:ind w:firstLine="1440"/>
        <w:rPr>
          <w:sz w:val="24"/>
          <w:szCs w:val="24"/>
        </w:rPr>
      </w:pPr>
      <w:r w:rsidRPr="00261C7A">
        <w:rPr>
          <w:sz w:val="24"/>
          <w:szCs w:val="24"/>
        </w:rPr>
        <w:t xml:space="preserve">On May 21, 2010, the Commission entered an Opinion and Order in the case of </w:t>
      </w:r>
      <w:r w:rsidRPr="00261C7A">
        <w:rPr>
          <w:i/>
          <w:sz w:val="24"/>
          <w:szCs w:val="24"/>
        </w:rPr>
        <w:t>Ace Check Cashing, Inc. v. Philadelphia Gas Works, Eddie and Jennifer West, Indispensable parties,</w:t>
      </w:r>
      <w:r w:rsidRPr="00261C7A">
        <w:rPr>
          <w:sz w:val="24"/>
          <w:szCs w:val="24"/>
        </w:rPr>
        <w:t xml:space="preserve"> Docket No. C-2008-2056428, which held landlord Ace Check Cashing, Inc. responsible for payment of past due balance related to its tenants, Eddie and Jennifer West’s account with Philadelphia Gas Works at </w:t>
      </w:r>
      <w:r>
        <w:rPr>
          <w:sz w:val="24"/>
          <w:szCs w:val="24"/>
        </w:rPr>
        <w:t>a l</w:t>
      </w:r>
      <w:r w:rsidRPr="00261C7A">
        <w:rPr>
          <w:sz w:val="24"/>
          <w:szCs w:val="24"/>
        </w:rPr>
        <w:t>andlord</w:t>
      </w:r>
      <w:r>
        <w:rPr>
          <w:sz w:val="24"/>
          <w:szCs w:val="24"/>
        </w:rPr>
        <w:t>/tenant</w:t>
      </w:r>
      <w:r w:rsidRPr="00261C7A">
        <w:rPr>
          <w:sz w:val="24"/>
          <w:szCs w:val="24"/>
        </w:rPr>
        <w:t xml:space="preserve"> service address.</w:t>
      </w:r>
      <w:r>
        <w:rPr>
          <w:sz w:val="24"/>
          <w:szCs w:val="24"/>
        </w:rPr>
        <w:t xml:space="preserve">  The Commission </w:t>
      </w:r>
      <w:r w:rsidR="006C27FD">
        <w:rPr>
          <w:sz w:val="24"/>
          <w:szCs w:val="24"/>
        </w:rPr>
        <w:t>criticized</w:t>
      </w:r>
      <w:r>
        <w:rPr>
          <w:sz w:val="24"/>
          <w:szCs w:val="24"/>
        </w:rPr>
        <w:t xml:space="preserve"> its prior holding in </w:t>
      </w:r>
      <w:r w:rsidRPr="00261C7A">
        <w:rPr>
          <w:i/>
          <w:sz w:val="24"/>
          <w:szCs w:val="24"/>
        </w:rPr>
        <w:t>Afshari v. PPL Electric Utilities Corporation (</w:t>
      </w:r>
      <w:r w:rsidR="008C21F6" w:rsidRPr="00261C7A">
        <w:rPr>
          <w:i/>
          <w:sz w:val="24"/>
          <w:szCs w:val="24"/>
        </w:rPr>
        <w:t>Indispensable</w:t>
      </w:r>
      <w:r w:rsidRPr="00261C7A">
        <w:rPr>
          <w:i/>
          <w:sz w:val="24"/>
          <w:szCs w:val="24"/>
        </w:rPr>
        <w:t xml:space="preserve"> Party),</w:t>
      </w:r>
      <w:r>
        <w:rPr>
          <w:sz w:val="24"/>
          <w:szCs w:val="24"/>
        </w:rPr>
        <w:t xml:space="preserve"> Docket No. C-20055547 (Pa.PUC April 9, 2008), which had allowed the joinder of tenants as indispensable parties to complaints involving foreign load detected regarding landlord/tenant situations.  Under </w:t>
      </w:r>
      <w:r w:rsidRPr="00261C7A">
        <w:rPr>
          <w:i/>
          <w:sz w:val="24"/>
          <w:szCs w:val="24"/>
        </w:rPr>
        <w:t>Afshari,</w:t>
      </w:r>
      <w:r>
        <w:rPr>
          <w:sz w:val="24"/>
          <w:szCs w:val="24"/>
        </w:rPr>
        <w:t xml:space="preserve"> the landlord had the burden of proof to show what portion of the bill was due to foreign load.  Ultimately, the landlord could be charged less than the full account attributable to him/her if he she could prove an amount was attributable to foreign load. </w:t>
      </w:r>
      <w:r w:rsidR="00FB4E91">
        <w:rPr>
          <w:sz w:val="24"/>
          <w:szCs w:val="24"/>
        </w:rPr>
        <w:t xml:space="preserve">  The </w:t>
      </w:r>
      <w:r w:rsidR="00FB4E91" w:rsidRPr="00FB4E91">
        <w:rPr>
          <w:i/>
          <w:sz w:val="24"/>
          <w:szCs w:val="24"/>
        </w:rPr>
        <w:t>Ace Check Cashing Case</w:t>
      </w:r>
      <w:r w:rsidR="00FB4E91">
        <w:rPr>
          <w:sz w:val="24"/>
          <w:szCs w:val="24"/>
        </w:rPr>
        <w:t xml:space="preserve"> criticized the ALJ’s Initial Decision to attribute $300 as a reasonable amount to attribute to foreign load.  </w:t>
      </w:r>
      <w:r w:rsidR="006C27FD">
        <w:rPr>
          <w:sz w:val="24"/>
          <w:szCs w:val="24"/>
        </w:rPr>
        <w:t>T</w:t>
      </w:r>
      <w:r w:rsidR="00FB4E91">
        <w:rPr>
          <w:sz w:val="24"/>
          <w:szCs w:val="24"/>
        </w:rPr>
        <w:t xml:space="preserve">he ALJ </w:t>
      </w:r>
      <w:r w:rsidR="006C27FD">
        <w:rPr>
          <w:sz w:val="24"/>
          <w:szCs w:val="24"/>
        </w:rPr>
        <w:t xml:space="preserve">had </w:t>
      </w:r>
      <w:r w:rsidR="00FB4E91">
        <w:rPr>
          <w:sz w:val="24"/>
          <w:szCs w:val="24"/>
        </w:rPr>
        <w:t xml:space="preserve">found that proper notice of the hearing was given to the tenants, and since they failed to appear at the hearing, they were responsible for the remainder of the past balance due of approximately $817.  The Commission held that since it does not have jurisdiction over a financial dispute between two non-utility parties, it did not have proper subject matter jurisdiction over that dispute between a property owner and tenant, two non-utility parties.  Although the dispute involved utility rates, when the </w:t>
      </w:r>
      <w:r w:rsidR="008C21F6">
        <w:rPr>
          <w:sz w:val="24"/>
          <w:szCs w:val="24"/>
        </w:rPr>
        <w:t>charges</w:t>
      </w:r>
      <w:r w:rsidR="00FB4E91">
        <w:rPr>
          <w:sz w:val="24"/>
          <w:szCs w:val="24"/>
        </w:rPr>
        <w:t xml:space="preserve"> owed to the utility for past </w:t>
      </w:r>
      <w:r w:rsidR="008C21F6">
        <w:rPr>
          <w:sz w:val="24"/>
          <w:szCs w:val="24"/>
        </w:rPr>
        <w:t>service</w:t>
      </w:r>
      <w:r w:rsidR="00FB4E91">
        <w:rPr>
          <w:sz w:val="24"/>
          <w:szCs w:val="24"/>
        </w:rPr>
        <w:t xml:space="preserve"> was settled, </w:t>
      </w:r>
      <w:r w:rsidR="008C21F6">
        <w:rPr>
          <w:sz w:val="24"/>
          <w:szCs w:val="24"/>
        </w:rPr>
        <w:t>the only</w:t>
      </w:r>
      <w:r w:rsidR="00FB4E91">
        <w:rPr>
          <w:sz w:val="24"/>
          <w:szCs w:val="24"/>
        </w:rPr>
        <w:t xml:space="preserve"> issue to be decided </w:t>
      </w:r>
      <w:r w:rsidR="006C27FD">
        <w:rPr>
          <w:sz w:val="24"/>
          <w:szCs w:val="24"/>
        </w:rPr>
        <w:t>wa</w:t>
      </w:r>
      <w:r w:rsidR="00FB4E91">
        <w:rPr>
          <w:sz w:val="24"/>
          <w:szCs w:val="24"/>
        </w:rPr>
        <w:t>s the financial responsibility for the charges, and that matter c</w:t>
      </w:r>
      <w:r w:rsidR="006C27FD">
        <w:rPr>
          <w:sz w:val="24"/>
          <w:szCs w:val="24"/>
        </w:rPr>
        <w:t>ould</w:t>
      </w:r>
      <w:r w:rsidR="00FB4E91">
        <w:rPr>
          <w:sz w:val="24"/>
          <w:szCs w:val="24"/>
        </w:rPr>
        <w:t xml:space="preserve"> be handled by the trial courts. </w:t>
      </w:r>
    </w:p>
    <w:p w:rsidR="00FB4E91" w:rsidRDefault="00FB4E91" w:rsidP="00662041">
      <w:pPr>
        <w:tabs>
          <w:tab w:val="left" w:pos="-1440"/>
          <w:tab w:val="left" w:pos="-720"/>
        </w:tabs>
        <w:suppressAutoHyphens/>
        <w:spacing w:line="360" w:lineRule="auto"/>
        <w:ind w:firstLine="1440"/>
        <w:rPr>
          <w:sz w:val="24"/>
          <w:szCs w:val="24"/>
        </w:rPr>
      </w:pPr>
    </w:p>
    <w:p w:rsidR="006C27FD" w:rsidRDefault="00FB4E91" w:rsidP="00662041">
      <w:pPr>
        <w:tabs>
          <w:tab w:val="left" w:pos="-1440"/>
          <w:tab w:val="left" w:pos="-720"/>
        </w:tabs>
        <w:suppressAutoHyphens/>
        <w:spacing w:line="360" w:lineRule="auto"/>
        <w:ind w:firstLine="1440"/>
        <w:rPr>
          <w:i/>
          <w:sz w:val="24"/>
          <w:szCs w:val="24"/>
        </w:rPr>
      </w:pPr>
      <w:r>
        <w:rPr>
          <w:sz w:val="24"/>
          <w:szCs w:val="24"/>
        </w:rPr>
        <w:t xml:space="preserve">The </w:t>
      </w:r>
      <w:r w:rsidR="00C1290D">
        <w:rPr>
          <w:sz w:val="24"/>
          <w:szCs w:val="24"/>
        </w:rPr>
        <w:t>C</w:t>
      </w:r>
      <w:r>
        <w:rPr>
          <w:sz w:val="24"/>
          <w:szCs w:val="24"/>
        </w:rPr>
        <w:t xml:space="preserve">ommission </w:t>
      </w:r>
      <w:r w:rsidR="008C21F6">
        <w:rPr>
          <w:sz w:val="24"/>
          <w:szCs w:val="24"/>
        </w:rPr>
        <w:t>interpreted</w:t>
      </w:r>
      <w:r>
        <w:rPr>
          <w:sz w:val="24"/>
          <w:szCs w:val="24"/>
        </w:rPr>
        <w:t xml:space="preserve"> Section 1529.1 of the Public Utility Code, 66 Pa.C.S. § 1529.1</w:t>
      </w:r>
      <w:r w:rsidR="006C27FD">
        <w:rPr>
          <w:sz w:val="24"/>
          <w:szCs w:val="24"/>
        </w:rPr>
        <w:t>,</w:t>
      </w:r>
      <w:r>
        <w:rPr>
          <w:sz w:val="24"/>
          <w:szCs w:val="24"/>
        </w:rPr>
        <w:t xml:space="preserve"> to require the property owner </w:t>
      </w:r>
      <w:proofErr w:type="gramStart"/>
      <w:r>
        <w:rPr>
          <w:sz w:val="24"/>
          <w:szCs w:val="24"/>
        </w:rPr>
        <w:t>be</w:t>
      </w:r>
      <w:proofErr w:type="gramEnd"/>
      <w:r>
        <w:rPr>
          <w:sz w:val="24"/>
          <w:szCs w:val="24"/>
        </w:rPr>
        <w:t xml:space="preserve"> financially responsible for a tenant’s entire account once foreign load is verified on the tenant’s service.  </w:t>
      </w:r>
      <w:r w:rsidR="00612C7C">
        <w:rPr>
          <w:sz w:val="24"/>
          <w:szCs w:val="24"/>
        </w:rPr>
        <w:t xml:space="preserve">The Commission cited as precedent for this reasoning the case of </w:t>
      </w:r>
      <w:r w:rsidR="00612C7C">
        <w:rPr>
          <w:i/>
          <w:sz w:val="24"/>
          <w:szCs w:val="24"/>
        </w:rPr>
        <w:t xml:space="preserve">Elizabeth Santos v. Met Ed, </w:t>
      </w:r>
      <w:r w:rsidR="00612C7C">
        <w:rPr>
          <w:sz w:val="24"/>
          <w:szCs w:val="24"/>
        </w:rPr>
        <w:t xml:space="preserve">Docket No. </w:t>
      </w:r>
      <w:proofErr w:type="gramStart"/>
      <w:r w:rsidR="00612C7C">
        <w:rPr>
          <w:sz w:val="24"/>
          <w:szCs w:val="24"/>
        </w:rPr>
        <w:t>C-00967757 (Order entered August 7, 1997), which held that Section 1529.1(c) operates to place both current bills and all arrearages in the landlord’s name if the landlord failed to provide the notice required by Subsection (a).</w:t>
      </w:r>
      <w:proofErr w:type="gramEnd"/>
      <w:r w:rsidR="00612C7C">
        <w:rPr>
          <w:sz w:val="24"/>
          <w:szCs w:val="24"/>
        </w:rPr>
        <w:t xml:space="preserve">  The Commission’s decision in the </w:t>
      </w:r>
      <w:proofErr w:type="spellStart"/>
      <w:r w:rsidR="00612C7C" w:rsidRPr="00612C7C">
        <w:rPr>
          <w:i/>
          <w:sz w:val="24"/>
          <w:szCs w:val="24"/>
        </w:rPr>
        <w:t>Afshari</w:t>
      </w:r>
      <w:proofErr w:type="spellEnd"/>
      <w:r w:rsidR="00612C7C" w:rsidRPr="00612C7C">
        <w:rPr>
          <w:i/>
          <w:sz w:val="24"/>
          <w:szCs w:val="24"/>
        </w:rPr>
        <w:t xml:space="preserve"> </w:t>
      </w:r>
      <w:r w:rsidR="00612C7C">
        <w:rPr>
          <w:sz w:val="24"/>
          <w:szCs w:val="24"/>
        </w:rPr>
        <w:t xml:space="preserve">case sought to avoid an unreasonably harsh result for the </w:t>
      </w:r>
      <w:r w:rsidR="00612C7C">
        <w:rPr>
          <w:sz w:val="24"/>
          <w:szCs w:val="24"/>
        </w:rPr>
        <w:lastRenderedPageBreak/>
        <w:t xml:space="preserve">landlord in that it did not require the owner to be responsible for the tenant’s potentially large arrearages, especially where the foreign load is </w:t>
      </w:r>
      <w:r w:rsidR="00612C7C">
        <w:rPr>
          <w:i/>
          <w:sz w:val="24"/>
          <w:szCs w:val="24"/>
        </w:rPr>
        <w:t xml:space="preserve">de minimus.  </w:t>
      </w:r>
    </w:p>
    <w:p w:rsidR="006C27FD" w:rsidRDefault="006C27FD" w:rsidP="00662041">
      <w:pPr>
        <w:tabs>
          <w:tab w:val="left" w:pos="-1440"/>
          <w:tab w:val="left" w:pos="-720"/>
        </w:tabs>
        <w:suppressAutoHyphens/>
        <w:spacing w:line="360" w:lineRule="auto"/>
        <w:ind w:firstLine="1440"/>
        <w:rPr>
          <w:i/>
          <w:sz w:val="24"/>
          <w:szCs w:val="24"/>
        </w:rPr>
      </w:pPr>
    </w:p>
    <w:p w:rsidR="006C27FD" w:rsidRDefault="00612C7C" w:rsidP="00662041">
      <w:pPr>
        <w:tabs>
          <w:tab w:val="left" w:pos="-1440"/>
          <w:tab w:val="left" w:pos="-720"/>
        </w:tabs>
        <w:suppressAutoHyphens/>
        <w:spacing w:line="360" w:lineRule="auto"/>
        <w:ind w:firstLine="1440"/>
        <w:rPr>
          <w:sz w:val="24"/>
          <w:szCs w:val="24"/>
        </w:rPr>
      </w:pPr>
      <w:r>
        <w:rPr>
          <w:sz w:val="24"/>
          <w:szCs w:val="24"/>
        </w:rPr>
        <w:t xml:space="preserve">However, in the </w:t>
      </w:r>
      <w:r w:rsidRPr="00C1290D">
        <w:rPr>
          <w:i/>
          <w:sz w:val="24"/>
          <w:szCs w:val="24"/>
        </w:rPr>
        <w:t xml:space="preserve">Ace Check Cashing, Inc. </w:t>
      </w:r>
      <w:r>
        <w:rPr>
          <w:sz w:val="24"/>
          <w:szCs w:val="24"/>
        </w:rPr>
        <w:t xml:space="preserve">case, the Commission criticized its prior ruling reasoning that this approach will lessen the incentive for the landlord to correct wiring, </w:t>
      </w:r>
      <w:r w:rsidR="006C27FD">
        <w:rPr>
          <w:sz w:val="24"/>
          <w:szCs w:val="24"/>
        </w:rPr>
        <w:t>plumbing</w:t>
      </w:r>
      <w:r>
        <w:rPr>
          <w:sz w:val="24"/>
          <w:szCs w:val="24"/>
        </w:rPr>
        <w:t xml:space="preserve"> or piping problems for which the landlord is responsible.  Further, the Commission reasoned that the limitation of a landlord’s financial </w:t>
      </w:r>
      <w:r w:rsidR="006C27FD">
        <w:rPr>
          <w:sz w:val="24"/>
          <w:szCs w:val="24"/>
        </w:rPr>
        <w:t>responsibility</w:t>
      </w:r>
      <w:r>
        <w:rPr>
          <w:sz w:val="24"/>
          <w:szCs w:val="24"/>
        </w:rPr>
        <w:t xml:space="preserve"> for arrearages being strictly limited to the foreign load portion of the arrearage is problematic because the statutory remedy for failure to provide notice provided in Subsection (c) refers to Subsection (b) which mandates that the landlord “shall thereafter be responsible for the payment for the utility services rendered</w:t>
      </w:r>
      <w:r w:rsidR="006C27FD">
        <w:rPr>
          <w:sz w:val="24"/>
          <w:szCs w:val="24"/>
        </w:rPr>
        <w:t xml:space="preserve"> thereunto.”  </w:t>
      </w:r>
      <w:proofErr w:type="gramStart"/>
      <w:r w:rsidR="006C27FD">
        <w:rPr>
          <w:sz w:val="24"/>
          <w:szCs w:val="24"/>
        </w:rPr>
        <w:t>66 Pa. C.S. § 1529.1(b).</w:t>
      </w:r>
      <w:proofErr w:type="gramEnd"/>
      <w:r w:rsidR="006C27FD">
        <w:rPr>
          <w:sz w:val="24"/>
          <w:szCs w:val="24"/>
        </w:rPr>
        <w:t xml:space="preserve">  </w:t>
      </w:r>
    </w:p>
    <w:p w:rsidR="006C27FD" w:rsidRDefault="006C27FD" w:rsidP="00662041">
      <w:pPr>
        <w:tabs>
          <w:tab w:val="left" w:pos="-1440"/>
          <w:tab w:val="left" w:pos="-720"/>
        </w:tabs>
        <w:suppressAutoHyphens/>
        <w:spacing w:line="360" w:lineRule="auto"/>
        <w:ind w:firstLine="1440"/>
        <w:rPr>
          <w:sz w:val="24"/>
          <w:szCs w:val="24"/>
        </w:rPr>
      </w:pPr>
    </w:p>
    <w:p w:rsidR="00FB4E91" w:rsidRDefault="00FB4E91" w:rsidP="00662041">
      <w:pPr>
        <w:tabs>
          <w:tab w:val="left" w:pos="-1440"/>
          <w:tab w:val="left" w:pos="-720"/>
        </w:tabs>
        <w:suppressAutoHyphens/>
        <w:spacing w:line="360" w:lineRule="auto"/>
        <w:ind w:firstLine="1440"/>
        <w:rPr>
          <w:sz w:val="24"/>
          <w:szCs w:val="24"/>
        </w:rPr>
      </w:pPr>
      <w:r>
        <w:rPr>
          <w:sz w:val="24"/>
          <w:szCs w:val="24"/>
        </w:rPr>
        <w:t>I cannot determine from the Complaint at this time whether as in the</w:t>
      </w:r>
      <w:r w:rsidR="00612C7C" w:rsidRPr="00612C7C">
        <w:rPr>
          <w:i/>
          <w:sz w:val="24"/>
          <w:szCs w:val="24"/>
        </w:rPr>
        <w:t xml:space="preserve"> </w:t>
      </w:r>
      <w:r w:rsidR="00612C7C" w:rsidRPr="00C1290D">
        <w:rPr>
          <w:i/>
          <w:sz w:val="24"/>
          <w:szCs w:val="24"/>
        </w:rPr>
        <w:t xml:space="preserve">Ace Check Cashing, Inc. </w:t>
      </w:r>
      <w:r w:rsidR="00612C7C">
        <w:rPr>
          <w:sz w:val="24"/>
          <w:szCs w:val="24"/>
        </w:rPr>
        <w:t>case</w:t>
      </w:r>
      <w:r>
        <w:rPr>
          <w:sz w:val="24"/>
          <w:szCs w:val="24"/>
        </w:rPr>
        <w:t xml:space="preserve">, the dispute in the instant case does not concern the </w:t>
      </w:r>
      <w:r w:rsidR="008C21F6">
        <w:rPr>
          <w:sz w:val="24"/>
          <w:szCs w:val="24"/>
        </w:rPr>
        <w:t>utility’s</w:t>
      </w:r>
      <w:r>
        <w:rPr>
          <w:sz w:val="24"/>
          <w:szCs w:val="24"/>
        </w:rPr>
        <w:t xml:space="preserve"> service.  The Complaint avers, “There is a reliability, safety or quality problem with my utility service.”  Although the complaint does not specify </w:t>
      </w:r>
      <w:r w:rsidR="008C21F6">
        <w:rPr>
          <w:sz w:val="24"/>
          <w:szCs w:val="24"/>
        </w:rPr>
        <w:t>how PECO is responsible for a mistake in this matter, I find there remains a genuine issue as to material fact whether PECO is at all responsible for the meter mix up to begin with.  The burden is on Complainant to show that the meter mix was the fault of PECO, and there must be substantial evidence to support this averment.  There may be a factual dispute including but not limited to: 1) the identification of the units for which the meters were established; 2) when and how service was initiated; and 3) whether meter bases were marked by the owner of the property.</w:t>
      </w:r>
    </w:p>
    <w:p w:rsidR="00303D99" w:rsidRPr="00AF00AB" w:rsidRDefault="00261C7A" w:rsidP="008C21F6">
      <w:pPr>
        <w:tabs>
          <w:tab w:val="left" w:pos="-1440"/>
          <w:tab w:val="left" w:pos="-720"/>
        </w:tabs>
        <w:suppressAutoHyphens/>
        <w:spacing w:line="360" w:lineRule="auto"/>
        <w:ind w:firstLine="1440"/>
        <w:jc w:val="center"/>
        <w:rPr>
          <w:bCs/>
          <w:sz w:val="24"/>
          <w:szCs w:val="24"/>
          <w:u w:val="single"/>
        </w:rPr>
      </w:pPr>
      <w:r w:rsidRPr="00261C7A">
        <w:rPr>
          <w:sz w:val="24"/>
          <w:szCs w:val="24"/>
        </w:rPr>
        <w:br/>
      </w:r>
      <w:r w:rsidR="00497F46">
        <w:rPr>
          <w:bCs/>
          <w:sz w:val="24"/>
          <w:szCs w:val="24"/>
          <w:u w:val="single"/>
        </w:rPr>
        <w:t>O</w:t>
      </w:r>
      <w:r w:rsidR="00AF00AB" w:rsidRPr="00AF00AB">
        <w:rPr>
          <w:bCs/>
          <w:sz w:val="24"/>
          <w:szCs w:val="24"/>
          <w:u w:val="single"/>
        </w:rPr>
        <w:t>RDER</w:t>
      </w:r>
    </w:p>
    <w:p w:rsidR="00303D99" w:rsidRPr="007F27A1" w:rsidRDefault="00303D99">
      <w:pPr>
        <w:spacing w:line="360" w:lineRule="auto"/>
        <w:ind w:firstLine="1440"/>
        <w:rPr>
          <w:sz w:val="24"/>
          <w:szCs w:val="24"/>
          <w:u w:val="single"/>
        </w:rPr>
      </w:pPr>
    </w:p>
    <w:p w:rsidR="00303D99" w:rsidRPr="00AF00AB" w:rsidRDefault="00303D99">
      <w:pPr>
        <w:spacing w:line="360" w:lineRule="auto"/>
        <w:ind w:firstLine="1440"/>
        <w:rPr>
          <w:sz w:val="24"/>
          <w:szCs w:val="24"/>
          <w:u w:val="single"/>
        </w:rPr>
      </w:pPr>
    </w:p>
    <w:p w:rsidR="00303D99" w:rsidRPr="00AF00AB" w:rsidRDefault="00303D99">
      <w:pPr>
        <w:spacing w:line="360" w:lineRule="auto"/>
        <w:ind w:firstLine="1440"/>
        <w:rPr>
          <w:sz w:val="24"/>
          <w:szCs w:val="24"/>
        </w:rPr>
      </w:pPr>
      <w:r w:rsidRPr="00AF00AB">
        <w:rPr>
          <w:bCs/>
          <w:sz w:val="24"/>
          <w:szCs w:val="24"/>
        </w:rPr>
        <w:t>THEREFORE,</w:t>
      </w:r>
    </w:p>
    <w:p w:rsidR="00303D99" w:rsidRPr="00AF00AB" w:rsidRDefault="00303D99">
      <w:pPr>
        <w:spacing w:line="360" w:lineRule="auto"/>
        <w:ind w:firstLine="1440"/>
        <w:rPr>
          <w:sz w:val="24"/>
          <w:szCs w:val="24"/>
        </w:rPr>
      </w:pPr>
    </w:p>
    <w:p w:rsidR="00303D99" w:rsidRPr="00AF00AB" w:rsidRDefault="00303D99">
      <w:pPr>
        <w:spacing w:line="360" w:lineRule="auto"/>
        <w:ind w:firstLine="1440"/>
        <w:rPr>
          <w:bCs/>
          <w:sz w:val="24"/>
          <w:szCs w:val="24"/>
        </w:rPr>
      </w:pPr>
      <w:r w:rsidRPr="00AF00AB">
        <w:rPr>
          <w:bCs/>
          <w:sz w:val="24"/>
          <w:szCs w:val="24"/>
        </w:rPr>
        <w:t>IT IS ORDERED:</w:t>
      </w:r>
    </w:p>
    <w:p w:rsidR="00303D99" w:rsidRPr="007F27A1" w:rsidRDefault="00303D99">
      <w:pPr>
        <w:spacing w:line="360" w:lineRule="auto"/>
        <w:ind w:firstLine="1440"/>
        <w:rPr>
          <w:sz w:val="24"/>
          <w:szCs w:val="24"/>
        </w:rPr>
      </w:pPr>
    </w:p>
    <w:p w:rsidR="00927C1A" w:rsidRPr="007F27A1" w:rsidRDefault="00303D99">
      <w:pPr>
        <w:spacing w:line="360" w:lineRule="auto"/>
        <w:ind w:firstLine="1440"/>
        <w:rPr>
          <w:sz w:val="24"/>
          <w:szCs w:val="24"/>
        </w:rPr>
      </w:pPr>
      <w:r w:rsidRPr="007F27A1">
        <w:rPr>
          <w:sz w:val="24"/>
          <w:szCs w:val="24"/>
        </w:rPr>
        <w:t>1.</w:t>
      </w:r>
      <w:r w:rsidRPr="007F27A1">
        <w:rPr>
          <w:sz w:val="24"/>
          <w:szCs w:val="24"/>
        </w:rPr>
        <w:tab/>
        <w:t>That</w:t>
      </w:r>
      <w:r w:rsidR="00927C1A" w:rsidRPr="007F27A1">
        <w:rPr>
          <w:sz w:val="24"/>
          <w:szCs w:val="24"/>
        </w:rPr>
        <w:t xml:space="preserve"> PECO Energy Company’s Preliminary Objections are hereby </w:t>
      </w:r>
      <w:r w:rsidR="00E903BA">
        <w:rPr>
          <w:sz w:val="24"/>
          <w:szCs w:val="24"/>
        </w:rPr>
        <w:t>denied</w:t>
      </w:r>
      <w:r w:rsidR="00927C1A" w:rsidRPr="007F27A1">
        <w:rPr>
          <w:sz w:val="24"/>
          <w:szCs w:val="24"/>
        </w:rPr>
        <w:t xml:space="preserve">. </w:t>
      </w:r>
    </w:p>
    <w:p w:rsidR="00927C1A" w:rsidRPr="007F27A1" w:rsidRDefault="00927C1A">
      <w:pPr>
        <w:spacing w:line="360" w:lineRule="auto"/>
        <w:ind w:firstLine="1440"/>
        <w:rPr>
          <w:sz w:val="24"/>
          <w:szCs w:val="24"/>
        </w:rPr>
      </w:pPr>
    </w:p>
    <w:p w:rsidR="00371CDC" w:rsidRPr="00371CDC" w:rsidRDefault="00303D99" w:rsidP="00371CDC">
      <w:pPr>
        <w:spacing w:line="360" w:lineRule="auto"/>
        <w:ind w:firstLine="1440"/>
        <w:rPr>
          <w:sz w:val="24"/>
          <w:szCs w:val="24"/>
        </w:rPr>
      </w:pPr>
      <w:r w:rsidRPr="007F27A1">
        <w:rPr>
          <w:sz w:val="24"/>
          <w:szCs w:val="24"/>
        </w:rPr>
        <w:t>2.</w:t>
      </w:r>
      <w:r w:rsidRPr="007F27A1">
        <w:rPr>
          <w:sz w:val="24"/>
          <w:szCs w:val="24"/>
        </w:rPr>
        <w:tab/>
        <w:t xml:space="preserve">That </w:t>
      </w:r>
      <w:r w:rsidR="00F9654E">
        <w:rPr>
          <w:sz w:val="24"/>
          <w:szCs w:val="24"/>
        </w:rPr>
        <w:t>a</w:t>
      </w:r>
      <w:r w:rsidR="00371CDC">
        <w:rPr>
          <w:sz w:val="24"/>
          <w:szCs w:val="24"/>
        </w:rPr>
        <w:t>n Initial</w:t>
      </w:r>
      <w:r w:rsidR="00F9654E">
        <w:rPr>
          <w:sz w:val="24"/>
          <w:szCs w:val="24"/>
        </w:rPr>
        <w:t xml:space="preserve"> Telephonic Hearing at Docket No. F-2012-2285268 shall be held on Wednesday, April 18, 2012 at 10:00 a.m.</w:t>
      </w:r>
      <w:r w:rsidR="00371CDC">
        <w:rPr>
          <w:sz w:val="24"/>
          <w:szCs w:val="24"/>
        </w:rPr>
        <w:t xml:space="preserve">  </w:t>
      </w:r>
      <w:r w:rsidR="00371CDC" w:rsidRPr="00371CDC">
        <w:rPr>
          <w:b/>
          <w:sz w:val="24"/>
          <w:szCs w:val="24"/>
        </w:rPr>
        <w:t>Complainant</w:t>
      </w:r>
      <w:r w:rsidR="00371CDC" w:rsidRPr="00371CDC">
        <w:rPr>
          <w:b/>
        </w:rPr>
        <w:t xml:space="preserve"> </w:t>
      </w:r>
      <w:r w:rsidR="00371CDC" w:rsidRPr="006539E4">
        <w:rPr>
          <w:b/>
        </w:rPr>
        <w:t xml:space="preserve">must be available when contacted by the presiding officer or </w:t>
      </w:r>
      <w:r w:rsidR="00371CDC">
        <w:rPr>
          <w:b/>
        </w:rPr>
        <w:t>his</w:t>
      </w:r>
      <w:r w:rsidR="00371CDC" w:rsidRPr="006539E4">
        <w:rPr>
          <w:b/>
        </w:rPr>
        <w:t xml:space="preserve"> case will be dismissed.</w:t>
      </w:r>
      <w:r w:rsidR="00371CDC" w:rsidRPr="006539E4">
        <w:t xml:space="preserve">  </w:t>
      </w:r>
      <w:r w:rsidR="00371CDC" w:rsidRPr="006539E4">
        <w:rPr>
          <w:b/>
          <w:spacing w:val="-3"/>
          <w:u w:val="single"/>
        </w:rPr>
        <w:t xml:space="preserve">If </w:t>
      </w:r>
      <w:r w:rsidR="00371CDC">
        <w:rPr>
          <w:b/>
          <w:spacing w:val="-3"/>
          <w:u w:val="single"/>
        </w:rPr>
        <w:t xml:space="preserve">the parties </w:t>
      </w:r>
      <w:r w:rsidR="00371CDC" w:rsidRPr="006539E4">
        <w:rPr>
          <w:b/>
          <w:spacing w:val="-3"/>
          <w:u w:val="single"/>
        </w:rPr>
        <w:t xml:space="preserve">will be at a telephone number that is different than the number on the hearing notice, </w:t>
      </w:r>
      <w:r w:rsidR="00371CDC">
        <w:rPr>
          <w:b/>
          <w:spacing w:val="-3"/>
          <w:u w:val="single"/>
        </w:rPr>
        <w:t>they are directed to</w:t>
      </w:r>
      <w:r w:rsidR="00371CDC" w:rsidRPr="006539E4">
        <w:rPr>
          <w:b/>
          <w:spacing w:val="-3"/>
          <w:u w:val="single"/>
        </w:rPr>
        <w:t xml:space="preserve"> notify </w:t>
      </w:r>
      <w:r w:rsidR="00371CDC">
        <w:rPr>
          <w:b/>
          <w:spacing w:val="-3"/>
          <w:u w:val="single"/>
        </w:rPr>
        <w:t>the presiding officer</w:t>
      </w:r>
      <w:r w:rsidR="00371CDC" w:rsidRPr="006539E4">
        <w:rPr>
          <w:b/>
          <w:spacing w:val="-3"/>
          <w:u w:val="single"/>
        </w:rPr>
        <w:t xml:space="preserve"> of that telephone number </w:t>
      </w:r>
      <w:r w:rsidR="00371CDC">
        <w:rPr>
          <w:b/>
          <w:spacing w:val="-3"/>
          <w:u w:val="single"/>
        </w:rPr>
        <w:t xml:space="preserve">at least five (5) business days </w:t>
      </w:r>
      <w:r w:rsidR="00371CDC" w:rsidRPr="006539E4">
        <w:rPr>
          <w:b/>
          <w:spacing w:val="-3"/>
          <w:u w:val="single"/>
        </w:rPr>
        <w:t>before the hearing</w:t>
      </w:r>
      <w:r w:rsidR="00371CDC" w:rsidRPr="006539E4">
        <w:rPr>
          <w:spacing w:val="-3"/>
          <w:u w:val="single"/>
        </w:rPr>
        <w:t>.</w:t>
      </w:r>
    </w:p>
    <w:p w:rsidR="00371CDC" w:rsidRPr="00AC0CAA" w:rsidRDefault="00371CDC" w:rsidP="00371CDC">
      <w:pPr>
        <w:pStyle w:val="ParaTab1"/>
        <w:tabs>
          <w:tab w:val="left" w:pos="2070"/>
        </w:tabs>
        <w:spacing w:line="360" w:lineRule="auto"/>
      </w:pPr>
    </w:p>
    <w:p w:rsidR="00371CDC" w:rsidRDefault="00371CDC" w:rsidP="00371CDC">
      <w:pPr>
        <w:pStyle w:val="ParaTab1"/>
        <w:tabs>
          <w:tab w:val="left" w:pos="2070"/>
        </w:tabs>
        <w:spacing w:line="360" w:lineRule="auto"/>
        <w:ind w:left="86" w:firstLine="1354"/>
        <w:rPr>
          <w:rFonts w:ascii="Times New Roman" w:hAnsi="Times New Roman" w:cs="Times New Roman"/>
          <w:spacing w:val="-3"/>
        </w:rPr>
      </w:pPr>
      <w:r>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r>
      <w:r>
        <w:rPr>
          <w:rFonts w:ascii="Times New Roman" w:hAnsi="Times New Roman" w:cs="Times New Roman"/>
          <w:spacing w:val="-3"/>
        </w:rPr>
        <w:t>That a</w:t>
      </w:r>
      <w:r w:rsidRPr="00AC0CAA">
        <w:rPr>
          <w:rFonts w:ascii="Times New Roman" w:hAnsi="Times New Roman" w:cs="Times New Roman"/>
          <w:spacing w:val="-3"/>
        </w:rPr>
        <w:t xml:space="preserve">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371CDC" w:rsidRDefault="00371CDC" w:rsidP="00371CD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Elizabeth H. Barnes, Administrative Law Judge</w:t>
      </w:r>
    </w:p>
    <w:p w:rsidR="00371CDC" w:rsidRDefault="00371CDC" w:rsidP="00371CD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371CDC" w:rsidRDefault="00371CDC" w:rsidP="00371CD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371CDC" w:rsidRDefault="00371CDC" w:rsidP="00371CD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371CDC" w:rsidRDefault="00371CDC" w:rsidP="00371CD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371CDC" w:rsidRDefault="00371CDC" w:rsidP="00371CD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371CDC" w:rsidRDefault="00371CDC" w:rsidP="00371CDC">
      <w:pPr>
        <w:pStyle w:val="ParaTab1"/>
        <w:tabs>
          <w:tab w:val="left" w:pos="2160"/>
        </w:tabs>
        <w:ind w:left="86" w:firstLine="1354"/>
        <w:rPr>
          <w:rFonts w:ascii="Times New Roman" w:hAnsi="Times New Roman" w:cs="Times New Roman"/>
          <w:spacing w:val="-3"/>
        </w:rPr>
      </w:pPr>
    </w:p>
    <w:p w:rsidR="00371CDC" w:rsidRPr="00AC0CAA" w:rsidRDefault="00371CDC" w:rsidP="00371CDC">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71CDC" w:rsidRPr="00AC0CAA" w:rsidRDefault="00371CDC" w:rsidP="00371CDC">
      <w:pPr>
        <w:pStyle w:val="ParaTab1"/>
        <w:tabs>
          <w:tab w:val="left" w:pos="2070"/>
        </w:tabs>
        <w:spacing w:line="360" w:lineRule="auto"/>
        <w:ind w:left="90" w:firstLine="1350"/>
        <w:rPr>
          <w:rFonts w:ascii="Times New Roman" w:hAnsi="Times New Roman" w:cs="Times New Roman"/>
          <w:b/>
          <w:spacing w:val="-3"/>
        </w:rPr>
      </w:pPr>
    </w:p>
    <w:p w:rsidR="00371CDC" w:rsidRDefault="00371CDC" w:rsidP="00371CD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sidRPr="00AC0CAA">
        <w:rPr>
          <w:rFonts w:ascii="Times New Roman" w:hAnsi="Times New Roman" w:cs="Times New Roman"/>
        </w:rPr>
        <w:t>.</w:t>
      </w:r>
      <w:r w:rsidRPr="00AC0CAA">
        <w:rPr>
          <w:rFonts w:ascii="Times New Roman" w:hAnsi="Times New Roman" w:cs="Times New Roman"/>
        </w:rPr>
        <w:tab/>
      </w:r>
      <w:r>
        <w:rPr>
          <w:rFonts w:ascii="Times New Roman" w:hAnsi="Times New Roman" w:cs="Times New Roman"/>
        </w:rPr>
        <w:t>That the</w:t>
      </w:r>
      <w:r w:rsidRPr="00AC0CAA">
        <w:rPr>
          <w:rFonts w:ascii="Times New Roman" w:hAnsi="Times New Roman" w:cs="Times New Roman"/>
        </w:rPr>
        <w:t xml:space="preserve"> utility shall contact </w:t>
      </w:r>
      <w:r>
        <w:rPr>
          <w:rFonts w:ascii="Times New Roman" w:hAnsi="Times New Roman" w:cs="Times New Roman"/>
        </w:rPr>
        <w:t>Complainant</w:t>
      </w:r>
      <w:r w:rsidRPr="00AC0CAA">
        <w:rPr>
          <w:rFonts w:ascii="Times New Roman" w:hAnsi="Times New Roman" w:cs="Times New Roman"/>
        </w:rPr>
        <w:t xml:space="preserve"> at least one week before the scheduled hearing to talk over a possible settlement of this case.  </w:t>
      </w:r>
    </w:p>
    <w:p w:rsidR="00371CDC" w:rsidRPr="00AC0CAA" w:rsidRDefault="00371CDC" w:rsidP="00371CDC">
      <w:pPr>
        <w:pStyle w:val="ParaTab1"/>
        <w:tabs>
          <w:tab w:val="left" w:pos="2070"/>
        </w:tabs>
        <w:spacing w:line="360" w:lineRule="auto"/>
        <w:ind w:left="90" w:firstLine="1350"/>
        <w:rPr>
          <w:rFonts w:ascii="Times New Roman" w:hAnsi="Times New Roman" w:cs="Times New Roman"/>
        </w:rPr>
      </w:pPr>
    </w:p>
    <w:p w:rsidR="00371CDC" w:rsidRPr="00AC0CAA" w:rsidRDefault="00371CDC" w:rsidP="00371CDC">
      <w:pPr>
        <w:tabs>
          <w:tab w:val="left" w:pos="-720"/>
          <w:tab w:val="left" w:pos="2070"/>
        </w:tabs>
        <w:suppressAutoHyphens/>
        <w:spacing w:line="360" w:lineRule="auto"/>
        <w:ind w:left="90" w:firstLine="1350"/>
        <w:rPr>
          <w:b/>
          <w:spacing w:val="-3"/>
        </w:rPr>
      </w:pPr>
      <w:r w:rsidRPr="00AC0CAA">
        <w:rPr>
          <w:spacing w:val="-3"/>
        </w:rPr>
        <w:t>5.</w:t>
      </w:r>
      <w:r w:rsidRPr="00AC0CAA">
        <w:rPr>
          <w:spacing w:val="-3"/>
        </w:rPr>
        <w:tab/>
      </w:r>
      <w:r>
        <w:rPr>
          <w:spacing w:val="-3"/>
        </w:rPr>
        <w:t>That Complainant</w:t>
      </w:r>
      <w:r w:rsidRPr="00AC0CAA">
        <w:rPr>
          <w:spacing w:val="-3"/>
        </w:rPr>
        <w:t xml:space="preserve"> </w:t>
      </w:r>
      <w:r w:rsidRPr="00AC0CAA">
        <w:rPr>
          <w:spacing w:val="-3"/>
          <w:u w:val="single"/>
        </w:rPr>
        <w:t>must</w:t>
      </w:r>
      <w:r w:rsidRPr="00AC0CAA">
        <w:rPr>
          <w:spacing w:val="-3"/>
        </w:rPr>
        <w:t xml:space="preserve"> make monthly payments </w:t>
      </w:r>
      <w:r>
        <w:rPr>
          <w:spacing w:val="-3"/>
        </w:rPr>
        <w:t>for current usage</w:t>
      </w:r>
      <w:r w:rsidRPr="00AC0CAA">
        <w:rPr>
          <w:spacing w:val="-3"/>
        </w:rPr>
        <w:t xml:space="preserve"> on or before the billing due date while this complaint is pending</w:t>
      </w:r>
      <w:r w:rsidR="003E4089">
        <w:rPr>
          <w:spacing w:val="-3"/>
        </w:rPr>
        <w:t>.</w:t>
      </w:r>
    </w:p>
    <w:p w:rsidR="00371CDC" w:rsidRPr="00AC0CAA" w:rsidRDefault="00371CDC" w:rsidP="00371CDC">
      <w:pPr>
        <w:pStyle w:val="ParaTab1"/>
        <w:tabs>
          <w:tab w:val="left" w:pos="2070"/>
        </w:tabs>
        <w:spacing w:line="360" w:lineRule="auto"/>
        <w:ind w:left="90" w:firstLine="1350"/>
        <w:rPr>
          <w:rFonts w:ascii="Times New Roman" w:hAnsi="Times New Roman" w:cs="Times New Roman"/>
          <w:spacing w:val="-3"/>
        </w:rPr>
      </w:pPr>
    </w:p>
    <w:p w:rsidR="00371CDC" w:rsidRPr="00AC0CAA" w:rsidRDefault="00371CDC" w:rsidP="00371CDC">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003E4089">
        <w:rPr>
          <w:rFonts w:ascii="Times New Roman" w:hAnsi="Times New Roman" w:cs="Times New Roman"/>
        </w:rPr>
        <w:t>That a</w:t>
      </w:r>
      <w:r w:rsidRPr="00AC0CAA">
        <w:rPr>
          <w:rFonts w:ascii="Times New Roman" w:hAnsi="Times New Roman" w:cs="Times New Roman"/>
          <w:spacing w:val="-3"/>
        </w:rPr>
        <w:t>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371CDC" w:rsidRPr="00AC0CAA" w:rsidRDefault="00371CDC" w:rsidP="00371CDC">
      <w:pPr>
        <w:pStyle w:val="ParaTab1"/>
        <w:tabs>
          <w:tab w:val="left" w:pos="2070"/>
        </w:tabs>
        <w:spacing w:line="360" w:lineRule="auto"/>
        <w:ind w:left="90" w:firstLine="1350"/>
        <w:rPr>
          <w:rFonts w:ascii="Times New Roman" w:hAnsi="Times New Roman" w:cs="Times New Roman"/>
        </w:rPr>
      </w:pPr>
    </w:p>
    <w:p w:rsidR="00371CDC" w:rsidRPr="00AC0CAA" w:rsidRDefault="00371CDC" w:rsidP="00371CDC">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lastRenderedPageBreak/>
        <w:t>7.</w:t>
      </w:r>
      <w:r w:rsidRPr="00AC0CAA">
        <w:rPr>
          <w:rFonts w:ascii="Times New Roman" w:hAnsi="Times New Roman" w:cs="Times New Roman"/>
        </w:rPr>
        <w:tab/>
      </w:r>
      <w:r w:rsidR="003E4089">
        <w:rPr>
          <w:rFonts w:ascii="Times New Roman" w:hAnsi="Times New Roman" w:cs="Times New Roman"/>
        </w:rPr>
        <w:t>That if Complainant</w:t>
      </w:r>
      <w:r w:rsidRPr="00AC0CAA">
        <w:rPr>
          <w:rFonts w:ascii="Times New Roman" w:hAnsi="Times New Roman" w:cs="Times New Roman"/>
        </w:rPr>
        <w:t xml:space="preserve"> intend</w:t>
      </w:r>
      <w:r w:rsidR="003E4089">
        <w:rPr>
          <w:rFonts w:ascii="Times New Roman" w:hAnsi="Times New Roman" w:cs="Times New Roman"/>
        </w:rPr>
        <w:t>s</w:t>
      </w:r>
      <w:r w:rsidRPr="00AC0CAA">
        <w:rPr>
          <w:rFonts w:ascii="Times New Roman" w:hAnsi="Times New Roman" w:cs="Times New Roman"/>
        </w:rPr>
        <w:t xml:space="preserve"> to present any documents or exhibits for my consideration, </w:t>
      </w:r>
      <w:r w:rsidR="003E4089">
        <w:rPr>
          <w:rFonts w:ascii="Times New Roman" w:hAnsi="Times New Roman" w:cs="Times New Roman"/>
        </w:rPr>
        <w:t>he</w:t>
      </w:r>
      <w:r w:rsidRPr="00AC0CAA">
        <w:rPr>
          <w:rFonts w:ascii="Times New Roman" w:hAnsi="Times New Roman" w:cs="Times New Roman"/>
        </w:rPr>
        <w:t xml:space="preserve">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371CDC" w:rsidRDefault="00371CDC" w:rsidP="00371CDC">
      <w:pPr>
        <w:pStyle w:val="ParaTab1"/>
        <w:tabs>
          <w:tab w:val="left" w:pos="2070"/>
        </w:tabs>
        <w:spacing w:line="360" w:lineRule="auto"/>
        <w:rPr>
          <w:rFonts w:ascii="Times New Roman" w:hAnsi="Times New Roman" w:cs="Times New Roman"/>
          <w:spacing w:val="-3"/>
        </w:rPr>
      </w:pPr>
    </w:p>
    <w:p w:rsidR="00371CDC" w:rsidRPr="00AC0CAA" w:rsidRDefault="00371CDC" w:rsidP="00371CDC">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003E4089">
        <w:rPr>
          <w:rFonts w:ascii="Times New Roman" w:hAnsi="Times New Roman" w:cs="Times New Roman"/>
          <w:spacing w:val="-3"/>
        </w:rPr>
        <w:t>That t</w:t>
      </w:r>
      <w:r>
        <w:rPr>
          <w:rFonts w:ascii="Times New Roman" w:hAnsi="Times New Roman" w:cs="Times New Roman"/>
          <w:spacing w:val="-3"/>
        </w:rPr>
        <w:t>he</w:t>
      </w:r>
      <w:r w:rsidRPr="00AC0CAA">
        <w:rPr>
          <w:rFonts w:ascii="Times New Roman" w:hAnsi="Times New Roman" w:cs="Times New Roman"/>
          <w:spacing w:val="-3"/>
        </w:rPr>
        <w:t xml:space="preserve"> utility must prepare and submit the following documents at least five business days before the hearing:</w:t>
      </w:r>
    </w:p>
    <w:p w:rsidR="00371CDC" w:rsidRPr="00AC0CAA" w:rsidRDefault="00371CDC" w:rsidP="00371CD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371CDC" w:rsidRPr="00AC0CAA" w:rsidRDefault="00371CDC" w:rsidP="00371CD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w:t>
      </w:r>
    </w:p>
    <w:p w:rsidR="00371CDC" w:rsidRDefault="00371CDC" w:rsidP="00371CD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371CDC" w:rsidRDefault="00371CDC" w:rsidP="00371CDC">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8C21F6" w:rsidRDefault="008C21F6" w:rsidP="00371CDC">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any documentation regarding the initiation of service and placement of meters pertaining to the rental units in question.</w:t>
      </w:r>
    </w:p>
    <w:p w:rsidR="00371CDC" w:rsidRPr="00AC0CAA" w:rsidRDefault="00371CDC" w:rsidP="00371CDC">
      <w:pPr>
        <w:pStyle w:val="ParaTab1"/>
        <w:tabs>
          <w:tab w:val="left" w:pos="2070"/>
        </w:tabs>
        <w:ind w:left="2880" w:hanging="2880"/>
        <w:rPr>
          <w:rFonts w:ascii="Times New Roman" w:hAnsi="Times New Roman" w:cs="Times New Roman"/>
          <w:spacing w:val="-3"/>
        </w:rPr>
      </w:pPr>
    </w:p>
    <w:p w:rsidR="00371CDC" w:rsidRPr="00AC0CAA" w:rsidRDefault="00371CDC" w:rsidP="00371CDC">
      <w:pPr>
        <w:pStyle w:val="ParaTab1"/>
        <w:tabs>
          <w:tab w:val="num" w:pos="0"/>
          <w:tab w:val="left" w:pos="2070"/>
        </w:tabs>
        <w:spacing w:line="360" w:lineRule="auto"/>
        <w:rPr>
          <w:rFonts w:ascii="Times New Roman" w:hAnsi="Times New Roman" w:cs="Times New Roman"/>
          <w:spacing w:val="-3"/>
        </w:rPr>
      </w:pPr>
    </w:p>
    <w:p w:rsidR="00371CDC" w:rsidRPr="00AC0CAA" w:rsidRDefault="006C27FD" w:rsidP="00371CDC">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371CDC" w:rsidRPr="00AC0CAA">
        <w:rPr>
          <w:rFonts w:ascii="Times New Roman" w:hAnsi="Times New Roman" w:cs="Times New Roman"/>
          <w:spacing w:val="-3"/>
        </w:rPr>
        <w:t>.</w:t>
      </w:r>
      <w:r w:rsidR="00371CDC" w:rsidRPr="00AC0CAA">
        <w:rPr>
          <w:rFonts w:ascii="Times New Roman" w:hAnsi="Times New Roman" w:cs="Times New Roman"/>
          <w:spacing w:val="-3"/>
        </w:rPr>
        <w:tab/>
      </w:r>
      <w:r w:rsidR="003E4089">
        <w:rPr>
          <w:rFonts w:ascii="Times New Roman" w:hAnsi="Times New Roman" w:cs="Times New Roman"/>
          <w:spacing w:val="-3"/>
        </w:rPr>
        <w:t>That i</w:t>
      </w:r>
      <w:r w:rsidR="00371CDC" w:rsidRPr="00AC0CAA">
        <w:rPr>
          <w:rFonts w:ascii="Times New Roman" w:hAnsi="Times New Roman" w:cs="Times New Roman"/>
          <w:spacing w:val="-3"/>
        </w:rPr>
        <w:t xml:space="preserve">f </w:t>
      </w:r>
      <w:r w:rsidR="003E4089">
        <w:rPr>
          <w:rFonts w:ascii="Times New Roman" w:hAnsi="Times New Roman" w:cs="Times New Roman"/>
          <w:spacing w:val="-3"/>
        </w:rPr>
        <w:t>the parties</w:t>
      </w:r>
      <w:r w:rsidR="00371CDC" w:rsidRPr="00AC0CAA">
        <w:rPr>
          <w:rFonts w:ascii="Times New Roman" w:hAnsi="Times New Roman" w:cs="Times New Roman"/>
          <w:spacing w:val="-3"/>
        </w:rPr>
        <w:t xml:space="preserve"> intend to subpoena witnesses for the hearing,</w:t>
      </w:r>
      <w:r w:rsidR="003E4089">
        <w:rPr>
          <w:rFonts w:ascii="Times New Roman" w:hAnsi="Times New Roman" w:cs="Times New Roman"/>
          <w:spacing w:val="-3"/>
        </w:rPr>
        <w:t xml:space="preserve"> they</w:t>
      </w:r>
      <w:r w:rsidR="00371CDC" w:rsidRPr="00AC0CAA">
        <w:rPr>
          <w:rFonts w:ascii="Times New Roman" w:hAnsi="Times New Roman" w:cs="Times New Roman"/>
          <w:spacing w:val="-3"/>
        </w:rPr>
        <w:t xml:space="preserve"> should review the procedures established in 52 Pa. Code §5.421.  </w:t>
      </w:r>
      <w:r w:rsidR="003E4089">
        <w:rPr>
          <w:rFonts w:ascii="Times New Roman" w:hAnsi="Times New Roman" w:cs="Times New Roman"/>
          <w:spacing w:val="-3"/>
        </w:rPr>
        <w:t>They</w:t>
      </w:r>
      <w:r w:rsidR="00371CDC" w:rsidRPr="00AC0CAA">
        <w:rPr>
          <w:rFonts w:ascii="Times New Roman" w:hAnsi="Times New Roman" w:cs="Times New Roman"/>
          <w:spacing w:val="-3"/>
        </w:rPr>
        <w:t xml:space="preserve"> must submit </w:t>
      </w:r>
      <w:r w:rsidR="003E4089">
        <w:rPr>
          <w:rFonts w:ascii="Times New Roman" w:hAnsi="Times New Roman" w:cs="Times New Roman"/>
          <w:spacing w:val="-3"/>
        </w:rPr>
        <w:t>their</w:t>
      </w:r>
      <w:r w:rsidR="00371CDC" w:rsidRPr="00AC0CAA">
        <w:rPr>
          <w:rFonts w:ascii="Times New Roman" w:hAnsi="Times New Roman" w:cs="Times New Roman"/>
          <w:spacing w:val="-3"/>
        </w:rPr>
        <w:t xml:space="preserve"> written application to me sufficiently in advance of the hearing date so that the other parties will have the required ten days notice to answer or object, and so that </w:t>
      </w:r>
      <w:r w:rsidR="003E4089">
        <w:rPr>
          <w:rFonts w:ascii="Times New Roman" w:hAnsi="Times New Roman" w:cs="Times New Roman"/>
          <w:spacing w:val="-3"/>
        </w:rPr>
        <w:t>they</w:t>
      </w:r>
      <w:r w:rsidR="00371CDC" w:rsidRPr="00AC0CAA">
        <w:rPr>
          <w:rFonts w:ascii="Times New Roman" w:hAnsi="Times New Roman" w:cs="Times New Roman"/>
          <w:spacing w:val="-3"/>
        </w:rPr>
        <w:t xml:space="preserve"> will have enough time to receive the subpoena and serve it.  </w:t>
      </w:r>
    </w:p>
    <w:p w:rsidR="00371CDC" w:rsidRPr="00AC0CAA" w:rsidRDefault="00371CDC" w:rsidP="00371CDC">
      <w:pPr>
        <w:pStyle w:val="ParaTab1"/>
        <w:tabs>
          <w:tab w:val="left" w:pos="2070"/>
        </w:tabs>
        <w:spacing w:line="360" w:lineRule="auto"/>
        <w:ind w:firstLine="0"/>
        <w:rPr>
          <w:rFonts w:ascii="Times New Roman" w:hAnsi="Times New Roman" w:cs="Times New Roman"/>
          <w:spacing w:val="-3"/>
        </w:rPr>
      </w:pPr>
    </w:p>
    <w:p w:rsidR="00371CDC" w:rsidRPr="00AC0CAA" w:rsidRDefault="00371CDC" w:rsidP="00371CD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6C27FD">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r>
      <w:r w:rsidR="003E4089">
        <w:rPr>
          <w:rFonts w:ascii="Times New Roman" w:hAnsi="Times New Roman" w:cs="Times New Roman"/>
          <w:spacing w:val="-3"/>
        </w:rPr>
        <w:t>That a</w:t>
      </w:r>
      <w:r w:rsidRPr="00AC0CAA">
        <w:rPr>
          <w:rFonts w:ascii="Times New Roman" w:hAnsi="Times New Roman" w:cs="Times New Roman"/>
          <w:spacing w:val="-3"/>
        </w:rPr>
        <w:t>lthough the hearing is being conducted telephonically for the convenience of the parties, it is still a formal hearing and will be conducted in accordance with the Commission’s Rules of Practice and Procedure.</w:t>
      </w:r>
    </w:p>
    <w:p w:rsidR="00371CDC" w:rsidRPr="00AC0CAA" w:rsidRDefault="00371CDC" w:rsidP="00371CDC">
      <w:pPr>
        <w:pStyle w:val="ParaTab1"/>
        <w:tabs>
          <w:tab w:val="num" w:pos="0"/>
          <w:tab w:val="left" w:pos="2070"/>
        </w:tabs>
        <w:spacing w:line="360" w:lineRule="auto"/>
        <w:rPr>
          <w:rFonts w:ascii="Times New Roman" w:hAnsi="Times New Roman" w:cs="Times New Roman"/>
          <w:spacing w:val="-3"/>
        </w:rPr>
      </w:pPr>
    </w:p>
    <w:p w:rsidR="00371CDC" w:rsidRPr="006F3F7F" w:rsidRDefault="00371CDC" w:rsidP="00371CDC">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303D99" w:rsidRPr="007F27A1" w:rsidRDefault="00303D99" w:rsidP="008E53AB">
      <w:pPr>
        <w:spacing w:line="360" w:lineRule="auto"/>
        <w:rPr>
          <w:sz w:val="24"/>
          <w:szCs w:val="24"/>
        </w:rPr>
      </w:pPr>
    </w:p>
    <w:p w:rsidR="00A9235D" w:rsidRDefault="00AF00AB">
      <w:pPr>
        <w:rPr>
          <w:sz w:val="24"/>
          <w:szCs w:val="24"/>
        </w:rPr>
      </w:pPr>
      <w:r>
        <w:rPr>
          <w:sz w:val="24"/>
          <w:szCs w:val="24"/>
        </w:rPr>
        <w:t xml:space="preserve">Date:  </w:t>
      </w:r>
      <w:r w:rsidR="00E903BA">
        <w:rPr>
          <w:sz w:val="24"/>
          <w:szCs w:val="24"/>
          <w:u w:val="single"/>
        </w:rPr>
        <w:t xml:space="preserve">March </w:t>
      </w:r>
      <w:r w:rsidR="008C21F6">
        <w:rPr>
          <w:sz w:val="24"/>
          <w:szCs w:val="24"/>
          <w:u w:val="single"/>
        </w:rPr>
        <w:t>1</w:t>
      </w:r>
      <w:r w:rsidR="006C27FD">
        <w:rPr>
          <w:sz w:val="24"/>
          <w:szCs w:val="24"/>
          <w:u w:val="single"/>
        </w:rPr>
        <w:t>4</w:t>
      </w:r>
      <w:r>
        <w:rPr>
          <w:sz w:val="24"/>
          <w:szCs w:val="24"/>
          <w:u w:val="single"/>
        </w:rPr>
        <w:t>, 201</w:t>
      </w:r>
      <w:r w:rsidR="00E903BA">
        <w:rPr>
          <w:sz w:val="24"/>
          <w:szCs w:val="24"/>
          <w:u w:val="single"/>
        </w:rPr>
        <w:t>2</w:t>
      </w:r>
      <w:r w:rsidR="00A9235D">
        <w:rPr>
          <w:sz w:val="24"/>
          <w:szCs w:val="24"/>
          <w:u w:val="single"/>
        </w:rPr>
        <w:t xml:space="preserve"> </w:t>
      </w:r>
      <w:r>
        <w:rPr>
          <w:sz w:val="24"/>
          <w:szCs w:val="24"/>
        </w:rPr>
        <w:tab/>
      </w:r>
      <w:r>
        <w:rPr>
          <w:sz w:val="24"/>
          <w:szCs w:val="24"/>
        </w:rPr>
        <w:tab/>
      </w:r>
      <w:r w:rsidR="00303D99" w:rsidRPr="007F27A1">
        <w:rPr>
          <w:sz w:val="24"/>
          <w:szCs w:val="24"/>
        </w:rPr>
        <w:tab/>
      </w:r>
      <w:r w:rsidR="00303D99" w:rsidRPr="007F27A1">
        <w:rPr>
          <w:sz w:val="24"/>
          <w:szCs w:val="24"/>
        </w:rPr>
        <w:tab/>
        <w:t>__________</w:t>
      </w:r>
      <w:r w:rsidR="00A9235D">
        <w:rPr>
          <w:sz w:val="24"/>
          <w:szCs w:val="24"/>
        </w:rPr>
        <w:t>_____________________</w:t>
      </w:r>
    </w:p>
    <w:p w:rsidR="00303D99" w:rsidRPr="007F27A1" w:rsidRDefault="00303D99">
      <w:pPr>
        <w:rPr>
          <w:sz w:val="24"/>
          <w:szCs w:val="24"/>
        </w:rPr>
      </w:pP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00927C1A" w:rsidRPr="007F27A1">
        <w:rPr>
          <w:sz w:val="24"/>
          <w:szCs w:val="24"/>
        </w:rPr>
        <w:t>Elizabeth Barnes</w:t>
      </w:r>
    </w:p>
    <w:p w:rsidR="00303D99" w:rsidRPr="007F27A1" w:rsidRDefault="00303D99">
      <w:pPr>
        <w:rPr>
          <w:sz w:val="24"/>
          <w:szCs w:val="24"/>
          <w:u w:val="single"/>
        </w:rPr>
      </w:pP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t>Administrative Law Judge</w:t>
      </w:r>
    </w:p>
    <w:sectPr w:rsidR="00303D99" w:rsidRPr="007F27A1" w:rsidSect="005C28DE">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9AE" w:rsidRDefault="00E779AE">
      <w:r>
        <w:separator/>
      </w:r>
    </w:p>
  </w:endnote>
  <w:endnote w:type="continuationSeparator" w:id="0">
    <w:p w:rsidR="00E779AE" w:rsidRDefault="00E7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5C28DE">
    <w:pPr>
      <w:pStyle w:val="Footer"/>
      <w:framePr w:wrap="auto" w:vAnchor="text" w:hAnchor="margin" w:xAlign="center" w:y="1"/>
      <w:rPr>
        <w:rStyle w:val="PageNumber"/>
        <w:sz w:val="20"/>
        <w:szCs w:val="20"/>
      </w:rPr>
    </w:pPr>
    <w:r w:rsidRPr="00B446A3">
      <w:rPr>
        <w:rStyle w:val="PageNumber"/>
        <w:sz w:val="20"/>
        <w:szCs w:val="20"/>
      </w:rPr>
      <w:fldChar w:fldCharType="begin"/>
    </w:r>
    <w:r w:rsidR="00303D99" w:rsidRPr="00B446A3">
      <w:rPr>
        <w:rStyle w:val="PageNumber"/>
        <w:sz w:val="20"/>
        <w:szCs w:val="20"/>
      </w:rPr>
      <w:instrText xml:space="preserve">PAGE  </w:instrText>
    </w:r>
    <w:r w:rsidRPr="00B446A3">
      <w:rPr>
        <w:rStyle w:val="PageNumber"/>
        <w:sz w:val="20"/>
        <w:szCs w:val="20"/>
      </w:rPr>
      <w:fldChar w:fldCharType="separate"/>
    </w:r>
    <w:r w:rsidR="005D625D">
      <w:rPr>
        <w:rStyle w:val="PageNumber"/>
        <w:noProof/>
        <w:sz w:val="20"/>
        <w:szCs w:val="20"/>
      </w:rPr>
      <w:t>7</w:t>
    </w:r>
    <w:r w:rsidRPr="00B446A3">
      <w:rPr>
        <w:rStyle w:val="PageNumber"/>
        <w:sz w:val="20"/>
        <w:szCs w:val="20"/>
      </w:rPr>
      <w:fldChar w:fldCharType="end"/>
    </w:r>
  </w:p>
  <w:p w:rsidR="00303D99" w:rsidRDefault="0030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9AE" w:rsidRDefault="00E779AE">
      <w:r>
        <w:separator/>
      </w:r>
    </w:p>
  </w:footnote>
  <w:footnote w:type="continuationSeparator" w:id="0">
    <w:p w:rsidR="00E779AE" w:rsidRDefault="00E779AE">
      <w:r>
        <w:continuationSeparator/>
      </w:r>
    </w:p>
  </w:footnote>
  <w:footnote w:id="1">
    <w:p w:rsidR="002349A8" w:rsidRDefault="002349A8">
      <w:pPr>
        <w:pStyle w:val="FootnoteText"/>
      </w:pPr>
      <w:r>
        <w:rPr>
          <w:rStyle w:val="FootnoteReference"/>
        </w:rPr>
        <w:footnoteRef/>
      </w:r>
      <w:r>
        <w:t xml:space="preserve"> The Complaint was a timely appeal of BCS Case No. 2894540.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37F84"/>
    <w:rsid w:val="00042D7B"/>
    <w:rsid w:val="000441FB"/>
    <w:rsid w:val="00070759"/>
    <w:rsid w:val="000B4265"/>
    <w:rsid w:val="000B43D6"/>
    <w:rsid w:val="000C374F"/>
    <w:rsid w:val="000D4264"/>
    <w:rsid w:val="000D7569"/>
    <w:rsid w:val="001144F6"/>
    <w:rsid w:val="00122A73"/>
    <w:rsid w:val="00123231"/>
    <w:rsid w:val="00161E0D"/>
    <w:rsid w:val="00187230"/>
    <w:rsid w:val="001A455A"/>
    <w:rsid w:val="001B155A"/>
    <w:rsid w:val="001C0D7E"/>
    <w:rsid w:val="001D56D9"/>
    <w:rsid w:val="001F24D6"/>
    <w:rsid w:val="001F56E5"/>
    <w:rsid w:val="002178A3"/>
    <w:rsid w:val="002220FC"/>
    <w:rsid w:val="002349A8"/>
    <w:rsid w:val="00261C7A"/>
    <w:rsid w:val="0029358C"/>
    <w:rsid w:val="00295C99"/>
    <w:rsid w:val="002A5A01"/>
    <w:rsid w:val="002C24EB"/>
    <w:rsid w:val="002D005B"/>
    <w:rsid w:val="00303D99"/>
    <w:rsid w:val="00324E83"/>
    <w:rsid w:val="00326CCF"/>
    <w:rsid w:val="00347F0F"/>
    <w:rsid w:val="00371CDC"/>
    <w:rsid w:val="003E4089"/>
    <w:rsid w:val="00411B25"/>
    <w:rsid w:val="00474823"/>
    <w:rsid w:val="00481A75"/>
    <w:rsid w:val="00491988"/>
    <w:rsid w:val="004957C0"/>
    <w:rsid w:val="00497F46"/>
    <w:rsid w:val="004A5EDA"/>
    <w:rsid w:val="004C00DF"/>
    <w:rsid w:val="004C40AD"/>
    <w:rsid w:val="004E0670"/>
    <w:rsid w:val="004E27B6"/>
    <w:rsid w:val="004E7477"/>
    <w:rsid w:val="004F53DA"/>
    <w:rsid w:val="00532303"/>
    <w:rsid w:val="005344E8"/>
    <w:rsid w:val="0054043D"/>
    <w:rsid w:val="00546CD2"/>
    <w:rsid w:val="00560347"/>
    <w:rsid w:val="0057507A"/>
    <w:rsid w:val="005C28DE"/>
    <w:rsid w:val="005D625D"/>
    <w:rsid w:val="00612C7C"/>
    <w:rsid w:val="00636FE2"/>
    <w:rsid w:val="00662041"/>
    <w:rsid w:val="006A53B4"/>
    <w:rsid w:val="006C27FD"/>
    <w:rsid w:val="007060FC"/>
    <w:rsid w:val="00726B1B"/>
    <w:rsid w:val="007511C7"/>
    <w:rsid w:val="0075731D"/>
    <w:rsid w:val="007F166B"/>
    <w:rsid w:val="007F25BE"/>
    <w:rsid w:val="007F27A1"/>
    <w:rsid w:val="008548A8"/>
    <w:rsid w:val="00862109"/>
    <w:rsid w:val="00870553"/>
    <w:rsid w:val="008762D9"/>
    <w:rsid w:val="00880FA8"/>
    <w:rsid w:val="008C21F6"/>
    <w:rsid w:val="008C5DC0"/>
    <w:rsid w:val="008E53AB"/>
    <w:rsid w:val="00906B96"/>
    <w:rsid w:val="00906F34"/>
    <w:rsid w:val="009109D7"/>
    <w:rsid w:val="0092091F"/>
    <w:rsid w:val="00923824"/>
    <w:rsid w:val="00927C1A"/>
    <w:rsid w:val="00930409"/>
    <w:rsid w:val="009308EE"/>
    <w:rsid w:val="0093532C"/>
    <w:rsid w:val="00935895"/>
    <w:rsid w:val="00997853"/>
    <w:rsid w:val="009D2A5F"/>
    <w:rsid w:val="009E0982"/>
    <w:rsid w:val="009F470A"/>
    <w:rsid w:val="00A02C92"/>
    <w:rsid w:val="00A6322D"/>
    <w:rsid w:val="00A82FC1"/>
    <w:rsid w:val="00A9235D"/>
    <w:rsid w:val="00AE09CB"/>
    <w:rsid w:val="00AF00AB"/>
    <w:rsid w:val="00B22B46"/>
    <w:rsid w:val="00B40106"/>
    <w:rsid w:val="00B446A3"/>
    <w:rsid w:val="00B6388B"/>
    <w:rsid w:val="00B76C72"/>
    <w:rsid w:val="00B846BD"/>
    <w:rsid w:val="00B90BED"/>
    <w:rsid w:val="00B95978"/>
    <w:rsid w:val="00BA2EB6"/>
    <w:rsid w:val="00BE1F66"/>
    <w:rsid w:val="00BE352F"/>
    <w:rsid w:val="00C10E88"/>
    <w:rsid w:val="00C1290D"/>
    <w:rsid w:val="00C401B1"/>
    <w:rsid w:val="00C5138D"/>
    <w:rsid w:val="00C8377B"/>
    <w:rsid w:val="00C96A92"/>
    <w:rsid w:val="00D37681"/>
    <w:rsid w:val="00D37FC8"/>
    <w:rsid w:val="00D434EA"/>
    <w:rsid w:val="00D624B7"/>
    <w:rsid w:val="00D64027"/>
    <w:rsid w:val="00D94420"/>
    <w:rsid w:val="00DC38FC"/>
    <w:rsid w:val="00DE27A8"/>
    <w:rsid w:val="00E67772"/>
    <w:rsid w:val="00E7031B"/>
    <w:rsid w:val="00E70797"/>
    <w:rsid w:val="00E769BB"/>
    <w:rsid w:val="00E779AE"/>
    <w:rsid w:val="00E903BA"/>
    <w:rsid w:val="00EB4D26"/>
    <w:rsid w:val="00F2377F"/>
    <w:rsid w:val="00F36171"/>
    <w:rsid w:val="00F4542D"/>
    <w:rsid w:val="00F8731A"/>
    <w:rsid w:val="00F90D60"/>
    <w:rsid w:val="00F94253"/>
    <w:rsid w:val="00F9654E"/>
    <w:rsid w:val="00FB4E91"/>
    <w:rsid w:val="00FC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customStyle="1" w:styleId="ParaTab1">
    <w:name w:val="ParaTab 1"/>
    <w:rsid w:val="00371CD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customStyle="1" w:styleId="ParaTab1">
    <w:name w:val="ParaTab 1"/>
    <w:rsid w:val="00371CD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68196-846A-4558-A6FE-76E93BF4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Reitenbach, Dawn</cp:lastModifiedBy>
  <cp:revision>2</cp:revision>
  <cp:lastPrinted>2012-03-09T21:23:00Z</cp:lastPrinted>
  <dcterms:created xsi:type="dcterms:W3CDTF">2012-03-14T19:25:00Z</dcterms:created>
  <dcterms:modified xsi:type="dcterms:W3CDTF">2012-03-14T19:25:00Z</dcterms:modified>
</cp:coreProperties>
</file>