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4993" w:rsidRDefault="00C14993" w:rsidP="00C14993">
      <w:pPr>
        <w:jc w:val="center"/>
        <w:rPr>
          <w:b/>
        </w:rPr>
      </w:pPr>
      <w:r>
        <w:rPr>
          <w:b/>
        </w:rPr>
        <w:t>BEFORE THE</w:t>
      </w:r>
    </w:p>
    <w:p w:rsidR="00C14993" w:rsidRDefault="00C14993" w:rsidP="00C14993">
      <w:pPr>
        <w:jc w:val="center"/>
      </w:pPr>
      <w:r>
        <w:rPr>
          <w:b/>
        </w:rPr>
        <w:t>PENNSYLVANIA PUBLIC UTILITY COMMISSION</w:t>
      </w:r>
    </w:p>
    <w:p w:rsidR="00C14993" w:rsidRDefault="00C14993" w:rsidP="00C14993"/>
    <w:p w:rsidR="00C14993" w:rsidRDefault="00C14993" w:rsidP="00C14993"/>
    <w:p w:rsidR="00C14993" w:rsidRDefault="00C14993" w:rsidP="00C14993"/>
    <w:p w:rsidR="00C14993" w:rsidRDefault="00C14993" w:rsidP="00C14993">
      <w:r>
        <w:t>Kat Lyons</w:t>
      </w:r>
      <w:r>
        <w:tab/>
      </w:r>
      <w:r>
        <w:tab/>
      </w:r>
      <w:r>
        <w:tab/>
      </w:r>
      <w:r>
        <w:tab/>
      </w:r>
      <w:r>
        <w:tab/>
      </w:r>
      <w:r>
        <w:tab/>
        <w:t>:</w:t>
      </w:r>
    </w:p>
    <w:p w:rsidR="00C14993" w:rsidRDefault="00C14993" w:rsidP="00C14993">
      <w:r>
        <w:tab/>
      </w:r>
      <w:r>
        <w:tab/>
      </w:r>
      <w:r>
        <w:tab/>
      </w:r>
      <w:r>
        <w:tab/>
      </w:r>
      <w:r>
        <w:tab/>
      </w:r>
      <w:r>
        <w:tab/>
      </w:r>
      <w:r>
        <w:tab/>
        <w:t>:</w:t>
      </w:r>
    </w:p>
    <w:p w:rsidR="00C14993" w:rsidRDefault="00C14993" w:rsidP="00C14993">
      <w:r>
        <w:tab/>
        <w:t>v.</w:t>
      </w:r>
      <w:r>
        <w:tab/>
      </w:r>
      <w:r>
        <w:tab/>
      </w:r>
      <w:r>
        <w:tab/>
      </w:r>
      <w:r>
        <w:tab/>
      </w:r>
      <w:r>
        <w:tab/>
      </w:r>
      <w:r>
        <w:tab/>
        <w:t>:</w:t>
      </w:r>
      <w:r>
        <w:tab/>
      </w:r>
      <w:r>
        <w:tab/>
        <w:t>C-2011-2238862</w:t>
      </w:r>
    </w:p>
    <w:p w:rsidR="00C14993" w:rsidRDefault="00C14993" w:rsidP="00C14993">
      <w:r>
        <w:tab/>
      </w:r>
      <w:r>
        <w:tab/>
      </w:r>
      <w:r>
        <w:tab/>
      </w:r>
      <w:r>
        <w:tab/>
      </w:r>
      <w:r>
        <w:tab/>
      </w:r>
      <w:r>
        <w:tab/>
      </w:r>
      <w:r>
        <w:tab/>
        <w:t>:</w:t>
      </w:r>
    </w:p>
    <w:p w:rsidR="00C14993" w:rsidRDefault="00C14993" w:rsidP="00C14993">
      <w:r>
        <w:t>Pennsylvania Electric Company</w:t>
      </w:r>
      <w:r>
        <w:tab/>
      </w:r>
      <w:r>
        <w:tab/>
      </w:r>
      <w:r>
        <w:tab/>
        <w:t>:</w:t>
      </w:r>
    </w:p>
    <w:p w:rsidR="00C14993" w:rsidRDefault="00C14993" w:rsidP="00C14993"/>
    <w:p w:rsidR="00C14993" w:rsidRDefault="00C14993" w:rsidP="00C14993"/>
    <w:p w:rsidR="00C14993" w:rsidRDefault="00C14993" w:rsidP="00C14993"/>
    <w:p w:rsidR="00C14993" w:rsidRDefault="00C14993" w:rsidP="00C14993">
      <w:pPr>
        <w:jc w:val="center"/>
      </w:pPr>
      <w:r>
        <w:rPr>
          <w:b/>
          <w:u w:val="single"/>
        </w:rPr>
        <w:t>INITIAL DECISION</w:t>
      </w:r>
    </w:p>
    <w:p w:rsidR="00C14993" w:rsidRDefault="00C14993" w:rsidP="00C14993">
      <w:pPr>
        <w:jc w:val="center"/>
      </w:pPr>
    </w:p>
    <w:p w:rsidR="00C14993" w:rsidRDefault="00C14993" w:rsidP="00C14993">
      <w:pPr>
        <w:jc w:val="center"/>
      </w:pPr>
    </w:p>
    <w:p w:rsidR="00C14993" w:rsidRDefault="00C14993" w:rsidP="00C14993">
      <w:pPr>
        <w:jc w:val="center"/>
      </w:pPr>
      <w:r>
        <w:t>Before</w:t>
      </w:r>
    </w:p>
    <w:p w:rsidR="00C14993" w:rsidRDefault="00C14993" w:rsidP="00C14993">
      <w:pPr>
        <w:jc w:val="center"/>
      </w:pPr>
      <w:r>
        <w:t>John H. Corbett, Jr.</w:t>
      </w:r>
    </w:p>
    <w:p w:rsidR="00C14993" w:rsidRDefault="00C14993" w:rsidP="00C14993">
      <w:pPr>
        <w:jc w:val="center"/>
      </w:pPr>
      <w:r>
        <w:t>Administrative Law Judge</w:t>
      </w:r>
    </w:p>
    <w:p w:rsidR="00C14993" w:rsidRDefault="00C14993" w:rsidP="00C14993">
      <w:pPr>
        <w:jc w:val="center"/>
      </w:pPr>
    </w:p>
    <w:p w:rsidR="00C14993" w:rsidRDefault="00C14993" w:rsidP="00C14993">
      <w:pPr>
        <w:jc w:val="center"/>
      </w:pPr>
    </w:p>
    <w:p w:rsidR="00C14993" w:rsidRDefault="00C14993" w:rsidP="00C14993">
      <w:pPr>
        <w:jc w:val="center"/>
      </w:pPr>
      <w:r>
        <w:rPr>
          <w:u w:val="single"/>
        </w:rPr>
        <w:t>HISTORY OF THE PROCEEDING</w:t>
      </w:r>
    </w:p>
    <w:p w:rsidR="00C14993" w:rsidRDefault="00C14993" w:rsidP="00C14993"/>
    <w:p w:rsidR="00C14993" w:rsidRDefault="00C14993" w:rsidP="00C14993"/>
    <w:p w:rsidR="00C14993" w:rsidRDefault="00C14993" w:rsidP="00C14993">
      <w:pPr>
        <w:spacing w:line="360" w:lineRule="auto"/>
      </w:pPr>
      <w:r>
        <w:tab/>
      </w:r>
      <w:r>
        <w:tab/>
        <w:t>On April 18, 2011, Kat Lyons (“Complainant”) filed a complaint with the Pennsylvania Public Utility Commission (“Commission”) challenging certain bills she received for residential electric service from Pennsylvania Electric Company (“Respondent” or “</w:t>
      </w:r>
      <w:proofErr w:type="spellStart"/>
      <w:r>
        <w:t>Penelec</w:t>
      </w:r>
      <w:proofErr w:type="spellEnd"/>
      <w:r>
        <w:t xml:space="preserve">”).  She questions whether </w:t>
      </w:r>
      <w:proofErr w:type="spellStart"/>
      <w:r>
        <w:t>Penelec</w:t>
      </w:r>
      <w:proofErr w:type="spellEnd"/>
      <w:r>
        <w:t xml:space="preserve"> read the correct meter, since there are several meters at this location.  For relief, Ms. Lyons wants her security deposit refunded and reimbursement for the overcharges.</w:t>
      </w:r>
    </w:p>
    <w:p w:rsidR="00C14993" w:rsidRDefault="00C14993" w:rsidP="00C14993">
      <w:pPr>
        <w:spacing w:line="360" w:lineRule="auto"/>
      </w:pPr>
    </w:p>
    <w:p w:rsidR="00C14993" w:rsidRPr="00933D1D" w:rsidRDefault="00C14993" w:rsidP="00C14993">
      <w:pPr>
        <w:spacing w:line="360" w:lineRule="auto"/>
      </w:pPr>
      <w:r>
        <w:tab/>
      </w:r>
      <w:r>
        <w:tab/>
        <w:t xml:space="preserve">Respondent answered the complaint and filed new matter on May 23, 2011.  </w:t>
      </w:r>
      <w:proofErr w:type="spellStart"/>
      <w:r>
        <w:t>Penelec</w:t>
      </w:r>
      <w:proofErr w:type="spellEnd"/>
      <w:r>
        <w:t xml:space="preserve"> avers that (1) Complainant’s electric meter operated correctly and within Commission-prescribed standards at all times relevant to the allegations in the complaint; (2) Respondent’s personnel read this meter correctly; and (3) the bills </w:t>
      </w:r>
      <w:proofErr w:type="spellStart"/>
      <w:r>
        <w:t>Penelec</w:t>
      </w:r>
      <w:proofErr w:type="spellEnd"/>
      <w:r>
        <w:t xml:space="preserve"> rendered to Complainant properly reflected the meter readings and were consistent with Respondent’s duly approved and filed retail electric tariff.  Complainant did not reply to the new matter.</w:t>
      </w:r>
      <w:r w:rsidR="00933D1D">
        <w:t xml:space="preserve">  </w:t>
      </w:r>
      <w:r w:rsidR="00933D1D">
        <w:rPr>
          <w:i/>
        </w:rPr>
        <w:t>See</w:t>
      </w:r>
      <w:r w:rsidR="00933D1D">
        <w:t>, 52 Pa. Code §</w:t>
      </w:r>
      <w:r w:rsidR="0030077C">
        <w:t>5.63.</w:t>
      </w:r>
    </w:p>
    <w:p w:rsidR="00C14993" w:rsidRDefault="00C14993" w:rsidP="00C14993">
      <w:pPr>
        <w:spacing w:line="360" w:lineRule="auto"/>
      </w:pPr>
    </w:p>
    <w:p w:rsidR="00C14993" w:rsidRDefault="00C14993" w:rsidP="00C14993">
      <w:pPr>
        <w:spacing w:line="360" w:lineRule="auto"/>
      </w:pPr>
      <w:r>
        <w:lastRenderedPageBreak/>
        <w:tab/>
      </w:r>
      <w:r>
        <w:tab/>
        <w:t>I received this case assignment on August 2, 2011.  A standard Prehearing Order was issued on August 5, 2011.  A telephonic hearing scheduled for September 15, 2011 was postponed because Complainant was ill.  A telephonic hearing held on November 1, 2011 was continued due to Complainant’s illness.</w:t>
      </w:r>
      <w:r>
        <w:rPr>
          <w:rStyle w:val="FootnoteReference"/>
        </w:rPr>
        <w:footnoteReference w:id="1"/>
      </w:r>
    </w:p>
    <w:p w:rsidR="00C14993" w:rsidRDefault="00C14993" w:rsidP="00C14993">
      <w:pPr>
        <w:spacing w:line="360" w:lineRule="auto"/>
      </w:pPr>
    </w:p>
    <w:p w:rsidR="00C14993" w:rsidRDefault="00C14993" w:rsidP="00C14993">
      <w:pPr>
        <w:spacing w:line="360" w:lineRule="auto"/>
      </w:pPr>
      <w:r>
        <w:tab/>
      </w:r>
      <w:r>
        <w:tab/>
        <w:t>A further telephonic hearing convened on December 22, 2011.  Complainant appeared</w:t>
      </w:r>
      <w:r w:rsidRPr="00A55A79">
        <w:rPr>
          <w:i/>
        </w:rPr>
        <w:t xml:space="preserve"> pro se</w:t>
      </w:r>
      <w:r>
        <w:t xml:space="preserve">.  Lauren M. </w:t>
      </w:r>
      <w:proofErr w:type="spellStart"/>
      <w:r>
        <w:t>Lepkoski</w:t>
      </w:r>
      <w:proofErr w:type="spellEnd"/>
      <w:r>
        <w:t>, Esq. represented Respondent, which offered eight exhibits for admission into the record.  This hearing generated 84 pages of notes of testimony.  Neither party filed a brief.  The record closed on January 23, 2012.</w:t>
      </w:r>
    </w:p>
    <w:p w:rsidR="00C14993" w:rsidRDefault="00C14993" w:rsidP="00C14993">
      <w:pPr>
        <w:spacing w:line="360" w:lineRule="auto"/>
      </w:pPr>
    </w:p>
    <w:p w:rsidR="00C14993" w:rsidRDefault="00C14993" w:rsidP="00C14993">
      <w:pPr>
        <w:spacing w:line="360" w:lineRule="auto"/>
        <w:jc w:val="center"/>
      </w:pPr>
      <w:r>
        <w:rPr>
          <w:u w:val="single"/>
        </w:rPr>
        <w:t>FINDINGS OF FACT</w:t>
      </w:r>
    </w:p>
    <w:p w:rsidR="00C14993" w:rsidRDefault="00C14993" w:rsidP="00C14993">
      <w:pPr>
        <w:spacing w:line="360" w:lineRule="auto"/>
      </w:pPr>
    </w:p>
    <w:p w:rsidR="00C14993" w:rsidRDefault="00C14993" w:rsidP="00C14993">
      <w:pPr>
        <w:pStyle w:val="ListParagraph"/>
        <w:numPr>
          <w:ilvl w:val="0"/>
          <w:numId w:val="1"/>
        </w:numPr>
        <w:spacing w:line="360" w:lineRule="auto"/>
        <w:ind w:left="0" w:firstLine="1440"/>
      </w:pPr>
      <w:r>
        <w:t>Complainant, Kat Lyons, resides at 254A South Main Street, Brookville, Pennsylvania 15825, where she has lived since December 2010 (N.T. 11).</w:t>
      </w:r>
    </w:p>
    <w:p w:rsidR="00C14993" w:rsidRDefault="00C14993" w:rsidP="00C14993">
      <w:pPr>
        <w:pStyle w:val="ListParagraph"/>
        <w:spacing w:line="360" w:lineRule="auto"/>
        <w:ind w:left="1440"/>
      </w:pPr>
    </w:p>
    <w:p w:rsidR="00C14993" w:rsidRDefault="00C14993" w:rsidP="00C14993">
      <w:pPr>
        <w:pStyle w:val="ListParagraph"/>
        <w:numPr>
          <w:ilvl w:val="0"/>
          <w:numId w:val="1"/>
        </w:numPr>
        <w:spacing w:line="360" w:lineRule="auto"/>
        <w:ind w:left="0" w:firstLine="1440"/>
      </w:pPr>
      <w:r>
        <w:t>Respondent,</w:t>
      </w:r>
      <w:r w:rsidRPr="00402974">
        <w:t xml:space="preserve"> </w:t>
      </w:r>
      <w:r>
        <w:t>Pennsylvania Electric Company, provides residential electric service to Complainant at this location (N.T. 12).</w:t>
      </w:r>
    </w:p>
    <w:p w:rsidR="00C14993" w:rsidRDefault="00C14993" w:rsidP="00C14993">
      <w:pPr>
        <w:pStyle w:val="ListParagraph"/>
      </w:pPr>
    </w:p>
    <w:p w:rsidR="00C14993" w:rsidRDefault="00C14993" w:rsidP="00C14993">
      <w:pPr>
        <w:pStyle w:val="ListParagraph"/>
        <w:numPr>
          <w:ilvl w:val="0"/>
          <w:numId w:val="1"/>
        </w:numPr>
        <w:spacing w:line="360" w:lineRule="auto"/>
        <w:ind w:left="0" w:firstLine="1440"/>
      </w:pPr>
      <w:r>
        <w:t>Complainant lives alone in a first floor apartment in a frame house.  The apartment consists of an open living room-dining room-kitchen area, and a bedroom and bathroom (N.T. 13).</w:t>
      </w:r>
    </w:p>
    <w:p w:rsidR="00C14993" w:rsidRDefault="00C14993" w:rsidP="00C14993">
      <w:pPr>
        <w:pStyle w:val="ListParagraph"/>
      </w:pPr>
    </w:p>
    <w:p w:rsidR="00C14993" w:rsidRDefault="00C14993" w:rsidP="00C14993">
      <w:pPr>
        <w:pStyle w:val="ListParagraph"/>
        <w:numPr>
          <w:ilvl w:val="0"/>
          <w:numId w:val="1"/>
        </w:numPr>
        <w:spacing w:line="360" w:lineRule="auto"/>
        <w:ind w:left="0" w:firstLine="1440"/>
      </w:pPr>
      <w:r>
        <w:t>There is a second floor apartment in the house that has been occupied since Complainant has lived there (N.T. 15-16).</w:t>
      </w:r>
    </w:p>
    <w:p w:rsidR="00C14993" w:rsidRDefault="00C14993" w:rsidP="00C14993">
      <w:pPr>
        <w:pStyle w:val="ListParagraph"/>
      </w:pPr>
    </w:p>
    <w:p w:rsidR="00C14993" w:rsidRDefault="00C14993" w:rsidP="00C14993">
      <w:pPr>
        <w:pStyle w:val="ListParagraph"/>
        <w:numPr>
          <w:ilvl w:val="0"/>
          <w:numId w:val="1"/>
        </w:numPr>
        <w:spacing w:line="360" w:lineRule="auto"/>
        <w:ind w:left="0" w:firstLine="1440"/>
      </w:pPr>
      <w:r>
        <w:t>For electrical appliances, Complainant has a kitchen stove, refrigerator, microwave oven, computer, and radio, but no television (N.T. 14-15).</w:t>
      </w:r>
    </w:p>
    <w:p w:rsidR="00C14993" w:rsidRDefault="00C14993" w:rsidP="00C14993">
      <w:pPr>
        <w:pStyle w:val="ListParagraph"/>
      </w:pPr>
    </w:p>
    <w:p w:rsidR="00C14993" w:rsidRDefault="00C14993" w:rsidP="00C14993">
      <w:pPr>
        <w:pStyle w:val="ListParagraph"/>
        <w:numPr>
          <w:ilvl w:val="0"/>
          <w:numId w:val="1"/>
        </w:numPr>
        <w:spacing w:line="360" w:lineRule="auto"/>
        <w:ind w:left="0" w:firstLine="1440"/>
      </w:pPr>
      <w:r>
        <w:t>Complainant uses gas heated radiators in her apartment (N.T. 14).</w:t>
      </w:r>
    </w:p>
    <w:p w:rsidR="00C14993" w:rsidRDefault="00C14993" w:rsidP="00C14993">
      <w:pPr>
        <w:pStyle w:val="ListParagraph"/>
        <w:numPr>
          <w:ilvl w:val="0"/>
          <w:numId w:val="1"/>
        </w:numPr>
        <w:spacing w:line="360" w:lineRule="auto"/>
        <w:ind w:left="0" w:firstLine="1440"/>
      </w:pPr>
      <w:r>
        <w:lastRenderedPageBreak/>
        <w:t xml:space="preserve">Complainant disputes the bills for electric service in January, February and March 2011 as being too high.  She states she was billed for 686 kWh in January 2011, 166 kWh in February 2011, and 420 kWh in March 2011.  She notes all of her remaining bills were much lower (N.T. 16-17, 22-23; </w:t>
      </w:r>
      <w:proofErr w:type="spellStart"/>
      <w:r>
        <w:t>Penelec</w:t>
      </w:r>
      <w:proofErr w:type="spellEnd"/>
      <w:r>
        <w:t xml:space="preserve"> </w:t>
      </w:r>
      <w:proofErr w:type="spellStart"/>
      <w:r>
        <w:t>Exh</w:t>
      </w:r>
      <w:proofErr w:type="spellEnd"/>
      <w:r>
        <w:t>. 5).</w:t>
      </w:r>
    </w:p>
    <w:p w:rsidR="00C14993" w:rsidRDefault="00C14993" w:rsidP="00C14993">
      <w:pPr>
        <w:pStyle w:val="ListParagraph"/>
      </w:pPr>
    </w:p>
    <w:p w:rsidR="00C14993" w:rsidRDefault="00C14993" w:rsidP="00C14993">
      <w:pPr>
        <w:pStyle w:val="ListParagraph"/>
        <w:numPr>
          <w:ilvl w:val="0"/>
          <w:numId w:val="1"/>
        </w:numPr>
        <w:spacing w:line="360" w:lineRule="auto"/>
        <w:ind w:left="0" w:firstLine="1440"/>
      </w:pPr>
      <w:r>
        <w:t>Based upon her calculations, Complainant estimates these bills should range between 166 kWh and 322 kWh for this period (N.T. 18-20, 22-23).</w:t>
      </w:r>
    </w:p>
    <w:p w:rsidR="00C14993" w:rsidRDefault="00C14993" w:rsidP="00C14993">
      <w:pPr>
        <w:pStyle w:val="ListParagraph"/>
      </w:pPr>
    </w:p>
    <w:p w:rsidR="00C14993" w:rsidRDefault="00C14993" w:rsidP="00C14993">
      <w:pPr>
        <w:pStyle w:val="ListParagraph"/>
        <w:numPr>
          <w:ilvl w:val="0"/>
          <w:numId w:val="1"/>
        </w:numPr>
        <w:spacing w:line="360" w:lineRule="auto"/>
        <w:ind w:left="0" w:firstLine="1440"/>
      </w:pPr>
      <w:r>
        <w:t>Complainant denies using a portable electric space heater that is on the premises.  She claims the space heater is for emergency use only (N.T. 17-18, 60-61, 65).</w:t>
      </w:r>
    </w:p>
    <w:p w:rsidR="00C14993" w:rsidRDefault="00C14993" w:rsidP="00C14993">
      <w:pPr>
        <w:pStyle w:val="ListParagraph"/>
      </w:pPr>
    </w:p>
    <w:p w:rsidR="00C14993" w:rsidRDefault="00C14993" w:rsidP="00C14993">
      <w:pPr>
        <w:pStyle w:val="ListParagraph"/>
        <w:numPr>
          <w:ilvl w:val="0"/>
          <w:numId w:val="1"/>
        </w:numPr>
        <w:spacing w:line="360" w:lineRule="auto"/>
        <w:ind w:left="0" w:firstLine="1440"/>
      </w:pPr>
      <w:r>
        <w:t>Complainant believes it is possible that a mix-up has occurred when reading her electric meter and the meter for the upstairs neighbor, since both meters are located side-by-side outside of the building</w:t>
      </w:r>
      <w:r>
        <w:rPr>
          <w:rStyle w:val="FootnoteReference"/>
        </w:rPr>
        <w:footnoteReference w:id="2"/>
      </w:r>
      <w:r>
        <w:t xml:space="preserve"> (N.T. 21-22, 26-28; </w:t>
      </w:r>
      <w:proofErr w:type="spellStart"/>
      <w:r>
        <w:t>Penelec</w:t>
      </w:r>
      <w:proofErr w:type="spellEnd"/>
      <w:r>
        <w:t xml:space="preserve"> </w:t>
      </w:r>
      <w:proofErr w:type="spellStart"/>
      <w:r>
        <w:t>Exh</w:t>
      </w:r>
      <w:proofErr w:type="spellEnd"/>
      <w:r>
        <w:t>. 1).</w:t>
      </w:r>
    </w:p>
    <w:p w:rsidR="00C14993" w:rsidRDefault="00C14993" w:rsidP="00C14993">
      <w:pPr>
        <w:pStyle w:val="ListParagraph"/>
      </w:pPr>
    </w:p>
    <w:p w:rsidR="00C14993" w:rsidRDefault="00C14993" w:rsidP="00C14993">
      <w:pPr>
        <w:pStyle w:val="ListParagraph"/>
        <w:numPr>
          <w:ilvl w:val="0"/>
          <w:numId w:val="1"/>
        </w:numPr>
        <w:spacing w:line="360" w:lineRule="auto"/>
        <w:ind w:left="0" w:firstLine="1440"/>
      </w:pPr>
      <w:proofErr w:type="spellStart"/>
      <w:r>
        <w:t>Penelec</w:t>
      </w:r>
      <w:proofErr w:type="spellEnd"/>
      <w:r>
        <w:t xml:space="preserve"> produces a meter reading sequence record from the meter reading route book for Complainant’s route, which shows the sequential numbers for the three meters appearing in Complainant’s meter bank outside her building.  </w:t>
      </w:r>
      <w:proofErr w:type="spellStart"/>
      <w:r>
        <w:t>Penelec</w:t>
      </w:r>
      <w:proofErr w:type="spellEnd"/>
      <w:r>
        <w:t xml:space="preserve"> explains the meters are read in sequence, with Complainant’s meter being read last (N.T. 28-30; </w:t>
      </w:r>
      <w:proofErr w:type="spellStart"/>
      <w:r>
        <w:t>Penelec</w:t>
      </w:r>
      <w:proofErr w:type="spellEnd"/>
      <w:r>
        <w:t xml:space="preserve"> </w:t>
      </w:r>
      <w:proofErr w:type="spellStart"/>
      <w:r>
        <w:t>Exh</w:t>
      </w:r>
      <w:proofErr w:type="spellEnd"/>
      <w:r>
        <w:t>. 2).</w:t>
      </w:r>
    </w:p>
    <w:p w:rsidR="00C14993" w:rsidRDefault="00C14993" w:rsidP="00C14993">
      <w:pPr>
        <w:pStyle w:val="ListParagraph"/>
      </w:pPr>
    </w:p>
    <w:p w:rsidR="00C14993" w:rsidRDefault="00C14993" w:rsidP="00C14993">
      <w:pPr>
        <w:pStyle w:val="ListParagraph"/>
        <w:numPr>
          <w:ilvl w:val="0"/>
          <w:numId w:val="1"/>
        </w:numPr>
        <w:spacing w:line="360" w:lineRule="auto"/>
        <w:ind w:left="0" w:firstLine="1440"/>
      </w:pPr>
      <w:r>
        <w:t xml:space="preserve">From its billing records, </w:t>
      </w:r>
      <w:proofErr w:type="spellStart"/>
      <w:r>
        <w:t>Penelec</w:t>
      </w:r>
      <w:proofErr w:type="spellEnd"/>
      <w:r>
        <w:t xml:space="preserve"> generated an exhibit showing the meter reading results during the preceding 24 months</w:t>
      </w:r>
      <w:r w:rsidRPr="00F42F0B">
        <w:t xml:space="preserve"> </w:t>
      </w:r>
      <w:r>
        <w:t xml:space="preserve">for the three meters appearing in Complainant’s meter bank.  The exhibit shows each meter reading moving forward, as well as typical usage every month for each of these accounts (N.T. 31-33; </w:t>
      </w:r>
      <w:proofErr w:type="spellStart"/>
      <w:r>
        <w:t>Penelec</w:t>
      </w:r>
      <w:proofErr w:type="spellEnd"/>
      <w:r>
        <w:t xml:space="preserve"> </w:t>
      </w:r>
      <w:proofErr w:type="spellStart"/>
      <w:r>
        <w:t>Exh</w:t>
      </w:r>
      <w:proofErr w:type="spellEnd"/>
      <w:r>
        <w:t>. 3).</w:t>
      </w:r>
    </w:p>
    <w:p w:rsidR="00C14993" w:rsidRDefault="00C14993" w:rsidP="00C14993">
      <w:pPr>
        <w:pStyle w:val="ListParagraph"/>
      </w:pPr>
    </w:p>
    <w:p w:rsidR="00C14993" w:rsidRDefault="00C14993" w:rsidP="00C14993">
      <w:pPr>
        <w:pStyle w:val="ListParagraph"/>
        <w:numPr>
          <w:ilvl w:val="0"/>
          <w:numId w:val="1"/>
        </w:numPr>
        <w:spacing w:line="360" w:lineRule="auto"/>
        <w:ind w:left="0" w:firstLine="1440"/>
      </w:pPr>
      <w:proofErr w:type="spellStart"/>
      <w:r>
        <w:t>Penelec</w:t>
      </w:r>
      <w:proofErr w:type="spellEnd"/>
      <w:r>
        <w:t xml:space="preserve"> removed Complainant’s electric meter on August 23, 2011 and tested it on August 30, 2011.  The meter was 99.43% accurate on full load, 98.74% accurate on light load, and it had a weighted average of 99.29% accuracy (N.T. 34-37; </w:t>
      </w:r>
      <w:proofErr w:type="spellStart"/>
      <w:r>
        <w:t>Penelec</w:t>
      </w:r>
      <w:proofErr w:type="spellEnd"/>
      <w:r>
        <w:t xml:space="preserve"> </w:t>
      </w:r>
      <w:proofErr w:type="spellStart"/>
      <w:r>
        <w:t>Exh</w:t>
      </w:r>
      <w:proofErr w:type="spellEnd"/>
      <w:r>
        <w:t>. 4).</w:t>
      </w:r>
    </w:p>
    <w:p w:rsidR="00C14993" w:rsidRDefault="00C14993" w:rsidP="00C14993">
      <w:pPr>
        <w:pStyle w:val="ListParagraph"/>
      </w:pPr>
    </w:p>
    <w:p w:rsidR="00C14993" w:rsidRDefault="00C14993" w:rsidP="00C14993">
      <w:pPr>
        <w:pStyle w:val="ListParagraph"/>
        <w:numPr>
          <w:ilvl w:val="0"/>
          <w:numId w:val="1"/>
        </w:numPr>
        <w:spacing w:line="360" w:lineRule="auto"/>
        <w:ind w:left="0" w:firstLine="1440"/>
      </w:pPr>
      <w:proofErr w:type="spellStart"/>
      <w:r>
        <w:lastRenderedPageBreak/>
        <w:t>Penelec</w:t>
      </w:r>
      <w:proofErr w:type="spellEnd"/>
      <w:r>
        <w:t xml:space="preserve"> opines it read Complainant’s meter correctly and the meter operated properly (N.T. 36, 38).</w:t>
      </w:r>
    </w:p>
    <w:p w:rsidR="00C14993" w:rsidRDefault="00C14993" w:rsidP="00C14993">
      <w:pPr>
        <w:pStyle w:val="ListParagraph"/>
      </w:pPr>
    </w:p>
    <w:p w:rsidR="00C14993" w:rsidRDefault="00C14993" w:rsidP="00C14993">
      <w:pPr>
        <w:pStyle w:val="ListParagraph"/>
        <w:numPr>
          <w:ilvl w:val="0"/>
          <w:numId w:val="1"/>
        </w:numPr>
        <w:spacing w:line="360" w:lineRule="auto"/>
        <w:ind w:left="0" w:firstLine="1440"/>
      </w:pPr>
      <w:proofErr w:type="spellStart"/>
      <w:r>
        <w:t>Penelec</w:t>
      </w:r>
      <w:proofErr w:type="spellEnd"/>
      <w:r>
        <w:t xml:space="preserve"> produced a detailed Statement of Account for Complainant’s account (N.T. 45-46; </w:t>
      </w:r>
      <w:proofErr w:type="spellStart"/>
      <w:r>
        <w:t>Penelec</w:t>
      </w:r>
      <w:proofErr w:type="spellEnd"/>
      <w:r>
        <w:t xml:space="preserve"> </w:t>
      </w:r>
      <w:proofErr w:type="spellStart"/>
      <w:r>
        <w:t>Exh</w:t>
      </w:r>
      <w:proofErr w:type="spellEnd"/>
      <w:r>
        <w:t>. 5).</w:t>
      </w:r>
    </w:p>
    <w:p w:rsidR="00C14993" w:rsidRDefault="00C14993" w:rsidP="00C14993">
      <w:pPr>
        <w:pStyle w:val="ListParagraph"/>
      </w:pPr>
    </w:p>
    <w:p w:rsidR="00C14993" w:rsidRDefault="00C14993" w:rsidP="00C14993">
      <w:pPr>
        <w:pStyle w:val="ListParagraph"/>
        <w:numPr>
          <w:ilvl w:val="0"/>
          <w:numId w:val="1"/>
        </w:numPr>
        <w:spacing w:line="360" w:lineRule="auto"/>
        <w:ind w:left="0" w:firstLine="1440"/>
      </w:pPr>
      <w:r>
        <w:t xml:space="preserve">Complainant began receiving residential electric service from </w:t>
      </w:r>
      <w:proofErr w:type="spellStart"/>
      <w:r>
        <w:t>Penelec</w:t>
      </w:r>
      <w:proofErr w:type="spellEnd"/>
      <w:r>
        <w:t xml:space="preserve"> on December 14, 2010 (N.T. 46; </w:t>
      </w:r>
      <w:proofErr w:type="spellStart"/>
      <w:r>
        <w:t>Penelec</w:t>
      </w:r>
      <w:proofErr w:type="spellEnd"/>
      <w:r>
        <w:t xml:space="preserve"> </w:t>
      </w:r>
      <w:proofErr w:type="spellStart"/>
      <w:r>
        <w:t>Exh</w:t>
      </w:r>
      <w:proofErr w:type="spellEnd"/>
      <w:r>
        <w:t>. 5).</w:t>
      </w:r>
    </w:p>
    <w:p w:rsidR="00C14993" w:rsidRDefault="00C14993" w:rsidP="00C14993">
      <w:pPr>
        <w:pStyle w:val="ListParagraph"/>
      </w:pPr>
    </w:p>
    <w:p w:rsidR="00C14993" w:rsidRDefault="00C14993" w:rsidP="00C14993">
      <w:pPr>
        <w:pStyle w:val="ListParagraph"/>
        <w:numPr>
          <w:ilvl w:val="0"/>
          <w:numId w:val="1"/>
        </w:numPr>
        <w:spacing w:line="360" w:lineRule="auto"/>
        <w:ind w:left="0" w:firstLine="1440"/>
      </w:pPr>
      <w:r>
        <w:t>Complainant’s meter readings began with the last meter reading for the previous tenant (N.T. 32-33, 39-40, 47-49).</w:t>
      </w:r>
    </w:p>
    <w:p w:rsidR="00C14993" w:rsidRDefault="00C14993" w:rsidP="00C14993">
      <w:pPr>
        <w:pStyle w:val="ListParagraph"/>
      </w:pPr>
    </w:p>
    <w:p w:rsidR="00C14993" w:rsidRDefault="00C14993" w:rsidP="00C14993">
      <w:pPr>
        <w:pStyle w:val="ListParagraph"/>
        <w:numPr>
          <w:ilvl w:val="0"/>
          <w:numId w:val="1"/>
        </w:numPr>
        <w:spacing w:line="360" w:lineRule="auto"/>
        <w:ind w:left="0" w:firstLine="1440"/>
      </w:pPr>
      <w:r>
        <w:t xml:space="preserve">After Complainant moved into her residence, </w:t>
      </w:r>
      <w:proofErr w:type="spellStart"/>
      <w:r>
        <w:t>Penelec</w:t>
      </w:r>
      <w:proofErr w:type="spellEnd"/>
      <w:r>
        <w:t xml:space="preserve"> obtained an actual meter reading on January 14, 2011, followed by an estimated meter reading on February 14, 2011, and an actual meter reading on March 15, 2011 (N.T. 47-48; </w:t>
      </w:r>
      <w:proofErr w:type="spellStart"/>
      <w:r>
        <w:t>Penelec</w:t>
      </w:r>
      <w:proofErr w:type="spellEnd"/>
      <w:r>
        <w:t xml:space="preserve"> </w:t>
      </w:r>
      <w:proofErr w:type="spellStart"/>
      <w:r>
        <w:t>Exh</w:t>
      </w:r>
      <w:proofErr w:type="spellEnd"/>
      <w:r>
        <w:t>. 5).</w:t>
      </w:r>
    </w:p>
    <w:p w:rsidR="00C14993" w:rsidRDefault="00C14993" w:rsidP="00C14993">
      <w:pPr>
        <w:pStyle w:val="ListParagraph"/>
      </w:pPr>
    </w:p>
    <w:p w:rsidR="00C14993" w:rsidRDefault="00C14993" w:rsidP="00C14993">
      <w:pPr>
        <w:pStyle w:val="ListParagraph"/>
        <w:numPr>
          <w:ilvl w:val="0"/>
          <w:numId w:val="1"/>
        </w:numPr>
        <w:spacing w:line="360" w:lineRule="auto"/>
        <w:ind w:left="0" w:firstLine="1440"/>
      </w:pPr>
      <w:proofErr w:type="spellStart"/>
      <w:r>
        <w:t>Penelec</w:t>
      </w:r>
      <w:proofErr w:type="spellEnd"/>
      <w:r>
        <w:t xml:space="preserve"> explains the February 14, 2011 estimated bill of 166 kWh might have been low and the resultant under-billing was made up in the subsequent March 15, 2011 bill, which was based on an actual reading that showed an additional 420 kWh had been consumed (N.T. 47; </w:t>
      </w:r>
      <w:proofErr w:type="spellStart"/>
      <w:r>
        <w:t>Penelec</w:t>
      </w:r>
      <w:proofErr w:type="spellEnd"/>
      <w:r>
        <w:t xml:space="preserve"> </w:t>
      </w:r>
      <w:proofErr w:type="spellStart"/>
      <w:r>
        <w:t>Exh</w:t>
      </w:r>
      <w:proofErr w:type="spellEnd"/>
      <w:r>
        <w:t>. 5).</w:t>
      </w:r>
    </w:p>
    <w:p w:rsidR="00C14993" w:rsidRDefault="00C14993" w:rsidP="00C14993">
      <w:pPr>
        <w:pStyle w:val="ListParagraph"/>
      </w:pPr>
    </w:p>
    <w:p w:rsidR="00C14993" w:rsidRDefault="00C14993" w:rsidP="00C14993">
      <w:pPr>
        <w:pStyle w:val="ListParagraph"/>
        <w:numPr>
          <w:ilvl w:val="0"/>
          <w:numId w:val="1"/>
        </w:numPr>
        <w:spacing w:line="360" w:lineRule="auto"/>
        <w:ind w:left="0" w:firstLine="1440"/>
      </w:pPr>
      <w:r>
        <w:t xml:space="preserve">Complainant is current on her account with </w:t>
      </w:r>
      <w:proofErr w:type="spellStart"/>
      <w:r>
        <w:t>Penelec</w:t>
      </w:r>
      <w:proofErr w:type="spellEnd"/>
      <w:r>
        <w:t xml:space="preserve">, owing a balance of $35.25 at the time of the hearing (N.T. 48; </w:t>
      </w:r>
      <w:proofErr w:type="spellStart"/>
      <w:r>
        <w:t>Penelec</w:t>
      </w:r>
      <w:proofErr w:type="spellEnd"/>
      <w:r>
        <w:t xml:space="preserve"> </w:t>
      </w:r>
      <w:proofErr w:type="spellStart"/>
      <w:r>
        <w:t>Exh</w:t>
      </w:r>
      <w:proofErr w:type="spellEnd"/>
      <w:r>
        <w:t>. 5).</w:t>
      </w:r>
    </w:p>
    <w:p w:rsidR="00C14993" w:rsidRDefault="00C14993" w:rsidP="00C14993">
      <w:pPr>
        <w:pStyle w:val="ListParagraph"/>
      </w:pPr>
    </w:p>
    <w:p w:rsidR="00C14993" w:rsidRDefault="00C14993" w:rsidP="00C14993">
      <w:pPr>
        <w:pStyle w:val="ListParagraph"/>
        <w:numPr>
          <w:ilvl w:val="0"/>
          <w:numId w:val="1"/>
        </w:numPr>
        <w:spacing w:line="360" w:lineRule="auto"/>
        <w:ind w:left="0" w:firstLine="1440"/>
      </w:pPr>
      <w:r>
        <w:t xml:space="preserve">Complainant first contacted </w:t>
      </w:r>
      <w:proofErr w:type="spellStart"/>
      <w:r>
        <w:t>Penelec</w:t>
      </w:r>
      <w:proofErr w:type="spellEnd"/>
      <w:r>
        <w:t xml:space="preserve"> on January 25, 2011</w:t>
      </w:r>
      <w:r w:rsidRPr="00C03F70">
        <w:t xml:space="preserve"> </w:t>
      </w:r>
      <w:r>
        <w:t>to complain of a high bill for the period of December 15, 2010 to January 14, 2011, as well as the itemized charges appearing on her bill.  Respondent’s customer service representative explained the generation and transmission charges and advised her about the price to compare default service charge.  Based upon a meter reading that Complainant furnished that day, the customer service representative informed Complainant that she was using approximately 19 kWh per day for the 11 days since the last actual meter reading.  The</w:t>
      </w:r>
      <w:r w:rsidRPr="008D3E77">
        <w:t xml:space="preserve"> </w:t>
      </w:r>
      <w:r>
        <w:t xml:space="preserve">customer service representative then advised Complainant the bills were correct as rendered (N.T. 54-56; </w:t>
      </w:r>
      <w:proofErr w:type="spellStart"/>
      <w:r>
        <w:t>Penelec</w:t>
      </w:r>
      <w:proofErr w:type="spellEnd"/>
      <w:r>
        <w:t xml:space="preserve"> </w:t>
      </w:r>
      <w:proofErr w:type="spellStart"/>
      <w:r>
        <w:t>Exh</w:t>
      </w:r>
      <w:proofErr w:type="spellEnd"/>
      <w:r>
        <w:t>. 6).</w:t>
      </w:r>
    </w:p>
    <w:p w:rsidR="00C14993" w:rsidRDefault="00C14993" w:rsidP="00C14993">
      <w:pPr>
        <w:pStyle w:val="ListParagraph"/>
        <w:numPr>
          <w:ilvl w:val="0"/>
          <w:numId w:val="1"/>
        </w:numPr>
        <w:spacing w:line="360" w:lineRule="auto"/>
        <w:ind w:left="0" w:firstLine="1440"/>
      </w:pPr>
      <w:r>
        <w:lastRenderedPageBreak/>
        <w:t xml:space="preserve">During the same conversation, Respondent’s customer service representative conducted a customer billing analysis with Complainant and determined that the highest potential users of electricity were the space heater, that Complainant admitted using, a refrigerator and a kitchen stove.  Based on this information, the customer service representative concluded Complainant had the potential to use between 504 and 616 kWh per 30-day month (N.T. 56-62; </w:t>
      </w:r>
      <w:proofErr w:type="spellStart"/>
      <w:r>
        <w:t>Penelec</w:t>
      </w:r>
      <w:proofErr w:type="spellEnd"/>
      <w:r>
        <w:t xml:space="preserve"> </w:t>
      </w:r>
      <w:proofErr w:type="spellStart"/>
      <w:r>
        <w:t>Exhs</w:t>
      </w:r>
      <w:proofErr w:type="spellEnd"/>
      <w:r>
        <w:t>. 6-7).</w:t>
      </w:r>
    </w:p>
    <w:p w:rsidR="00C14993" w:rsidRDefault="00C14993" w:rsidP="00C14993">
      <w:pPr>
        <w:pStyle w:val="ListParagraph"/>
      </w:pPr>
    </w:p>
    <w:p w:rsidR="00C14993" w:rsidRDefault="00C14993" w:rsidP="00C14993">
      <w:pPr>
        <w:pStyle w:val="ListParagraph"/>
        <w:numPr>
          <w:ilvl w:val="0"/>
          <w:numId w:val="1"/>
        </w:numPr>
        <w:spacing w:line="360" w:lineRule="auto"/>
        <w:ind w:left="0" w:firstLine="1440"/>
      </w:pPr>
      <w:r>
        <w:t xml:space="preserve">The customer service representative also explained to Complainant that an electric meter cannot speed up and then return to normal operation (N.T. 56, 63; </w:t>
      </w:r>
      <w:proofErr w:type="spellStart"/>
      <w:r>
        <w:t>Penelec</w:t>
      </w:r>
      <w:proofErr w:type="spellEnd"/>
      <w:r>
        <w:t xml:space="preserve"> </w:t>
      </w:r>
      <w:proofErr w:type="spellStart"/>
      <w:r>
        <w:t>Exh</w:t>
      </w:r>
      <w:proofErr w:type="spellEnd"/>
      <w:r>
        <w:t>. 6).</w:t>
      </w:r>
    </w:p>
    <w:p w:rsidR="00C14993" w:rsidRDefault="00C14993" w:rsidP="00C14993">
      <w:pPr>
        <w:pStyle w:val="ListParagraph"/>
      </w:pPr>
    </w:p>
    <w:p w:rsidR="00C14993" w:rsidRDefault="00C14993" w:rsidP="00C14993">
      <w:pPr>
        <w:pStyle w:val="ListParagraph"/>
        <w:numPr>
          <w:ilvl w:val="0"/>
          <w:numId w:val="1"/>
        </w:numPr>
        <w:spacing w:line="360" w:lineRule="auto"/>
        <w:ind w:left="0" w:firstLine="1440"/>
      </w:pPr>
      <w:r>
        <w:t xml:space="preserve">On March 8, 2011, Respondent sent Complainant a letter concluding that its investigation was complete and its bills were correct as rendered.  Respondent noted that it had obtained an actual meter reading on February 24, 2011, showing 415 kWh had been consumed during the previous 41 days since the last meter reading on January 14, 2011, for an average of about 10 kWh per day (N.T. 73-79; </w:t>
      </w:r>
      <w:proofErr w:type="spellStart"/>
      <w:r>
        <w:t>Penelec</w:t>
      </w:r>
      <w:proofErr w:type="spellEnd"/>
      <w:r>
        <w:t xml:space="preserve"> </w:t>
      </w:r>
      <w:proofErr w:type="spellStart"/>
      <w:r>
        <w:t>Exh</w:t>
      </w:r>
      <w:proofErr w:type="spellEnd"/>
      <w:r>
        <w:t>. 8).</w:t>
      </w:r>
    </w:p>
    <w:p w:rsidR="001A517C" w:rsidRDefault="001A517C" w:rsidP="00EA1EB6">
      <w:pPr>
        <w:spacing w:line="360" w:lineRule="auto"/>
      </w:pPr>
    </w:p>
    <w:p w:rsidR="00C14993" w:rsidRDefault="00C14993" w:rsidP="00C14993">
      <w:pPr>
        <w:spacing w:line="360" w:lineRule="auto"/>
        <w:jc w:val="center"/>
      </w:pPr>
      <w:r>
        <w:rPr>
          <w:u w:val="single"/>
        </w:rPr>
        <w:t>DISCUSSION</w:t>
      </w:r>
    </w:p>
    <w:p w:rsidR="00C14993" w:rsidRDefault="00C14993" w:rsidP="00C14993">
      <w:pPr>
        <w:spacing w:line="360" w:lineRule="auto"/>
      </w:pPr>
    </w:p>
    <w:p w:rsidR="00C14993" w:rsidRDefault="00C14993" w:rsidP="00C14993">
      <w:pPr>
        <w:spacing w:line="360" w:lineRule="auto"/>
      </w:pPr>
      <w:r>
        <w:tab/>
      </w:r>
      <w:r>
        <w:tab/>
        <w:t xml:space="preserve">Complainant disputes the bills that she received from Respondent for residential electric service during the cold weather months of January through March of 2011.  </w:t>
      </w:r>
      <w:r w:rsidRPr="00C7307B">
        <w:t xml:space="preserve">As the party seeking affirmative relief from the Commission, Complainant bears the burden of proving </w:t>
      </w:r>
      <w:r>
        <w:t xml:space="preserve">that she </w:t>
      </w:r>
      <w:r w:rsidRPr="00C7307B">
        <w:t>is entitle</w:t>
      </w:r>
      <w:r>
        <w:t>d</w:t>
      </w:r>
      <w:r w:rsidRPr="00C7307B">
        <w:t xml:space="preserve"> to relief.  </w:t>
      </w:r>
      <w:proofErr w:type="gramStart"/>
      <w:r w:rsidRPr="00C7307B">
        <w:t>66 Pa. C.S. §332(a).</w:t>
      </w:r>
      <w:proofErr w:type="gramEnd"/>
    </w:p>
    <w:p w:rsidR="00C14993" w:rsidRDefault="00C14993" w:rsidP="00C14993">
      <w:pPr>
        <w:spacing w:line="360" w:lineRule="auto"/>
      </w:pPr>
    </w:p>
    <w:p w:rsidR="00C14993" w:rsidRDefault="00C14993" w:rsidP="00C14993">
      <w:pPr>
        <w:spacing w:line="360" w:lineRule="auto"/>
      </w:pPr>
      <w:r>
        <w:tab/>
      </w:r>
      <w:r>
        <w:tab/>
      </w:r>
      <w:r w:rsidRPr="00C24DC1">
        <w:t xml:space="preserve">The term “burden of proof” means a duty to establish a fact by a preponderance of the evidence.  </w:t>
      </w:r>
      <w:proofErr w:type="gramStart"/>
      <w:r w:rsidRPr="00A539BD">
        <w:rPr>
          <w:u w:val="single"/>
        </w:rPr>
        <w:t>Se-Ling Hosiery v. Mar</w:t>
      </w:r>
      <w:r>
        <w:rPr>
          <w:u w:val="single"/>
        </w:rPr>
        <w:t>g</w:t>
      </w:r>
      <w:r w:rsidRPr="00A539BD">
        <w:rPr>
          <w:u w:val="single"/>
        </w:rPr>
        <w:t>ulies</w:t>
      </w:r>
      <w:r w:rsidRPr="00C24DC1">
        <w:t>, 364 Pa. 45, 70 A.2d 854 (195</w:t>
      </w:r>
      <w:r w:rsidR="0061428B">
        <w:t>0</w:t>
      </w:r>
      <w:bookmarkStart w:id="0" w:name="_GoBack"/>
      <w:bookmarkEnd w:id="0"/>
      <w:r w:rsidRPr="00C24DC1">
        <w:t xml:space="preserve">); </w:t>
      </w:r>
      <w:r w:rsidRPr="00A539BD">
        <w:rPr>
          <w:u w:val="single"/>
        </w:rPr>
        <w:t>Feinstein v. Philadelphia Suburban Water Company</w:t>
      </w:r>
      <w:r w:rsidRPr="00C24DC1">
        <w:t>, 50 Pa. P.U.C. 300 (1976).</w:t>
      </w:r>
      <w:proofErr w:type="gramEnd"/>
      <w:r w:rsidRPr="00C24DC1">
        <w:t xml:space="preserve">  The term “preponderance of the evidence” means one party must present evidence which is more convincing, by even the smallest amount, than the evidence presented by the other party.  </w:t>
      </w:r>
      <w:smartTag w:uri="urn:schemas-microsoft-com:office:smarttags" w:element="State">
        <w:smartTag w:uri="urn:schemas-microsoft-com:office:smarttags" w:element="place">
          <w:r w:rsidRPr="00287572">
            <w:rPr>
              <w:i/>
            </w:rPr>
            <w:t>Id</w:t>
          </w:r>
          <w:r w:rsidRPr="00C24DC1">
            <w:t>.</w:t>
          </w:r>
        </w:smartTag>
      </w:smartTag>
      <w:r w:rsidRPr="00C24DC1">
        <w:t xml:space="preserve">  Accordingly, one must review the record in this case to determine whether Complainant has satisfied </w:t>
      </w:r>
      <w:r>
        <w:t xml:space="preserve">her </w:t>
      </w:r>
      <w:r w:rsidRPr="00C24DC1">
        <w:t xml:space="preserve">burden of proof.  If the review indicates the burden has been satisfied, one must then determine whether </w:t>
      </w:r>
      <w:r w:rsidRPr="00C24DC1">
        <w:lastRenderedPageBreak/>
        <w:t xml:space="preserve">Respondent has submitted evidence of co-equal value or weight to refute Complainant’s evidence.  If this has occurred, the burden of proof cannot be satisfied, unless the party bearing the burden of proof presents additional evidence.  </w:t>
      </w:r>
      <w:proofErr w:type="gramStart"/>
      <w:r w:rsidRPr="00287572">
        <w:rPr>
          <w:u w:val="single"/>
        </w:rPr>
        <w:t>Morrissey v. Pa. Dept. of Highways</w:t>
      </w:r>
      <w:r w:rsidRPr="00C24DC1">
        <w:t xml:space="preserve">, 424 Pa. 87, 225 A.2d 895 (1967); </w:t>
      </w:r>
      <w:r w:rsidRPr="00287572">
        <w:rPr>
          <w:u w:val="single"/>
        </w:rPr>
        <w:t>Burleson v. Pa. P.U.C.</w:t>
      </w:r>
      <w:r w:rsidRPr="00C24DC1">
        <w:t xml:space="preserve">, 443 A.2d 1373 (Pa. </w:t>
      </w:r>
      <w:proofErr w:type="spellStart"/>
      <w:r w:rsidRPr="00C24DC1">
        <w:t>Cmwlth</w:t>
      </w:r>
      <w:proofErr w:type="spellEnd"/>
      <w:r w:rsidRPr="00C24DC1">
        <w:t>. 1982).</w:t>
      </w:r>
      <w:proofErr w:type="gramEnd"/>
    </w:p>
    <w:p w:rsidR="00C14993" w:rsidRDefault="00C14993" w:rsidP="00C14993">
      <w:pPr>
        <w:spacing w:line="360" w:lineRule="auto"/>
      </w:pPr>
    </w:p>
    <w:p w:rsidR="00C14993" w:rsidRDefault="00C14993" w:rsidP="00C14993">
      <w:pPr>
        <w:spacing w:line="360" w:lineRule="auto"/>
      </w:pPr>
      <w:r>
        <w:tab/>
      </w:r>
      <w:r>
        <w:tab/>
      </w:r>
      <w:r w:rsidRPr="00C24DC1">
        <w:t xml:space="preserve">Furthermore, substantial evidence in the record must support the decision of the Commission.  </w:t>
      </w:r>
      <w:r w:rsidRPr="00F03E90">
        <w:rPr>
          <w:i/>
        </w:rPr>
        <w:t>See</w:t>
      </w:r>
      <w:r w:rsidRPr="00C24DC1">
        <w:t xml:space="preserve">, </w:t>
      </w:r>
      <w:r w:rsidRPr="00F03E90">
        <w:rPr>
          <w:i/>
        </w:rPr>
        <w:t>e.g.</w:t>
      </w:r>
      <w:r w:rsidRPr="00C24DC1">
        <w:t xml:space="preserve">, Section 704 of the Administrative Agency Law, 2 Pa. C.S. §704; </w:t>
      </w:r>
      <w:r w:rsidRPr="00F03E90">
        <w:rPr>
          <w:u w:val="single"/>
        </w:rPr>
        <w:t>Yellow Cab Company v. Pa. P.U.C.</w:t>
      </w:r>
      <w:r w:rsidRPr="00C24DC1">
        <w:t xml:space="preserve">, 524 A.2d 1069 (Pa. </w:t>
      </w:r>
      <w:proofErr w:type="spellStart"/>
      <w:r w:rsidRPr="00C24DC1">
        <w:t>Cmwlth</w:t>
      </w:r>
      <w:proofErr w:type="spellEnd"/>
      <w:r w:rsidRPr="00C24DC1">
        <w:t>. 1987).  The term “substantial evidence” mean</w:t>
      </w:r>
      <w:r>
        <w:t>s</w:t>
      </w:r>
      <w:r w:rsidRPr="00C24DC1">
        <w:t xml:space="preserve"> such relevant evidence that a reasonable mind may accept as adequate to support a conclusion.  More is required than a mere trace of evidence or a suspicion of the existence of a fact sought to be established.  </w:t>
      </w:r>
      <w:r w:rsidRPr="00F03E90">
        <w:rPr>
          <w:u w:val="single"/>
        </w:rPr>
        <w:t>Norfolk &amp; Western Ry. Co. v. Pa. P.U.C.</w:t>
      </w:r>
      <w:r w:rsidRPr="00C24DC1">
        <w:t xml:space="preserve">, 489 Pa. 109, 413 A.2d 1037 (1980); </w:t>
      </w:r>
      <w:r w:rsidRPr="00F03E90">
        <w:rPr>
          <w:u w:val="single"/>
        </w:rPr>
        <w:t>Erie Resistor Corp. v. Unemployment Comp. Bd. of Review</w:t>
      </w:r>
      <w:r w:rsidRPr="00C24DC1">
        <w:t xml:space="preserve">, 194 Pa. Superior Ct. 278, 166 A.2d 96 (1961); </w:t>
      </w:r>
      <w:r w:rsidRPr="00F03E90">
        <w:rPr>
          <w:u w:val="single"/>
        </w:rPr>
        <w:t>Murphy v. Pa. Dept. of Public Welfare, White Haven Center</w:t>
      </w:r>
      <w:r w:rsidRPr="00C24DC1">
        <w:t xml:space="preserve">, 480 A.2d 382 (Pa. </w:t>
      </w:r>
      <w:proofErr w:type="spellStart"/>
      <w:r w:rsidRPr="00C24DC1">
        <w:t>Cmwlth</w:t>
      </w:r>
      <w:proofErr w:type="spellEnd"/>
      <w:r w:rsidRPr="00C24DC1">
        <w:t xml:space="preserve">. 1984).  The Commission has held that a complainant, to establish a sufficient case against a utility and satisfy the burden of proof, must show the utility is responsible or accountable for the problem described in the complaint.  </w:t>
      </w:r>
      <w:r w:rsidRPr="00F03E90">
        <w:rPr>
          <w:u w:val="single"/>
        </w:rPr>
        <w:t>Feinstein</w:t>
      </w:r>
      <w:r w:rsidRPr="00C24DC1">
        <w:t xml:space="preserve">, </w:t>
      </w:r>
      <w:r w:rsidRPr="00F03E90">
        <w:rPr>
          <w:i/>
        </w:rPr>
        <w:t>supra</w:t>
      </w:r>
      <w:r w:rsidRPr="00C24DC1">
        <w:t>.</w:t>
      </w:r>
    </w:p>
    <w:p w:rsidR="00C14993" w:rsidRDefault="00C14993" w:rsidP="00C14993">
      <w:pPr>
        <w:spacing w:line="360" w:lineRule="auto"/>
      </w:pPr>
    </w:p>
    <w:p w:rsidR="00C14993" w:rsidRPr="00156790" w:rsidRDefault="00C14993" w:rsidP="00C14993">
      <w:pPr>
        <w:spacing w:line="360" w:lineRule="auto"/>
      </w:pPr>
      <w:r>
        <w:tab/>
      </w:r>
      <w:r>
        <w:tab/>
      </w:r>
      <w:r w:rsidRPr="00156790">
        <w:t xml:space="preserve">In </w:t>
      </w:r>
      <w:r w:rsidRPr="00156790">
        <w:rPr>
          <w:u w:val="single"/>
        </w:rPr>
        <w:t>Waldron v. Philadelphia Electric Company</w:t>
      </w:r>
      <w:r w:rsidRPr="00156790">
        <w:t xml:space="preserve">, 54 Pa. P.U.C. 98 (1980), the Commission outlined the general dynamics for the burden of proof in a case that raises a high bill dispute.  In order to determine whether a complainant has established a </w:t>
      </w:r>
      <w:r w:rsidRPr="00156790">
        <w:rPr>
          <w:i/>
        </w:rPr>
        <w:t>prima facie</w:t>
      </w:r>
      <w:r w:rsidRPr="00156790">
        <w:t xml:space="preserve"> case </w:t>
      </w:r>
    </w:p>
    <w:p w:rsidR="00C14993" w:rsidRPr="00156790" w:rsidRDefault="00C14993" w:rsidP="00C14993">
      <w:pPr>
        <w:spacing w:line="360" w:lineRule="auto"/>
      </w:pPr>
      <w:r w:rsidRPr="00156790">
        <w:t xml:space="preserve">where there are claims of unusually high bills, this Commission has declared that certain factors must be considered.  While the accuracy of the meter is an important factor in resolving a billing dispute, it is not the sole criterion.  </w:t>
      </w:r>
      <w:r w:rsidRPr="00156790">
        <w:rPr>
          <w:i/>
        </w:rPr>
        <w:t>Id</w:t>
      </w:r>
      <w:r w:rsidRPr="00156790">
        <w:t xml:space="preserve">. at 100.  A complainant may establish a </w:t>
      </w:r>
      <w:r w:rsidRPr="00156790">
        <w:rPr>
          <w:i/>
        </w:rPr>
        <w:t>prima facie</w:t>
      </w:r>
      <w:r w:rsidRPr="00156790">
        <w:t xml:space="preserve"> case by showing that: (1) the disputed bill was abnormally high when compared to prior usage patterns; and (2) his/her pattern of usage had not changed.  </w:t>
      </w:r>
      <w:smartTag w:uri="urn:schemas-microsoft-com:office:smarttags" w:element="place">
        <w:smartTag w:uri="urn:schemas-microsoft-com:office:smarttags" w:element="State">
          <w:r w:rsidRPr="00156790">
            <w:rPr>
              <w:i/>
            </w:rPr>
            <w:t>Id</w:t>
          </w:r>
          <w:r w:rsidRPr="00156790">
            <w:t>.</w:t>
          </w:r>
        </w:smartTag>
      </w:smartTag>
      <w:r w:rsidRPr="00156790">
        <w:t xml:space="preserve">  In looking at these criteria, one may consider the billing history of the account, any change in the number of occupants residing in the household, the potential for energy utilization, and any other relevant facts or circumstances that come to light during the proceeding.  </w:t>
      </w:r>
      <w:proofErr w:type="spellStart"/>
      <w:r w:rsidRPr="00156790">
        <w:rPr>
          <w:u w:val="single"/>
        </w:rPr>
        <w:t>Replogle</w:t>
      </w:r>
      <w:proofErr w:type="spellEnd"/>
      <w:r w:rsidRPr="00156790">
        <w:rPr>
          <w:u w:val="single"/>
        </w:rPr>
        <w:t xml:space="preserve"> v. Pennsylvania Electric Company</w:t>
      </w:r>
      <w:r w:rsidRPr="00156790">
        <w:t xml:space="preserve">, 54 Pa. P.U.C. </w:t>
      </w:r>
      <w:r>
        <w:t xml:space="preserve">528 (1980); </w:t>
      </w:r>
      <w:r>
        <w:rPr>
          <w:u w:val="single"/>
        </w:rPr>
        <w:t>Bennett v. The Peoples Natural Gas Company, LLC</w:t>
      </w:r>
      <w:r>
        <w:t xml:space="preserve">, Docket No. C-2009-2122979 (Order entered October 13, 2010); </w:t>
      </w:r>
      <w:r>
        <w:rPr>
          <w:u w:val="single"/>
        </w:rPr>
        <w:t xml:space="preserve">Thomas v. PECO Energy </w:t>
      </w:r>
      <w:r>
        <w:rPr>
          <w:u w:val="single"/>
        </w:rPr>
        <w:lastRenderedPageBreak/>
        <w:t>Company</w:t>
      </w:r>
      <w:r>
        <w:t>, Docket No. C-2010-2187197 (Order entered November 15, 2011).</w:t>
      </w:r>
      <w:r w:rsidRPr="00156790">
        <w:t xml:space="preserve">  In this way, a complainant may prove entitlement to relief by wholly circumstantial evidence, rather than direct evidence of some utility misfeasance.  </w:t>
      </w:r>
      <w:proofErr w:type="spellStart"/>
      <w:r w:rsidRPr="00156790">
        <w:rPr>
          <w:u w:val="single"/>
        </w:rPr>
        <w:t>Milkie</w:t>
      </w:r>
      <w:proofErr w:type="spellEnd"/>
      <w:r w:rsidRPr="00156790">
        <w:rPr>
          <w:u w:val="single"/>
        </w:rPr>
        <w:t xml:space="preserve"> v. Pa. P.U.C.</w:t>
      </w:r>
      <w:r w:rsidRPr="00156790">
        <w:t xml:space="preserve">, 768 A.2d 1217 (Pa. </w:t>
      </w:r>
      <w:proofErr w:type="spellStart"/>
      <w:r w:rsidRPr="00156790">
        <w:t>Cmwlth</w:t>
      </w:r>
      <w:proofErr w:type="spellEnd"/>
      <w:r w:rsidRPr="00156790">
        <w:t>. 2001).</w:t>
      </w:r>
    </w:p>
    <w:p w:rsidR="00C14993" w:rsidRPr="00156790" w:rsidRDefault="00C14993" w:rsidP="00C14993">
      <w:pPr>
        <w:spacing w:line="360" w:lineRule="auto"/>
      </w:pPr>
    </w:p>
    <w:p w:rsidR="00C14993" w:rsidRDefault="00C14993" w:rsidP="00C14993">
      <w:pPr>
        <w:spacing w:line="360" w:lineRule="auto"/>
      </w:pPr>
      <w:r w:rsidRPr="00156790">
        <w:tab/>
      </w:r>
      <w:r w:rsidRPr="00156790">
        <w:tab/>
        <w:t xml:space="preserve">The “Waldron Rule” is nothing more than an evidentiary rule, which the Commission adopted to apportion the burden of going forward with the evidence.  </w:t>
      </w:r>
      <w:r w:rsidRPr="00156790">
        <w:rPr>
          <w:u w:val="single"/>
        </w:rPr>
        <w:t>Pennsylvania Electric Company v. Pa. P.U.C.</w:t>
      </w:r>
      <w:r w:rsidRPr="00156790">
        <w:t>, 473 A.2d 704, 705-</w:t>
      </w:r>
      <w:r>
        <w:t>70</w:t>
      </w:r>
      <w:r w:rsidRPr="00156790">
        <w:t xml:space="preserve">6 (Pa. </w:t>
      </w:r>
      <w:proofErr w:type="spellStart"/>
      <w:r w:rsidRPr="00156790">
        <w:t>Cmwlth</w:t>
      </w:r>
      <w:proofErr w:type="spellEnd"/>
      <w:r w:rsidRPr="00156790">
        <w:t xml:space="preserve">. 1984).  As such, it is immaterial to the applicability of the rule whether the customer is residential, commercial or industrial.  </w:t>
      </w:r>
      <w:proofErr w:type="spellStart"/>
      <w:r w:rsidRPr="00156790">
        <w:rPr>
          <w:u w:val="single"/>
        </w:rPr>
        <w:t>Kupstas</w:t>
      </w:r>
      <w:proofErr w:type="spellEnd"/>
      <w:r w:rsidRPr="00156790">
        <w:rPr>
          <w:u w:val="single"/>
        </w:rPr>
        <w:t xml:space="preserve"> v. Pennsylvania Gas &amp; Water Company</w:t>
      </w:r>
      <w:r w:rsidRPr="00156790">
        <w:t xml:space="preserve">, Docket No. F-09136863 (Order entered September 17, 1992).  The Commission applied the Waldron Rule to a commercial account in </w:t>
      </w:r>
      <w:proofErr w:type="spellStart"/>
      <w:r w:rsidRPr="00156790">
        <w:rPr>
          <w:u w:val="single"/>
        </w:rPr>
        <w:t>Chiaverini</w:t>
      </w:r>
      <w:proofErr w:type="spellEnd"/>
      <w:r w:rsidRPr="00156790">
        <w:rPr>
          <w:u w:val="single"/>
        </w:rPr>
        <w:t xml:space="preserve"> v. Duquesne Light Company</w:t>
      </w:r>
      <w:r w:rsidRPr="00156790">
        <w:t>, Docket No. C-00945562 (Order entered February 13, 1995).  Appl</w:t>
      </w:r>
      <w:r>
        <w:t>ying</w:t>
      </w:r>
      <w:r w:rsidRPr="00156790">
        <w:t xml:space="preserve"> these criteria to the present case reveals </w:t>
      </w:r>
      <w:r>
        <w:t>the following.</w:t>
      </w:r>
    </w:p>
    <w:p w:rsidR="00C14993" w:rsidRDefault="00C14993" w:rsidP="00C14993">
      <w:pPr>
        <w:spacing w:line="360" w:lineRule="auto"/>
      </w:pPr>
    </w:p>
    <w:p w:rsidR="00A00364" w:rsidRDefault="00A00364" w:rsidP="00A00364">
      <w:pPr>
        <w:spacing w:line="360" w:lineRule="auto"/>
      </w:pPr>
      <w:r>
        <w:tab/>
      </w:r>
      <w:r>
        <w:tab/>
        <w:t xml:space="preserve">Complainant disputes the bills for electric service in January, February and March 2011 as being too high.  She states she was billed for 686 kWh in January 2011, 166 kWh in February 2011, and 420 kWh in March 2011.  She notes all of her remaining bills were much lower (N.T. 16-17, 22-23; </w:t>
      </w:r>
      <w:proofErr w:type="spellStart"/>
      <w:r>
        <w:t>Penelec</w:t>
      </w:r>
      <w:proofErr w:type="spellEnd"/>
      <w:r>
        <w:t xml:space="preserve"> </w:t>
      </w:r>
      <w:proofErr w:type="spellStart"/>
      <w:r>
        <w:t>Exh</w:t>
      </w:r>
      <w:proofErr w:type="spellEnd"/>
      <w:r>
        <w:t>. 5).</w:t>
      </w:r>
    </w:p>
    <w:p w:rsidR="00A00364" w:rsidRDefault="00A00364" w:rsidP="00A00364">
      <w:pPr>
        <w:spacing w:line="360" w:lineRule="auto"/>
      </w:pPr>
    </w:p>
    <w:p w:rsidR="00A00364" w:rsidRDefault="00A00364" w:rsidP="00A00364">
      <w:pPr>
        <w:spacing w:line="360" w:lineRule="auto"/>
      </w:pPr>
      <w:r>
        <w:tab/>
      </w:r>
      <w:r>
        <w:tab/>
      </w:r>
      <w:proofErr w:type="spellStart"/>
      <w:r>
        <w:t>Penelec</w:t>
      </w:r>
      <w:proofErr w:type="spellEnd"/>
      <w:r>
        <w:t xml:space="preserve"> removed Complainant’s electric meter on August 23, 2011 and tested it on August 30, 2011.  The meter was 99.43% accurate on full load, 98.74% accurate on light load, and it had a weighted average of 99.29% accuracy (N.T. 34-37; </w:t>
      </w:r>
      <w:proofErr w:type="spellStart"/>
      <w:r>
        <w:t>Penelec</w:t>
      </w:r>
      <w:proofErr w:type="spellEnd"/>
      <w:r>
        <w:t xml:space="preserve"> </w:t>
      </w:r>
      <w:proofErr w:type="spellStart"/>
      <w:r>
        <w:t>Exh</w:t>
      </w:r>
      <w:proofErr w:type="spellEnd"/>
      <w:r>
        <w:t>. 4).  These test results comport with Commission regulations pertaining to electric meter accuracy, since they are within ±2% of 100% accuracy.  52 Pa. Code §§57.20 &amp; 57.24.</w:t>
      </w:r>
    </w:p>
    <w:p w:rsidR="00A00364" w:rsidRDefault="00A00364" w:rsidP="00A00364">
      <w:pPr>
        <w:spacing w:line="360" w:lineRule="auto"/>
      </w:pPr>
    </w:p>
    <w:p w:rsidR="00A00364" w:rsidRDefault="00A00364" w:rsidP="00A00364">
      <w:pPr>
        <w:spacing w:line="360" w:lineRule="auto"/>
      </w:pPr>
      <w:r>
        <w:tab/>
      </w:r>
      <w:r>
        <w:tab/>
        <w:t xml:space="preserve">Looking at her particular circumstances, we see that Complainant is a relatively new customer of this utility.  She began receiving electric service from </w:t>
      </w:r>
      <w:proofErr w:type="spellStart"/>
      <w:r>
        <w:t>Penelec</w:t>
      </w:r>
      <w:proofErr w:type="spellEnd"/>
      <w:r>
        <w:t xml:space="preserve"> on December 14, 2010 (N.T. 46; </w:t>
      </w:r>
      <w:proofErr w:type="spellStart"/>
      <w:r>
        <w:t>Penelec</w:t>
      </w:r>
      <w:proofErr w:type="spellEnd"/>
      <w:r>
        <w:t xml:space="preserve"> </w:t>
      </w:r>
      <w:proofErr w:type="spellStart"/>
      <w:r>
        <w:t>Exh</w:t>
      </w:r>
      <w:proofErr w:type="spellEnd"/>
      <w:r>
        <w:t xml:space="preserve">. 5).  So, Complainant does not yet have a clearly defined pattern of usage.  She lives alone in a first floor apartment in a frame house.  The apartment consists of an open living room-dining room-kitchen area, and a bedroom and bathroom (N.T. 13).  For electrical appliances, Complainant has a kitchen stove, refrigerator, microwave oven, computer, </w:t>
      </w:r>
      <w:r>
        <w:lastRenderedPageBreak/>
        <w:t>and radio, but no television (N.T. 14-15).  She</w:t>
      </w:r>
      <w:r w:rsidRPr="00977858">
        <w:t xml:space="preserve"> </w:t>
      </w:r>
      <w:r>
        <w:t xml:space="preserve">uses gas heated radiators in her apartment (N.T. 14).  She denies using a portable electric space heater.  She claims the space heater is for emergency use only (N.T. 17-18, 60-61, 65).  But during a conversation with a </w:t>
      </w:r>
      <w:proofErr w:type="spellStart"/>
      <w:r>
        <w:t>Penelec</w:t>
      </w:r>
      <w:proofErr w:type="spellEnd"/>
      <w:r>
        <w:t xml:space="preserve"> customer service representative on January 25, 2011,</w:t>
      </w:r>
      <w:r w:rsidRPr="00CF35F6">
        <w:t xml:space="preserve"> </w:t>
      </w:r>
      <w:r>
        <w:t>Complainant admitted using the space heater.  Based on the information Complainant supplied about her electrical appliances, the customer service representative concluded Complainant had the potential to use between 504 and 616 kWh per 30</w:t>
      </w:r>
      <w:r>
        <w:noBreakHyphen/>
        <w:t xml:space="preserve">day month (N.T. 56-62; </w:t>
      </w:r>
      <w:proofErr w:type="spellStart"/>
      <w:r>
        <w:t>Penelec</w:t>
      </w:r>
      <w:proofErr w:type="spellEnd"/>
      <w:r>
        <w:t xml:space="preserve"> </w:t>
      </w:r>
      <w:proofErr w:type="spellStart"/>
      <w:r>
        <w:t>Exhs</w:t>
      </w:r>
      <w:proofErr w:type="spellEnd"/>
      <w:r>
        <w:t>. 6-7).</w:t>
      </w:r>
    </w:p>
    <w:p w:rsidR="00A00364" w:rsidRDefault="00A00364" w:rsidP="00A00364">
      <w:pPr>
        <w:spacing w:line="360" w:lineRule="auto"/>
      </w:pPr>
    </w:p>
    <w:p w:rsidR="00A00364" w:rsidRDefault="00A00364" w:rsidP="00A00364">
      <w:pPr>
        <w:spacing w:line="360" w:lineRule="auto"/>
      </w:pPr>
      <w:r>
        <w:tab/>
      </w:r>
      <w:r>
        <w:tab/>
        <w:t>From this information, we see that Complainant had the potential to use 637 kWh during a 31-day period.</w:t>
      </w:r>
      <w:r>
        <w:rPr>
          <w:rStyle w:val="FootnoteReference"/>
        </w:rPr>
        <w:footnoteReference w:id="3"/>
      </w:r>
      <w:r>
        <w:t xml:space="preserve">  Since the January 14, 2011 bill was for 686 kWh during a 31-day period (</w:t>
      </w:r>
      <w:proofErr w:type="spellStart"/>
      <w:r>
        <w:t>Penelec</w:t>
      </w:r>
      <w:proofErr w:type="spellEnd"/>
      <w:r>
        <w:t xml:space="preserve"> </w:t>
      </w:r>
      <w:proofErr w:type="spellStart"/>
      <w:r>
        <w:t>Exh</w:t>
      </w:r>
      <w:proofErr w:type="spellEnd"/>
      <w:r>
        <w:t>. 5), this bill exceeded Respondent’s estimated potential for consumption by 49 kWh or 7%.</w:t>
      </w:r>
      <w:r>
        <w:rPr>
          <w:rStyle w:val="FootnoteReference"/>
        </w:rPr>
        <w:footnoteReference w:id="4"/>
      </w:r>
      <w:r>
        <w:t xml:space="preserve">  Respondent offers no explanation for this discrepancy.  Hence, Complainant has sustained her burden of proving this bill was excessive by 7%.  </w:t>
      </w:r>
      <w:proofErr w:type="spellStart"/>
      <w:r>
        <w:t>Penelec</w:t>
      </w:r>
      <w:proofErr w:type="spellEnd"/>
      <w:r>
        <w:t xml:space="preserve"> will be directed to adjust Complainant’s January 14, 2011 electric bill by 7% and issue the necessary credit.</w:t>
      </w:r>
    </w:p>
    <w:p w:rsidR="00A00364" w:rsidRDefault="00A00364" w:rsidP="00A00364">
      <w:pPr>
        <w:spacing w:line="360" w:lineRule="auto"/>
      </w:pPr>
    </w:p>
    <w:p w:rsidR="00A00364" w:rsidRDefault="00A00364" w:rsidP="00A00364">
      <w:pPr>
        <w:spacing w:line="360" w:lineRule="auto"/>
      </w:pPr>
      <w:r>
        <w:tab/>
      </w:r>
      <w:r>
        <w:tab/>
        <w:t>As for the February and March 2011 bills, we note the February 14, 2011 bill for 166 kWh during a 31-day period was an estimated bill, while the March 15, 2011 bill for 420 kWh during a 29-day period was based on an actual meter reading and “trued-up” the difference for the under-billing of the previous month (</w:t>
      </w:r>
      <w:proofErr w:type="spellStart"/>
      <w:r>
        <w:t>Penelec</w:t>
      </w:r>
      <w:proofErr w:type="spellEnd"/>
      <w:r>
        <w:t xml:space="preserve"> </w:t>
      </w:r>
      <w:proofErr w:type="spellStart"/>
      <w:r>
        <w:t>Exh</w:t>
      </w:r>
      <w:proofErr w:type="spellEnd"/>
      <w:r>
        <w:t xml:space="preserve">. 5).  Thus, </w:t>
      </w:r>
      <w:proofErr w:type="spellStart"/>
      <w:r>
        <w:t>Penelec</w:t>
      </w:r>
      <w:proofErr w:type="spellEnd"/>
      <w:r>
        <w:t xml:space="preserve"> claims Complainant consumed 586 kWh during this 60-day period or 293 kWh on average for each 30</w:t>
      </w:r>
      <w:r>
        <w:noBreakHyphen/>
        <w:t>day period.  Since the actual usage of 293 kWh per each 30-day period was less than the potential of 616 kWh for a 30-day period and no other evidence appears in this record to support a finding that these bills were unreasonably high, Complainant has not proven that the February and March 2011 bills were excessive.</w:t>
      </w:r>
    </w:p>
    <w:p w:rsidR="00A00364" w:rsidRDefault="00A00364" w:rsidP="00A00364">
      <w:pPr>
        <w:spacing w:line="360" w:lineRule="auto"/>
      </w:pPr>
    </w:p>
    <w:p w:rsidR="00A00364" w:rsidRDefault="00A00364" w:rsidP="00A00364">
      <w:pPr>
        <w:spacing w:line="360" w:lineRule="auto"/>
      </w:pPr>
      <w:r>
        <w:tab/>
      </w:r>
      <w:r>
        <w:tab/>
        <w:t xml:space="preserve">Finally, Complainant believes a possible mix-up occurred when </w:t>
      </w:r>
      <w:proofErr w:type="spellStart"/>
      <w:r>
        <w:t>Penelec</w:t>
      </w:r>
      <w:proofErr w:type="spellEnd"/>
      <w:r>
        <w:t xml:space="preserve"> read her electric meter and the meter for the upstairs neighbor, since both meters are located side-by-side </w:t>
      </w:r>
      <w:r>
        <w:lastRenderedPageBreak/>
        <w:t xml:space="preserve">outside of the building (N.T. 21-22, 26-28; </w:t>
      </w:r>
      <w:proofErr w:type="spellStart"/>
      <w:r>
        <w:t>Penelec</w:t>
      </w:r>
      <w:proofErr w:type="spellEnd"/>
      <w:r>
        <w:t xml:space="preserve"> </w:t>
      </w:r>
      <w:proofErr w:type="spellStart"/>
      <w:r>
        <w:t>Exh</w:t>
      </w:r>
      <w:proofErr w:type="spellEnd"/>
      <w:r>
        <w:t xml:space="preserve">. 1).  Importantly, Complainant offers no proof to support her allegation, but she only speculates that a possible mix-up occurred.  Conjecture and surmise are an insufficient basis upon which to base a Commission decision.  </w:t>
      </w:r>
      <w:r w:rsidRPr="00F03E90">
        <w:rPr>
          <w:u w:val="single"/>
        </w:rPr>
        <w:t>Norfolk &amp; Western Ry.</w:t>
      </w:r>
      <w:r>
        <w:t xml:space="preserve">, </w:t>
      </w:r>
      <w:r>
        <w:rPr>
          <w:i/>
        </w:rPr>
        <w:t>supra</w:t>
      </w:r>
      <w:r>
        <w:t>.</w:t>
      </w:r>
    </w:p>
    <w:p w:rsidR="00A00364" w:rsidRDefault="00A00364" w:rsidP="00A00364">
      <w:pPr>
        <w:spacing w:line="360" w:lineRule="auto"/>
      </w:pPr>
    </w:p>
    <w:p w:rsidR="00A00364" w:rsidRDefault="00A00364" w:rsidP="00A00364">
      <w:pPr>
        <w:spacing w:line="360" w:lineRule="auto"/>
      </w:pPr>
      <w:r>
        <w:tab/>
      </w:r>
      <w:r>
        <w:tab/>
        <w:t xml:space="preserve">Furthermore, </w:t>
      </w:r>
      <w:proofErr w:type="spellStart"/>
      <w:r>
        <w:t>Penelec</w:t>
      </w:r>
      <w:proofErr w:type="spellEnd"/>
      <w:r>
        <w:t xml:space="preserve"> produces a meter reading sequence record from the meter reading route book for Complainant’s route, which shows the sequential numbers for the three meters appearing in Complainant’s meter bank outside her building.  </w:t>
      </w:r>
      <w:proofErr w:type="spellStart"/>
      <w:r>
        <w:t>Penelec</w:t>
      </w:r>
      <w:proofErr w:type="spellEnd"/>
      <w:r>
        <w:t xml:space="preserve"> explains the meters are read in sequence, with Complainant’s meter being read last (N.T. 28-30; </w:t>
      </w:r>
      <w:proofErr w:type="spellStart"/>
      <w:r>
        <w:t>Penelec</w:t>
      </w:r>
      <w:proofErr w:type="spellEnd"/>
      <w:r>
        <w:t xml:space="preserve"> </w:t>
      </w:r>
      <w:proofErr w:type="spellStart"/>
      <w:r>
        <w:t>Exh</w:t>
      </w:r>
      <w:proofErr w:type="spellEnd"/>
      <w:r>
        <w:t xml:space="preserve">. 2).  In addition, </w:t>
      </w:r>
      <w:proofErr w:type="spellStart"/>
      <w:r>
        <w:t>Penelec</w:t>
      </w:r>
      <w:proofErr w:type="spellEnd"/>
      <w:r>
        <w:t xml:space="preserve"> generated an exhibit from its billing records showing the meter reading results during the preceding 24 months</w:t>
      </w:r>
      <w:r w:rsidRPr="00F42F0B">
        <w:t xml:space="preserve"> </w:t>
      </w:r>
      <w:r>
        <w:t xml:space="preserve">for the three meters appearing in Complainant’s meter bank.  The exhibit shows each meter reading moving forward, as well as typical usage every month for each of these accounts (N.T. 31-33; </w:t>
      </w:r>
      <w:proofErr w:type="spellStart"/>
      <w:r>
        <w:t>Penelec</w:t>
      </w:r>
      <w:proofErr w:type="spellEnd"/>
      <w:r>
        <w:t xml:space="preserve"> </w:t>
      </w:r>
      <w:proofErr w:type="spellStart"/>
      <w:r>
        <w:t>Exh</w:t>
      </w:r>
      <w:proofErr w:type="spellEnd"/>
      <w:r>
        <w:t>. 3).  These records show no abnormalities to suggest a meter mix-up occurred when reading them.  Therefore, this claim also is without merit.</w:t>
      </w:r>
    </w:p>
    <w:p w:rsidR="00C14993" w:rsidRDefault="00C14993" w:rsidP="00C14993">
      <w:pPr>
        <w:spacing w:line="360" w:lineRule="auto"/>
      </w:pPr>
    </w:p>
    <w:p w:rsidR="00A00364" w:rsidRDefault="00A00364" w:rsidP="00A00364">
      <w:pPr>
        <w:spacing w:line="360" w:lineRule="auto"/>
      </w:pPr>
      <w:r>
        <w:tab/>
      </w:r>
      <w:r>
        <w:tab/>
        <w:t>For the foregoing reasons, the complaint will be granted in part and denied in part.  The complaint will be granted to the extent it raises a claim that Complainant’s January 14, 2011 electric bill exceeded 7% of the estimated potential consumption for the period covered by the bill.  Respondent</w:t>
      </w:r>
      <w:r w:rsidRPr="004E4741">
        <w:t xml:space="preserve"> </w:t>
      </w:r>
      <w:r>
        <w:t>will be directed to adjust Complainant’s January 14, 2011 electric bill by 7% and issue the necessary credit.</w:t>
      </w:r>
      <w:r>
        <w:rPr>
          <w:rStyle w:val="FootnoteReference"/>
        </w:rPr>
        <w:footnoteReference w:id="5"/>
      </w:r>
      <w:r>
        <w:t xml:space="preserve">  In all other respects, the complaint will be denied for the failure of Complainant to meet her burden of proof.</w:t>
      </w:r>
    </w:p>
    <w:p w:rsidR="00A00364" w:rsidRDefault="00A00364" w:rsidP="00C14993">
      <w:pPr>
        <w:spacing w:line="360" w:lineRule="auto"/>
      </w:pPr>
    </w:p>
    <w:p w:rsidR="00A00364" w:rsidRDefault="00A00364" w:rsidP="00A00364">
      <w:pPr>
        <w:spacing w:line="360" w:lineRule="auto"/>
        <w:jc w:val="center"/>
      </w:pPr>
      <w:r>
        <w:rPr>
          <w:u w:val="single"/>
        </w:rPr>
        <w:t>CONCLUSIONS OF LAW</w:t>
      </w:r>
    </w:p>
    <w:p w:rsidR="00A00364" w:rsidRDefault="00A00364" w:rsidP="00A00364">
      <w:pPr>
        <w:spacing w:line="360" w:lineRule="auto"/>
      </w:pPr>
    </w:p>
    <w:p w:rsidR="00A00364" w:rsidRDefault="00A00364" w:rsidP="00A00364">
      <w:pPr>
        <w:pStyle w:val="ListParagraph"/>
        <w:numPr>
          <w:ilvl w:val="0"/>
          <w:numId w:val="2"/>
        </w:numPr>
        <w:spacing w:line="360" w:lineRule="auto"/>
        <w:ind w:left="0" w:firstLine="1440"/>
      </w:pPr>
      <w:r>
        <w:t xml:space="preserve">The Commission has jurisdiction over the subject matter and the parties to this proceeding.  66 Pa. C.S. §§701, </w:t>
      </w:r>
      <w:r>
        <w:rPr>
          <w:i/>
        </w:rPr>
        <w:t>et seq</w:t>
      </w:r>
      <w:r>
        <w:t>.</w:t>
      </w:r>
    </w:p>
    <w:p w:rsidR="00A00364" w:rsidRDefault="00A00364" w:rsidP="00A00364">
      <w:pPr>
        <w:pStyle w:val="ListParagraph"/>
        <w:spacing w:line="360" w:lineRule="auto"/>
        <w:ind w:left="1440"/>
      </w:pPr>
    </w:p>
    <w:p w:rsidR="00A00364" w:rsidRDefault="00A00364" w:rsidP="00A00364">
      <w:pPr>
        <w:pStyle w:val="ListParagraph"/>
        <w:numPr>
          <w:ilvl w:val="0"/>
          <w:numId w:val="2"/>
        </w:numPr>
        <w:spacing w:line="360" w:lineRule="auto"/>
        <w:ind w:left="0" w:firstLine="1440"/>
      </w:pPr>
      <w:r>
        <w:lastRenderedPageBreak/>
        <w:t xml:space="preserve">Complainant has met her burden </w:t>
      </w:r>
      <w:r w:rsidR="000D125A">
        <w:t>of proving the January 14, 2011 electric bill from Respondent was excessive by exceeding her estimated potential consumption by 7%.  66 Pa. C.S. §332(a).</w:t>
      </w:r>
    </w:p>
    <w:p w:rsidR="000D125A" w:rsidRDefault="000D125A" w:rsidP="000D125A">
      <w:pPr>
        <w:pStyle w:val="ListParagraph"/>
      </w:pPr>
    </w:p>
    <w:p w:rsidR="000D125A" w:rsidRDefault="000D125A" w:rsidP="00A00364">
      <w:pPr>
        <w:pStyle w:val="ListParagraph"/>
        <w:numPr>
          <w:ilvl w:val="0"/>
          <w:numId w:val="2"/>
        </w:numPr>
        <w:spacing w:line="360" w:lineRule="auto"/>
        <w:ind w:left="0" w:firstLine="1440"/>
      </w:pPr>
      <w:r>
        <w:t>In all other respects, Complainant has not met her burden of proving that she is entitled to any other relief.  66 Pa. C.S. §332(a).</w:t>
      </w:r>
    </w:p>
    <w:p w:rsidR="000D125A" w:rsidRDefault="000D125A" w:rsidP="000D125A">
      <w:pPr>
        <w:pStyle w:val="ListParagraph"/>
      </w:pPr>
    </w:p>
    <w:p w:rsidR="000D125A" w:rsidRDefault="000D125A" w:rsidP="000D125A">
      <w:pPr>
        <w:spacing w:line="360" w:lineRule="auto"/>
        <w:jc w:val="center"/>
      </w:pPr>
      <w:r>
        <w:rPr>
          <w:u w:val="single"/>
        </w:rPr>
        <w:t>ORDER</w:t>
      </w:r>
    </w:p>
    <w:p w:rsidR="005161C7" w:rsidRDefault="005161C7" w:rsidP="005161C7">
      <w:pPr>
        <w:spacing w:line="360" w:lineRule="auto"/>
      </w:pPr>
    </w:p>
    <w:p w:rsidR="005161C7" w:rsidRDefault="005161C7" w:rsidP="005161C7">
      <w:pPr>
        <w:spacing w:line="360" w:lineRule="auto"/>
      </w:pPr>
      <w:r>
        <w:tab/>
      </w:r>
      <w:r>
        <w:tab/>
        <w:t>THEREFORE,</w:t>
      </w:r>
    </w:p>
    <w:p w:rsidR="005161C7" w:rsidRDefault="005161C7" w:rsidP="005161C7">
      <w:pPr>
        <w:spacing w:line="360" w:lineRule="auto"/>
      </w:pPr>
    </w:p>
    <w:p w:rsidR="005161C7" w:rsidRDefault="005161C7" w:rsidP="005161C7">
      <w:pPr>
        <w:spacing w:line="360" w:lineRule="auto"/>
      </w:pPr>
      <w:r>
        <w:tab/>
      </w:r>
      <w:r>
        <w:tab/>
        <w:t>IT IS ORDERED:</w:t>
      </w:r>
    </w:p>
    <w:p w:rsidR="005161C7" w:rsidRDefault="005161C7" w:rsidP="005161C7">
      <w:pPr>
        <w:spacing w:line="360" w:lineRule="auto"/>
      </w:pPr>
    </w:p>
    <w:p w:rsidR="005161C7" w:rsidRDefault="005161C7" w:rsidP="005161C7">
      <w:pPr>
        <w:pStyle w:val="ListParagraph"/>
        <w:numPr>
          <w:ilvl w:val="0"/>
          <w:numId w:val="3"/>
        </w:numPr>
        <w:spacing w:line="360" w:lineRule="auto"/>
        <w:ind w:left="0" w:firstLine="1440"/>
      </w:pPr>
      <w:r>
        <w:t>That the complaint of Kat Lyons against Pennsylvania Electric Company at Docket No. C-2011-2238862 is hereby granted in part and denied in part.</w:t>
      </w:r>
      <w:r w:rsidR="007C1FD6">
        <w:t xml:space="preserve">  The complaint is granted to the extent </w:t>
      </w:r>
      <w:r w:rsidR="005C1CEA">
        <w:t>it raises a claim that Complainant’s January 14, 2011 electric bill exceeded 7% of the estimated potential consumption for the period covered by the bill.  In all other respects, the complaint is denied to the extent that it raises any other issue.</w:t>
      </w:r>
    </w:p>
    <w:p w:rsidR="005C1CEA" w:rsidRDefault="005C1CEA" w:rsidP="005C1CEA">
      <w:pPr>
        <w:pStyle w:val="ListParagraph"/>
        <w:spacing w:line="360" w:lineRule="auto"/>
        <w:ind w:left="1440"/>
      </w:pPr>
    </w:p>
    <w:p w:rsidR="005C1CEA" w:rsidRDefault="005C1CEA" w:rsidP="005161C7">
      <w:pPr>
        <w:pStyle w:val="ListParagraph"/>
        <w:numPr>
          <w:ilvl w:val="0"/>
          <w:numId w:val="3"/>
        </w:numPr>
        <w:spacing w:line="360" w:lineRule="auto"/>
        <w:ind w:left="0" w:firstLine="1440"/>
      </w:pPr>
      <w:r>
        <w:t>That Pennsylvania Electric Company shall, within 30 days of entry of the Commission’s final Order in this case,</w:t>
      </w:r>
      <w:r w:rsidR="00716200">
        <w:t xml:space="preserve"> issue a revised bill to Complainant showing an adjustment of a 7% reduction in her electric consumption for the 30-day period covered by the January 14, 2011 bill.</w:t>
      </w:r>
    </w:p>
    <w:p w:rsidR="00716200" w:rsidRDefault="00716200" w:rsidP="00716200">
      <w:pPr>
        <w:pStyle w:val="ListParagraph"/>
      </w:pPr>
    </w:p>
    <w:p w:rsidR="00716200" w:rsidRDefault="00716200" w:rsidP="005161C7">
      <w:pPr>
        <w:pStyle w:val="ListParagraph"/>
        <w:numPr>
          <w:ilvl w:val="0"/>
          <w:numId w:val="3"/>
        </w:numPr>
        <w:spacing w:line="360" w:lineRule="auto"/>
        <w:ind w:left="0" w:firstLine="1440"/>
      </w:pPr>
      <w:r>
        <w:t>That Pennsylvania Electric Company shall file with the Commission a certificate of it</w:t>
      </w:r>
      <w:r w:rsidR="00941C9A">
        <w:t>s</w:t>
      </w:r>
      <w:r>
        <w:t xml:space="preserve"> compliance </w:t>
      </w:r>
      <w:r w:rsidR="00941C9A">
        <w:t xml:space="preserve">with the directive set forth in the preceding ordering paragraph </w:t>
      </w:r>
      <w:r>
        <w:t xml:space="preserve">within </w:t>
      </w:r>
      <w:r w:rsidR="00941C9A">
        <w:t>45</w:t>
      </w:r>
      <w:r>
        <w:t xml:space="preserve"> days of entry of the Commission’s final Order in this case</w:t>
      </w:r>
      <w:r w:rsidR="00941C9A">
        <w:t>.</w:t>
      </w:r>
    </w:p>
    <w:p w:rsidR="00941C9A" w:rsidRDefault="00941C9A" w:rsidP="00941C9A">
      <w:pPr>
        <w:pStyle w:val="ListParagraph"/>
      </w:pPr>
    </w:p>
    <w:p w:rsidR="00941C9A" w:rsidRDefault="00941C9A" w:rsidP="00941C9A">
      <w:pPr>
        <w:spacing w:line="360" w:lineRule="auto"/>
      </w:pPr>
    </w:p>
    <w:p w:rsidR="00941C9A" w:rsidRDefault="00941C9A" w:rsidP="00941C9A">
      <w:r>
        <w:t xml:space="preserve">Date:  </w:t>
      </w:r>
      <w:r>
        <w:rPr>
          <w:u w:val="single"/>
        </w:rPr>
        <w:t>March 1, 2012</w:t>
      </w:r>
      <w:r>
        <w:tab/>
      </w:r>
      <w:r>
        <w:tab/>
      </w:r>
      <w:r>
        <w:tab/>
      </w:r>
      <w:r>
        <w:tab/>
      </w:r>
      <w:r>
        <w:tab/>
      </w:r>
      <w:r>
        <w:rPr>
          <w:u w:val="single"/>
        </w:rPr>
        <w:tab/>
      </w:r>
      <w:r>
        <w:rPr>
          <w:u w:val="single"/>
        </w:rPr>
        <w:tab/>
      </w:r>
      <w:r>
        <w:rPr>
          <w:u w:val="single"/>
        </w:rPr>
        <w:tab/>
      </w:r>
      <w:r>
        <w:rPr>
          <w:u w:val="single"/>
        </w:rPr>
        <w:tab/>
      </w:r>
      <w:r>
        <w:rPr>
          <w:u w:val="single"/>
        </w:rPr>
        <w:tab/>
      </w:r>
      <w:r>
        <w:rPr>
          <w:u w:val="single"/>
        </w:rPr>
        <w:tab/>
      </w:r>
    </w:p>
    <w:p w:rsidR="00941C9A" w:rsidRDefault="00941C9A" w:rsidP="00941C9A">
      <w:r>
        <w:tab/>
      </w:r>
      <w:r>
        <w:tab/>
      </w:r>
      <w:r>
        <w:tab/>
      </w:r>
      <w:r>
        <w:tab/>
      </w:r>
      <w:r>
        <w:tab/>
      </w:r>
      <w:r>
        <w:tab/>
      </w:r>
      <w:r>
        <w:tab/>
        <w:t>John H. Corbett, Jr.</w:t>
      </w:r>
    </w:p>
    <w:p w:rsidR="00941C9A" w:rsidRPr="00941C9A" w:rsidRDefault="00941C9A" w:rsidP="00941C9A">
      <w:r>
        <w:tab/>
      </w:r>
      <w:r>
        <w:tab/>
      </w:r>
      <w:r>
        <w:tab/>
      </w:r>
      <w:r>
        <w:tab/>
      </w:r>
      <w:r>
        <w:tab/>
      </w:r>
      <w:r>
        <w:tab/>
      </w:r>
      <w:r>
        <w:tab/>
        <w:t>Administrative Law Judge</w:t>
      </w:r>
    </w:p>
    <w:sectPr w:rsidR="00941C9A" w:rsidRPr="00941C9A" w:rsidSect="008A53F1">
      <w:footerReference w:type="default" r:id="rId8"/>
      <w:pgSz w:w="12240" w:h="15840" w:code="1"/>
      <w:pgMar w:top="1440" w:right="1440" w:bottom="1440" w:left="1440" w:header="144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2830" w:rsidRDefault="00602830" w:rsidP="00C14993">
      <w:r>
        <w:separator/>
      </w:r>
    </w:p>
  </w:endnote>
  <w:endnote w:type="continuationSeparator" w:id="0">
    <w:p w:rsidR="00602830" w:rsidRDefault="00602830" w:rsidP="00C149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0763252"/>
      <w:docPartObj>
        <w:docPartGallery w:val="Page Numbers (Bottom of Page)"/>
        <w:docPartUnique/>
      </w:docPartObj>
    </w:sdtPr>
    <w:sdtEndPr>
      <w:rPr>
        <w:noProof/>
      </w:rPr>
    </w:sdtEndPr>
    <w:sdtContent>
      <w:p w:rsidR="00C14993" w:rsidRDefault="00C14993">
        <w:pPr>
          <w:pStyle w:val="Footer"/>
          <w:jc w:val="center"/>
        </w:pPr>
        <w:r>
          <w:fldChar w:fldCharType="begin"/>
        </w:r>
        <w:r>
          <w:instrText xml:space="preserve"> PAGE   \* MERGEFORMAT </w:instrText>
        </w:r>
        <w:r>
          <w:fldChar w:fldCharType="separate"/>
        </w:r>
        <w:r w:rsidR="0061428B">
          <w:rPr>
            <w:noProof/>
          </w:rPr>
          <w:t>10</w:t>
        </w:r>
        <w:r>
          <w:rPr>
            <w:noProof/>
          </w:rPr>
          <w:fldChar w:fldCharType="end"/>
        </w:r>
      </w:p>
    </w:sdtContent>
  </w:sdt>
  <w:p w:rsidR="00C14993" w:rsidRDefault="00C149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2830" w:rsidRDefault="00602830" w:rsidP="00C14993">
      <w:r>
        <w:separator/>
      </w:r>
    </w:p>
  </w:footnote>
  <w:footnote w:type="continuationSeparator" w:id="0">
    <w:p w:rsidR="00602830" w:rsidRDefault="00602830" w:rsidP="00C14993">
      <w:r>
        <w:continuationSeparator/>
      </w:r>
    </w:p>
  </w:footnote>
  <w:footnote w:id="1">
    <w:p w:rsidR="00C14993" w:rsidRDefault="00C14993" w:rsidP="00C14993">
      <w:pPr>
        <w:pStyle w:val="FootnoteText"/>
        <w:ind w:firstLine="720"/>
      </w:pPr>
      <w:r>
        <w:rPr>
          <w:rStyle w:val="FootnoteReference"/>
        </w:rPr>
        <w:footnoteRef/>
      </w:r>
      <w:r>
        <w:t xml:space="preserve"> </w:t>
      </w:r>
      <w:r>
        <w:tab/>
        <w:t>The hearing of November 1, 2011 garnered 14 pages of notes of testimony.  The citations to the hearing transcript appearing in this decision will refer to the December 22, 2011 hearing.</w:t>
      </w:r>
    </w:p>
  </w:footnote>
  <w:footnote w:id="2">
    <w:p w:rsidR="00C14993" w:rsidRDefault="00C14993" w:rsidP="00C14993">
      <w:pPr>
        <w:pStyle w:val="FootnoteText"/>
        <w:ind w:firstLine="720"/>
      </w:pPr>
      <w:r>
        <w:rPr>
          <w:rStyle w:val="FootnoteReference"/>
        </w:rPr>
        <w:footnoteRef/>
      </w:r>
      <w:r>
        <w:t xml:space="preserve"> </w:t>
      </w:r>
      <w:r>
        <w:tab/>
        <w:t>A third meter is also located next to these two meters on a meter bank; that meter serves a third customer (N.T. 26</w:t>
      </w:r>
      <w:r>
        <w:noBreakHyphen/>
        <w:t xml:space="preserve">28; </w:t>
      </w:r>
      <w:proofErr w:type="spellStart"/>
      <w:r>
        <w:t>Penelec</w:t>
      </w:r>
      <w:proofErr w:type="spellEnd"/>
      <w:r>
        <w:t xml:space="preserve"> </w:t>
      </w:r>
      <w:proofErr w:type="spellStart"/>
      <w:r>
        <w:t>Exh</w:t>
      </w:r>
      <w:proofErr w:type="spellEnd"/>
      <w:r>
        <w:t>. 1).</w:t>
      </w:r>
    </w:p>
  </w:footnote>
  <w:footnote w:id="3">
    <w:p w:rsidR="00A00364" w:rsidRDefault="00A00364" w:rsidP="00A00364">
      <w:pPr>
        <w:pStyle w:val="FootnoteText"/>
        <w:ind w:firstLine="720"/>
      </w:pPr>
      <w:r>
        <w:rPr>
          <w:rStyle w:val="FootnoteReference"/>
        </w:rPr>
        <w:footnoteRef/>
      </w:r>
      <w:r>
        <w:t xml:space="preserve"> </w:t>
      </w:r>
      <w:r>
        <w:tab/>
      </w:r>
      <w:proofErr w:type="gramStart"/>
      <w:r>
        <w:t>616 kWh ÷ 30 = 20.53 kWh per day.</w:t>
      </w:r>
      <w:proofErr w:type="gramEnd"/>
      <w:r>
        <w:t xml:space="preserve">  616 kWh + 21 kWh (rounded off) = 637 kWh per 31 days.</w:t>
      </w:r>
    </w:p>
    <w:p w:rsidR="00A00364" w:rsidRDefault="00A00364" w:rsidP="00A00364">
      <w:pPr>
        <w:pStyle w:val="FootnoteText"/>
        <w:ind w:firstLine="720"/>
      </w:pPr>
    </w:p>
  </w:footnote>
  <w:footnote w:id="4">
    <w:p w:rsidR="00A00364" w:rsidRDefault="00A00364" w:rsidP="00A00364">
      <w:pPr>
        <w:pStyle w:val="FootnoteText"/>
        <w:ind w:firstLine="720"/>
      </w:pPr>
      <w:r>
        <w:rPr>
          <w:rStyle w:val="FootnoteReference"/>
        </w:rPr>
        <w:footnoteRef/>
      </w:r>
      <w:r>
        <w:t xml:space="preserve"> </w:t>
      </w:r>
      <w:r>
        <w:tab/>
        <w:t>686 kWh – 637 kWh = 49 kWh.  49 kWh ÷ 686 kWh = 0.07 or 7%.</w:t>
      </w:r>
    </w:p>
  </w:footnote>
  <w:footnote w:id="5">
    <w:p w:rsidR="00A00364" w:rsidRPr="009B7425" w:rsidRDefault="00A00364" w:rsidP="00A00364">
      <w:pPr>
        <w:pStyle w:val="FootnoteText"/>
        <w:ind w:firstLine="720"/>
      </w:pPr>
      <w:r>
        <w:rPr>
          <w:rStyle w:val="FootnoteReference"/>
        </w:rPr>
        <w:footnoteRef/>
      </w:r>
      <w:r>
        <w:t xml:space="preserve"> </w:t>
      </w:r>
      <w:r>
        <w:tab/>
        <w:t xml:space="preserve">In view of the relatively minor amount of the charges involved here (the total amount of the challenged January 14, 2011 bill was $84.36) and the nature of the remedy invoked, no civil penalty will be imposed.  </w:t>
      </w:r>
      <w:r>
        <w:rPr>
          <w:i/>
        </w:rPr>
        <w:t>See</w:t>
      </w:r>
      <w:r>
        <w:t xml:space="preserve">, 66 Pa. C.S. §§3301, </w:t>
      </w:r>
      <w:r>
        <w:rPr>
          <w:i/>
        </w:rPr>
        <w:t>et seq</w:t>
      </w:r>
      <w:r>
        <w:t>.; 52 Pa. Code §69.1201.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D61026"/>
    <w:multiLevelType w:val="hybridMultilevel"/>
    <w:tmpl w:val="32DC7DCC"/>
    <w:lvl w:ilvl="0" w:tplc="7DD015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9D4FCD"/>
    <w:multiLevelType w:val="hybridMultilevel"/>
    <w:tmpl w:val="B4D6F2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CA50CCB"/>
    <w:multiLevelType w:val="hybridMultilevel"/>
    <w:tmpl w:val="CF660B2E"/>
    <w:lvl w:ilvl="0" w:tplc="C0D40D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4993"/>
    <w:rsid w:val="00002E71"/>
    <w:rsid w:val="0000610B"/>
    <w:rsid w:val="0001444C"/>
    <w:rsid w:val="000158F5"/>
    <w:rsid w:val="00015C87"/>
    <w:rsid w:val="000200B5"/>
    <w:rsid w:val="00022031"/>
    <w:rsid w:val="00022664"/>
    <w:rsid w:val="00024AA5"/>
    <w:rsid w:val="00027171"/>
    <w:rsid w:val="00027E4C"/>
    <w:rsid w:val="0003505B"/>
    <w:rsid w:val="00035D88"/>
    <w:rsid w:val="000404B5"/>
    <w:rsid w:val="00041450"/>
    <w:rsid w:val="00041943"/>
    <w:rsid w:val="00042860"/>
    <w:rsid w:val="00044944"/>
    <w:rsid w:val="0004591A"/>
    <w:rsid w:val="00047F6E"/>
    <w:rsid w:val="0005471E"/>
    <w:rsid w:val="00056339"/>
    <w:rsid w:val="00063896"/>
    <w:rsid w:val="0006554F"/>
    <w:rsid w:val="00067C8F"/>
    <w:rsid w:val="00070D98"/>
    <w:rsid w:val="000716B7"/>
    <w:rsid w:val="000767FF"/>
    <w:rsid w:val="0008135A"/>
    <w:rsid w:val="0008257A"/>
    <w:rsid w:val="00085610"/>
    <w:rsid w:val="00087CC5"/>
    <w:rsid w:val="0009005C"/>
    <w:rsid w:val="000921BC"/>
    <w:rsid w:val="00095B50"/>
    <w:rsid w:val="00096F74"/>
    <w:rsid w:val="000A0A7F"/>
    <w:rsid w:val="000A510C"/>
    <w:rsid w:val="000A7EFE"/>
    <w:rsid w:val="000B3598"/>
    <w:rsid w:val="000B53F0"/>
    <w:rsid w:val="000B629F"/>
    <w:rsid w:val="000B6D95"/>
    <w:rsid w:val="000C1A6B"/>
    <w:rsid w:val="000C269C"/>
    <w:rsid w:val="000C5510"/>
    <w:rsid w:val="000C71B2"/>
    <w:rsid w:val="000C76C7"/>
    <w:rsid w:val="000D0A51"/>
    <w:rsid w:val="000D125A"/>
    <w:rsid w:val="000D1336"/>
    <w:rsid w:val="000D715A"/>
    <w:rsid w:val="000D7906"/>
    <w:rsid w:val="000E0C64"/>
    <w:rsid w:val="000E1700"/>
    <w:rsid w:val="000E4E82"/>
    <w:rsid w:val="000E6C36"/>
    <w:rsid w:val="000F0CB0"/>
    <w:rsid w:val="000F1E2C"/>
    <w:rsid w:val="000F22AD"/>
    <w:rsid w:val="000F331D"/>
    <w:rsid w:val="000F6BCB"/>
    <w:rsid w:val="0010180F"/>
    <w:rsid w:val="00105690"/>
    <w:rsid w:val="001059C3"/>
    <w:rsid w:val="001079C3"/>
    <w:rsid w:val="0011082D"/>
    <w:rsid w:val="00114A5C"/>
    <w:rsid w:val="00114D69"/>
    <w:rsid w:val="001163B8"/>
    <w:rsid w:val="00117158"/>
    <w:rsid w:val="0012337D"/>
    <w:rsid w:val="00126555"/>
    <w:rsid w:val="0013358A"/>
    <w:rsid w:val="001336B2"/>
    <w:rsid w:val="0013746C"/>
    <w:rsid w:val="00140ED5"/>
    <w:rsid w:val="001422C9"/>
    <w:rsid w:val="0014695E"/>
    <w:rsid w:val="00147A1C"/>
    <w:rsid w:val="00150F38"/>
    <w:rsid w:val="00151828"/>
    <w:rsid w:val="00152DD8"/>
    <w:rsid w:val="001534FA"/>
    <w:rsid w:val="00153BB2"/>
    <w:rsid w:val="001551FE"/>
    <w:rsid w:val="00155E3F"/>
    <w:rsid w:val="00157F7C"/>
    <w:rsid w:val="00163667"/>
    <w:rsid w:val="001674A0"/>
    <w:rsid w:val="00171BA7"/>
    <w:rsid w:val="00177B41"/>
    <w:rsid w:val="00177C22"/>
    <w:rsid w:val="0018502A"/>
    <w:rsid w:val="00186713"/>
    <w:rsid w:val="00190B52"/>
    <w:rsid w:val="00192F81"/>
    <w:rsid w:val="00194EDA"/>
    <w:rsid w:val="00197214"/>
    <w:rsid w:val="00197FE7"/>
    <w:rsid w:val="001A517C"/>
    <w:rsid w:val="001A6616"/>
    <w:rsid w:val="001B1283"/>
    <w:rsid w:val="001B37F9"/>
    <w:rsid w:val="001B389A"/>
    <w:rsid w:val="001B6147"/>
    <w:rsid w:val="001B669F"/>
    <w:rsid w:val="001B6767"/>
    <w:rsid w:val="001B7B44"/>
    <w:rsid w:val="001C16F1"/>
    <w:rsid w:val="001C1DA4"/>
    <w:rsid w:val="001D0B3C"/>
    <w:rsid w:val="001D4EAA"/>
    <w:rsid w:val="001E13F6"/>
    <w:rsid w:val="001E4606"/>
    <w:rsid w:val="001E480F"/>
    <w:rsid w:val="001E49BB"/>
    <w:rsid w:val="001E6948"/>
    <w:rsid w:val="001E6AC2"/>
    <w:rsid w:val="001E7A10"/>
    <w:rsid w:val="001F1F9D"/>
    <w:rsid w:val="001F1FC5"/>
    <w:rsid w:val="001F5E84"/>
    <w:rsid w:val="001F73E8"/>
    <w:rsid w:val="002002ED"/>
    <w:rsid w:val="00202271"/>
    <w:rsid w:val="00205676"/>
    <w:rsid w:val="0020746B"/>
    <w:rsid w:val="002107F3"/>
    <w:rsid w:val="00212F85"/>
    <w:rsid w:val="00213B19"/>
    <w:rsid w:val="0021472B"/>
    <w:rsid w:val="00215CE0"/>
    <w:rsid w:val="00216054"/>
    <w:rsid w:val="00221630"/>
    <w:rsid w:val="00222675"/>
    <w:rsid w:val="00222A1D"/>
    <w:rsid w:val="002231E7"/>
    <w:rsid w:val="00224D1A"/>
    <w:rsid w:val="00225F5E"/>
    <w:rsid w:val="0022623F"/>
    <w:rsid w:val="002270C7"/>
    <w:rsid w:val="00234986"/>
    <w:rsid w:val="0023594C"/>
    <w:rsid w:val="00237F95"/>
    <w:rsid w:val="002432B5"/>
    <w:rsid w:val="00244DC3"/>
    <w:rsid w:val="00254AC4"/>
    <w:rsid w:val="0025505D"/>
    <w:rsid w:val="0025568C"/>
    <w:rsid w:val="0025624A"/>
    <w:rsid w:val="00256602"/>
    <w:rsid w:val="002569D2"/>
    <w:rsid w:val="00256F15"/>
    <w:rsid w:val="00264827"/>
    <w:rsid w:val="002659C1"/>
    <w:rsid w:val="00265F08"/>
    <w:rsid w:val="00266EEA"/>
    <w:rsid w:val="002705F3"/>
    <w:rsid w:val="002715D6"/>
    <w:rsid w:val="00273113"/>
    <w:rsid w:val="00273CD5"/>
    <w:rsid w:val="00274AEB"/>
    <w:rsid w:val="0028196A"/>
    <w:rsid w:val="00282E72"/>
    <w:rsid w:val="00286013"/>
    <w:rsid w:val="00286E18"/>
    <w:rsid w:val="00292413"/>
    <w:rsid w:val="00292C52"/>
    <w:rsid w:val="0029312D"/>
    <w:rsid w:val="00297007"/>
    <w:rsid w:val="002A08AE"/>
    <w:rsid w:val="002A0C6D"/>
    <w:rsid w:val="002A5634"/>
    <w:rsid w:val="002B080D"/>
    <w:rsid w:val="002B43C8"/>
    <w:rsid w:val="002B693E"/>
    <w:rsid w:val="002C0A83"/>
    <w:rsid w:val="002C5195"/>
    <w:rsid w:val="002C6736"/>
    <w:rsid w:val="002D15FF"/>
    <w:rsid w:val="002D3212"/>
    <w:rsid w:val="002D46AD"/>
    <w:rsid w:val="002D50E8"/>
    <w:rsid w:val="002E414F"/>
    <w:rsid w:val="002E62AE"/>
    <w:rsid w:val="002E7B4F"/>
    <w:rsid w:val="002E7CBD"/>
    <w:rsid w:val="002F05EE"/>
    <w:rsid w:val="002F0988"/>
    <w:rsid w:val="002F0CDC"/>
    <w:rsid w:val="002F58C1"/>
    <w:rsid w:val="0030077C"/>
    <w:rsid w:val="003009B5"/>
    <w:rsid w:val="00303C1E"/>
    <w:rsid w:val="003065A6"/>
    <w:rsid w:val="003105EB"/>
    <w:rsid w:val="00313224"/>
    <w:rsid w:val="00314634"/>
    <w:rsid w:val="0031504C"/>
    <w:rsid w:val="00320C3C"/>
    <w:rsid w:val="0032184B"/>
    <w:rsid w:val="00322AAB"/>
    <w:rsid w:val="00323CE9"/>
    <w:rsid w:val="0032536B"/>
    <w:rsid w:val="0032582D"/>
    <w:rsid w:val="003367D1"/>
    <w:rsid w:val="003413E4"/>
    <w:rsid w:val="00343DF7"/>
    <w:rsid w:val="00344BBD"/>
    <w:rsid w:val="00347D4D"/>
    <w:rsid w:val="00354367"/>
    <w:rsid w:val="003560A1"/>
    <w:rsid w:val="003567DC"/>
    <w:rsid w:val="0036055F"/>
    <w:rsid w:val="00363FC4"/>
    <w:rsid w:val="00364892"/>
    <w:rsid w:val="00372BCE"/>
    <w:rsid w:val="00375FC7"/>
    <w:rsid w:val="00376FD2"/>
    <w:rsid w:val="00377219"/>
    <w:rsid w:val="00383E9E"/>
    <w:rsid w:val="00386EC2"/>
    <w:rsid w:val="003914A1"/>
    <w:rsid w:val="003915CD"/>
    <w:rsid w:val="003928FD"/>
    <w:rsid w:val="00393A51"/>
    <w:rsid w:val="003A51FD"/>
    <w:rsid w:val="003A5775"/>
    <w:rsid w:val="003A645A"/>
    <w:rsid w:val="003A7731"/>
    <w:rsid w:val="003B0F7E"/>
    <w:rsid w:val="003B5554"/>
    <w:rsid w:val="003C0F08"/>
    <w:rsid w:val="003C49C9"/>
    <w:rsid w:val="003C4FBC"/>
    <w:rsid w:val="003D00C1"/>
    <w:rsid w:val="003D15D0"/>
    <w:rsid w:val="003D38F7"/>
    <w:rsid w:val="003D42D0"/>
    <w:rsid w:val="003D5AB0"/>
    <w:rsid w:val="003D6669"/>
    <w:rsid w:val="003D6830"/>
    <w:rsid w:val="003E5628"/>
    <w:rsid w:val="003E5D1E"/>
    <w:rsid w:val="003F100E"/>
    <w:rsid w:val="003F347A"/>
    <w:rsid w:val="003F69AF"/>
    <w:rsid w:val="003F69C5"/>
    <w:rsid w:val="0040464B"/>
    <w:rsid w:val="00405757"/>
    <w:rsid w:val="00407E2D"/>
    <w:rsid w:val="00415484"/>
    <w:rsid w:val="0041758B"/>
    <w:rsid w:val="00417A48"/>
    <w:rsid w:val="00417FB9"/>
    <w:rsid w:val="004255AD"/>
    <w:rsid w:val="00425F5E"/>
    <w:rsid w:val="00427446"/>
    <w:rsid w:val="00427731"/>
    <w:rsid w:val="00431ED9"/>
    <w:rsid w:val="0043213F"/>
    <w:rsid w:val="004345F2"/>
    <w:rsid w:val="00441E8C"/>
    <w:rsid w:val="00443FC3"/>
    <w:rsid w:val="0044499A"/>
    <w:rsid w:val="00444F84"/>
    <w:rsid w:val="00447594"/>
    <w:rsid w:val="00447DAD"/>
    <w:rsid w:val="00451BB3"/>
    <w:rsid w:val="00456B68"/>
    <w:rsid w:val="004606F8"/>
    <w:rsid w:val="004610DD"/>
    <w:rsid w:val="00465CA9"/>
    <w:rsid w:val="00466EEB"/>
    <w:rsid w:val="004763CF"/>
    <w:rsid w:val="00476406"/>
    <w:rsid w:val="004801CF"/>
    <w:rsid w:val="00492902"/>
    <w:rsid w:val="00493B06"/>
    <w:rsid w:val="004A0D2F"/>
    <w:rsid w:val="004A3A17"/>
    <w:rsid w:val="004A4379"/>
    <w:rsid w:val="004A4472"/>
    <w:rsid w:val="004A5F2D"/>
    <w:rsid w:val="004A5F6F"/>
    <w:rsid w:val="004B07B7"/>
    <w:rsid w:val="004B1125"/>
    <w:rsid w:val="004B1E4E"/>
    <w:rsid w:val="004B35C3"/>
    <w:rsid w:val="004B4793"/>
    <w:rsid w:val="004B58A0"/>
    <w:rsid w:val="004C0903"/>
    <w:rsid w:val="004C1ADF"/>
    <w:rsid w:val="004C231D"/>
    <w:rsid w:val="004C3351"/>
    <w:rsid w:val="004C6ACC"/>
    <w:rsid w:val="004D0F86"/>
    <w:rsid w:val="004D17EE"/>
    <w:rsid w:val="004D1AF6"/>
    <w:rsid w:val="004D26B3"/>
    <w:rsid w:val="004D3CF4"/>
    <w:rsid w:val="004D5571"/>
    <w:rsid w:val="004D6A84"/>
    <w:rsid w:val="004E1384"/>
    <w:rsid w:val="004E1A31"/>
    <w:rsid w:val="004E1AA7"/>
    <w:rsid w:val="004E2DEE"/>
    <w:rsid w:val="004E3130"/>
    <w:rsid w:val="004E3916"/>
    <w:rsid w:val="004E48B8"/>
    <w:rsid w:val="004E56E5"/>
    <w:rsid w:val="004F3674"/>
    <w:rsid w:val="004F52CA"/>
    <w:rsid w:val="00500E04"/>
    <w:rsid w:val="00501290"/>
    <w:rsid w:val="005013AB"/>
    <w:rsid w:val="00503B65"/>
    <w:rsid w:val="005055FD"/>
    <w:rsid w:val="005071E6"/>
    <w:rsid w:val="00510BCD"/>
    <w:rsid w:val="00513A0D"/>
    <w:rsid w:val="00513E78"/>
    <w:rsid w:val="005161C7"/>
    <w:rsid w:val="00520B4D"/>
    <w:rsid w:val="00522F41"/>
    <w:rsid w:val="005235D3"/>
    <w:rsid w:val="005245B1"/>
    <w:rsid w:val="00526125"/>
    <w:rsid w:val="0052693F"/>
    <w:rsid w:val="005319D7"/>
    <w:rsid w:val="00544B49"/>
    <w:rsid w:val="005463A9"/>
    <w:rsid w:val="00546F57"/>
    <w:rsid w:val="005474D6"/>
    <w:rsid w:val="0055234E"/>
    <w:rsid w:val="00553A47"/>
    <w:rsid w:val="00556F5F"/>
    <w:rsid w:val="00562BF1"/>
    <w:rsid w:val="0056301D"/>
    <w:rsid w:val="0057174D"/>
    <w:rsid w:val="005756A2"/>
    <w:rsid w:val="005756F9"/>
    <w:rsid w:val="00575B38"/>
    <w:rsid w:val="00576844"/>
    <w:rsid w:val="005773BD"/>
    <w:rsid w:val="00580C5C"/>
    <w:rsid w:val="0058134C"/>
    <w:rsid w:val="00581E78"/>
    <w:rsid w:val="0058593F"/>
    <w:rsid w:val="00590615"/>
    <w:rsid w:val="005945F6"/>
    <w:rsid w:val="00595C07"/>
    <w:rsid w:val="005963C4"/>
    <w:rsid w:val="005A127F"/>
    <w:rsid w:val="005A560D"/>
    <w:rsid w:val="005B0099"/>
    <w:rsid w:val="005B04D0"/>
    <w:rsid w:val="005B4EAA"/>
    <w:rsid w:val="005B7AAB"/>
    <w:rsid w:val="005C1CEA"/>
    <w:rsid w:val="005C5138"/>
    <w:rsid w:val="005C5ED9"/>
    <w:rsid w:val="005C6FAE"/>
    <w:rsid w:val="005D141F"/>
    <w:rsid w:val="005D45C9"/>
    <w:rsid w:val="005D5EE7"/>
    <w:rsid w:val="005D63A8"/>
    <w:rsid w:val="005E3C0F"/>
    <w:rsid w:val="005E45BD"/>
    <w:rsid w:val="005E6C7E"/>
    <w:rsid w:val="005F4331"/>
    <w:rsid w:val="005F4AA1"/>
    <w:rsid w:val="0060255E"/>
    <w:rsid w:val="00602830"/>
    <w:rsid w:val="00603FCF"/>
    <w:rsid w:val="00605A5C"/>
    <w:rsid w:val="00611B45"/>
    <w:rsid w:val="00613DA8"/>
    <w:rsid w:val="00614058"/>
    <w:rsid w:val="0061428B"/>
    <w:rsid w:val="00614B07"/>
    <w:rsid w:val="006168E8"/>
    <w:rsid w:val="00616EF1"/>
    <w:rsid w:val="0062040F"/>
    <w:rsid w:val="00622936"/>
    <w:rsid w:val="0062391C"/>
    <w:rsid w:val="00631809"/>
    <w:rsid w:val="00631CED"/>
    <w:rsid w:val="006352C1"/>
    <w:rsid w:val="00635E6D"/>
    <w:rsid w:val="00636172"/>
    <w:rsid w:val="0064016B"/>
    <w:rsid w:val="006503D8"/>
    <w:rsid w:val="00651BF9"/>
    <w:rsid w:val="0065509C"/>
    <w:rsid w:val="00655A67"/>
    <w:rsid w:val="0065674E"/>
    <w:rsid w:val="00657F07"/>
    <w:rsid w:val="00661B4E"/>
    <w:rsid w:val="00662C19"/>
    <w:rsid w:val="006646A6"/>
    <w:rsid w:val="0067080A"/>
    <w:rsid w:val="00670B1B"/>
    <w:rsid w:val="006729FF"/>
    <w:rsid w:val="006734EC"/>
    <w:rsid w:val="00675F41"/>
    <w:rsid w:val="00676400"/>
    <w:rsid w:val="00677E47"/>
    <w:rsid w:val="0068098C"/>
    <w:rsid w:val="00686666"/>
    <w:rsid w:val="00692D9A"/>
    <w:rsid w:val="00694B4C"/>
    <w:rsid w:val="006A1BB3"/>
    <w:rsid w:val="006A3C03"/>
    <w:rsid w:val="006A4740"/>
    <w:rsid w:val="006A6097"/>
    <w:rsid w:val="006A64F2"/>
    <w:rsid w:val="006B3C1B"/>
    <w:rsid w:val="006B3EFB"/>
    <w:rsid w:val="006B690F"/>
    <w:rsid w:val="006C245B"/>
    <w:rsid w:val="006C3402"/>
    <w:rsid w:val="006C3AD5"/>
    <w:rsid w:val="006C5DA4"/>
    <w:rsid w:val="006C6F08"/>
    <w:rsid w:val="006C7836"/>
    <w:rsid w:val="006D370E"/>
    <w:rsid w:val="006D3B1F"/>
    <w:rsid w:val="006D491B"/>
    <w:rsid w:val="006D4B7E"/>
    <w:rsid w:val="006D4E8D"/>
    <w:rsid w:val="006D51A2"/>
    <w:rsid w:val="006E1DF2"/>
    <w:rsid w:val="006E57E8"/>
    <w:rsid w:val="006F08AE"/>
    <w:rsid w:val="006F2ACE"/>
    <w:rsid w:val="007000FB"/>
    <w:rsid w:val="007008E0"/>
    <w:rsid w:val="00705235"/>
    <w:rsid w:val="007107AD"/>
    <w:rsid w:val="00716200"/>
    <w:rsid w:val="00724A27"/>
    <w:rsid w:val="007342EA"/>
    <w:rsid w:val="00735001"/>
    <w:rsid w:val="007354F0"/>
    <w:rsid w:val="00742C25"/>
    <w:rsid w:val="00743300"/>
    <w:rsid w:val="00745364"/>
    <w:rsid w:val="00747A6F"/>
    <w:rsid w:val="007520AB"/>
    <w:rsid w:val="00752308"/>
    <w:rsid w:val="00752B0E"/>
    <w:rsid w:val="00756B4F"/>
    <w:rsid w:val="007575D6"/>
    <w:rsid w:val="00763043"/>
    <w:rsid w:val="00766C21"/>
    <w:rsid w:val="0077010C"/>
    <w:rsid w:val="00770452"/>
    <w:rsid w:val="00781BAD"/>
    <w:rsid w:val="007854CF"/>
    <w:rsid w:val="00787B82"/>
    <w:rsid w:val="007900D4"/>
    <w:rsid w:val="00796F08"/>
    <w:rsid w:val="007A0FA3"/>
    <w:rsid w:val="007A1A4C"/>
    <w:rsid w:val="007A4181"/>
    <w:rsid w:val="007A46A0"/>
    <w:rsid w:val="007A7CF3"/>
    <w:rsid w:val="007A7EA7"/>
    <w:rsid w:val="007B21DD"/>
    <w:rsid w:val="007B430A"/>
    <w:rsid w:val="007B5630"/>
    <w:rsid w:val="007C0BAC"/>
    <w:rsid w:val="007C1FD6"/>
    <w:rsid w:val="007C679F"/>
    <w:rsid w:val="007D2137"/>
    <w:rsid w:val="007D6606"/>
    <w:rsid w:val="007D67D1"/>
    <w:rsid w:val="007D682B"/>
    <w:rsid w:val="007E2A88"/>
    <w:rsid w:val="007E5C59"/>
    <w:rsid w:val="007E6CAF"/>
    <w:rsid w:val="007E73C3"/>
    <w:rsid w:val="007F378A"/>
    <w:rsid w:val="008046A7"/>
    <w:rsid w:val="00805E1E"/>
    <w:rsid w:val="0080763A"/>
    <w:rsid w:val="008101A5"/>
    <w:rsid w:val="0082072C"/>
    <w:rsid w:val="008211B6"/>
    <w:rsid w:val="008215F2"/>
    <w:rsid w:val="0082561C"/>
    <w:rsid w:val="00831A19"/>
    <w:rsid w:val="00831EDA"/>
    <w:rsid w:val="008363BD"/>
    <w:rsid w:val="00836A1D"/>
    <w:rsid w:val="00837349"/>
    <w:rsid w:val="008433EA"/>
    <w:rsid w:val="00844572"/>
    <w:rsid w:val="008461EA"/>
    <w:rsid w:val="00847619"/>
    <w:rsid w:val="008527AF"/>
    <w:rsid w:val="00853982"/>
    <w:rsid w:val="00854310"/>
    <w:rsid w:val="0085796E"/>
    <w:rsid w:val="00860CE9"/>
    <w:rsid w:val="00870493"/>
    <w:rsid w:val="008733F2"/>
    <w:rsid w:val="008739F3"/>
    <w:rsid w:val="00875888"/>
    <w:rsid w:val="00877335"/>
    <w:rsid w:val="00881A7C"/>
    <w:rsid w:val="00884320"/>
    <w:rsid w:val="00885412"/>
    <w:rsid w:val="0089092B"/>
    <w:rsid w:val="00890FD6"/>
    <w:rsid w:val="0089104A"/>
    <w:rsid w:val="00891D27"/>
    <w:rsid w:val="00895B38"/>
    <w:rsid w:val="008979D0"/>
    <w:rsid w:val="008A3128"/>
    <w:rsid w:val="008A53F1"/>
    <w:rsid w:val="008B629C"/>
    <w:rsid w:val="008B6C4F"/>
    <w:rsid w:val="008C0A8C"/>
    <w:rsid w:val="008C1CCC"/>
    <w:rsid w:val="008C4B08"/>
    <w:rsid w:val="008C4DAE"/>
    <w:rsid w:val="008C6C90"/>
    <w:rsid w:val="008C6CD3"/>
    <w:rsid w:val="008D25CC"/>
    <w:rsid w:val="008D3E8B"/>
    <w:rsid w:val="008D409A"/>
    <w:rsid w:val="008D70A6"/>
    <w:rsid w:val="008E121E"/>
    <w:rsid w:val="008E31F7"/>
    <w:rsid w:val="008F6929"/>
    <w:rsid w:val="00904091"/>
    <w:rsid w:val="009044B7"/>
    <w:rsid w:val="00906E26"/>
    <w:rsid w:val="00912360"/>
    <w:rsid w:val="00914472"/>
    <w:rsid w:val="00917AE9"/>
    <w:rsid w:val="0092041D"/>
    <w:rsid w:val="00921DA9"/>
    <w:rsid w:val="00922734"/>
    <w:rsid w:val="00923457"/>
    <w:rsid w:val="009262AC"/>
    <w:rsid w:val="00933D1D"/>
    <w:rsid w:val="0093663B"/>
    <w:rsid w:val="0094137F"/>
    <w:rsid w:val="00941BFF"/>
    <w:rsid w:val="00941C9A"/>
    <w:rsid w:val="00941E0A"/>
    <w:rsid w:val="00942B3C"/>
    <w:rsid w:val="00945A38"/>
    <w:rsid w:val="00950A70"/>
    <w:rsid w:val="00951681"/>
    <w:rsid w:val="00951BC4"/>
    <w:rsid w:val="009603C9"/>
    <w:rsid w:val="00960B87"/>
    <w:rsid w:val="00962AAD"/>
    <w:rsid w:val="009635AB"/>
    <w:rsid w:val="00964ECF"/>
    <w:rsid w:val="00971A09"/>
    <w:rsid w:val="0097213D"/>
    <w:rsid w:val="009758CE"/>
    <w:rsid w:val="00975E03"/>
    <w:rsid w:val="009803DF"/>
    <w:rsid w:val="00980566"/>
    <w:rsid w:val="00982ED8"/>
    <w:rsid w:val="00984A9D"/>
    <w:rsid w:val="00986732"/>
    <w:rsid w:val="00986ECD"/>
    <w:rsid w:val="009903E3"/>
    <w:rsid w:val="0099176B"/>
    <w:rsid w:val="0099459B"/>
    <w:rsid w:val="009966EF"/>
    <w:rsid w:val="009972E5"/>
    <w:rsid w:val="009A2737"/>
    <w:rsid w:val="009A2A70"/>
    <w:rsid w:val="009A3BBF"/>
    <w:rsid w:val="009A3D45"/>
    <w:rsid w:val="009A68DE"/>
    <w:rsid w:val="009A7D1A"/>
    <w:rsid w:val="009B3268"/>
    <w:rsid w:val="009B5FBB"/>
    <w:rsid w:val="009B64C4"/>
    <w:rsid w:val="009D0659"/>
    <w:rsid w:val="009D119A"/>
    <w:rsid w:val="009E047A"/>
    <w:rsid w:val="009E0743"/>
    <w:rsid w:val="009E0762"/>
    <w:rsid w:val="009E0D5F"/>
    <w:rsid w:val="009E16BB"/>
    <w:rsid w:val="009E3575"/>
    <w:rsid w:val="009E3DB9"/>
    <w:rsid w:val="009E558C"/>
    <w:rsid w:val="009E6878"/>
    <w:rsid w:val="009F07ED"/>
    <w:rsid w:val="009F17FE"/>
    <w:rsid w:val="009F34A1"/>
    <w:rsid w:val="009F4221"/>
    <w:rsid w:val="009F4617"/>
    <w:rsid w:val="009F47A7"/>
    <w:rsid w:val="009F5718"/>
    <w:rsid w:val="009F61DA"/>
    <w:rsid w:val="009F707B"/>
    <w:rsid w:val="009F7990"/>
    <w:rsid w:val="009F7A6D"/>
    <w:rsid w:val="00A00364"/>
    <w:rsid w:val="00A009D4"/>
    <w:rsid w:val="00A0320E"/>
    <w:rsid w:val="00A12944"/>
    <w:rsid w:val="00A14EFC"/>
    <w:rsid w:val="00A1691E"/>
    <w:rsid w:val="00A22BE0"/>
    <w:rsid w:val="00A22FF3"/>
    <w:rsid w:val="00A2365D"/>
    <w:rsid w:val="00A24980"/>
    <w:rsid w:val="00A24C4F"/>
    <w:rsid w:val="00A2719F"/>
    <w:rsid w:val="00A312B8"/>
    <w:rsid w:val="00A32C82"/>
    <w:rsid w:val="00A33A9C"/>
    <w:rsid w:val="00A3408C"/>
    <w:rsid w:val="00A35315"/>
    <w:rsid w:val="00A442C3"/>
    <w:rsid w:val="00A4684B"/>
    <w:rsid w:val="00A474D4"/>
    <w:rsid w:val="00A50F6C"/>
    <w:rsid w:val="00A5372D"/>
    <w:rsid w:val="00A6600B"/>
    <w:rsid w:val="00A66018"/>
    <w:rsid w:val="00A66558"/>
    <w:rsid w:val="00A7014D"/>
    <w:rsid w:val="00A71047"/>
    <w:rsid w:val="00A72D1A"/>
    <w:rsid w:val="00A751B8"/>
    <w:rsid w:val="00A835FF"/>
    <w:rsid w:val="00A83846"/>
    <w:rsid w:val="00A83E30"/>
    <w:rsid w:val="00A85EA9"/>
    <w:rsid w:val="00A916E8"/>
    <w:rsid w:val="00A92349"/>
    <w:rsid w:val="00A944BC"/>
    <w:rsid w:val="00AA1CCA"/>
    <w:rsid w:val="00AB0007"/>
    <w:rsid w:val="00AB07B5"/>
    <w:rsid w:val="00AB0B25"/>
    <w:rsid w:val="00AB6557"/>
    <w:rsid w:val="00AC0550"/>
    <w:rsid w:val="00AC3607"/>
    <w:rsid w:val="00AC54FF"/>
    <w:rsid w:val="00AC7B96"/>
    <w:rsid w:val="00AD066A"/>
    <w:rsid w:val="00AD069F"/>
    <w:rsid w:val="00AD6C0F"/>
    <w:rsid w:val="00AE3450"/>
    <w:rsid w:val="00AE5055"/>
    <w:rsid w:val="00AE699D"/>
    <w:rsid w:val="00AF0886"/>
    <w:rsid w:val="00AF1477"/>
    <w:rsid w:val="00AF33FC"/>
    <w:rsid w:val="00AF4C7A"/>
    <w:rsid w:val="00AF5D5B"/>
    <w:rsid w:val="00AF6B9A"/>
    <w:rsid w:val="00B00AA3"/>
    <w:rsid w:val="00B026D9"/>
    <w:rsid w:val="00B05442"/>
    <w:rsid w:val="00B072ED"/>
    <w:rsid w:val="00B10BF4"/>
    <w:rsid w:val="00B1170E"/>
    <w:rsid w:val="00B11A62"/>
    <w:rsid w:val="00B14A97"/>
    <w:rsid w:val="00B15030"/>
    <w:rsid w:val="00B150FA"/>
    <w:rsid w:val="00B20D8C"/>
    <w:rsid w:val="00B20EE3"/>
    <w:rsid w:val="00B21B7C"/>
    <w:rsid w:val="00B22AC5"/>
    <w:rsid w:val="00B24C6D"/>
    <w:rsid w:val="00B265E5"/>
    <w:rsid w:val="00B273CB"/>
    <w:rsid w:val="00B323F0"/>
    <w:rsid w:val="00B34146"/>
    <w:rsid w:val="00B3465A"/>
    <w:rsid w:val="00B37E41"/>
    <w:rsid w:val="00B43E1A"/>
    <w:rsid w:val="00B47709"/>
    <w:rsid w:val="00B50794"/>
    <w:rsid w:val="00B51738"/>
    <w:rsid w:val="00B51E90"/>
    <w:rsid w:val="00B57380"/>
    <w:rsid w:val="00B67C1A"/>
    <w:rsid w:val="00B7271C"/>
    <w:rsid w:val="00B763C7"/>
    <w:rsid w:val="00B763FA"/>
    <w:rsid w:val="00B774A8"/>
    <w:rsid w:val="00B816DD"/>
    <w:rsid w:val="00B81A18"/>
    <w:rsid w:val="00B81D8F"/>
    <w:rsid w:val="00B82AC2"/>
    <w:rsid w:val="00B83C4A"/>
    <w:rsid w:val="00B91A4A"/>
    <w:rsid w:val="00B97B9F"/>
    <w:rsid w:val="00BA3333"/>
    <w:rsid w:val="00BA36B3"/>
    <w:rsid w:val="00BA5B1F"/>
    <w:rsid w:val="00BA66B1"/>
    <w:rsid w:val="00BA6EBC"/>
    <w:rsid w:val="00BB1638"/>
    <w:rsid w:val="00BB34F9"/>
    <w:rsid w:val="00BB4BAF"/>
    <w:rsid w:val="00BB7E8B"/>
    <w:rsid w:val="00BC0B12"/>
    <w:rsid w:val="00BC0E96"/>
    <w:rsid w:val="00BC12E2"/>
    <w:rsid w:val="00BC1DCF"/>
    <w:rsid w:val="00BC346D"/>
    <w:rsid w:val="00BC35D4"/>
    <w:rsid w:val="00BC3D16"/>
    <w:rsid w:val="00BD4345"/>
    <w:rsid w:val="00BD4DFB"/>
    <w:rsid w:val="00BE3510"/>
    <w:rsid w:val="00BE4CCA"/>
    <w:rsid w:val="00BE74C8"/>
    <w:rsid w:val="00BE761E"/>
    <w:rsid w:val="00BF0827"/>
    <w:rsid w:val="00BF0A35"/>
    <w:rsid w:val="00BF2F4A"/>
    <w:rsid w:val="00BF3093"/>
    <w:rsid w:val="00BF3C89"/>
    <w:rsid w:val="00C04531"/>
    <w:rsid w:val="00C04558"/>
    <w:rsid w:val="00C04EA1"/>
    <w:rsid w:val="00C07C80"/>
    <w:rsid w:val="00C11AAF"/>
    <w:rsid w:val="00C11EFF"/>
    <w:rsid w:val="00C124E6"/>
    <w:rsid w:val="00C13F83"/>
    <w:rsid w:val="00C14993"/>
    <w:rsid w:val="00C15382"/>
    <w:rsid w:val="00C15ECA"/>
    <w:rsid w:val="00C1633C"/>
    <w:rsid w:val="00C17E8D"/>
    <w:rsid w:val="00C20E93"/>
    <w:rsid w:val="00C21DF1"/>
    <w:rsid w:val="00C222F3"/>
    <w:rsid w:val="00C23BF2"/>
    <w:rsid w:val="00C24004"/>
    <w:rsid w:val="00C24455"/>
    <w:rsid w:val="00C254F0"/>
    <w:rsid w:val="00C27855"/>
    <w:rsid w:val="00C374CC"/>
    <w:rsid w:val="00C379FE"/>
    <w:rsid w:val="00C37CD0"/>
    <w:rsid w:val="00C43CFE"/>
    <w:rsid w:val="00C46557"/>
    <w:rsid w:val="00C46DC6"/>
    <w:rsid w:val="00C4789A"/>
    <w:rsid w:val="00C5077F"/>
    <w:rsid w:val="00C5093C"/>
    <w:rsid w:val="00C52731"/>
    <w:rsid w:val="00C55401"/>
    <w:rsid w:val="00C60CCE"/>
    <w:rsid w:val="00C669E5"/>
    <w:rsid w:val="00C679CE"/>
    <w:rsid w:val="00C704C9"/>
    <w:rsid w:val="00C71914"/>
    <w:rsid w:val="00C7784C"/>
    <w:rsid w:val="00C80F04"/>
    <w:rsid w:val="00C81090"/>
    <w:rsid w:val="00C81C16"/>
    <w:rsid w:val="00C86564"/>
    <w:rsid w:val="00C90531"/>
    <w:rsid w:val="00C93740"/>
    <w:rsid w:val="00CA06B1"/>
    <w:rsid w:val="00CA6B55"/>
    <w:rsid w:val="00CB75FF"/>
    <w:rsid w:val="00CB7B6B"/>
    <w:rsid w:val="00CC0060"/>
    <w:rsid w:val="00CC0BE8"/>
    <w:rsid w:val="00CC147D"/>
    <w:rsid w:val="00CC3E11"/>
    <w:rsid w:val="00CC6237"/>
    <w:rsid w:val="00CC6700"/>
    <w:rsid w:val="00CC6D89"/>
    <w:rsid w:val="00CC6F63"/>
    <w:rsid w:val="00CD20F8"/>
    <w:rsid w:val="00CD3316"/>
    <w:rsid w:val="00CD34E9"/>
    <w:rsid w:val="00CD3706"/>
    <w:rsid w:val="00CE116F"/>
    <w:rsid w:val="00CE1403"/>
    <w:rsid w:val="00CE2FD5"/>
    <w:rsid w:val="00CE5A83"/>
    <w:rsid w:val="00CF1A8C"/>
    <w:rsid w:val="00CF35E9"/>
    <w:rsid w:val="00CF43F2"/>
    <w:rsid w:val="00CF4B8D"/>
    <w:rsid w:val="00CF543F"/>
    <w:rsid w:val="00D02312"/>
    <w:rsid w:val="00D0622E"/>
    <w:rsid w:val="00D06CF4"/>
    <w:rsid w:val="00D1088E"/>
    <w:rsid w:val="00D12BD9"/>
    <w:rsid w:val="00D162BC"/>
    <w:rsid w:val="00D167BB"/>
    <w:rsid w:val="00D16D6E"/>
    <w:rsid w:val="00D205BA"/>
    <w:rsid w:val="00D22216"/>
    <w:rsid w:val="00D25F59"/>
    <w:rsid w:val="00D266C2"/>
    <w:rsid w:val="00D3255C"/>
    <w:rsid w:val="00D3420E"/>
    <w:rsid w:val="00D3478E"/>
    <w:rsid w:val="00D356CF"/>
    <w:rsid w:val="00D4206A"/>
    <w:rsid w:val="00D4620B"/>
    <w:rsid w:val="00D50C61"/>
    <w:rsid w:val="00D5467C"/>
    <w:rsid w:val="00D621DA"/>
    <w:rsid w:val="00D648E0"/>
    <w:rsid w:val="00D65AC8"/>
    <w:rsid w:val="00D7008E"/>
    <w:rsid w:val="00D722CD"/>
    <w:rsid w:val="00D72F00"/>
    <w:rsid w:val="00D753D9"/>
    <w:rsid w:val="00D7641A"/>
    <w:rsid w:val="00D807D1"/>
    <w:rsid w:val="00D8224F"/>
    <w:rsid w:val="00D857FB"/>
    <w:rsid w:val="00D85BF7"/>
    <w:rsid w:val="00D86802"/>
    <w:rsid w:val="00D90A8A"/>
    <w:rsid w:val="00D90DCC"/>
    <w:rsid w:val="00D91676"/>
    <w:rsid w:val="00D9281D"/>
    <w:rsid w:val="00D969EB"/>
    <w:rsid w:val="00D974FF"/>
    <w:rsid w:val="00DA0270"/>
    <w:rsid w:val="00DA04D6"/>
    <w:rsid w:val="00DA06FC"/>
    <w:rsid w:val="00DA56F0"/>
    <w:rsid w:val="00DA5F0B"/>
    <w:rsid w:val="00DA7A60"/>
    <w:rsid w:val="00DB4818"/>
    <w:rsid w:val="00DB5F13"/>
    <w:rsid w:val="00DC5B32"/>
    <w:rsid w:val="00DD173D"/>
    <w:rsid w:val="00DD40C0"/>
    <w:rsid w:val="00DE2FEA"/>
    <w:rsid w:val="00DE4AC1"/>
    <w:rsid w:val="00DE5630"/>
    <w:rsid w:val="00DE5FF0"/>
    <w:rsid w:val="00DF0EC6"/>
    <w:rsid w:val="00DF26E7"/>
    <w:rsid w:val="00DF4B57"/>
    <w:rsid w:val="00DF54D3"/>
    <w:rsid w:val="00DF6DBF"/>
    <w:rsid w:val="00E02E3B"/>
    <w:rsid w:val="00E049A4"/>
    <w:rsid w:val="00E04D8F"/>
    <w:rsid w:val="00E072AC"/>
    <w:rsid w:val="00E078FD"/>
    <w:rsid w:val="00E11477"/>
    <w:rsid w:val="00E11905"/>
    <w:rsid w:val="00E11B0F"/>
    <w:rsid w:val="00E125AF"/>
    <w:rsid w:val="00E13082"/>
    <w:rsid w:val="00E1342A"/>
    <w:rsid w:val="00E14388"/>
    <w:rsid w:val="00E1687C"/>
    <w:rsid w:val="00E2017C"/>
    <w:rsid w:val="00E2076C"/>
    <w:rsid w:val="00E21788"/>
    <w:rsid w:val="00E242D3"/>
    <w:rsid w:val="00E24CA4"/>
    <w:rsid w:val="00E27A3B"/>
    <w:rsid w:val="00E322FF"/>
    <w:rsid w:val="00E32889"/>
    <w:rsid w:val="00E33AFF"/>
    <w:rsid w:val="00E36C6E"/>
    <w:rsid w:val="00E37FA1"/>
    <w:rsid w:val="00E414F8"/>
    <w:rsid w:val="00E43A15"/>
    <w:rsid w:val="00E4472A"/>
    <w:rsid w:val="00E47077"/>
    <w:rsid w:val="00E51C4C"/>
    <w:rsid w:val="00E52101"/>
    <w:rsid w:val="00E52779"/>
    <w:rsid w:val="00E53C53"/>
    <w:rsid w:val="00E553D5"/>
    <w:rsid w:val="00E56ADF"/>
    <w:rsid w:val="00E626F1"/>
    <w:rsid w:val="00E641A6"/>
    <w:rsid w:val="00E65624"/>
    <w:rsid w:val="00E6714F"/>
    <w:rsid w:val="00E705D3"/>
    <w:rsid w:val="00E7317F"/>
    <w:rsid w:val="00E73276"/>
    <w:rsid w:val="00E737FA"/>
    <w:rsid w:val="00E76ACE"/>
    <w:rsid w:val="00E84012"/>
    <w:rsid w:val="00E861DA"/>
    <w:rsid w:val="00E86364"/>
    <w:rsid w:val="00E904E5"/>
    <w:rsid w:val="00E959E8"/>
    <w:rsid w:val="00E96A0E"/>
    <w:rsid w:val="00EA174A"/>
    <w:rsid w:val="00EA1EB6"/>
    <w:rsid w:val="00EA4441"/>
    <w:rsid w:val="00EA460D"/>
    <w:rsid w:val="00EA7897"/>
    <w:rsid w:val="00EB154E"/>
    <w:rsid w:val="00EB1B66"/>
    <w:rsid w:val="00EB208A"/>
    <w:rsid w:val="00EB2FB3"/>
    <w:rsid w:val="00EB4B99"/>
    <w:rsid w:val="00EB7E3D"/>
    <w:rsid w:val="00EC11E4"/>
    <w:rsid w:val="00EC1AE7"/>
    <w:rsid w:val="00EC439F"/>
    <w:rsid w:val="00EC7FD4"/>
    <w:rsid w:val="00ED1EC3"/>
    <w:rsid w:val="00ED2F45"/>
    <w:rsid w:val="00ED4012"/>
    <w:rsid w:val="00ED55A2"/>
    <w:rsid w:val="00EE010A"/>
    <w:rsid w:val="00EF0A65"/>
    <w:rsid w:val="00EF12CB"/>
    <w:rsid w:val="00EF3230"/>
    <w:rsid w:val="00EF331C"/>
    <w:rsid w:val="00EF3332"/>
    <w:rsid w:val="00EF41AC"/>
    <w:rsid w:val="00EF4F0C"/>
    <w:rsid w:val="00F0033E"/>
    <w:rsid w:val="00F02A7A"/>
    <w:rsid w:val="00F03624"/>
    <w:rsid w:val="00F06057"/>
    <w:rsid w:val="00F26B72"/>
    <w:rsid w:val="00F3014C"/>
    <w:rsid w:val="00F353CE"/>
    <w:rsid w:val="00F3651B"/>
    <w:rsid w:val="00F37163"/>
    <w:rsid w:val="00F435F1"/>
    <w:rsid w:val="00F45F9D"/>
    <w:rsid w:val="00F47958"/>
    <w:rsid w:val="00F51224"/>
    <w:rsid w:val="00F56248"/>
    <w:rsid w:val="00F61397"/>
    <w:rsid w:val="00F61F43"/>
    <w:rsid w:val="00F65411"/>
    <w:rsid w:val="00F66425"/>
    <w:rsid w:val="00F66C87"/>
    <w:rsid w:val="00F710FC"/>
    <w:rsid w:val="00F7161F"/>
    <w:rsid w:val="00F73E58"/>
    <w:rsid w:val="00F7406E"/>
    <w:rsid w:val="00F74249"/>
    <w:rsid w:val="00F75473"/>
    <w:rsid w:val="00F838BA"/>
    <w:rsid w:val="00F839BB"/>
    <w:rsid w:val="00F84751"/>
    <w:rsid w:val="00F85075"/>
    <w:rsid w:val="00F85AD4"/>
    <w:rsid w:val="00F93E48"/>
    <w:rsid w:val="00F95D50"/>
    <w:rsid w:val="00F96AA9"/>
    <w:rsid w:val="00FA2073"/>
    <w:rsid w:val="00FA2A0D"/>
    <w:rsid w:val="00FA521B"/>
    <w:rsid w:val="00FA7E0A"/>
    <w:rsid w:val="00FB0B72"/>
    <w:rsid w:val="00FB0CB0"/>
    <w:rsid w:val="00FB1797"/>
    <w:rsid w:val="00FC789F"/>
    <w:rsid w:val="00FD241B"/>
    <w:rsid w:val="00FD3AAB"/>
    <w:rsid w:val="00FD4B19"/>
    <w:rsid w:val="00FD6D4E"/>
    <w:rsid w:val="00FE0A6D"/>
    <w:rsid w:val="00FE2301"/>
    <w:rsid w:val="00FE251E"/>
    <w:rsid w:val="00FE2D9A"/>
    <w:rsid w:val="00FE3202"/>
    <w:rsid w:val="00FE33A9"/>
    <w:rsid w:val="00FE3976"/>
    <w:rsid w:val="00FE3C14"/>
    <w:rsid w:val="00FE4274"/>
    <w:rsid w:val="00FE5327"/>
    <w:rsid w:val="00FE6A03"/>
    <w:rsid w:val="00FE6FF7"/>
    <w:rsid w:val="00FF6210"/>
    <w:rsid w:val="00FF73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1499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C14993"/>
    <w:rPr>
      <w:sz w:val="20"/>
      <w:szCs w:val="20"/>
    </w:rPr>
  </w:style>
  <w:style w:type="character" w:customStyle="1" w:styleId="FootnoteTextChar">
    <w:name w:val="Footnote Text Char"/>
    <w:basedOn w:val="DefaultParagraphFont"/>
    <w:link w:val="FootnoteText"/>
    <w:rsid w:val="00C14993"/>
  </w:style>
  <w:style w:type="character" w:styleId="FootnoteReference">
    <w:name w:val="footnote reference"/>
    <w:basedOn w:val="DefaultParagraphFont"/>
    <w:rsid w:val="00C14993"/>
    <w:rPr>
      <w:vertAlign w:val="superscript"/>
    </w:rPr>
  </w:style>
  <w:style w:type="paragraph" w:styleId="ListParagraph">
    <w:name w:val="List Paragraph"/>
    <w:basedOn w:val="Normal"/>
    <w:uiPriority w:val="34"/>
    <w:qFormat/>
    <w:rsid w:val="00C14993"/>
    <w:pPr>
      <w:ind w:left="720"/>
      <w:contextualSpacing/>
    </w:pPr>
  </w:style>
  <w:style w:type="paragraph" w:styleId="Header">
    <w:name w:val="header"/>
    <w:basedOn w:val="Normal"/>
    <w:link w:val="HeaderChar"/>
    <w:rsid w:val="00C14993"/>
    <w:pPr>
      <w:tabs>
        <w:tab w:val="center" w:pos="4680"/>
        <w:tab w:val="right" w:pos="9360"/>
      </w:tabs>
    </w:pPr>
  </w:style>
  <w:style w:type="character" w:customStyle="1" w:styleId="HeaderChar">
    <w:name w:val="Header Char"/>
    <w:basedOn w:val="DefaultParagraphFont"/>
    <w:link w:val="Header"/>
    <w:rsid w:val="00C14993"/>
    <w:rPr>
      <w:sz w:val="24"/>
      <w:szCs w:val="24"/>
    </w:rPr>
  </w:style>
  <w:style w:type="paragraph" w:styleId="Footer">
    <w:name w:val="footer"/>
    <w:basedOn w:val="Normal"/>
    <w:link w:val="FooterChar"/>
    <w:uiPriority w:val="99"/>
    <w:rsid w:val="00C14993"/>
    <w:pPr>
      <w:tabs>
        <w:tab w:val="center" w:pos="4680"/>
        <w:tab w:val="right" w:pos="9360"/>
      </w:tabs>
    </w:pPr>
  </w:style>
  <w:style w:type="character" w:customStyle="1" w:styleId="FooterChar">
    <w:name w:val="Footer Char"/>
    <w:basedOn w:val="DefaultParagraphFont"/>
    <w:link w:val="Footer"/>
    <w:uiPriority w:val="99"/>
    <w:rsid w:val="00C14993"/>
    <w:rPr>
      <w:sz w:val="24"/>
      <w:szCs w:val="24"/>
    </w:rPr>
  </w:style>
  <w:style w:type="paragraph" w:styleId="BalloonText">
    <w:name w:val="Balloon Text"/>
    <w:basedOn w:val="Normal"/>
    <w:link w:val="BalloonTextChar"/>
    <w:rsid w:val="00EF3230"/>
    <w:rPr>
      <w:rFonts w:ascii="Tahoma" w:hAnsi="Tahoma" w:cs="Tahoma"/>
      <w:sz w:val="16"/>
      <w:szCs w:val="16"/>
    </w:rPr>
  </w:style>
  <w:style w:type="character" w:customStyle="1" w:styleId="BalloonTextChar">
    <w:name w:val="Balloon Text Char"/>
    <w:basedOn w:val="DefaultParagraphFont"/>
    <w:link w:val="BalloonText"/>
    <w:rsid w:val="00EF323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1499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C14993"/>
    <w:rPr>
      <w:sz w:val="20"/>
      <w:szCs w:val="20"/>
    </w:rPr>
  </w:style>
  <w:style w:type="character" w:customStyle="1" w:styleId="FootnoteTextChar">
    <w:name w:val="Footnote Text Char"/>
    <w:basedOn w:val="DefaultParagraphFont"/>
    <w:link w:val="FootnoteText"/>
    <w:rsid w:val="00C14993"/>
  </w:style>
  <w:style w:type="character" w:styleId="FootnoteReference">
    <w:name w:val="footnote reference"/>
    <w:basedOn w:val="DefaultParagraphFont"/>
    <w:rsid w:val="00C14993"/>
    <w:rPr>
      <w:vertAlign w:val="superscript"/>
    </w:rPr>
  </w:style>
  <w:style w:type="paragraph" w:styleId="ListParagraph">
    <w:name w:val="List Paragraph"/>
    <w:basedOn w:val="Normal"/>
    <w:uiPriority w:val="34"/>
    <w:qFormat/>
    <w:rsid w:val="00C14993"/>
    <w:pPr>
      <w:ind w:left="720"/>
      <w:contextualSpacing/>
    </w:pPr>
  </w:style>
  <w:style w:type="paragraph" w:styleId="Header">
    <w:name w:val="header"/>
    <w:basedOn w:val="Normal"/>
    <w:link w:val="HeaderChar"/>
    <w:rsid w:val="00C14993"/>
    <w:pPr>
      <w:tabs>
        <w:tab w:val="center" w:pos="4680"/>
        <w:tab w:val="right" w:pos="9360"/>
      </w:tabs>
    </w:pPr>
  </w:style>
  <w:style w:type="character" w:customStyle="1" w:styleId="HeaderChar">
    <w:name w:val="Header Char"/>
    <w:basedOn w:val="DefaultParagraphFont"/>
    <w:link w:val="Header"/>
    <w:rsid w:val="00C14993"/>
    <w:rPr>
      <w:sz w:val="24"/>
      <w:szCs w:val="24"/>
    </w:rPr>
  </w:style>
  <w:style w:type="paragraph" w:styleId="Footer">
    <w:name w:val="footer"/>
    <w:basedOn w:val="Normal"/>
    <w:link w:val="FooterChar"/>
    <w:uiPriority w:val="99"/>
    <w:rsid w:val="00C14993"/>
    <w:pPr>
      <w:tabs>
        <w:tab w:val="center" w:pos="4680"/>
        <w:tab w:val="right" w:pos="9360"/>
      </w:tabs>
    </w:pPr>
  </w:style>
  <w:style w:type="character" w:customStyle="1" w:styleId="FooterChar">
    <w:name w:val="Footer Char"/>
    <w:basedOn w:val="DefaultParagraphFont"/>
    <w:link w:val="Footer"/>
    <w:uiPriority w:val="99"/>
    <w:rsid w:val="00C14993"/>
    <w:rPr>
      <w:sz w:val="24"/>
      <w:szCs w:val="24"/>
    </w:rPr>
  </w:style>
  <w:style w:type="paragraph" w:styleId="BalloonText">
    <w:name w:val="Balloon Text"/>
    <w:basedOn w:val="Normal"/>
    <w:link w:val="BalloonTextChar"/>
    <w:rsid w:val="00EF3230"/>
    <w:rPr>
      <w:rFonts w:ascii="Tahoma" w:hAnsi="Tahoma" w:cs="Tahoma"/>
      <w:sz w:val="16"/>
      <w:szCs w:val="16"/>
    </w:rPr>
  </w:style>
  <w:style w:type="character" w:customStyle="1" w:styleId="BalloonTextChar">
    <w:name w:val="Balloon Text Char"/>
    <w:basedOn w:val="DefaultParagraphFont"/>
    <w:link w:val="BalloonText"/>
    <w:rsid w:val="00EF323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2754</Words>
  <Characters>15704</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18422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johcorbett</dc:creator>
  <cp:lastModifiedBy>bfaccenda</cp:lastModifiedBy>
  <cp:revision>3</cp:revision>
  <cp:lastPrinted>2012-03-13T18:16:00Z</cp:lastPrinted>
  <dcterms:created xsi:type="dcterms:W3CDTF">2012-03-02T14:52:00Z</dcterms:created>
  <dcterms:modified xsi:type="dcterms:W3CDTF">2012-03-13T18:16:00Z</dcterms:modified>
</cp:coreProperties>
</file>