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D05458" w:rsidRDefault="00124E02" w:rsidP="00765ED9">
      <w:pPr>
        <w:pStyle w:val="TxBrc2"/>
        <w:widowControl/>
        <w:spacing w:line="240" w:lineRule="auto"/>
        <w:ind w:firstLine="0"/>
        <w:rPr>
          <w:b/>
        </w:rPr>
      </w:pPr>
      <w:r>
        <w:rPr>
          <w:b/>
        </w:rPr>
        <w:t>PENNSYLVANIA</w:t>
      </w:r>
    </w:p>
    <w:p w:rsidR="007C4D87" w:rsidRPr="00D05458" w:rsidRDefault="007C4D87" w:rsidP="00765ED9">
      <w:pPr>
        <w:pStyle w:val="TxBrc2"/>
        <w:widowControl/>
        <w:spacing w:line="240" w:lineRule="auto"/>
        <w:ind w:firstLine="0"/>
        <w:rPr>
          <w:b/>
        </w:rPr>
      </w:pPr>
      <w:r w:rsidRPr="00D05458">
        <w:rPr>
          <w:b/>
        </w:rPr>
        <w:t>PUBLIC UTILITY COMMISSION</w:t>
      </w:r>
    </w:p>
    <w:p w:rsidR="007C4D87" w:rsidRPr="00D05458" w:rsidRDefault="00C26423" w:rsidP="00765ED9">
      <w:pPr>
        <w:pStyle w:val="TxBrc2"/>
        <w:widowControl/>
        <w:spacing w:line="240" w:lineRule="auto"/>
        <w:ind w:firstLine="0"/>
        <w:rPr>
          <w:b/>
        </w:rPr>
      </w:pPr>
      <w:r>
        <w:rPr>
          <w:b/>
        </w:rPr>
        <w:t>Harrisburg, P</w:t>
      </w:r>
      <w:r w:rsidR="00817015">
        <w:rPr>
          <w:b/>
        </w:rPr>
        <w:t>A</w:t>
      </w:r>
      <w:r w:rsidR="00124E02">
        <w:rPr>
          <w:b/>
        </w:rPr>
        <w:t xml:space="preserve"> 17105</w:t>
      </w:r>
    </w:p>
    <w:p w:rsidR="007C4D87" w:rsidRPr="00D05458" w:rsidRDefault="007C4D87" w:rsidP="00765ED9">
      <w:pPr>
        <w:pStyle w:val="TxBrc2"/>
        <w:widowControl/>
        <w:spacing w:line="240" w:lineRule="auto"/>
        <w:ind w:firstLine="0"/>
        <w:jc w:val="left"/>
      </w:pPr>
    </w:p>
    <w:p w:rsidR="007C4D87" w:rsidRPr="00D05458" w:rsidRDefault="007C4D87" w:rsidP="00765ED9">
      <w:pPr>
        <w:pStyle w:val="TxBrc2"/>
        <w:widowControl/>
        <w:spacing w:line="240" w:lineRule="auto"/>
        <w:ind w:firstLine="0"/>
        <w:jc w:val="left"/>
      </w:pPr>
    </w:p>
    <w:p w:rsidR="007C4D87" w:rsidRPr="00D05458" w:rsidRDefault="007D5D09" w:rsidP="00765ED9">
      <w:pPr>
        <w:pStyle w:val="TxBrc2"/>
        <w:widowControl/>
        <w:spacing w:line="240" w:lineRule="auto"/>
        <w:ind w:firstLine="0"/>
        <w:jc w:val="right"/>
      </w:pPr>
      <w:r w:rsidRPr="00D05458">
        <w:t xml:space="preserve">Public Meeting held </w:t>
      </w:r>
      <w:r w:rsidR="00B729C9">
        <w:t xml:space="preserve">March </w:t>
      </w:r>
      <w:r w:rsidR="003146AB">
        <w:t>1</w:t>
      </w:r>
      <w:r w:rsidR="00C77B04">
        <w:t>5</w:t>
      </w:r>
      <w:r w:rsidR="004F2DB6">
        <w:t xml:space="preserve">, </w:t>
      </w:r>
      <w:r w:rsidR="00AA2CB7" w:rsidRPr="00D05458">
        <w:t>20</w:t>
      </w:r>
      <w:r w:rsidR="009F0675" w:rsidRPr="00D05458">
        <w:t>1</w:t>
      </w:r>
      <w:r w:rsidR="00817015">
        <w:t>2</w:t>
      </w:r>
    </w:p>
    <w:p w:rsidR="007C4D87" w:rsidRPr="00D05458" w:rsidRDefault="007C4D87" w:rsidP="00765ED9">
      <w:pPr>
        <w:ind w:firstLine="0"/>
      </w:pPr>
    </w:p>
    <w:p w:rsidR="007C4D87" w:rsidRPr="00D05458" w:rsidRDefault="007C4D87" w:rsidP="00765ED9">
      <w:pPr>
        <w:spacing w:line="240" w:lineRule="auto"/>
        <w:ind w:firstLine="0"/>
      </w:pPr>
      <w:r w:rsidRPr="00D05458">
        <w:t>Commissioners Present:</w:t>
      </w:r>
    </w:p>
    <w:p w:rsidR="007C4D87" w:rsidRPr="00D05458" w:rsidRDefault="007C4D87" w:rsidP="00765ED9">
      <w:pPr>
        <w:spacing w:line="240" w:lineRule="auto"/>
        <w:ind w:firstLine="0"/>
      </w:pPr>
    </w:p>
    <w:p w:rsidR="006E5F60" w:rsidRPr="005A0A6B" w:rsidRDefault="00E902A1" w:rsidP="00765ED9">
      <w:pPr>
        <w:spacing w:line="240" w:lineRule="auto"/>
        <w:ind w:firstLine="0"/>
        <w:rPr>
          <w:rFonts w:ascii="Times New (W1)" w:hAnsi="Times New (W1)"/>
        </w:rPr>
      </w:pPr>
      <w:r>
        <w:rPr>
          <w:rFonts w:ascii="Times New (W1)" w:hAnsi="Times New (W1)"/>
        </w:rPr>
        <w:tab/>
      </w:r>
      <w:r w:rsidR="006E5F60" w:rsidRPr="005A0A6B">
        <w:rPr>
          <w:rFonts w:ascii="Times New (W1)" w:hAnsi="Times New (W1)"/>
        </w:rPr>
        <w:t>Robert F. Powelson, Chairman</w:t>
      </w:r>
    </w:p>
    <w:p w:rsidR="006E5F60" w:rsidRPr="005A0A6B" w:rsidRDefault="00E902A1" w:rsidP="00765ED9">
      <w:pPr>
        <w:spacing w:line="240" w:lineRule="auto"/>
        <w:ind w:firstLine="0"/>
        <w:rPr>
          <w:rFonts w:ascii="Times New (W1)" w:hAnsi="Times New (W1)"/>
        </w:rPr>
      </w:pPr>
      <w:r>
        <w:rPr>
          <w:rFonts w:ascii="Times New (W1)" w:hAnsi="Times New (W1)"/>
        </w:rPr>
        <w:tab/>
      </w:r>
      <w:r w:rsidR="006E5F60">
        <w:rPr>
          <w:rFonts w:ascii="Times New (W1)" w:hAnsi="Times New (W1)"/>
        </w:rPr>
        <w:t>John F. Coleman, Jr.</w:t>
      </w:r>
      <w:r w:rsidR="006E5F60" w:rsidRPr="005A0A6B">
        <w:rPr>
          <w:rFonts w:ascii="Times New (W1)" w:hAnsi="Times New (W1)"/>
        </w:rPr>
        <w:t>, Vice Chairman</w:t>
      </w:r>
    </w:p>
    <w:p w:rsidR="006E5F60" w:rsidRDefault="00E902A1" w:rsidP="00765ED9">
      <w:pPr>
        <w:spacing w:line="240" w:lineRule="auto"/>
        <w:ind w:firstLine="0"/>
        <w:rPr>
          <w:rFonts w:ascii="Times New (W1)" w:hAnsi="Times New (W1)"/>
        </w:rPr>
      </w:pPr>
      <w:r>
        <w:rPr>
          <w:rFonts w:ascii="Times New (W1)" w:hAnsi="Times New (W1)"/>
        </w:rPr>
        <w:tab/>
      </w:r>
      <w:r w:rsidR="006E5F60" w:rsidRPr="005A0A6B">
        <w:rPr>
          <w:rFonts w:ascii="Times New (W1)" w:hAnsi="Times New (W1)"/>
        </w:rPr>
        <w:t>Wayne E. Gardner</w:t>
      </w:r>
    </w:p>
    <w:p w:rsidR="006E5F60" w:rsidRDefault="00E902A1" w:rsidP="00765ED9">
      <w:pPr>
        <w:spacing w:line="240" w:lineRule="auto"/>
        <w:ind w:firstLine="0"/>
        <w:rPr>
          <w:rFonts w:ascii="Times New (W1)" w:hAnsi="Times New (W1)"/>
        </w:rPr>
      </w:pPr>
      <w:r>
        <w:rPr>
          <w:rFonts w:ascii="Times New (W1)" w:hAnsi="Times New (W1)"/>
        </w:rPr>
        <w:tab/>
      </w:r>
      <w:r w:rsidR="006E5F60" w:rsidRPr="005A0A6B">
        <w:rPr>
          <w:rFonts w:ascii="Times New (W1)" w:hAnsi="Times New (W1)"/>
        </w:rPr>
        <w:t>James H. Cawley</w:t>
      </w:r>
    </w:p>
    <w:p w:rsidR="007C4D87" w:rsidRPr="00D05458" w:rsidRDefault="00E902A1" w:rsidP="00765ED9">
      <w:pPr>
        <w:spacing w:line="240" w:lineRule="auto"/>
        <w:ind w:firstLine="0"/>
      </w:pPr>
      <w:r>
        <w:tab/>
      </w:r>
      <w:r w:rsidR="00765F5B">
        <w:t>Pamela A. Witmer</w:t>
      </w:r>
    </w:p>
    <w:p w:rsidR="006B6E19" w:rsidRDefault="006B6E19" w:rsidP="00765ED9">
      <w:pPr>
        <w:spacing w:line="240" w:lineRule="auto"/>
        <w:ind w:firstLine="0"/>
      </w:pPr>
    </w:p>
    <w:p w:rsidR="00765F5B" w:rsidRPr="00D05458" w:rsidRDefault="00765F5B" w:rsidP="00765ED9">
      <w:pPr>
        <w:spacing w:line="240" w:lineRule="auto"/>
        <w:ind w:firstLine="0"/>
      </w:pPr>
    </w:p>
    <w:tbl>
      <w:tblPr>
        <w:tblW w:w="0" w:type="auto"/>
        <w:tblLook w:val="04A0" w:firstRow="1" w:lastRow="0" w:firstColumn="1" w:lastColumn="0" w:noHBand="0" w:noVBand="1"/>
      </w:tblPr>
      <w:tblGrid>
        <w:gridCol w:w="5778"/>
        <w:gridCol w:w="3798"/>
      </w:tblGrid>
      <w:tr w:rsidR="004F2DB6" w:rsidRPr="00D05423" w:rsidTr="00D05423">
        <w:tc>
          <w:tcPr>
            <w:tcW w:w="5778" w:type="dxa"/>
          </w:tcPr>
          <w:p w:rsidR="004F2DB6" w:rsidRDefault="00817015" w:rsidP="00765ED9">
            <w:pPr>
              <w:pStyle w:val="TxBrc4"/>
              <w:widowControl/>
              <w:spacing w:line="240" w:lineRule="auto"/>
              <w:ind w:firstLine="0"/>
              <w:jc w:val="left"/>
              <w:rPr>
                <w:bCs/>
              </w:rPr>
            </w:pPr>
            <w:r>
              <w:rPr>
                <w:bCs/>
              </w:rPr>
              <w:t>Melissa Randall</w:t>
            </w:r>
          </w:p>
          <w:p w:rsidR="00715673" w:rsidRPr="00D05423" w:rsidRDefault="00715673" w:rsidP="00765ED9">
            <w:pPr>
              <w:pStyle w:val="TxBrc4"/>
              <w:widowControl/>
              <w:tabs>
                <w:tab w:val="left" w:pos="204"/>
              </w:tabs>
              <w:spacing w:line="240" w:lineRule="auto"/>
              <w:ind w:firstLine="0"/>
              <w:jc w:val="left"/>
              <w:rPr>
                <w:bCs/>
              </w:rPr>
            </w:pPr>
          </w:p>
          <w:p w:rsidR="004F2DB6" w:rsidRDefault="004F2DB6" w:rsidP="00765ED9">
            <w:pPr>
              <w:pStyle w:val="TxBrc4"/>
              <w:widowControl/>
              <w:tabs>
                <w:tab w:val="left" w:pos="204"/>
                <w:tab w:val="left" w:pos="540"/>
              </w:tabs>
              <w:spacing w:line="240" w:lineRule="auto"/>
              <w:ind w:firstLine="0"/>
              <w:jc w:val="left"/>
              <w:rPr>
                <w:bCs/>
              </w:rPr>
            </w:pPr>
            <w:r w:rsidRPr="00D05423">
              <w:rPr>
                <w:bCs/>
              </w:rPr>
              <w:t xml:space="preserve">       </w:t>
            </w:r>
            <w:r w:rsidR="00E902A1">
              <w:rPr>
                <w:bCs/>
              </w:rPr>
              <w:t xml:space="preserve">    </w:t>
            </w:r>
            <w:r w:rsidRPr="00D05423">
              <w:rPr>
                <w:bCs/>
              </w:rPr>
              <w:t xml:space="preserve"> v.</w:t>
            </w:r>
          </w:p>
          <w:p w:rsidR="00715673" w:rsidRPr="00D05423" w:rsidRDefault="00715673" w:rsidP="00765ED9">
            <w:pPr>
              <w:pStyle w:val="TxBrc4"/>
              <w:widowControl/>
              <w:tabs>
                <w:tab w:val="left" w:pos="204"/>
              </w:tabs>
              <w:spacing w:line="240" w:lineRule="auto"/>
              <w:ind w:firstLine="0"/>
              <w:jc w:val="left"/>
              <w:rPr>
                <w:bCs/>
              </w:rPr>
            </w:pPr>
          </w:p>
          <w:p w:rsidR="004F2DB6" w:rsidRPr="00D05423" w:rsidRDefault="003146AB" w:rsidP="00765ED9">
            <w:pPr>
              <w:pStyle w:val="TxBrc4"/>
              <w:widowControl/>
              <w:tabs>
                <w:tab w:val="left" w:pos="204"/>
              </w:tabs>
              <w:spacing w:line="240" w:lineRule="auto"/>
              <w:ind w:firstLine="0"/>
              <w:jc w:val="left"/>
              <w:rPr>
                <w:b/>
                <w:bCs/>
              </w:rPr>
            </w:pPr>
            <w:r>
              <w:rPr>
                <w:bCs/>
              </w:rPr>
              <w:t>P</w:t>
            </w:r>
            <w:r w:rsidR="00817015">
              <w:rPr>
                <w:bCs/>
              </w:rPr>
              <w:t>ECO</w:t>
            </w:r>
            <w:r>
              <w:rPr>
                <w:bCs/>
              </w:rPr>
              <w:t xml:space="preserve"> </w:t>
            </w:r>
            <w:r w:rsidR="00817015">
              <w:rPr>
                <w:bCs/>
              </w:rPr>
              <w:t>Energy Company</w:t>
            </w:r>
          </w:p>
        </w:tc>
        <w:tc>
          <w:tcPr>
            <w:tcW w:w="3798" w:type="dxa"/>
          </w:tcPr>
          <w:p w:rsidR="004F2DB6" w:rsidRPr="00D05423" w:rsidRDefault="003146AB" w:rsidP="00765ED9">
            <w:pPr>
              <w:pStyle w:val="TxBrc4"/>
              <w:widowControl/>
              <w:tabs>
                <w:tab w:val="left" w:pos="204"/>
              </w:tabs>
              <w:spacing w:line="240" w:lineRule="auto"/>
              <w:ind w:firstLine="0"/>
              <w:jc w:val="right"/>
              <w:rPr>
                <w:bCs/>
              </w:rPr>
            </w:pPr>
            <w:r>
              <w:rPr>
                <w:bCs/>
              </w:rPr>
              <w:t>C-201</w:t>
            </w:r>
            <w:r w:rsidR="00817015">
              <w:rPr>
                <w:bCs/>
              </w:rPr>
              <w:t>1</w:t>
            </w:r>
            <w:r>
              <w:rPr>
                <w:bCs/>
              </w:rPr>
              <w:t>-22</w:t>
            </w:r>
            <w:r w:rsidR="00817015">
              <w:rPr>
                <w:bCs/>
              </w:rPr>
              <w:t>19901</w:t>
            </w:r>
          </w:p>
        </w:tc>
      </w:tr>
    </w:tbl>
    <w:p w:rsidR="00CF5650" w:rsidRPr="00933C3C" w:rsidRDefault="00CF5650" w:rsidP="00765ED9">
      <w:pPr>
        <w:pStyle w:val="TxBrc4"/>
        <w:widowControl/>
        <w:tabs>
          <w:tab w:val="left" w:pos="204"/>
        </w:tabs>
        <w:spacing w:line="240" w:lineRule="auto"/>
        <w:ind w:firstLine="0"/>
        <w:jc w:val="left"/>
        <w:rPr>
          <w:bCs/>
        </w:rPr>
      </w:pPr>
    </w:p>
    <w:p w:rsidR="00CB048A" w:rsidRPr="00933C3C" w:rsidRDefault="00CB048A" w:rsidP="00765ED9">
      <w:pPr>
        <w:pStyle w:val="TxBrc4"/>
        <w:widowControl/>
        <w:tabs>
          <w:tab w:val="left" w:pos="204"/>
        </w:tabs>
        <w:spacing w:line="240" w:lineRule="auto"/>
        <w:ind w:firstLine="0"/>
        <w:jc w:val="left"/>
        <w:rPr>
          <w:bCs/>
        </w:rPr>
      </w:pPr>
    </w:p>
    <w:p w:rsidR="00A070AB" w:rsidRPr="00933C3C" w:rsidRDefault="00A070AB" w:rsidP="00765ED9">
      <w:pPr>
        <w:pStyle w:val="TxBrc4"/>
        <w:widowControl/>
        <w:tabs>
          <w:tab w:val="left" w:pos="204"/>
        </w:tabs>
        <w:spacing w:line="240" w:lineRule="auto"/>
        <w:ind w:firstLine="0"/>
        <w:jc w:val="left"/>
        <w:rPr>
          <w:bCs/>
        </w:rPr>
      </w:pPr>
    </w:p>
    <w:p w:rsidR="007C4D87" w:rsidRPr="00D05458" w:rsidRDefault="007C4D87" w:rsidP="00765ED9">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Pr="00933C3C" w:rsidRDefault="007C4D87" w:rsidP="00765ED9">
      <w:pPr>
        <w:tabs>
          <w:tab w:val="left" w:pos="204"/>
        </w:tabs>
        <w:spacing w:line="240" w:lineRule="auto"/>
        <w:ind w:firstLine="0"/>
        <w:rPr>
          <w:bCs/>
        </w:rPr>
      </w:pPr>
    </w:p>
    <w:p w:rsidR="00A070AB" w:rsidRPr="00933C3C" w:rsidRDefault="00A070AB" w:rsidP="00765ED9">
      <w:pPr>
        <w:tabs>
          <w:tab w:val="left" w:pos="204"/>
        </w:tabs>
        <w:spacing w:line="240" w:lineRule="auto"/>
        <w:ind w:firstLine="0"/>
        <w:rPr>
          <w:bCs/>
        </w:rPr>
      </w:pPr>
    </w:p>
    <w:p w:rsidR="00FB6E05" w:rsidRPr="00933C3C" w:rsidRDefault="00FB6E05" w:rsidP="00765ED9">
      <w:pPr>
        <w:spacing w:line="240" w:lineRule="auto"/>
        <w:ind w:firstLine="0"/>
      </w:pPr>
    </w:p>
    <w:p w:rsidR="000F118B" w:rsidRPr="00933C3C" w:rsidRDefault="000F118B" w:rsidP="00765ED9">
      <w:pPr>
        <w:spacing w:line="240" w:lineRule="auto"/>
        <w:ind w:firstLine="0"/>
      </w:pPr>
      <w:r w:rsidRPr="00D05458">
        <w:rPr>
          <w:b/>
        </w:rPr>
        <w:t>BY THE COMMISSION:</w:t>
      </w:r>
    </w:p>
    <w:p w:rsidR="000F118B" w:rsidRPr="00D05458" w:rsidRDefault="000F118B" w:rsidP="00765ED9"/>
    <w:p w:rsidR="003C5AF0" w:rsidRPr="00D05458" w:rsidRDefault="003C5AF0" w:rsidP="00765ED9">
      <w:r w:rsidRPr="00D05458">
        <w:t xml:space="preserve">Before the Pennsylvania Public Utility Commission (Commission) for consideration and disposition </w:t>
      </w:r>
      <w:r w:rsidR="00F74F12">
        <w:t xml:space="preserve">are the Exceptions of </w:t>
      </w:r>
      <w:r w:rsidR="00817015">
        <w:rPr>
          <w:bCs/>
        </w:rPr>
        <w:t>Melissa Randall</w:t>
      </w:r>
      <w:r w:rsidR="0099270F">
        <w:t xml:space="preserve"> (Complainant)</w:t>
      </w:r>
      <w:r w:rsidR="00F14EA4">
        <w:t xml:space="preserve"> filed</w:t>
      </w:r>
      <w:r w:rsidR="0019304B">
        <w:t xml:space="preserve"> on </w:t>
      </w:r>
      <w:r w:rsidR="00D3534E">
        <w:t>December</w:t>
      </w:r>
      <w:r w:rsidR="00817015">
        <w:t xml:space="preserve"> </w:t>
      </w:r>
      <w:r w:rsidR="00D3534E">
        <w:t>2</w:t>
      </w:r>
      <w:r w:rsidR="00735FF1">
        <w:t>7</w:t>
      </w:r>
      <w:r w:rsidR="0019304B">
        <w:t>, 2011,</w:t>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735FF1">
        <w:t xml:space="preserve"> (ALJ)</w:t>
      </w:r>
      <w:r w:rsidR="00D50A73" w:rsidRPr="00D05458">
        <w:t xml:space="preserve"> </w:t>
      </w:r>
      <w:r w:rsidR="00817015">
        <w:t>Angela T. Jones</w:t>
      </w:r>
      <w:r w:rsidR="00854FDD">
        <w:t>,</w:t>
      </w:r>
      <w:r w:rsidR="00F23609">
        <w:t xml:space="preserve"> </w:t>
      </w:r>
      <w:r w:rsidR="00CC6EF4">
        <w:t xml:space="preserve">issued </w:t>
      </w:r>
      <w:r w:rsidR="00735FF1">
        <w:t xml:space="preserve">on </w:t>
      </w:r>
      <w:r w:rsidR="002A33FD">
        <w:t>December</w:t>
      </w:r>
      <w:r w:rsidR="003146AB">
        <w:t xml:space="preserve"> </w:t>
      </w:r>
      <w:r w:rsidR="00817015">
        <w:t>1</w:t>
      </w:r>
      <w:r w:rsidR="002A33FD">
        <w:t>4</w:t>
      </w:r>
      <w:r w:rsidR="00854FDD">
        <w:t xml:space="preserve">, </w:t>
      </w:r>
      <w:r w:rsidR="00CC6EF4">
        <w:t>201</w:t>
      </w:r>
      <w:r w:rsidR="00854FDD">
        <w:t>1</w:t>
      </w:r>
      <w:r w:rsidR="00CC6EF4">
        <w:t xml:space="preserve">. </w:t>
      </w:r>
      <w:r w:rsidR="0012663E">
        <w:t xml:space="preserve"> Repl</w:t>
      </w:r>
      <w:r w:rsidR="00C43087">
        <w:t>ies to</w:t>
      </w:r>
      <w:r w:rsidR="0012663E">
        <w:t xml:space="preserve"> Exceptions were filed</w:t>
      </w:r>
      <w:r w:rsidR="00DC7484">
        <w:t xml:space="preserve"> by </w:t>
      </w:r>
      <w:r w:rsidR="003146AB">
        <w:rPr>
          <w:bCs/>
        </w:rPr>
        <w:t>P</w:t>
      </w:r>
      <w:r w:rsidR="00817015">
        <w:rPr>
          <w:bCs/>
        </w:rPr>
        <w:t>ECO Energy Company</w:t>
      </w:r>
      <w:r w:rsidR="00854FDD">
        <w:t xml:space="preserve"> </w:t>
      </w:r>
      <w:r w:rsidR="00E33CD5">
        <w:t>(</w:t>
      </w:r>
      <w:r w:rsidR="003146AB">
        <w:t>P</w:t>
      </w:r>
      <w:r w:rsidR="00817015">
        <w:t>ECO</w:t>
      </w:r>
      <w:r w:rsidR="00E33CD5">
        <w:t>)</w:t>
      </w:r>
      <w:r w:rsidR="0019304B">
        <w:t xml:space="preserve"> on </w:t>
      </w:r>
      <w:r w:rsidR="00817015">
        <w:t>January</w:t>
      </w:r>
      <w:r w:rsidR="0019304B">
        <w:t xml:space="preserve"> </w:t>
      </w:r>
      <w:r w:rsidR="00817015">
        <w:t>13</w:t>
      </w:r>
      <w:r w:rsidR="0019304B">
        <w:t>, 201</w:t>
      </w:r>
      <w:r w:rsidR="00817015">
        <w:t>2</w:t>
      </w:r>
      <w:r w:rsidR="00E33CD5">
        <w:t>.</w:t>
      </w:r>
      <w:r w:rsidR="0019304B">
        <w:t xml:space="preserve">  For the reasons stated below we shall </w:t>
      </w:r>
      <w:r w:rsidR="007B323A">
        <w:t>grant,</w:t>
      </w:r>
      <w:r w:rsidR="0019304B">
        <w:t xml:space="preserve"> </w:t>
      </w:r>
      <w:r w:rsidR="007B323A">
        <w:t xml:space="preserve">in part, and, deny in part, </w:t>
      </w:r>
      <w:r w:rsidR="0019304B">
        <w:t>the Exceptions of the Complainant</w:t>
      </w:r>
      <w:r w:rsidR="00817015">
        <w:t xml:space="preserve"> </w:t>
      </w:r>
      <w:r w:rsidR="00C419BC">
        <w:t>and</w:t>
      </w:r>
      <w:r w:rsidR="00817015">
        <w:t xml:space="preserve"> dismiss the Complaint</w:t>
      </w:r>
      <w:r w:rsidR="0019304B">
        <w:t>.</w:t>
      </w:r>
      <w:r w:rsidR="0012663E">
        <w:t xml:space="preserve"> </w:t>
      </w:r>
    </w:p>
    <w:p w:rsidR="003C5AF0" w:rsidRPr="00D05458" w:rsidRDefault="003C5AF0" w:rsidP="00765ED9"/>
    <w:p w:rsidR="00CC0B14" w:rsidRPr="00BC3A44" w:rsidRDefault="00897524" w:rsidP="00765ED9">
      <w:pPr>
        <w:keepNext/>
        <w:ind w:firstLine="0"/>
        <w:jc w:val="center"/>
        <w:rPr>
          <w:b/>
          <w:szCs w:val="26"/>
        </w:rPr>
      </w:pPr>
      <w:r w:rsidRPr="00BC3A44">
        <w:rPr>
          <w:b/>
          <w:szCs w:val="26"/>
        </w:rPr>
        <w:lastRenderedPageBreak/>
        <w:t>History of the Proceeding</w:t>
      </w:r>
    </w:p>
    <w:p w:rsidR="00BC3A44" w:rsidRDefault="00BC3A44" w:rsidP="00765ED9">
      <w:pPr>
        <w:keepNext/>
        <w:ind w:firstLine="90"/>
        <w:rPr>
          <w:szCs w:val="26"/>
        </w:rPr>
      </w:pPr>
    </w:p>
    <w:p w:rsidR="0016019C" w:rsidRPr="002A1A8E" w:rsidRDefault="00FF5833" w:rsidP="00765ED9">
      <w:pPr>
        <w:tabs>
          <w:tab w:val="left" w:pos="-720"/>
        </w:tabs>
        <w:suppressAutoHyphens/>
      </w:pPr>
      <w:r w:rsidRPr="002A1A8E">
        <w:t xml:space="preserve">On or about January 10, 2011, </w:t>
      </w:r>
      <w:r w:rsidR="00FE3A34" w:rsidRPr="002A1A8E">
        <w:t xml:space="preserve">the Complainant </w:t>
      </w:r>
      <w:r w:rsidRPr="002A1A8E">
        <w:t xml:space="preserve"> filed a </w:t>
      </w:r>
      <w:r w:rsidR="00FE3A34" w:rsidRPr="002A1A8E">
        <w:t>F</w:t>
      </w:r>
      <w:r w:rsidRPr="002A1A8E">
        <w:t>ormal Complaint (Complaint)</w:t>
      </w:r>
      <w:r w:rsidR="00A344CF" w:rsidRPr="002A1A8E">
        <w:t xml:space="preserve"> </w:t>
      </w:r>
      <w:r w:rsidR="0067709B" w:rsidRPr="002A1A8E">
        <w:t>with the Commission</w:t>
      </w:r>
      <w:r w:rsidRPr="002A1A8E">
        <w:t xml:space="preserve"> against PECO</w:t>
      </w:r>
      <w:r w:rsidR="0067709B" w:rsidRPr="002A1A8E">
        <w:t xml:space="preserve">, </w:t>
      </w:r>
      <w:r w:rsidR="00F13940" w:rsidRPr="002A1A8E">
        <w:t xml:space="preserve">alleging </w:t>
      </w:r>
      <w:r w:rsidR="0016019C" w:rsidRPr="002A1A8E">
        <w:t xml:space="preserve">that she had been through a telephonic hearing process which she appealed but never received anything after her appeal.  </w:t>
      </w:r>
      <w:r w:rsidR="00FE3A34" w:rsidRPr="002A1A8E">
        <w:t xml:space="preserve">The </w:t>
      </w:r>
      <w:r w:rsidR="0016019C" w:rsidRPr="002A1A8E">
        <w:t xml:space="preserve">Complainant averred that </w:t>
      </w:r>
      <w:r w:rsidR="00EF2762" w:rsidRPr="002A1A8E">
        <w:t xml:space="preserve">initially </w:t>
      </w:r>
      <w:r w:rsidR="0016019C" w:rsidRPr="002A1A8E">
        <w:t xml:space="preserve">a judge </w:t>
      </w:r>
      <w:r w:rsidR="00ED5DB3">
        <w:t xml:space="preserve">established </w:t>
      </w:r>
      <w:r w:rsidR="0016019C" w:rsidRPr="002A1A8E">
        <w:t xml:space="preserve">a payment arrangement </w:t>
      </w:r>
      <w:r w:rsidR="00ED5DB3">
        <w:t xml:space="preserve">for her </w:t>
      </w:r>
      <w:r w:rsidR="0016019C" w:rsidRPr="002A1A8E">
        <w:t>to pay $253 per month</w:t>
      </w:r>
      <w:r w:rsidR="00EF2762" w:rsidRPr="002A1A8E">
        <w:t xml:space="preserve"> and th</w:t>
      </w:r>
      <w:r w:rsidR="00ED5DB3">
        <w:t xml:space="preserve">at </w:t>
      </w:r>
      <w:r w:rsidR="0016019C" w:rsidRPr="002A1A8E">
        <w:t xml:space="preserve">PECO </w:t>
      </w:r>
      <w:r w:rsidR="00ED5DB3">
        <w:t xml:space="preserve">then established </w:t>
      </w:r>
      <w:r w:rsidR="0016019C" w:rsidRPr="002A1A8E">
        <w:t>a</w:t>
      </w:r>
      <w:r w:rsidR="00EF2762" w:rsidRPr="002A1A8E">
        <w:t>nother</w:t>
      </w:r>
      <w:r w:rsidR="0016019C" w:rsidRPr="002A1A8E">
        <w:t xml:space="preserve"> payment arrangement </w:t>
      </w:r>
      <w:r w:rsidR="00ED5DB3">
        <w:t>for her to pay h</w:t>
      </w:r>
      <w:r w:rsidR="0016019C" w:rsidRPr="002A1A8E">
        <w:t xml:space="preserve">er current bill plus $72.07 per month.  </w:t>
      </w:r>
      <w:r w:rsidR="00FE3A34" w:rsidRPr="002A1A8E">
        <w:t xml:space="preserve">The </w:t>
      </w:r>
      <w:r w:rsidR="0016019C" w:rsidRPr="002A1A8E">
        <w:t xml:space="preserve">Complainant </w:t>
      </w:r>
      <w:r w:rsidR="00EF2762" w:rsidRPr="002A1A8E">
        <w:t>also averred that</w:t>
      </w:r>
      <w:r w:rsidR="00FE3A34" w:rsidRPr="002A1A8E">
        <w:t>,</w:t>
      </w:r>
      <w:r w:rsidR="00EF2762" w:rsidRPr="002A1A8E">
        <w:t xml:space="preserve"> while </w:t>
      </w:r>
      <w:r w:rsidR="0016019C" w:rsidRPr="002A1A8E">
        <w:t xml:space="preserve">she </w:t>
      </w:r>
      <w:r w:rsidR="00EF2762" w:rsidRPr="002A1A8E">
        <w:t xml:space="preserve">was </w:t>
      </w:r>
      <w:r w:rsidR="0016019C" w:rsidRPr="002A1A8E">
        <w:t>compl</w:t>
      </w:r>
      <w:r w:rsidR="00EF2762" w:rsidRPr="002A1A8E">
        <w:t>y</w:t>
      </w:r>
      <w:r w:rsidR="0016019C" w:rsidRPr="002A1A8E">
        <w:t>i</w:t>
      </w:r>
      <w:r w:rsidR="00EF2762" w:rsidRPr="002A1A8E">
        <w:t>ng</w:t>
      </w:r>
      <w:r w:rsidR="0016019C" w:rsidRPr="002A1A8E">
        <w:t xml:space="preserve"> with the PECO payment arrangement</w:t>
      </w:r>
      <w:r w:rsidR="00FE3A34" w:rsidRPr="002A1A8E">
        <w:t>,</w:t>
      </w:r>
      <w:r w:rsidR="0016019C" w:rsidRPr="002A1A8E">
        <w:t xml:space="preserve"> </w:t>
      </w:r>
      <w:r w:rsidR="00EF2762" w:rsidRPr="002A1A8E">
        <w:t>she</w:t>
      </w:r>
      <w:r w:rsidR="0016019C" w:rsidRPr="002A1A8E">
        <w:t xml:space="preserve"> received another judgment to pay in excess of $2</w:t>
      </w:r>
      <w:r w:rsidR="00AC0E9E" w:rsidRPr="002A1A8E">
        <w:t>,</w:t>
      </w:r>
      <w:r w:rsidR="0016019C" w:rsidRPr="002A1A8E">
        <w:t xml:space="preserve">000 plus her current bill per month.  </w:t>
      </w:r>
      <w:r w:rsidR="00FE3A34" w:rsidRPr="002A1A8E">
        <w:t xml:space="preserve">The </w:t>
      </w:r>
      <w:r w:rsidR="0016019C" w:rsidRPr="002A1A8E">
        <w:t xml:space="preserve">Complainant </w:t>
      </w:r>
      <w:r w:rsidR="00ED5DB3">
        <w:t xml:space="preserve">requested a new payment arrangement because she </w:t>
      </w:r>
      <w:r w:rsidR="0016019C" w:rsidRPr="002A1A8E">
        <w:t>contend</w:t>
      </w:r>
      <w:r w:rsidR="00FE3A34" w:rsidRPr="002A1A8E">
        <w:t>ed</w:t>
      </w:r>
      <w:r w:rsidR="0016019C" w:rsidRPr="002A1A8E">
        <w:t xml:space="preserve"> that </w:t>
      </w:r>
      <w:r w:rsidR="00ED5DB3">
        <w:t xml:space="preserve">it was not possible for her to comply with </w:t>
      </w:r>
      <w:r w:rsidR="0016019C" w:rsidRPr="002A1A8E">
        <w:t>the terms of the last payment arrangement</w:t>
      </w:r>
      <w:r w:rsidR="00ED5DB3">
        <w:t>.</w:t>
      </w:r>
    </w:p>
    <w:p w:rsidR="0016019C" w:rsidRPr="002A1A8E" w:rsidRDefault="0016019C" w:rsidP="00765ED9">
      <w:pPr>
        <w:tabs>
          <w:tab w:val="left" w:pos="-720"/>
        </w:tabs>
        <w:suppressAutoHyphens/>
      </w:pPr>
    </w:p>
    <w:p w:rsidR="000F3A24" w:rsidRPr="002A1A8E" w:rsidRDefault="0016019C" w:rsidP="00765ED9">
      <w:pPr>
        <w:tabs>
          <w:tab w:val="left" w:pos="-720"/>
        </w:tabs>
        <w:suppressAutoHyphens/>
      </w:pPr>
      <w:r w:rsidRPr="00842F53">
        <w:t>PECO</w:t>
      </w:r>
      <w:r w:rsidR="000F3A24" w:rsidRPr="00200D2A">
        <w:t xml:space="preserve"> filed an A</w:t>
      </w:r>
      <w:r w:rsidR="000F3A24" w:rsidRPr="00842F53">
        <w:t xml:space="preserve">nswer and New Matter on </w:t>
      </w:r>
      <w:r w:rsidR="000F3A24" w:rsidRPr="00842F53">
        <w:rPr>
          <w:szCs w:val="26"/>
        </w:rPr>
        <w:t xml:space="preserve">January 31, 2011, in which </w:t>
      </w:r>
      <w:r w:rsidR="00ED5DB3">
        <w:t xml:space="preserve">PECO confirmed that ALJ Fordham held a </w:t>
      </w:r>
      <w:r w:rsidR="000F3A24" w:rsidRPr="002A1A8E">
        <w:t>telephonic hearing on</w:t>
      </w:r>
      <w:r w:rsidR="000F3A24" w:rsidRPr="00842F53">
        <w:rPr>
          <w:szCs w:val="26"/>
        </w:rPr>
        <w:t xml:space="preserve"> </w:t>
      </w:r>
      <w:r w:rsidR="000F3A24" w:rsidRPr="002A1A8E">
        <w:t xml:space="preserve">February 23, 2009, </w:t>
      </w:r>
      <w:r w:rsidR="00ED5DB3">
        <w:t xml:space="preserve">in which ALJ Fordham dismissed </w:t>
      </w:r>
      <w:r w:rsidR="000F3A24" w:rsidRPr="002A1A8E">
        <w:t xml:space="preserve">the </w:t>
      </w:r>
      <w:r w:rsidR="00ED5DB3">
        <w:t>C</w:t>
      </w:r>
      <w:r w:rsidR="000F3A24" w:rsidRPr="002A1A8E">
        <w:t>omplaint</w:t>
      </w:r>
      <w:r w:rsidR="00ED5DB3">
        <w:t>.</w:t>
      </w:r>
      <w:r w:rsidR="00EF2762" w:rsidRPr="002A1A8E">
        <w:t xml:space="preserve">  </w:t>
      </w:r>
      <w:r w:rsidR="000F3A24" w:rsidRPr="002A1A8E">
        <w:t xml:space="preserve">PECO also noted that the Complainant had filed Exceptions to </w:t>
      </w:r>
      <w:r w:rsidR="00ED5DB3">
        <w:t xml:space="preserve">ALJ Fordham’s </w:t>
      </w:r>
      <w:r w:rsidR="000F3A24" w:rsidRPr="002A1A8E">
        <w:t>Initial Decision</w:t>
      </w:r>
      <w:r w:rsidR="00ED5DB3">
        <w:t xml:space="preserve"> and that the </w:t>
      </w:r>
      <w:r w:rsidR="000F3A24" w:rsidRPr="002A1A8E">
        <w:t xml:space="preserve">Commission </w:t>
      </w:r>
      <w:r w:rsidR="00ED5DB3">
        <w:t xml:space="preserve">disposed of those Exceptions by </w:t>
      </w:r>
      <w:r w:rsidR="000F3A24" w:rsidRPr="002A1A8E">
        <w:t>requir</w:t>
      </w:r>
      <w:r w:rsidR="00B816C1" w:rsidRPr="002A1A8E">
        <w:t>ing</w:t>
      </w:r>
      <w:r w:rsidR="000F3A24" w:rsidRPr="002A1A8E">
        <w:t xml:space="preserve"> the Complainant </w:t>
      </w:r>
      <w:r w:rsidR="00B816C1" w:rsidRPr="002A1A8E">
        <w:t xml:space="preserve">to make </w:t>
      </w:r>
      <w:r w:rsidR="00D44913" w:rsidRPr="002A1A8E">
        <w:t>six</w:t>
      </w:r>
      <w:r w:rsidR="000F3A24" w:rsidRPr="002A1A8E">
        <w:t xml:space="preserve"> month</w:t>
      </w:r>
      <w:r w:rsidR="00B816C1" w:rsidRPr="002A1A8E">
        <w:t>ly</w:t>
      </w:r>
      <w:r w:rsidR="000F3A24" w:rsidRPr="002A1A8E">
        <w:t xml:space="preserve"> payment</w:t>
      </w:r>
      <w:r w:rsidR="00B816C1" w:rsidRPr="002A1A8E">
        <w:t>s</w:t>
      </w:r>
      <w:r w:rsidR="000F3A24" w:rsidRPr="002A1A8E">
        <w:t xml:space="preserve"> </w:t>
      </w:r>
      <w:r w:rsidR="00B816C1" w:rsidRPr="002A1A8E">
        <w:t>t</w:t>
      </w:r>
      <w:r w:rsidR="000F3A24" w:rsidRPr="002A1A8E">
        <w:t>o</w:t>
      </w:r>
      <w:r w:rsidR="00B816C1" w:rsidRPr="002A1A8E">
        <w:t xml:space="preserve"> pay off</w:t>
      </w:r>
      <w:r w:rsidR="000F3A24" w:rsidRPr="002A1A8E">
        <w:t xml:space="preserve"> the outstanding balance in accordance with Chapter 14</w:t>
      </w:r>
      <w:r w:rsidR="00D44913" w:rsidRPr="002A1A8E">
        <w:t>,</w:t>
      </w:r>
      <w:r w:rsidR="000F3A24" w:rsidRPr="002A1A8E">
        <w:t xml:space="preserve"> </w:t>
      </w:r>
      <w:r w:rsidR="00181D19">
        <w:t xml:space="preserve">          </w:t>
      </w:r>
      <w:r w:rsidR="000F3A24" w:rsidRPr="002A1A8E">
        <w:t>Section 1405(b)(4)</w:t>
      </w:r>
      <w:r w:rsidR="00D44913" w:rsidRPr="002A1A8E">
        <w:t xml:space="preserve"> of the </w:t>
      </w:r>
      <w:r w:rsidR="00B8033C" w:rsidRPr="002A1A8E">
        <w:t xml:space="preserve">Public Utility </w:t>
      </w:r>
      <w:r w:rsidR="00D44913" w:rsidRPr="002A1A8E">
        <w:t>Code</w:t>
      </w:r>
      <w:r w:rsidR="00B8033C" w:rsidRPr="002A1A8E">
        <w:t xml:space="preserve"> (Code)</w:t>
      </w:r>
      <w:r w:rsidR="000F3A24" w:rsidRPr="002A1A8E">
        <w:t>, 66 Pa.</w:t>
      </w:r>
      <w:r w:rsidR="00B816C1" w:rsidRPr="002A1A8E">
        <w:t xml:space="preserve"> </w:t>
      </w:r>
      <w:r w:rsidR="000F3A24" w:rsidRPr="002A1A8E">
        <w:t xml:space="preserve">C.S. § </w:t>
      </w:r>
      <w:r w:rsidR="00B8033C" w:rsidRPr="002A1A8E">
        <w:t>1</w:t>
      </w:r>
      <w:r w:rsidR="000F3A24" w:rsidRPr="002A1A8E">
        <w:t xml:space="preserve">405(b)(4).  </w:t>
      </w:r>
      <w:r w:rsidR="00B8033C" w:rsidRPr="002A1A8E">
        <w:rPr>
          <w:i/>
        </w:rPr>
        <w:t xml:space="preserve">See Randall v. PECO Energy </w:t>
      </w:r>
      <w:r w:rsidR="00B8033C" w:rsidRPr="002A1A8E">
        <w:t xml:space="preserve">Company, </w:t>
      </w:r>
      <w:r w:rsidRPr="002A1A8E">
        <w:t>Docket No. F</w:t>
      </w:r>
      <w:r w:rsidRPr="002A1A8E">
        <w:noBreakHyphen/>
        <w:t>2008</w:t>
      </w:r>
      <w:r w:rsidRPr="002A1A8E">
        <w:noBreakHyphen/>
        <w:t xml:space="preserve">2065525 </w:t>
      </w:r>
      <w:r w:rsidR="00B8033C" w:rsidRPr="002A1A8E">
        <w:t>(O</w:t>
      </w:r>
      <w:r w:rsidRPr="002A1A8E">
        <w:t xml:space="preserve">rder entered </w:t>
      </w:r>
      <w:r w:rsidR="00181D19">
        <w:t xml:space="preserve">     </w:t>
      </w:r>
      <w:r w:rsidRPr="002A1A8E">
        <w:t>April 5, 2010</w:t>
      </w:r>
      <w:r w:rsidR="00B8033C" w:rsidRPr="002A1A8E">
        <w:t>)</w:t>
      </w:r>
      <w:r w:rsidRPr="002A1A8E">
        <w:t>.</w:t>
      </w:r>
      <w:r w:rsidR="00B8033C" w:rsidRPr="002A1A8E">
        <w:t xml:space="preserve">  </w:t>
      </w:r>
      <w:r w:rsidRPr="002A1A8E">
        <w:t xml:space="preserve">  </w:t>
      </w:r>
    </w:p>
    <w:p w:rsidR="000F3A24" w:rsidRPr="002A1A8E" w:rsidRDefault="000F3A24" w:rsidP="00765ED9">
      <w:pPr>
        <w:tabs>
          <w:tab w:val="left" w:pos="-720"/>
        </w:tabs>
        <w:suppressAutoHyphens/>
      </w:pPr>
    </w:p>
    <w:p w:rsidR="00EA3129" w:rsidRPr="002A1A8E" w:rsidRDefault="00AA3E2B" w:rsidP="00765ED9">
      <w:pPr>
        <w:tabs>
          <w:tab w:val="left" w:pos="-720"/>
        </w:tabs>
        <w:suppressAutoHyphens/>
      </w:pPr>
      <w:r w:rsidRPr="002A1A8E">
        <w:t xml:space="preserve">In its </w:t>
      </w:r>
      <w:r w:rsidR="00EA3129" w:rsidRPr="002A1A8E">
        <w:t>New Matter</w:t>
      </w:r>
      <w:r w:rsidRPr="002A1A8E">
        <w:t>,</w:t>
      </w:r>
      <w:r w:rsidR="00EA3129" w:rsidRPr="002A1A8E">
        <w:t xml:space="preserve"> PECO stated that </w:t>
      </w:r>
      <w:r w:rsidR="002C6300">
        <w:t xml:space="preserve">in the instant Complaint proceeding, </w:t>
      </w:r>
      <w:r w:rsidR="00EA3129" w:rsidRPr="002A1A8E">
        <w:t xml:space="preserve">the Complainant </w:t>
      </w:r>
      <w:r w:rsidR="002C6300">
        <w:t xml:space="preserve">requested </w:t>
      </w:r>
      <w:r w:rsidR="00EA3129" w:rsidRPr="002A1A8E">
        <w:t>another payment agreement</w:t>
      </w:r>
      <w:r w:rsidR="00B20153" w:rsidRPr="002A1A8E">
        <w:t xml:space="preserve"> and </w:t>
      </w:r>
      <w:r w:rsidRPr="002A1A8E">
        <w:t xml:space="preserve">has not alleged a change in income.  PECO </w:t>
      </w:r>
      <w:r w:rsidR="00EA3129" w:rsidRPr="002A1A8E">
        <w:t xml:space="preserve">contended that the instant Complaint is barred by the doctrine of </w:t>
      </w:r>
      <w:r w:rsidR="00EA3129" w:rsidRPr="002A1A8E">
        <w:rPr>
          <w:i/>
        </w:rPr>
        <w:t>res judicata</w:t>
      </w:r>
      <w:r w:rsidR="00EA3129" w:rsidRPr="002A1A8E">
        <w:t xml:space="preserve"> or claim preclusion because the Complainant was afforded a full and fair opportunity to present her case at Docket No. F</w:t>
      </w:r>
      <w:r w:rsidR="00EA3129" w:rsidRPr="002A1A8E">
        <w:noBreakHyphen/>
        <w:t xml:space="preserve">2008-2065525.  PECO further argued </w:t>
      </w:r>
      <w:r w:rsidR="00EA3129" w:rsidRPr="002A1A8E">
        <w:lastRenderedPageBreak/>
        <w:t xml:space="preserve">that </w:t>
      </w:r>
      <w:r w:rsidRPr="002A1A8E">
        <w:t xml:space="preserve">the </w:t>
      </w:r>
      <w:r w:rsidR="002C6300">
        <w:t>Commission issued a final decision concluding that the Complainant is not entitled to a</w:t>
      </w:r>
      <w:r w:rsidR="00EA3129" w:rsidRPr="002A1A8E">
        <w:t xml:space="preserve">nother payment agreement until she pays off the balance on the existing payment agreement.  </w:t>
      </w:r>
    </w:p>
    <w:p w:rsidR="00EA3129" w:rsidRPr="002A1A8E" w:rsidRDefault="00EA3129" w:rsidP="00765ED9">
      <w:pPr>
        <w:tabs>
          <w:tab w:val="left" w:pos="-720"/>
        </w:tabs>
        <w:suppressAutoHyphens/>
      </w:pPr>
    </w:p>
    <w:p w:rsidR="000F3A24" w:rsidRPr="002A1A8E" w:rsidRDefault="00340BA4" w:rsidP="00765ED9">
      <w:pPr>
        <w:tabs>
          <w:tab w:val="left" w:pos="-720"/>
        </w:tabs>
        <w:suppressAutoHyphens/>
      </w:pPr>
      <w:r>
        <w:t xml:space="preserve">In a </w:t>
      </w:r>
      <w:r w:rsidR="00EA3129" w:rsidRPr="002A1A8E">
        <w:t xml:space="preserve">letter filed </w:t>
      </w:r>
      <w:r>
        <w:t xml:space="preserve">on </w:t>
      </w:r>
      <w:r w:rsidR="00EA3129" w:rsidRPr="002A1A8E">
        <w:t xml:space="preserve">February 22, 2011, </w:t>
      </w:r>
      <w:r w:rsidR="00B816C1" w:rsidRPr="002A1A8E">
        <w:t>t</w:t>
      </w:r>
      <w:r w:rsidR="006C4F6A" w:rsidRPr="002A1A8E">
        <w:t xml:space="preserve">he Complainant provided additional information </w:t>
      </w:r>
      <w:r w:rsidR="00AA3E2B" w:rsidRPr="002A1A8E">
        <w:t>regarding</w:t>
      </w:r>
      <w:r w:rsidR="006C4F6A" w:rsidRPr="002A1A8E">
        <w:t xml:space="preserve"> her current household net income</w:t>
      </w:r>
      <w:r w:rsidR="00794BBF" w:rsidRPr="002A1A8E">
        <w:t xml:space="preserve"> and expenses</w:t>
      </w:r>
      <w:r>
        <w:t xml:space="preserve">.  In that letter, the Complainant </w:t>
      </w:r>
      <w:r w:rsidR="002D1B88" w:rsidRPr="002A1A8E">
        <w:t>alleged</w:t>
      </w:r>
      <w:r w:rsidR="006C4F6A" w:rsidRPr="002A1A8E">
        <w:t xml:space="preserve"> </w:t>
      </w:r>
      <w:r w:rsidR="004B69CE" w:rsidRPr="00842F53">
        <w:t xml:space="preserve">that </w:t>
      </w:r>
      <w:r w:rsidR="00AA3E2B" w:rsidRPr="00842F53">
        <w:t xml:space="preserve">the </w:t>
      </w:r>
      <w:r w:rsidR="00996C41" w:rsidRPr="00842F53">
        <w:t>number of family members living in her household has</w:t>
      </w:r>
      <w:r w:rsidR="004B69CE" w:rsidRPr="00842F53">
        <w:t xml:space="preserve"> changed. </w:t>
      </w:r>
      <w:r w:rsidR="002D1B88" w:rsidRPr="00842F53">
        <w:t xml:space="preserve"> </w:t>
      </w:r>
      <w:r w:rsidR="00AA3E2B" w:rsidRPr="00842F53">
        <w:t>By Prehearing Order dated May 24, 2011</w:t>
      </w:r>
      <w:r w:rsidR="00EE6249" w:rsidRPr="00842F53">
        <w:t xml:space="preserve">, </w:t>
      </w:r>
      <w:r w:rsidR="00EE6249" w:rsidRPr="002A1A8E">
        <w:t>ALJ</w:t>
      </w:r>
      <w:r w:rsidR="00EF2762" w:rsidRPr="002A1A8E">
        <w:t xml:space="preserve"> Jones granted the Complainant’s request for a </w:t>
      </w:r>
      <w:r w:rsidR="00EF2762" w:rsidRPr="00181D19">
        <w:rPr>
          <w:szCs w:val="26"/>
        </w:rPr>
        <w:t>hearing</w:t>
      </w:r>
      <w:r w:rsidRPr="00181D19">
        <w:rPr>
          <w:szCs w:val="26"/>
        </w:rPr>
        <w:t xml:space="preserve"> acknowledging that a determination of whether the Complainant’s household income had changed is a fact that must be verified through an evidentiary hearing.</w:t>
      </w:r>
      <w:r w:rsidR="00AA3E2B" w:rsidRPr="00181D19">
        <w:rPr>
          <w:szCs w:val="26"/>
        </w:rPr>
        <w:t xml:space="preserve">  </w:t>
      </w:r>
    </w:p>
    <w:p w:rsidR="00EF2762" w:rsidRPr="002A1A8E" w:rsidRDefault="00EF2762" w:rsidP="00765ED9">
      <w:pPr>
        <w:tabs>
          <w:tab w:val="left" w:pos="-720"/>
        </w:tabs>
        <w:suppressAutoHyphens/>
      </w:pPr>
    </w:p>
    <w:p w:rsidR="00476F53" w:rsidRPr="002A1A8E" w:rsidRDefault="00A135C3" w:rsidP="00765ED9">
      <w:pPr>
        <w:tabs>
          <w:tab w:val="left" w:pos="-720"/>
        </w:tabs>
        <w:suppressAutoHyphens/>
      </w:pPr>
      <w:r w:rsidRPr="002A1A8E">
        <w:t xml:space="preserve">A telephonic hearing was conducted by ALJ </w:t>
      </w:r>
      <w:r w:rsidR="00FB31E2">
        <w:t xml:space="preserve">Jones </w:t>
      </w:r>
      <w:r w:rsidRPr="002A1A8E">
        <w:t xml:space="preserve">on September 19, 2011.  </w:t>
      </w:r>
      <w:r w:rsidR="000848D8" w:rsidRPr="002A1A8E">
        <w:t xml:space="preserve">As a preliminary ruling, the ALJ determined that the hearing would be limited to testimony regarding the household income of the Complainant.  </w:t>
      </w:r>
      <w:r w:rsidR="00794BBF" w:rsidRPr="00842F53">
        <w:rPr>
          <w:spacing w:val="-3"/>
          <w:szCs w:val="26"/>
        </w:rPr>
        <w:t xml:space="preserve">The </w:t>
      </w:r>
      <w:r w:rsidR="002A1A8E" w:rsidRPr="00842F53">
        <w:rPr>
          <w:spacing w:val="-3"/>
          <w:szCs w:val="26"/>
        </w:rPr>
        <w:t>Complainant appeared</w:t>
      </w:r>
      <w:r w:rsidR="002A1A8E">
        <w:rPr>
          <w:spacing w:val="-3"/>
          <w:szCs w:val="26"/>
        </w:rPr>
        <w:t xml:space="preserve"> </w:t>
      </w:r>
      <w:r w:rsidR="00794BBF" w:rsidRPr="00842F53">
        <w:rPr>
          <w:i/>
          <w:spacing w:val="-3"/>
          <w:szCs w:val="26"/>
        </w:rPr>
        <w:t xml:space="preserve">pro se </w:t>
      </w:r>
      <w:r w:rsidR="00794BBF" w:rsidRPr="00842F53">
        <w:rPr>
          <w:spacing w:val="-3"/>
          <w:szCs w:val="26"/>
        </w:rPr>
        <w:t>and sponsored one exhibit</w:t>
      </w:r>
      <w:r w:rsidR="000848D8" w:rsidRPr="00842F53">
        <w:rPr>
          <w:spacing w:val="-3"/>
          <w:szCs w:val="26"/>
        </w:rPr>
        <w:t xml:space="preserve"> which was admitted into the </w:t>
      </w:r>
      <w:r w:rsidR="008E78F0" w:rsidRPr="00842F53">
        <w:rPr>
          <w:spacing w:val="-3"/>
          <w:szCs w:val="26"/>
        </w:rPr>
        <w:t>record.</w:t>
      </w:r>
      <w:r w:rsidR="00794BBF" w:rsidRPr="00842F53">
        <w:rPr>
          <w:spacing w:val="-3"/>
          <w:szCs w:val="26"/>
        </w:rPr>
        <w:t xml:space="preserve">  PECO was represented by counsel and presented the testimony of one witness.</w:t>
      </w:r>
      <w:r w:rsidR="00EC497B" w:rsidRPr="002A1A8E">
        <w:t xml:space="preserve">  </w:t>
      </w:r>
      <w:r w:rsidRPr="00842F53">
        <w:rPr>
          <w:spacing w:val="-3"/>
        </w:rPr>
        <w:t>As per</w:t>
      </w:r>
      <w:r w:rsidR="004D32C2" w:rsidRPr="00842F53">
        <w:rPr>
          <w:spacing w:val="-3"/>
        </w:rPr>
        <w:t xml:space="preserve"> the ALJ</w:t>
      </w:r>
      <w:r w:rsidRPr="00842F53">
        <w:rPr>
          <w:spacing w:val="-3"/>
        </w:rPr>
        <w:t>’s</w:t>
      </w:r>
      <w:r w:rsidR="004D32C2" w:rsidRPr="00842F53">
        <w:rPr>
          <w:spacing w:val="-3"/>
        </w:rPr>
        <w:t xml:space="preserve"> direct</w:t>
      </w:r>
      <w:r w:rsidRPr="00842F53">
        <w:rPr>
          <w:spacing w:val="-3"/>
        </w:rPr>
        <w:t>ive</w:t>
      </w:r>
      <w:r w:rsidR="001E319D" w:rsidRPr="00842F53">
        <w:rPr>
          <w:spacing w:val="-3"/>
        </w:rPr>
        <w:t>,</w:t>
      </w:r>
      <w:r w:rsidR="004D32C2" w:rsidRPr="00842F53">
        <w:rPr>
          <w:spacing w:val="-3"/>
        </w:rPr>
        <w:t xml:space="preserve"> the Complainant provide</w:t>
      </w:r>
      <w:r w:rsidRPr="00842F53">
        <w:rPr>
          <w:spacing w:val="-3"/>
        </w:rPr>
        <w:t>d</w:t>
      </w:r>
      <w:r w:rsidR="004D32C2" w:rsidRPr="00842F53">
        <w:rPr>
          <w:spacing w:val="-3"/>
        </w:rPr>
        <w:t xml:space="preserve"> up</w:t>
      </w:r>
      <w:r w:rsidRPr="00842F53">
        <w:rPr>
          <w:spacing w:val="-3"/>
        </w:rPr>
        <w:t xml:space="preserve">dated </w:t>
      </w:r>
      <w:r w:rsidR="001E319D" w:rsidRPr="00842F53">
        <w:rPr>
          <w:spacing w:val="-3"/>
        </w:rPr>
        <w:t xml:space="preserve">information regarding her </w:t>
      </w:r>
      <w:r w:rsidRPr="00842F53">
        <w:rPr>
          <w:spacing w:val="-3"/>
        </w:rPr>
        <w:t>current household income</w:t>
      </w:r>
      <w:r w:rsidR="001E319D" w:rsidRPr="00842F53">
        <w:rPr>
          <w:spacing w:val="-3"/>
        </w:rPr>
        <w:t>,</w:t>
      </w:r>
      <w:r w:rsidR="004D32C2" w:rsidRPr="00842F53">
        <w:rPr>
          <w:spacing w:val="-3"/>
        </w:rPr>
        <w:t xml:space="preserve"> </w:t>
      </w:r>
      <w:r w:rsidR="00133DEF" w:rsidRPr="00842F53">
        <w:rPr>
          <w:spacing w:val="-3"/>
        </w:rPr>
        <w:t>which was</w:t>
      </w:r>
      <w:r w:rsidR="00D80949" w:rsidRPr="00842F53">
        <w:rPr>
          <w:spacing w:val="-3"/>
        </w:rPr>
        <w:t xml:space="preserve"> admitted </w:t>
      </w:r>
      <w:r w:rsidR="00133DEF" w:rsidRPr="00842F53">
        <w:rPr>
          <w:spacing w:val="-3"/>
        </w:rPr>
        <w:t xml:space="preserve">into evidence </w:t>
      </w:r>
      <w:r w:rsidR="00D80949" w:rsidRPr="00842F53">
        <w:rPr>
          <w:spacing w:val="-3"/>
        </w:rPr>
        <w:t xml:space="preserve">by </w:t>
      </w:r>
      <w:r w:rsidR="001E319D" w:rsidRPr="00842F53">
        <w:rPr>
          <w:spacing w:val="-3"/>
        </w:rPr>
        <w:t xml:space="preserve">the </w:t>
      </w:r>
      <w:r w:rsidR="00D80949" w:rsidRPr="00842F53">
        <w:rPr>
          <w:spacing w:val="-3"/>
        </w:rPr>
        <w:t>ALJ’s Order #</w:t>
      </w:r>
      <w:r w:rsidR="008E78F0" w:rsidRPr="00842F53">
        <w:rPr>
          <w:spacing w:val="-3"/>
        </w:rPr>
        <w:t>3 dated</w:t>
      </w:r>
      <w:r w:rsidR="001E319D" w:rsidRPr="00842F53">
        <w:rPr>
          <w:spacing w:val="-3"/>
        </w:rPr>
        <w:t xml:space="preserve"> </w:t>
      </w:r>
      <w:r w:rsidR="00181D19">
        <w:rPr>
          <w:spacing w:val="-3"/>
        </w:rPr>
        <w:t xml:space="preserve">                </w:t>
      </w:r>
      <w:r w:rsidR="00133DEF" w:rsidRPr="00842F53">
        <w:rPr>
          <w:spacing w:val="-3"/>
        </w:rPr>
        <w:t>September 19, 2011.</w:t>
      </w:r>
      <w:r w:rsidR="00D80949" w:rsidRPr="00842F53">
        <w:rPr>
          <w:spacing w:val="-3"/>
        </w:rPr>
        <w:t xml:space="preserve"> </w:t>
      </w:r>
      <w:r w:rsidR="00794BBF" w:rsidRPr="002A1A8E">
        <w:t xml:space="preserve"> The evidentiary hearing generated a transcript of 66 pages.  </w:t>
      </w:r>
    </w:p>
    <w:p w:rsidR="00476F53" w:rsidRPr="002A1A8E" w:rsidRDefault="00476F53" w:rsidP="00765ED9">
      <w:pPr>
        <w:suppressAutoHyphens/>
      </w:pPr>
    </w:p>
    <w:p w:rsidR="00181D19" w:rsidRDefault="00476F53" w:rsidP="00181D19">
      <w:pPr>
        <w:suppressAutoHyphens/>
        <w:rPr>
          <w:szCs w:val="26"/>
        </w:rPr>
      </w:pPr>
      <w:r w:rsidRPr="00842F53">
        <w:rPr>
          <w:szCs w:val="26"/>
        </w:rPr>
        <w:t xml:space="preserve">On </w:t>
      </w:r>
      <w:r w:rsidR="00794BBF" w:rsidRPr="00842F53">
        <w:rPr>
          <w:szCs w:val="26"/>
        </w:rPr>
        <w:t>December</w:t>
      </w:r>
      <w:r w:rsidRPr="00842F53">
        <w:rPr>
          <w:szCs w:val="26"/>
        </w:rPr>
        <w:t xml:space="preserve"> </w:t>
      </w:r>
      <w:r w:rsidR="00794BBF" w:rsidRPr="00842F53">
        <w:rPr>
          <w:szCs w:val="26"/>
        </w:rPr>
        <w:t>14</w:t>
      </w:r>
      <w:r w:rsidRPr="00842F53">
        <w:rPr>
          <w:szCs w:val="26"/>
        </w:rPr>
        <w:t>, 20</w:t>
      </w:r>
      <w:r w:rsidR="00794BBF" w:rsidRPr="00842F53">
        <w:rPr>
          <w:szCs w:val="26"/>
        </w:rPr>
        <w:t>11</w:t>
      </w:r>
      <w:r w:rsidRPr="00842F53">
        <w:rPr>
          <w:szCs w:val="26"/>
        </w:rPr>
        <w:t xml:space="preserve">, the Commission issued ALJ </w:t>
      </w:r>
      <w:r w:rsidR="00794BBF" w:rsidRPr="00842F53">
        <w:rPr>
          <w:szCs w:val="26"/>
        </w:rPr>
        <w:t>Jones</w:t>
      </w:r>
      <w:r w:rsidRPr="00842F53">
        <w:rPr>
          <w:szCs w:val="26"/>
        </w:rPr>
        <w:t>’s Initial Decision</w:t>
      </w:r>
      <w:r w:rsidR="0056017E" w:rsidRPr="00842F53">
        <w:rPr>
          <w:szCs w:val="26"/>
        </w:rPr>
        <w:t xml:space="preserve"> in which she recommended </w:t>
      </w:r>
      <w:r w:rsidR="00C44780" w:rsidRPr="00842F53">
        <w:rPr>
          <w:spacing w:val="-3"/>
        </w:rPr>
        <w:t>dismiss</w:t>
      </w:r>
      <w:r w:rsidR="008E38CE" w:rsidRPr="00842F53">
        <w:rPr>
          <w:spacing w:val="-3"/>
        </w:rPr>
        <w:t xml:space="preserve">al of </w:t>
      </w:r>
      <w:r w:rsidR="00C44780" w:rsidRPr="00842F53">
        <w:rPr>
          <w:spacing w:val="-3"/>
        </w:rPr>
        <w:t xml:space="preserve">the Complaint for failure </w:t>
      </w:r>
      <w:r w:rsidR="00FB31E2">
        <w:rPr>
          <w:spacing w:val="-3"/>
        </w:rPr>
        <w:t xml:space="preserve">by the Complainant </w:t>
      </w:r>
      <w:r w:rsidR="00C44780" w:rsidRPr="00842F53">
        <w:rPr>
          <w:spacing w:val="-3"/>
        </w:rPr>
        <w:t xml:space="preserve">to carry </w:t>
      </w:r>
      <w:r w:rsidR="00FB31E2">
        <w:rPr>
          <w:spacing w:val="-3"/>
        </w:rPr>
        <w:t>her</w:t>
      </w:r>
      <w:r w:rsidR="00C44780" w:rsidRPr="00842F53">
        <w:rPr>
          <w:spacing w:val="-3"/>
        </w:rPr>
        <w:t xml:space="preserve"> burden of </w:t>
      </w:r>
      <w:r w:rsidR="00133DEF" w:rsidRPr="00842F53">
        <w:rPr>
          <w:spacing w:val="-3"/>
        </w:rPr>
        <w:t>proof.</w:t>
      </w:r>
      <w:r w:rsidR="00C44780" w:rsidRPr="00842F53">
        <w:rPr>
          <w:spacing w:val="-3"/>
        </w:rPr>
        <w:t xml:space="preserve">  I.D. at</w:t>
      </w:r>
      <w:r w:rsidR="00230F09" w:rsidRPr="00842F53">
        <w:rPr>
          <w:spacing w:val="-3"/>
        </w:rPr>
        <w:t xml:space="preserve"> </w:t>
      </w:r>
      <w:r w:rsidR="00346FF2" w:rsidRPr="00842F53">
        <w:rPr>
          <w:spacing w:val="-3"/>
        </w:rPr>
        <w:t>10</w:t>
      </w:r>
      <w:r w:rsidR="00C44780" w:rsidRPr="00842F53">
        <w:rPr>
          <w:spacing w:val="-3"/>
        </w:rPr>
        <w:t xml:space="preserve">.  </w:t>
      </w:r>
      <w:r w:rsidR="00230F09" w:rsidRPr="00842F53">
        <w:rPr>
          <w:spacing w:val="-3"/>
        </w:rPr>
        <w:t>As previously noted</w:t>
      </w:r>
      <w:r w:rsidR="00E12A74" w:rsidRPr="00842F53">
        <w:rPr>
          <w:spacing w:val="-3"/>
        </w:rPr>
        <w:t>,</w:t>
      </w:r>
      <w:r w:rsidR="00230F09" w:rsidRPr="00842F53">
        <w:rPr>
          <w:spacing w:val="-3"/>
        </w:rPr>
        <w:t xml:space="preserve"> </w:t>
      </w:r>
      <w:r w:rsidR="00224966" w:rsidRPr="00842F53">
        <w:rPr>
          <w:szCs w:val="26"/>
        </w:rPr>
        <w:t>Exceptions</w:t>
      </w:r>
      <w:r w:rsidR="00181D19">
        <w:rPr>
          <w:szCs w:val="26"/>
        </w:rPr>
        <w:t xml:space="preserve"> </w:t>
      </w:r>
    </w:p>
    <w:p w:rsidR="00181D19" w:rsidRDefault="00181D19" w:rsidP="00181D19">
      <w:pPr>
        <w:suppressAutoHyphens/>
        <w:ind w:firstLine="0"/>
        <w:rPr>
          <w:szCs w:val="26"/>
        </w:rPr>
      </w:pPr>
    </w:p>
    <w:p w:rsidR="00181D19" w:rsidRDefault="00181D19" w:rsidP="00181D19">
      <w:pPr>
        <w:suppressAutoHyphens/>
        <w:ind w:firstLine="0"/>
        <w:rPr>
          <w:szCs w:val="26"/>
        </w:rPr>
      </w:pPr>
    </w:p>
    <w:p w:rsidR="00AC0E9E" w:rsidRPr="00842F53" w:rsidRDefault="00224966" w:rsidP="00181D19">
      <w:pPr>
        <w:suppressAutoHyphens/>
        <w:ind w:firstLine="0"/>
        <w:rPr>
          <w:szCs w:val="26"/>
        </w:rPr>
      </w:pPr>
      <w:r w:rsidRPr="00842F53">
        <w:rPr>
          <w:szCs w:val="26"/>
        </w:rPr>
        <w:lastRenderedPageBreak/>
        <w:t xml:space="preserve">were filed </w:t>
      </w:r>
      <w:r w:rsidR="0093639B" w:rsidRPr="00842F53">
        <w:rPr>
          <w:szCs w:val="26"/>
        </w:rPr>
        <w:t xml:space="preserve">by the Complainant on </w:t>
      </w:r>
      <w:r w:rsidR="00346FF2" w:rsidRPr="00842F53">
        <w:rPr>
          <w:szCs w:val="26"/>
        </w:rPr>
        <w:t>December</w:t>
      </w:r>
      <w:r w:rsidR="0093639B" w:rsidRPr="00842F53">
        <w:rPr>
          <w:szCs w:val="26"/>
        </w:rPr>
        <w:t xml:space="preserve"> </w:t>
      </w:r>
      <w:r w:rsidR="00346FF2" w:rsidRPr="00842F53">
        <w:rPr>
          <w:szCs w:val="26"/>
        </w:rPr>
        <w:t>2</w:t>
      </w:r>
      <w:r w:rsidR="00E517ED" w:rsidRPr="00842F53">
        <w:rPr>
          <w:szCs w:val="26"/>
        </w:rPr>
        <w:t>7</w:t>
      </w:r>
      <w:r w:rsidRPr="00842F53">
        <w:rPr>
          <w:szCs w:val="26"/>
        </w:rPr>
        <w:t>, 2011.</w:t>
      </w:r>
      <w:r w:rsidR="00A122AE" w:rsidRPr="00842F53">
        <w:rPr>
          <w:rStyle w:val="FootnoteReference"/>
          <w:szCs w:val="26"/>
        </w:rPr>
        <w:footnoteReference w:id="1"/>
      </w:r>
      <w:r w:rsidRPr="00842F53">
        <w:rPr>
          <w:szCs w:val="26"/>
        </w:rPr>
        <w:t xml:space="preserve"> </w:t>
      </w:r>
      <w:r w:rsidR="0093639B" w:rsidRPr="00842F53">
        <w:rPr>
          <w:szCs w:val="26"/>
        </w:rPr>
        <w:t xml:space="preserve"> </w:t>
      </w:r>
      <w:r w:rsidR="009F5672" w:rsidRPr="00842F53">
        <w:rPr>
          <w:szCs w:val="26"/>
        </w:rPr>
        <w:t>PECO</w:t>
      </w:r>
      <w:r w:rsidR="00B34A3F" w:rsidRPr="00842F53">
        <w:rPr>
          <w:szCs w:val="26"/>
        </w:rPr>
        <w:t xml:space="preserve"> filed Repl</w:t>
      </w:r>
      <w:r w:rsidR="00F62A19" w:rsidRPr="00200D2A">
        <w:rPr>
          <w:szCs w:val="26"/>
        </w:rPr>
        <w:t>ies</w:t>
      </w:r>
      <w:r w:rsidR="00B34A3F" w:rsidRPr="00842F53">
        <w:rPr>
          <w:szCs w:val="26"/>
        </w:rPr>
        <w:t xml:space="preserve"> to Exceptions on </w:t>
      </w:r>
      <w:r w:rsidR="00346FF2" w:rsidRPr="00842F53">
        <w:rPr>
          <w:szCs w:val="26"/>
        </w:rPr>
        <w:t>January</w:t>
      </w:r>
      <w:r w:rsidR="0093639B" w:rsidRPr="00842F53">
        <w:rPr>
          <w:szCs w:val="26"/>
        </w:rPr>
        <w:t xml:space="preserve"> </w:t>
      </w:r>
      <w:r w:rsidR="00346FF2" w:rsidRPr="00842F53">
        <w:rPr>
          <w:szCs w:val="26"/>
        </w:rPr>
        <w:t>13</w:t>
      </w:r>
      <w:r w:rsidR="00B34A3F" w:rsidRPr="00842F53">
        <w:rPr>
          <w:szCs w:val="26"/>
        </w:rPr>
        <w:t>, 201</w:t>
      </w:r>
      <w:r w:rsidR="00346FF2" w:rsidRPr="00842F53">
        <w:rPr>
          <w:szCs w:val="26"/>
        </w:rPr>
        <w:t>2</w:t>
      </w:r>
      <w:r w:rsidR="00B34A3F" w:rsidRPr="00842F53">
        <w:rPr>
          <w:szCs w:val="26"/>
        </w:rPr>
        <w:t xml:space="preserve">. </w:t>
      </w:r>
      <w:r w:rsidRPr="00842F53">
        <w:rPr>
          <w:szCs w:val="26"/>
        </w:rPr>
        <w:t xml:space="preserve"> </w:t>
      </w:r>
    </w:p>
    <w:p w:rsidR="00244754" w:rsidRDefault="00244754" w:rsidP="00765ED9">
      <w:pPr>
        <w:ind w:firstLine="0"/>
        <w:jc w:val="center"/>
        <w:rPr>
          <w:b/>
        </w:rPr>
      </w:pPr>
    </w:p>
    <w:p w:rsidR="000A6712" w:rsidRDefault="000A6712" w:rsidP="00765ED9">
      <w:pPr>
        <w:keepNext/>
        <w:ind w:firstLine="0"/>
        <w:jc w:val="center"/>
        <w:rPr>
          <w:b/>
        </w:rPr>
      </w:pPr>
      <w:r w:rsidRPr="0093639B">
        <w:rPr>
          <w:b/>
        </w:rPr>
        <w:t>Discussion</w:t>
      </w:r>
    </w:p>
    <w:p w:rsidR="00244754" w:rsidRDefault="00244754" w:rsidP="00765ED9">
      <w:pPr>
        <w:keepNext/>
        <w:ind w:firstLine="0"/>
        <w:jc w:val="center"/>
        <w:rPr>
          <w:b/>
        </w:rPr>
      </w:pPr>
    </w:p>
    <w:p w:rsidR="00244754" w:rsidRPr="0093639B" w:rsidRDefault="00244754" w:rsidP="00765ED9">
      <w:pPr>
        <w:keepNext/>
        <w:ind w:firstLine="0"/>
        <w:rPr>
          <w:b/>
        </w:rPr>
      </w:pPr>
      <w:r>
        <w:rPr>
          <w:b/>
        </w:rPr>
        <w:tab/>
        <w:t>A.</w:t>
      </w:r>
      <w:r>
        <w:rPr>
          <w:b/>
        </w:rPr>
        <w:tab/>
        <w:t>Burden of Proof</w:t>
      </w:r>
    </w:p>
    <w:p w:rsidR="00487B2C" w:rsidRPr="0093639B" w:rsidRDefault="00487B2C" w:rsidP="00765ED9">
      <w:pPr>
        <w:keepNext/>
        <w:spacing w:line="240" w:lineRule="auto"/>
      </w:pPr>
    </w:p>
    <w:p w:rsidR="008C5B1C" w:rsidRPr="008C5B1C" w:rsidRDefault="008C5B1C" w:rsidP="00765ED9">
      <w:pPr>
        <w:rPr>
          <w:szCs w:val="26"/>
        </w:rPr>
      </w:pPr>
      <w:r w:rsidRPr="008C5B1C">
        <w:rPr>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8C5B1C">
        <w:rPr>
          <w:i/>
          <w:szCs w:val="26"/>
        </w:rPr>
        <w:t>Patterson v. The Bell Telephone Company of Pennsylvania</w:t>
      </w:r>
      <w:r w:rsidRPr="008C5B1C">
        <w:rPr>
          <w:szCs w:val="26"/>
        </w:rPr>
        <w:t xml:space="preserve">, </w:t>
      </w:r>
      <w:r w:rsidR="00181D19">
        <w:rPr>
          <w:szCs w:val="26"/>
        </w:rPr>
        <w:t xml:space="preserve">                        </w:t>
      </w:r>
      <w:r w:rsidRPr="008C5B1C">
        <w:rPr>
          <w:szCs w:val="26"/>
        </w:rPr>
        <w:t xml:space="preserve">72 Pa. P.U.C. 196 (1990).  Such a showing must be by a preponderance of the evidence.  </w:t>
      </w:r>
      <w:r w:rsidRPr="008C5B1C">
        <w:rPr>
          <w:i/>
          <w:iCs/>
          <w:szCs w:val="26"/>
        </w:rPr>
        <w:t>Samuel J. Lansberry, Inc. v. Pa. PUC</w:t>
      </w:r>
      <w:r w:rsidRPr="008C5B1C">
        <w:rPr>
          <w:szCs w:val="26"/>
        </w:rPr>
        <w:t xml:space="preserve">, 578 A.2d 600 (Pa. Cmwlth. 1990), </w:t>
      </w:r>
      <w:r w:rsidRPr="008C5B1C">
        <w:rPr>
          <w:i/>
          <w:szCs w:val="26"/>
        </w:rPr>
        <w:t>alloc. denied,</w:t>
      </w:r>
      <w:r w:rsidRPr="008C5B1C">
        <w:rPr>
          <w:szCs w:val="26"/>
        </w:rPr>
        <w:t xml:space="preserve"> 529 Pa. 654, 602 A.2d 863 (1992).  That is, the Complainant’s evidence must be more convincing, by even the smallest amount, than that presented by the Respondent.  </w:t>
      </w:r>
      <w:r w:rsidRPr="008C5B1C">
        <w:rPr>
          <w:i/>
          <w:szCs w:val="26"/>
        </w:rPr>
        <w:t>Se-Ling Hosiery, Inc. v. Margulies</w:t>
      </w:r>
      <w:r w:rsidRPr="008C5B1C">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8C5B1C">
        <w:rPr>
          <w:i/>
          <w:szCs w:val="26"/>
        </w:rPr>
        <w:t xml:space="preserve">Norfolk &amp; Western Ry. Co. v. Pa. PUC, </w:t>
      </w:r>
      <w:r w:rsidRPr="008C5B1C">
        <w:rPr>
          <w:szCs w:val="26"/>
        </w:rPr>
        <w:t>489 Pa. 109, 413 A.2d 1037 (1980).</w:t>
      </w:r>
    </w:p>
    <w:p w:rsidR="008C5B1C" w:rsidRPr="008C5B1C" w:rsidRDefault="008C5B1C" w:rsidP="00765ED9">
      <w:pPr>
        <w:ind w:firstLine="0"/>
        <w:rPr>
          <w:szCs w:val="26"/>
        </w:rPr>
      </w:pPr>
    </w:p>
    <w:p w:rsidR="008C5B1C" w:rsidRPr="008C5B1C" w:rsidRDefault="008C5B1C" w:rsidP="00765ED9">
      <w:pPr>
        <w:rPr>
          <w:rFonts w:ascii="Times New (W1)" w:hAnsi="Times New (W1)"/>
          <w:i/>
          <w:szCs w:val="20"/>
        </w:rPr>
      </w:pPr>
      <w:r w:rsidRPr="008C5B1C">
        <w:rPr>
          <w:szCs w:val="20"/>
        </w:rPr>
        <w:lastRenderedPageBreak/>
        <w:t xml:space="preserve">Upon the presentation by a complainant of evidence sufficient to initially satisfy the burden of proof, the burden of going forward with the evidence, sometimes called the burden of persuasion, to rebut the evidence of the customer shifts to the respondent. </w:t>
      </w:r>
      <w:r w:rsidR="00244754">
        <w:rPr>
          <w:szCs w:val="20"/>
        </w:rPr>
        <w:t xml:space="preserve"> </w:t>
      </w:r>
      <w:r w:rsidRPr="008C5B1C">
        <w:rPr>
          <w:szCs w:val="20"/>
        </w:rPr>
        <w:t xml:space="preserve">If the evidence presented by the respondent is of co-equal value or “weight,” the burden of proof has not been satisfied. </w:t>
      </w:r>
      <w:r w:rsidR="00244754">
        <w:rPr>
          <w:szCs w:val="20"/>
        </w:rPr>
        <w:t xml:space="preserve"> </w:t>
      </w:r>
      <w:r w:rsidRPr="008C5B1C">
        <w:rPr>
          <w:szCs w:val="20"/>
        </w:rPr>
        <w:t xml:space="preserve">The complainant now has to provide some additional evidence to rebut that of the respondent. </w:t>
      </w:r>
      <w:r w:rsidRPr="008C5B1C">
        <w:rPr>
          <w:iCs/>
          <w:szCs w:val="20"/>
        </w:rPr>
        <w:t xml:space="preserve"> </w:t>
      </w:r>
      <w:hyperlink r:id="rId9" w:history="1">
        <w:r w:rsidRPr="008C5B1C">
          <w:rPr>
            <w:rFonts w:ascii="Times New (W1)" w:hAnsi="Times New (W1)"/>
            <w:i/>
            <w:iCs/>
            <w:szCs w:val="20"/>
          </w:rPr>
          <w:t>Burleson v. Pa. PUC,</w:t>
        </w:r>
        <w:r w:rsidRPr="008C5B1C">
          <w:rPr>
            <w:rFonts w:ascii="Times New (W1)" w:hAnsi="Times New (W1)"/>
            <w:iCs/>
            <w:szCs w:val="20"/>
          </w:rPr>
          <w:t xml:space="preserve"> 443 A.2d 1373 (Pa. Cmwlth. 1982), </w:t>
        </w:r>
        <w:r w:rsidRPr="008C5B1C">
          <w:rPr>
            <w:rFonts w:ascii="Times New (W1)" w:hAnsi="Times New (W1)"/>
            <w:i/>
            <w:iCs/>
            <w:szCs w:val="20"/>
          </w:rPr>
          <w:t>aff’d,</w:t>
        </w:r>
        <w:r w:rsidRPr="008C5B1C">
          <w:rPr>
            <w:rFonts w:ascii="Times New (W1)" w:hAnsi="Times New (W1)"/>
            <w:iCs/>
            <w:szCs w:val="20"/>
          </w:rPr>
          <w:t xml:space="preserve"> 501 Pa. 433, 461 A.2d 1234 (1983).</w:t>
        </w:r>
      </w:hyperlink>
    </w:p>
    <w:p w:rsidR="008C5B1C" w:rsidRPr="008C5B1C" w:rsidRDefault="008C5B1C" w:rsidP="00765ED9">
      <w:pPr>
        <w:rPr>
          <w:szCs w:val="20"/>
        </w:rPr>
      </w:pPr>
    </w:p>
    <w:p w:rsidR="008C5B1C" w:rsidRPr="008C5B1C" w:rsidRDefault="008C5B1C" w:rsidP="00765ED9">
      <w:pPr>
        <w:rPr>
          <w:i/>
          <w:szCs w:val="20"/>
        </w:rPr>
      </w:pPr>
      <w:r w:rsidRPr="008C5B1C">
        <w:rPr>
          <w:szCs w:val="20"/>
        </w:rPr>
        <w:t xml:space="preserve">While the burden of persuasion may shift back and forth during a proceeding, the burden of proof never shifts. The burden of proof always remains on the party seeking affirmative relief from the Commission.  </w:t>
      </w:r>
      <w:r w:rsidRPr="008C5B1C">
        <w:rPr>
          <w:i/>
          <w:szCs w:val="20"/>
        </w:rPr>
        <w:t xml:space="preserve">Milkie v. Pa. PUC, </w:t>
      </w:r>
      <w:r w:rsidRPr="008C5B1C">
        <w:rPr>
          <w:szCs w:val="20"/>
        </w:rPr>
        <w:t>768 A.2d 1217 (Pa. Cmwlth. 2001).</w:t>
      </w:r>
    </w:p>
    <w:p w:rsidR="008C5B1C" w:rsidRPr="008C5B1C" w:rsidRDefault="008C5B1C" w:rsidP="00765ED9">
      <w:pPr>
        <w:ind w:firstLine="0"/>
        <w:rPr>
          <w:i/>
          <w:szCs w:val="26"/>
        </w:rPr>
      </w:pPr>
    </w:p>
    <w:p w:rsidR="00FE2CD1" w:rsidRPr="00803FD5" w:rsidRDefault="00244754" w:rsidP="00765ED9">
      <w:pPr>
        <w:ind w:firstLine="0"/>
        <w:rPr>
          <w:b/>
          <w:szCs w:val="26"/>
        </w:rPr>
      </w:pPr>
      <w:r>
        <w:rPr>
          <w:b/>
          <w:szCs w:val="26"/>
        </w:rPr>
        <w:tab/>
        <w:t>B.</w:t>
      </w:r>
      <w:r>
        <w:rPr>
          <w:b/>
          <w:szCs w:val="26"/>
        </w:rPr>
        <w:tab/>
      </w:r>
      <w:r w:rsidR="00FE2CD1" w:rsidRPr="00803FD5">
        <w:rPr>
          <w:b/>
          <w:szCs w:val="26"/>
        </w:rPr>
        <w:t xml:space="preserve">Legal Standards </w:t>
      </w:r>
    </w:p>
    <w:p w:rsidR="00FE2CD1" w:rsidRDefault="00FE2CD1" w:rsidP="00765ED9">
      <w:pPr>
        <w:rPr>
          <w:szCs w:val="26"/>
        </w:rPr>
      </w:pPr>
    </w:p>
    <w:p w:rsidR="001640C3" w:rsidRPr="00BE68ED" w:rsidRDefault="001640C3" w:rsidP="00765ED9">
      <w:pPr>
        <w:rPr>
          <w:szCs w:val="26"/>
        </w:rPr>
      </w:pPr>
      <w:r w:rsidRPr="00BE68ED">
        <w:rPr>
          <w:szCs w:val="26"/>
        </w:rPr>
        <w:t xml:space="preserve">With regard to </w:t>
      </w:r>
      <w:r>
        <w:rPr>
          <w:szCs w:val="26"/>
        </w:rPr>
        <w:t xml:space="preserve">the </w:t>
      </w:r>
      <w:r w:rsidRPr="00BE68ED">
        <w:rPr>
          <w:szCs w:val="26"/>
        </w:rPr>
        <w:t xml:space="preserve">Complainant’s allegation that </w:t>
      </w:r>
      <w:r>
        <w:rPr>
          <w:szCs w:val="26"/>
        </w:rPr>
        <w:t>s</w:t>
      </w:r>
      <w:r w:rsidRPr="00BE68ED">
        <w:rPr>
          <w:szCs w:val="26"/>
        </w:rPr>
        <w:t xml:space="preserve">he cannot pay the utility bills as requested, any decision thereon must be consistent with the provisions of the </w:t>
      </w:r>
      <w:r w:rsidRPr="00BE68ED">
        <w:rPr>
          <w:i/>
          <w:szCs w:val="26"/>
        </w:rPr>
        <w:t>Responsible Utility Customer Protection Act</w:t>
      </w:r>
      <w:r w:rsidRPr="00BE68ED">
        <w:rPr>
          <w:szCs w:val="26"/>
        </w:rPr>
        <w:t xml:space="preserve"> (Act 201).  Act 201, which became effective on December 14, 2004, enacted Chapter 14 of the Public Utility Code</w:t>
      </w:r>
      <w:r>
        <w:rPr>
          <w:szCs w:val="26"/>
        </w:rPr>
        <w:t xml:space="preserve"> (Code)</w:t>
      </w:r>
      <w:r w:rsidRPr="00BE68ED">
        <w:rPr>
          <w:szCs w:val="26"/>
        </w:rPr>
        <w:t xml:space="preserve">, </w:t>
      </w:r>
      <w:r w:rsidR="00181D19">
        <w:rPr>
          <w:szCs w:val="26"/>
        </w:rPr>
        <w:t xml:space="preserve">               </w:t>
      </w:r>
      <w:r w:rsidRPr="00BE68ED">
        <w:rPr>
          <w:szCs w:val="26"/>
        </w:rPr>
        <w:t xml:space="preserve">66 Pa. C.S. §§1401, </w:t>
      </w:r>
      <w:r w:rsidRPr="00BE68ED">
        <w:rPr>
          <w:i/>
          <w:szCs w:val="26"/>
        </w:rPr>
        <w:t>et seq</w:t>
      </w:r>
      <w:r w:rsidR="00181D19">
        <w:rPr>
          <w:szCs w:val="26"/>
        </w:rPr>
        <w:t>.</w:t>
      </w:r>
      <w:r w:rsidRPr="00BE68ED">
        <w:rPr>
          <w:szCs w:val="26"/>
        </w:rPr>
        <w:t xml:space="preserve">  </w:t>
      </w:r>
      <w:r w:rsidR="00FE2CD1">
        <w:rPr>
          <w:szCs w:val="26"/>
        </w:rPr>
        <w:t xml:space="preserve">Chapter 14 </w:t>
      </w:r>
      <w:r w:rsidRPr="00BE68ED">
        <w:rPr>
          <w:szCs w:val="26"/>
        </w:rPr>
        <w:t xml:space="preserve">directs how the Commission must establish payment </w:t>
      </w:r>
      <w:r w:rsidR="0055012E" w:rsidRPr="00BE68ED">
        <w:rPr>
          <w:szCs w:val="26"/>
        </w:rPr>
        <w:t>arrangement</w:t>
      </w:r>
      <w:r w:rsidR="0055012E">
        <w:rPr>
          <w:szCs w:val="26"/>
        </w:rPr>
        <w:t xml:space="preserve">s. </w:t>
      </w:r>
      <w:r w:rsidR="00181D19">
        <w:rPr>
          <w:szCs w:val="26"/>
        </w:rPr>
        <w:t xml:space="preserve"> </w:t>
      </w:r>
      <w:r w:rsidR="0055012E">
        <w:rPr>
          <w:szCs w:val="26"/>
        </w:rPr>
        <w:t>Section</w:t>
      </w:r>
      <w:r w:rsidRPr="00BE68ED">
        <w:rPr>
          <w:szCs w:val="26"/>
        </w:rPr>
        <w:t xml:space="preserve"> 1405 of the Code, 66 Pa. C.S. §</w:t>
      </w:r>
      <w:r w:rsidR="0047366A">
        <w:rPr>
          <w:szCs w:val="26"/>
        </w:rPr>
        <w:t xml:space="preserve"> </w:t>
      </w:r>
      <w:r w:rsidRPr="00BE68ED">
        <w:rPr>
          <w:szCs w:val="26"/>
        </w:rPr>
        <w:t>1405, regarding payment arrangements, reads in pertinent part:</w:t>
      </w:r>
    </w:p>
    <w:p w:rsidR="001640C3" w:rsidRPr="00BE68ED" w:rsidRDefault="001640C3" w:rsidP="00765ED9">
      <w:pPr>
        <w:ind w:left="1440" w:right="1440"/>
        <w:rPr>
          <w:szCs w:val="26"/>
        </w:rPr>
      </w:pPr>
    </w:p>
    <w:p w:rsidR="001640C3" w:rsidRPr="00BE68ED" w:rsidRDefault="001640C3" w:rsidP="00765ED9">
      <w:pPr>
        <w:spacing w:line="240" w:lineRule="auto"/>
        <w:ind w:left="1440" w:right="1440" w:firstLine="0"/>
        <w:rPr>
          <w:szCs w:val="26"/>
        </w:rPr>
      </w:pPr>
      <w:r w:rsidRPr="00BE68ED">
        <w:rPr>
          <w:szCs w:val="26"/>
        </w:rPr>
        <w:t xml:space="preserve">   (b) LENGTH OF PAYMENT AGREEMENTS.  The length of time for a customer to resolve an unpaid balance on an account that is subject to a payment agreement that is investigated by the commission and is entered into by a public utility and a customer shall not extend beyond:</w:t>
      </w:r>
    </w:p>
    <w:p w:rsidR="001640C3" w:rsidRPr="00BE68ED" w:rsidRDefault="001640C3" w:rsidP="00765ED9">
      <w:pPr>
        <w:ind w:left="1440" w:right="1440"/>
        <w:rPr>
          <w:szCs w:val="26"/>
        </w:rPr>
      </w:pPr>
    </w:p>
    <w:p w:rsidR="001640C3" w:rsidRPr="001640C3" w:rsidRDefault="001640C3" w:rsidP="00765ED9">
      <w:pPr>
        <w:pStyle w:val="ListParagraph"/>
        <w:numPr>
          <w:ilvl w:val="0"/>
          <w:numId w:val="50"/>
        </w:numPr>
        <w:spacing w:line="240" w:lineRule="auto"/>
        <w:ind w:right="1440"/>
        <w:rPr>
          <w:szCs w:val="26"/>
        </w:rPr>
      </w:pPr>
      <w:r w:rsidRPr="001640C3">
        <w:rPr>
          <w:szCs w:val="26"/>
        </w:rPr>
        <w:lastRenderedPageBreak/>
        <w:t>Five years for customers with a gross monthly household income level not exceeding 150% of the Federal poverty level.</w:t>
      </w:r>
    </w:p>
    <w:p w:rsidR="001640C3" w:rsidRPr="001640C3" w:rsidRDefault="001640C3" w:rsidP="00765ED9">
      <w:pPr>
        <w:pStyle w:val="ListParagraph"/>
        <w:spacing w:line="240" w:lineRule="auto"/>
        <w:ind w:left="2535" w:right="1440" w:firstLine="0"/>
        <w:rPr>
          <w:szCs w:val="26"/>
        </w:rPr>
      </w:pPr>
    </w:p>
    <w:p w:rsidR="001640C3" w:rsidRPr="00BE68ED" w:rsidRDefault="001640C3" w:rsidP="00765ED9">
      <w:pPr>
        <w:pStyle w:val="ListParagraph"/>
        <w:numPr>
          <w:ilvl w:val="0"/>
          <w:numId w:val="50"/>
        </w:numPr>
        <w:spacing w:line="240" w:lineRule="auto"/>
        <w:ind w:right="1440"/>
        <w:rPr>
          <w:szCs w:val="26"/>
        </w:rPr>
      </w:pPr>
      <w:r w:rsidRPr="00BE68ED">
        <w:rPr>
          <w:szCs w:val="26"/>
        </w:rPr>
        <w:t>Two years for customers with a gross monthly household income level exceeding 150% and not more than 250% of the Federal poverty level.</w:t>
      </w:r>
    </w:p>
    <w:p w:rsidR="001640C3" w:rsidRPr="00BE68ED" w:rsidRDefault="001640C3" w:rsidP="00765ED9">
      <w:pPr>
        <w:ind w:left="1440" w:right="1440"/>
        <w:rPr>
          <w:szCs w:val="26"/>
        </w:rPr>
      </w:pPr>
    </w:p>
    <w:p w:rsidR="001640C3" w:rsidRPr="00BE68ED" w:rsidRDefault="001640C3" w:rsidP="00765ED9">
      <w:pPr>
        <w:pStyle w:val="ListParagraph"/>
        <w:numPr>
          <w:ilvl w:val="0"/>
          <w:numId w:val="50"/>
        </w:numPr>
        <w:spacing w:line="240" w:lineRule="auto"/>
        <w:ind w:right="1440"/>
        <w:rPr>
          <w:szCs w:val="26"/>
        </w:rPr>
      </w:pPr>
      <w:r w:rsidRPr="00BE68ED">
        <w:rPr>
          <w:szCs w:val="26"/>
        </w:rPr>
        <w:t>One year for customers with a gross monthly household income level exceeding 250% of the Federal poverty level and not more than 300% of the Federal poverty level.</w:t>
      </w:r>
    </w:p>
    <w:p w:rsidR="001640C3" w:rsidRPr="00BE68ED" w:rsidRDefault="001640C3" w:rsidP="00765ED9">
      <w:pPr>
        <w:ind w:left="1440" w:right="1440"/>
        <w:rPr>
          <w:szCs w:val="26"/>
        </w:rPr>
      </w:pPr>
    </w:p>
    <w:p w:rsidR="001640C3" w:rsidRDefault="001640C3" w:rsidP="00765ED9">
      <w:pPr>
        <w:pStyle w:val="ListParagraph"/>
        <w:numPr>
          <w:ilvl w:val="0"/>
          <w:numId w:val="50"/>
        </w:numPr>
        <w:spacing w:line="240" w:lineRule="auto"/>
        <w:ind w:right="1440"/>
        <w:rPr>
          <w:szCs w:val="26"/>
        </w:rPr>
      </w:pPr>
      <w:r w:rsidRPr="00BE68ED">
        <w:rPr>
          <w:szCs w:val="26"/>
        </w:rPr>
        <w:t>Six months for customers with a gross monthly household income level exceeding 300% of the Federal poverty level.</w:t>
      </w:r>
    </w:p>
    <w:p w:rsidR="00B816C1" w:rsidRDefault="00B816C1" w:rsidP="00765ED9">
      <w:pPr>
        <w:ind w:left="1440" w:right="1440"/>
        <w:rPr>
          <w:b/>
          <w:szCs w:val="26"/>
        </w:rPr>
      </w:pPr>
      <w:r>
        <w:rPr>
          <w:b/>
          <w:szCs w:val="26"/>
        </w:rPr>
        <w:t xml:space="preserve">            </w:t>
      </w:r>
    </w:p>
    <w:p w:rsidR="001640C3" w:rsidRDefault="00B816C1" w:rsidP="00765ED9">
      <w:pPr>
        <w:ind w:left="2880" w:right="1440"/>
        <w:rPr>
          <w:b/>
          <w:szCs w:val="26"/>
        </w:rPr>
      </w:pPr>
      <w:r>
        <w:rPr>
          <w:b/>
          <w:szCs w:val="26"/>
        </w:rPr>
        <w:t>***</w:t>
      </w:r>
    </w:p>
    <w:p w:rsidR="00181D19" w:rsidRDefault="00181D19" w:rsidP="00765ED9">
      <w:pPr>
        <w:spacing w:line="240" w:lineRule="auto"/>
        <w:ind w:left="1440" w:right="1440" w:firstLine="0"/>
        <w:rPr>
          <w:szCs w:val="26"/>
        </w:rPr>
      </w:pPr>
    </w:p>
    <w:p w:rsidR="001640C3" w:rsidRDefault="00813CEE" w:rsidP="00765ED9">
      <w:pPr>
        <w:spacing w:line="240" w:lineRule="auto"/>
        <w:ind w:left="1440" w:right="1440" w:firstLine="0"/>
        <w:rPr>
          <w:rFonts w:ascii="Times New (W1)" w:hAnsi="Times New (W1)"/>
        </w:rPr>
      </w:pPr>
      <w:r>
        <w:rPr>
          <w:szCs w:val="26"/>
        </w:rPr>
        <w:t xml:space="preserve">   </w:t>
      </w:r>
      <w:r w:rsidR="001640C3">
        <w:rPr>
          <w:szCs w:val="26"/>
        </w:rPr>
        <w:t xml:space="preserve">(d)  </w:t>
      </w:r>
      <w:r w:rsidR="001640C3" w:rsidRPr="00F64A9E">
        <w:rPr>
          <w:szCs w:val="26"/>
        </w:rPr>
        <w:t>Number</w:t>
      </w:r>
      <w:r w:rsidR="001640C3" w:rsidRPr="00560DF0">
        <w:rPr>
          <w:rFonts w:ascii="Times New (W1)" w:hAnsi="Times New (W1)"/>
          <w:szCs w:val="26"/>
        </w:rPr>
        <w:t xml:space="preserve"> of payment agree</w:t>
      </w:r>
      <w:r w:rsidR="001640C3" w:rsidRPr="00560DF0">
        <w:rPr>
          <w:rFonts w:ascii="Times New (W1)" w:hAnsi="Times New (W1)"/>
        </w:rPr>
        <w:t xml:space="preserve">ments.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
    <w:p w:rsidR="00996C41" w:rsidRDefault="00996C41" w:rsidP="00765ED9">
      <w:pPr>
        <w:rPr>
          <w:szCs w:val="26"/>
        </w:rPr>
      </w:pPr>
    </w:p>
    <w:p w:rsidR="00895CBF" w:rsidRDefault="00B816C1" w:rsidP="00765ED9">
      <w:pPr>
        <w:rPr>
          <w:szCs w:val="26"/>
        </w:rPr>
      </w:pPr>
      <w:r w:rsidDel="00FE2CD1">
        <w:rPr>
          <w:szCs w:val="26"/>
        </w:rPr>
        <w:t>As noted above s</w:t>
      </w:r>
      <w:r w:rsidR="00A35A8D" w:rsidDel="00FE2CD1">
        <w:rPr>
          <w:szCs w:val="26"/>
        </w:rPr>
        <w:t xml:space="preserve">ection 1405(d) of the Code limits the Commission’s ability to establish more than one payment arrangement for a customer absent a change in income. </w:t>
      </w:r>
      <w:r w:rsidR="00A35A8D" w:rsidDel="008348DA">
        <w:rPr>
          <w:szCs w:val="26"/>
        </w:rPr>
        <w:t xml:space="preserve"> </w:t>
      </w:r>
      <w:r w:rsidR="00D37F3D">
        <w:rPr>
          <w:szCs w:val="26"/>
        </w:rPr>
        <w:t>Section 1403 of the Code, 66 Pa.</w:t>
      </w:r>
      <w:r w:rsidR="0055012E">
        <w:rPr>
          <w:szCs w:val="26"/>
        </w:rPr>
        <w:t xml:space="preserve"> </w:t>
      </w:r>
      <w:r w:rsidR="00D37F3D">
        <w:rPr>
          <w:szCs w:val="26"/>
        </w:rPr>
        <w:t xml:space="preserve">C.S. § 1403, defines “change in income” as </w:t>
      </w:r>
      <w:r w:rsidR="00895CBF">
        <w:rPr>
          <w:szCs w:val="26"/>
        </w:rPr>
        <w:t xml:space="preserve">follows:  </w:t>
      </w:r>
    </w:p>
    <w:p w:rsidR="008D38D4" w:rsidRDefault="00D37F3D" w:rsidP="00765ED9">
      <w:pPr>
        <w:spacing w:line="240" w:lineRule="auto"/>
        <w:ind w:left="1440" w:right="1440" w:firstLine="0"/>
        <w:rPr>
          <w:szCs w:val="26"/>
        </w:rPr>
      </w:pPr>
      <w:r>
        <w:rPr>
          <w:szCs w:val="26"/>
        </w:rPr>
        <w:t xml:space="preserve">[a] decrease in household income of 20% or more if the customer’s household </w:t>
      </w:r>
      <w:r w:rsidR="00895CBF">
        <w:rPr>
          <w:szCs w:val="26"/>
        </w:rPr>
        <w:t>income level exceeds 200% of the Federal poverty level or a decrease in household income of 10% or more if the customer’s household income level is 200% or less of the Federal poverty level.</w:t>
      </w:r>
    </w:p>
    <w:p w:rsidR="008D38D4" w:rsidRDefault="008D38D4" w:rsidP="00765ED9">
      <w:pPr>
        <w:ind w:firstLine="0"/>
        <w:rPr>
          <w:szCs w:val="26"/>
        </w:rPr>
      </w:pPr>
    </w:p>
    <w:p w:rsidR="000D7D6C" w:rsidRPr="00803FD5" w:rsidRDefault="00244754" w:rsidP="00765ED9">
      <w:pPr>
        <w:keepNext/>
        <w:ind w:firstLine="0"/>
        <w:rPr>
          <w:b/>
          <w:szCs w:val="26"/>
        </w:rPr>
      </w:pPr>
      <w:r>
        <w:rPr>
          <w:b/>
          <w:szCs w:val="26"/>
        </w:rPr>
        <w:lastRenderedPageBreak/>
        <w:tab/>
        <w:t>C.</w:t>
      </w:r>
      <w:r>
        <w:rPr>
          <w:b/>
          <w:szCs w:val="26"/>
        </w:rPr>
        <w:tab/>
        <w:t xml:space="preserve">The </w:t>
      </w:r>
      <w:r w:rsidR="000D7D6C" w:rsidRPr="00803FD5">
        <w:rPr>
          <w:b/>
          <w:szCs w:val="26"/>
        </w:rPr>
        <w:t xml:space="preserve">ALJ’s Recommendation </w:t>
      </w:r>
    </w:p>
    <w:p w:rsidR="00244754" w:rsidRDefault="00244754" w:rsidP="00765ED9">
      <w:pPr>
        <w:keepNext/>
        <w:rPr>
          <w:rFonts w:ascii="Times New (W1)" w:hAnsi="Times New (W1)"/>
          <w:szCs w:val="26"/>
        </w:rPr>
      </w:pPr>
    </w:p>
    <w:p w:rsidR="00244754" w:rsidRPr="0093639B" w:rsidRDefault="00244754" w:rsidP="00765ED9">
      <w:pPr>
        <w:rPr>
          <w:rFonts w:ascii="Times New (W1)" w:hAnsi="Times New (W1)"/>
          <w:szCs w:val="26"/>
        </w:rPr>
      </w:pPr>
      <w:r w:rsidRPr="0093639B">
        <w:rPr>
          <w:rFonts w:ascii="Times New (W1)" w:hAnsi="Times New (W1)"/>
          <w:szCs w:val="26"/>
        </w:rPr>
        <w:t xml:space="preserve">The ALJ made </w:t>
      </w:r>
      <w:r>
        <w:rPr>
          <w:rFonts w:ascii="Times New (W1)" w:hAnsi="Times New (W1)"/>
          <w:szCs w:val="26"/>
        </w:rPr>
        <w:t>eight</w:t>
      </w:r>
      <w:r w:rsidRPr="0093639B">
        <w:rPr>
          <w:rFonts w:ascii="Times New (W1)" w:hAnsi="Times New (W1)"/>
          <w:szCs w:val="26"/>
        </w:rPr>
        <w:t xml:space="preserve"> Findings of Fact and reached f</w:t>
      </w:r>
      <w:r>
        <w:rPr>
          <w:rFonts w:ascii="Times New (W1)" w:hAnsi="Times New (W1)"/>
          <w:szCs w:val="26"/>
        </w:rPr>
        <w:t>ive</w:t>
      </w:r>
      <w:r w:rsidRPr="0093639B">
        <w:rPr>
          <w:rFonts w:ascii="Times New (W1)" w:hAnsi="Times New (W1)"/>
          <w:szCs w:val="26"/>
        </w:rPr>
        <w:t xml:space="preserve"> Conclusions of Law.  </w:t>
      </w:r>
      <w:r>
        <w:rPr>
          <w:rFonts w:ascii="Times New (W1)" w:hAnsi="Times New (W1)"/>
          <w:szCs w:val="26"/>
        </w:rPr>
        <w:t xml:space="preserve">I.D. at 6, 9-10.  </w:t>
      </w:r>
      <w:r w:rsidRPr="0093639B">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rsidR="00244754" w:rsidRPr="000A455F" w:rsidRDefault="00244754" w:rsidP="00765ED9">
      <w:pPr>
        <w:spacing w:line="240" w:lineRule="auto"/>
        <w:ind w:firstLine="0"/>
      </w:pPr>
    </w:p>
    <w:p w:rsidR="00A63122" w:rsidRDefault="003E2EC8" w:rsidP="00765ED9">
      <w:pPr>
        <w:ind w:firstLine="720"/>
        <w:rPr>
          <w:szCs w:val="26"/>
        </w:rPr>
      </w:pPr>
      <w:r>
        <w:t xml:space="preserve"> </w:t>
      </w:r>
      <w:r>
        <w:tab/>
        <w:t>In h</w:t>
      </w:r>
      <w:r w:rsidR="00DB003F">
        <w:t>er</w:t>
      </w:r>
      <w:r>
        <w:t xml:space="preserve"> Initial Decision</w:t>
      </w:r>
      <w:r w:rsidR="008348DA">
        <w:t>,</w:t>
      </w:r>
      <w:r>
        <w:t xml:space="preserve"> the ALJ found that the Complainant’s change in household income </w:t>
      </w:r>
      <w:r w:rsidR="001C15FB">
        <w:t>wa</w:t>
      </w:r>
      <w:r>
        <w:t xml:space="preserve">s not </w:t>
      </w:r>
      <w:r w:rsidR="001C15FB">
        <w:t xml:space="preserve">considered </w:t>
      </w:r>
      <w:r>
        <w:t xml:space="preserve">legally significant </w:t>
      </w:r>
      <w:r w:rsidR="001C15FB">
        <w:t>under Section 1403 of the Code, 66 Pa. C.S. § 1403</w:t>
      </w:r>
      <w:r w:rsidR="00623BCF">
        <w:t xml:space="preserve">. </w:t>
      </w:r>
      <w:r>
        <w:t xml:space="preserve"> I.D. at </w:t>
      </w:r>
      <w:r w:rsidR="001C15FB">
        <w:t xml:space="preserve">9, </w:t>
      </w:r>
      <w:r>
        <w:t>10</w:t>
      </w:r>
      <w:r w:rsidRPr="00DB4CEE">
        <w:t xml:space="preserve">. </w:t>
      </w:r>
      <w:r w:rsidR="00DB4CEE">
        <w:rPr>
          <w:szCs w:val="26"/>
        </w:rPr>
        <w:t xml:space="preserve"> </w:t>
      </w:r>
      <w:r w:rsidR="001C15FB">
        <w:rPr>
          <w:szCs w:val="26"/>
        </w:rPr>
        <w:t>T</w:t>
      </w:r>
      <w:r w:rsidR="00DB4CEE">
        <w:t>he ALJ noted that f</w:t>
      </w:r>
      <w:r w:rsidR="00DB4CEE">
        <w:rPr>
          <w:szCs w:val="26"/>
        </w:rPr>
        <w:t>or a family size of three</w:t>
      </w:r>
      <w:r w:rsidR="001C15FB">
        <w:rPr>
          <w:szCs w:val="26"/>
        </w:rPr>
        <w:t>,</w:t>
      </w:r>
      <w:r w:rsidR="00DB4CEE">
        <w:rPr>
          <w:szCs w:val="26"/>
        </w:rPr>
        <w:t xml:space="preserve"> a gross monthly income of $4,632.50 is 300% of the Federal Poverty </w:t>
      </w:r>
      <w:r w:rsidR="00B816C1">
        <w:rPr>
          <w:szCs w:val="26"/>
        </w:rPr>
        <w:t>L</w:t>
      </w:r>
      <w:r w:rsidR="00DB4CEE">
        <w:rPr>
          <w:szCs w:val="26"/>
        </w:rPr>
        <w:t>evel</w:t>
      </w:r>
      <w:r w:rsidR="00B816C1">
        <w:rPr>
          <w:szCs w:val="26"/>
        </w:rPr>
        <w:t xml:space="preserve"> (FPL)</w:t>
      </w:r>
      <w:r w:rsidR="00DB4CEE">
        <w:rPr>
          <w:szCs w:val="26"/>
        </w:rPr>
        <w:t xml:space="preserve">.  </w:t>
      </w:r>
      <w:r w:rsidR="00A83FB0">
        <w:rPr>
          <w:szCs w:val="26"/>
        </w:rPr>
        <w:t xml:space="preserve">I.D. at 9 (citing </w:t>
      </w:r>
      <w:r w:rsidR="005D46EA">
        <w:rPr>
          <w:szCs w:val="26"/>
        </w:rPr>
        <w:t>76 Fed. Reg. 1</w:t>
      </w:r>
      <w:r w:rsidR="00A83FB0">
        <w:rPr>
          <w:szCs w:val="26"/>
        </w:rPr>
        <w:t>3, 3637-38</w:t>
      </w:r>
      <w:r w:rsidR="005D46EA">
        <w:rPr>
          <w:szCs w:val="26"/>
        </w:rPr>
        <w:t xml:space="preserve"> (Jan. 20, 2011)</w:t>
      </w:r>
      <w:r w:rsidR="00A83FB0">
        <w:rPr>
          <w:szCs w:val="26"/>
        </w:rPr>
        <w:t xml:space="preserve">).  </w:t>
      </w:r>
      <w:r w:rsidR="00B816C1" w:rsidRPr="00A83FB0">
        <w:rPr>
          <w:szCs w:val="26"/>
        </w:rPr>
        <w:t>The</w:t>
      </w:r>
      <w:r w:rsidR="00B816C1">
        <w:rPr>
          <w:szCs w:val="26"/>
        </w:rPr>
        <w:t xml:space="preserve"> </w:t>
      </w:r>
      <w:r w:rsidR="00DB4CEE">
        <w:rPr>
          <w:szCs w:val="26"/>
        </w:rPr>
        <w:t xml:space="preserve">ALJ </w:t>
      </w:r>
      <w:r w:rsidR="00765ED9">
        <w:rPr>
          <w:szCs w:val="26"/>
        </w:rPr>
        <w:t xml:space="preserve">determined </w:t>
      </w:r>
      <w:r w:rsidR="00DB4CEE">
        <w:rPr>
          <w:szCs w:val="26"/>
        </w:rPr>
        <w:t>that</w:t>
      </w:r>
      <w:r w:rsidR="001C15FB">
        <w:rPr>
          <w:szCs w:val="26"/>
        </w:rPr>
        <w:t>,</w:t>
      </w:r>
      <w:r w:rsidR="00DB4CEE">
        <w:rPr>
          <w:szCs w:val="26"/>
        </w:rPr>
        <w:t xml:space="preserve"> b</w:t>
      </w:r>
      <w:r w:rsidR="00DB4CEE">
        <w:t xml:space="preserve">ecause </w:t>
      </w:r>
      <w:r w:rsidR="00B816C1">
        <w:t>the C</w:t>
      </w:r>
      <w:r w:rsidR="00DB4CEE">
        <w:t>omplainant’s income exceed</w:t>
      </w:r>
      <w:r w:rsidR="001C15FB">
        <w:t>ed</w:t>
      </w:r>
      <w:r w:rsidR="00DB4CEE">
        <w:t xml:space="preserve"> 300% of the F</w:t>
      </w:r>
      <w:r w:rsidR="007B18DE">
        <w:t>PL</w:t>
      </w:r>
      <w:r w:rsidR="001C15FB">
        <w:t>,</w:t>
      </w:r>
      <w:r w:rsidR="00DB4CEE">
        <w:t xml:space="preserve"> she would </w:t>
      </w:r>
      <w:r w:rsidR="001C15FB">
        <w:t xml:space="preserve">have </w:t>
      </w:r>
      <w:r w:rsidR="00DB4CEE">
        <w:t>need</w:t>
      </w:r>
      <w:r w:rsidR="001C15FB">
        <w:t>ed</w:t>
      </w:r>
      <w:r w:rsidR="00DB4CEE">
        <w:t xml:space="preserve"> to demonstrate a change in income of at least 20% </w:t>
      </w:r>
      <w:r w:rsidR="00DB4CEE">
        <w:rPr>
          <w:szCs w:val="26"/>
        </w:rPr>
        <w:t xml:space="preserve">to qualify for a </w:t>
      </w:r>
      <w:r w:rsidR="00475D98">
        <w:rPr>
          <w:szCs w:val="26"/>
        </w:rPr>
        <w:t>payment agreement</w:t>
      </w:r>
      <w:r w:rsidR="00DB4CEE">
        <w:rPr>
          <w:szCs w:val="26"/>
        </w:rPr>
        <w:t xml:space="preserve">. </w:t>
      </w:r>
      <w:r w:rsidR="00623BCF">
        <w:rPr>
          <w:szCs w:val="26"/>
        </w:rPr>
        <w:t xml:space="preserve">  </w:t>
      </w:r>
      <w:r w:rsidR="00DB4CEE">
        <w:rPr>
          <w:szCs w:val="26"/>
        </w:rPr>
        <w:t xml:space="preserve"> </w:t>
      </w:r>
      <w:r w:rsidR="00A83FB0">
        <w:rPr>
          <w:szCs w:val="26"/>
        </w:rPr>
        <w:t>I.D.</w:t>
      </w:r>
      <w:r w:rsidR="00623BCF">
        <w:rPr>
          <w:szCs w:val="26"/>
        </w:rPr>
        <w:t xml:space="preserve"> </w:t>
      </w:r>
      <w:r w:rsidR="00A83FB0">
        <w:rPr>
          <w:szCs w:val="26"/>
        </w:rPr>
        <w:t xml:space="preserve">at 9 (citing </w:t>
      </w:r>
      <w:r w:rsidR="00DB4CEE">
        <w:rPr>
          <w:szCs w:val="26"/>
        </w:rPr>
        <w:t>66 Pa. C.S. §</w:t>
      </w:r>
      <w:r w:rsidR="00AD571E">
        <w:rPr>
          <w:szCs w:val="26"/>
        </w:rPr>
        <w:t xml:space="preserve"> </w:t>
      </w:r>
      <w:r w:rsidR="00DB4CEE">
        <w:rPr>
          <w:szCs w:val="26"/>
        </w:rPr>
        <w:t>1403</w:t>
      </w:r>
      <w:r w:rsidR="00A83FB0">
        <w:rPr>
          <w:szCs w:val="26"/>
        </w:rPr>
        <w:t>)</w:t>
      </w:r>
      <w:r w:rsidR="00DB4CEE">
        <w:rPr>
          <w:szCs w:val="26"/>
        </w:rPr>
        <w:t>.</w:t>
      </w:r>
      <w:r w:rsidR="008B77D4">
        <w:rPr>
          <w:szCs w:val="26"/>
        </w:rPr>
        <w:t xml:space="preserve"> </w:t>
      </w:r>
    </w:p>
    <w:p w:rsidR="00A63122" w:rsidRDefault="00A63122" w:rsidP="00765ED9">
      <w:pPr>
        <w:ind w:firstLine="720"/>
        <w:rPr>
          <w:szCs w:val="26"/>
        </w:rPr>
      </w:pPr>
    </w:p>
    <w:p w:rsidR="0050178D" w:rsidRDefault="00A63122" w:rsidP="00765ED9">
      <w:pPr>
        <w:ind w:firstLine="720"/>
        <w:rPr>
          <w:szCs w:val="26"/>
        </w:rPr>
      </w:pPr>
      <w:r>
        <w:rPr>
          <w:szCs w:val="26"/>
        </w:rPr>
        <w:tab/>
      </w:r>
      <w:r w:rsidR="0046506B">
        <w:rPr>
          <w:szCs w:val="26"/>
        </w:rPr>
        <w:t xml:space="preserve">The ALJ </w:t>
      </w:r>
      <w:r w:rsidR="007B18DE">
        <w:rPr>
          <w:szCs w:val="26"/>
        </w:rPr>
        <w:t xml:space="preserve">took judicial notice of the Complainant’s 2008 household income of $7,962.85.  </w:t>
      </w:r>
      <w:r w:rsidR="00475D98">
        <w:rPr>
          <w:szCs w:val="26"/>
        </w:rPr>
        <w:t xml:space="preserve">I.D. at 8 (citing </w:t>
      </w:r>
      <w:r w:rsidR="00475D98">
        <w:rPr>
          <w:i/>
          <w:sz w:val="24"/>
        </w:rPr>
        <w:t xml:space="preserve">Randall v. PECO Energy </w:t>
      </w:r>
      <w:r w:rsidR="00475D98" w:rsidRPr="00A624CF">
        <w:rPr>
          <w:sz w:val="24"/>
        </w:rPr>
        <w:t>Company</w:t>
      </w:r>
      <w:r w:rsidR="00475D98">
        <w:rPr>
          <w:sz w:val="24"/>
        </w:rPr>
        <w:t xml:space="preserve">, </w:t>
      </w:r>
      <w:r w:rsidR="00475D98" w:rsidRPr="00B8033C">
        <w:rPr>
          <w:sz w:val="24"/>
        </w:rPr>
        <w:t>Docket</w:t>
      </w:r>
      <w:r w:rsidR="00475D98">
        <w:rPr>
          <w:sz w:val="24"/>
        </w:rPr>
        <w:t xml:space="preserve"> No. F</w:t>
      </w:r>
      <w:r w:rsidR="00475D98">
        <w:rPr>
          <w:sz w:val="24"/>
        </w:rPr>
        <w:noBreakHyphen/>
        <w:t>2008</w:t>
      </w:r>
      <w:r w:rsidR="00475D98">
        <w:rPr>
          <w:sz w:val="24"/>
        </w:rPr>
        <w:noBreakHyphen/>
        <w:t xml:space="preserve">2065525 (Order entered April 5, 2010), at 6).  </w:t>
      </w:r>
      <w:r w:rsidR="007B18DE">
        <w:rPr>
          <w:szCs w:val="26"/>
        </w:rPr>
        <w:t>When compared to the Complainant’s 2011 hous</w:t>
      </w:r>
      <w:r w:rsidR="00D5391B">
        <w:rPr>
          <w:szCs w:val="26"/>
        </w:rPr>
        <w:t>e</w:t>
      </w:r>
      <w:r w:rsidR="007B18DE">
        <w:rPr>
          <w:szCs w:val="26"/>
        </w:rPr>
        <w:t xml:space="preserve">hold income of $7,411.92, the result </w:t>
      </w:r>
      <w:r w:rsidR="00475D98">
        <w:rPr>
          <w:szCs w:val="26"/>
        </w:rPr>
        <w:t>wa</w:t>
      </w:r>
      <w:r w:rsidR="007B18DE">
        <w:rPr>
          <w:szCs w:val="26"/>
        </w:rPr>
        <w:t xml:space="preserve">s a decrease of 6.92%.  </w:t>
      </w:r>
      <w:r>
        <w:rPr>
          <w:szCs w:val="26"/>
        </w:rPr>
        <w:t>The ALJ</w:t>
      </w:r>
      <w:r w:rsidR="0053283A">
        <w:rPr>
          <w:szCs w:val="26"/>
        </w:rPr>
        <w:t xml:space="preserve"> found </w:t>
      </w:r>
      <w:r>
        <w:rPr>
          <w:szCs w:val="26"/>
        </w:rPr>
        <w:t xml:space="preserve">that </w:t>
      </w:r>
      <w:r w:rsidR="0053283A">
        <w:rPr>
          <w:szCs w:val="26"/>
        </w:rPr>
        <w:t xml:space="preserve">the </w:t>
      </w:r>
      <w:r w:rsidR="00D5391B">
        <w:rPr>
          <w:szCs w:val="26"/>
        </w:rPr>
        <w:t xml:space="preserve">decrease in the Complainant’s </w:t>
      </w:r>
      <w:r w:rsidR="0053283A">
        <w:rPr>
          <w:szCs w:val="26"/>
        </w:rPr>
        <w:t>household</w:t>
      </w:r>
      <w:r w:rsidR="008F5948">
        <w:rPr>
          <w:szCs w:val="26"/>
        </w:rPr>
        <w:t xml:space="preserve"> income </w:t>
      </w:r>
      <w:r>
        <w:rPr>
          <w:szCs w:val="26"/>
        </w:rPr>
        <w:t xml:space="preserve">was </w:t>
      </w:r>
      <w:r w:rsidR="00A35A8D">
        <w:rPr>
          <w:szCs w:val="26"/>
        </w:rPr>
        <w:t>no</w:t>
      </w:r>
      <w:r w:rsidR="0046506B">
        <w:rPr>
          <w:szCs w:val="26"/>
        </w:rPr>
        <w:t>t</w:t>
      </w:r>
      <w:r w:rsidR="00A35A8D">
        <w:rPr>
          <w:szCs w:val="26"/>
        </w:rPr>
        <w:t xml:space="preserve"> lega</w:t>
      </w:r>
      <w:r w:rsidR="0046506B">
        <w:rPr>
          <w:szCs w:val="26"/>
        </w:rPr>
        <w:t>l</w:t>
      </w:r>
      <w:r w:rsidR="00A35A8D">
        <w:rPr>
          <w:szCs w:val="26"/>
        </w:rPr>
        <w:t>l</w:t>
      </w:r>
      <w:r w:rsidR="0046506B">
        <w:rPr>
          <w:szCs w:val="26"/>
        </w:rPr>
        <w:t xml:space="preserve">y </w:t>
      </w:r>
      <w:r w:rsidR="00A35A8D">
        <w:rPr>
          <w:szCs w:val="26"/>
        </w:rPr>
        <w:t>significan</w:t>
      </w:r>
      <w:r w:rsidR="0046506B">
        <w:rPr>
          <w:szCs w:val="26"/>
        </w:rPr>
        <w:t>t</w:t>
      </w:r>
      <w:r w:rsidR="008F5948">
        <w:rPr>
          <w:szCs w:val="26"/>
        </w:rPr>
        <w:t xml:space="preserve"> </w:t>
      </w:r>
      <w:r w:rsidR="00D5391B">
        <w:rPr>
          <w:szCs w:val="26"/>
        </w:rPr>
        <w:t xml:space="preserve">to establish </w:t>
      </w:r>
      <w:r w:rsidR="008F5948">
        <w:rPr>
          <w:szCs w:val="26"/>
        </w:rPr>
        <w:t xml:space="preserve">a new payment </w:t>
      </w:r>
      <w:r w:rsidR="00475D98">
        <w:rPr>
          <w:szCs w:val="26"/>
        </w:rPr>
        <w:t>agreement</w:t>
      </w:r>
      <w:r w:rsidR="00A35A8D">
        <w:rPr>
          <w:szCs w:val="26"/>
        </w:rPr>
        <w:t xml:space="preserve">. </w:t>
      </w:r>
      <w:r w:rsidR="008F5948">
        <w:rPr>
          <w:szCs w:val="26"/>
        </w:rPr>
        <w:t xml:space="preserve"> The ALJ </w:t>
      </w:r>
      <w:r>
        <w:rPr>
          <w:szCs w:val="26"/>
        </w:rPr>
        <w:t xml:space="preserve">also </w:t>
      </w:r>
      <w:r w:rsidR="008F5948">
        <w:rPr>
          <w:szCs w:val="26"/>
        </w:rPr>
        <w:t>noted that</w:t>
      </w:r>
      <w:r w:rsidR="00475D98">
        <w:rPr>
          <w:szCs w:val="26"/>
        </w:rPr>
        <w:t>, because there was not a legally significant change in income,</w:t>
      </w:r>
      <w:r w:rsidR="008F5948">
        <w:rPr>
          <w:szCs w:val="26"/>
        </w:rPr>
        <w:t xml:space="preserve"> the Commission </w:t>
      </w:r>
      <w:r w:rsidR="00475D98">
        <w:rPr>
          <w:szCs w:val="26"/>
        </w:rPr>
        <w:t>wa</w:t>
      </w:r>
      <w:r w:rsidR="008F5948">
        <w:rPr>
          <w:szCs w:val="26"/>
        </w:rPr>
        <w:t>s prohibited</w:t>
      </w:r>
      <w:r w:rsidR="00D5391B">
        <w:rPr>
          <w:szCs w:val="26"/>
        </w:rPr>
        <w:t xml:space="preserve"> by Section 140</w:t>
      </w:r>
      <w:r w:rsidR="00475D98">
        <w:rPr>
          <w:szCs w:val="26"/>
        </w:rPr>
        <w:t>5</w:t>
      </w:r>
      <w:r w:rsidR="00D5391B">
        <w:rPr>
          <w:szCs w:val="26"/>
        </w:rPr>
        <w:t>(d) of the Code</w:t>
      </w:r>
      <w:r w:rsidR="00475D98">
        <w:rPr>
          <w:szCs w:val="26"/>
        </w:rPr>
        <w:t>, 66 Pa. C.S. § 1405(d),</w:t>
      </w:r>
      <w:r w:rsidR="008F5948">
        <w:rPr>
          <w:szCs w:val="26"/>
        </w:rPr>
        <w:t xml:space="preserve"> from granting a payment agreement in the instant proceeding.  </w:t>
      </w:r>
      <w:r w:rsidR="00A35A8D">
        <w:rPr>
          <w:szCs w:val="26"/>
        </w:rPr>
        <w:t xml:space="preserve"> </w:t>
      </w:r>
      <w:r w:rsidR="008F5948" w:rsidRPr="00D5391B">
        <w:rPr>
          <w:szCs w:val="26"/>
        </w:rPr>
        <w:t>I</w:t>
      </w:r>
      <w:r w:rsidR="00D5391B">
        <w:rPr>
          <w:szCs w:val="26"/>
        </w:rPr>
        <w:t>.</w:t>
      </w:r>
      <w:r w:rsidR="008F5948" w:rsidRPr="00D5391B">
        <w:rPr>
          <w:szCs w:val="26"/>
        </w:rPr>
        <w:t>D</w:t>
      </w:r>
      <w:r w:rsidR="00D5391B">
        <w:rPr>
          <w:szCs w:val="26"/>
        </w:rPr>
        <w:t>.</w:t>
      </w:r>
      <w:r w:rsidR="008F5948">
        <w:rPr>
          <w:szCs w:val="26"/>
        </w:rPr>
        <w:t xml:space="preserve"> at 9.</w:t>
      </w:r>
    </w:p>
    <w:p w:rsidR="00200D2A" w:rsidRDefault="00200D2A" w:rsidP="00765ED9">
      <w:pPr>
        <w:ind w:firstLine="720"/>
        <w:rPr>
          <w:szCs w:val="26"/>
        </w:rPr>
      </w:pPr>
    </w:p>
    <w:p w:rsidR="00765ED9" w:rsidRPr="008B77D4" w:rsidRDefault="00244754" w:rsidP="008B77D4">
      <w:pPr>
        <w:keepNext/>
        <w:ind w:firstLine="0"/>
        <w:rPr>
          <w:b/>
          <w:szCs w:val="26"/>
        </w:rPr>
      </w:pPr>
      <w:r>
        <w:rPr>
          <w:b/>
          <w:szCs w:val="26"/>
        </w:rPr>
        <w:lastRenderedPageBreak/>
        <w:tab/>
        <w:t>D.</w:t>
      </w:r>
      <w:r>
        <w:rPr>
          <w:b/>
          <w:szCs w:val="26"/>
        </w:rPr>
        <w:tab/>
        <w:t xml:space="preserve">The </w:t>
      </w:r>
      <w:r w:rsidR="008B77D4">
        <w:rPr>
          <w:b/>
          <w:szCs w:val="26"/>
        </w:rPr>
        <w:t xml:space="preserve">Complainant’s </w:t>
      </w:r>
      <w:r>
        <w:rPr>
          <w:b/>
          <w:szCs w:val="26"/>
        </w:rPr>
        <w:t>Exceptions</w:t>
      </w:r>
    </w:p>
    <w:p w:rsidR="00765ED9" w:rsidRDefault="00765ED9" w:rsidP="008B77D4">
      <w:pPr>
        <w:keepNext/>
        <w:ind w:firstLine="0"/>
        <w:rPr>
          <w:rFonts w:ascii="Times New (W1)" w:hAnsi="Times New (W1)"/>
        </w:rPr>
      </w:pPr>
    </w:p>
    <w:p w:rsidR="00765ED9" w:rsidRPr="00765ED9" w:rsidRDefault="00765ED9" w:rsidP="00765ED9">
      <w:pPr>
        <w:ind w:firstLine="0"/>
        <w:rPr>
          <w:rFonts w:ascii="Times New (W1)" w:eastAsiaTheme="minorHAnsi" w:hAnsi="Times New (W1)" w:cstheme="minorBidi"/>
          <w:szCs w:val="26"/>
        </w:rPr>
      </w:pPr>
      <w:r>
        <w:rPr>
          <w:rFonts w:ascii="Times New (W1)" w:hAnsi="Times New (W1)"/>
        </w:rPr>
        <w:tab/>
      </w:r>
      <w:r>
        <w:rPr>
          <w:rFonts w:ascii="Times New (W1)" w:hAnsi="Times New (W1)"/>
        </w:rPr>
        <w:tab/>
      </w:r>
      <w:r w:rsidRPr="00765ED9">
        <w:rPr>
          <w:rFonts w:ascii="Times New (W1)" w:hAnsi="Times New (W1)"/>
        </w:rPr>
        <w:t xml:space="preserve">As a preliminary matter, we note that any issue or Exception that we do not specifically address shall be deemed to have been duly considered and denied without further discussion.  It is well settled that the Commission is not required to consider, expressly or at length, each contention or argument raised by the parties. </w:t>
      </w:r>
      <w:r w:rsidRPr="00765ED9">
        <w:rPr>
          <w:rFonts w:ascii="Times New (W1)" w:hAnsi="Times New (W1)"/>
          <w:i/>
        </w:rPr>
        <w:t xml:space="preserve"> Consolidated Rail Corp. v. </w:t>
      </w:r>
      <w:smartTag w:uri="urn:schemas-microsoft-com:office:smarttags" w:element="State">
        <w:r w:rsidRPr="00765ED9">
          <w:rPr>
            <w:rFonts w:ascii="Times New (W1)" w:hAnsi="Times New (W1)"/>
            <w:i/>
          </w:rPr>
          <w:t>Pennsylvania</w:t>
        </w:r>
      </w:smartTag>
      <w:r w:rsidRPr="00765ED9">
        <w:rPr>
          <w:rFonts w:ascii="Times New (W1)" w:hAnsi="Times New (W1)"/>
          <w:i/>
        </w:rPr>
        <w:t xml:space="preserve"> Public Utility Commission</w:t>
      </w:r>
      <w:r w:rsidRPr="00765ED9">
        <w:rPr>
          <w:rFonts w:ascii="Times New (W1)" w:hAnsi="Times New (W1)"/>
        </w:rPr>
        <w:t>, 625 A.2d 741 (</w:t>
      </w:r>
      <w:smartTag w:uri="urn:schemas-microsoft-com:office:smarttags" w:element="State">
        <w:smartTag w:uri="urn:schemas-microsoft-com:office:smarttags" w:element="place">
          <w:r w:rsidRPr="00765ED9">
            <w:rPr>
              <w:rFonts w:ascii="Times New (W1)" w:hAnsi="Times New (W1)"/>
            </w:rPr>
            <w:t>Pa.</w:t>
          </w:r>
        </w:smartTag>
      </w:smartTag>
      <w:r w:rsidRPr="00765ED9">
        <w:rPr>
          <w:rFonts w:ascii="Times New (W1)" w:hAnsi="Times New (W1)"/>
        </w:rPr>
        <w:t xml:space="preserve"> Cmwlth. 1993); </w:t>
      </w:r>
      <w:r w:rsidRPr="00765ED9">
        <w:rPr>
          <w:rFonts w:ascii="Times New (W1)" w:eastAsiaTheme="minorHAnsi" w:hAnsi="Times New (W1)" w:cstheme="minorBidi"/>
          <w:i/>
          <w:szCs w:val="26"/>
        </w:rPr>
        <w:t>see also</w:t>
      </w:r>
      <w:r w:rsidRPr="00765ED9">
        <w:rPr>
          <w:rFonts w:ascii="Times New (W1)" w:eastAsiaTheme="minorHAnsi" w:hAnsi="Times New (W1)" w:cstheme="minorBidi"/>
          <w:szCs w:val="26"/>
        </w:rPr>
        <w:t xml:space="preserve">, </w:t>
      </w:r>
      <w:r w:rsidRPr="00765ED9">
        <w:rPr>
          <w:rFonts w:ascii="Times New (W1)" w:eastAsiaTheme="minorHAnsi" w:hAnsi="Times New (W1)" w:cstheme="minorBidi"/>
          <w:i/>
          <w:szCs w:val="26"/>
        </w:rPr>
        <w:t>generally</w:t>
      </w:r>
      <w:r w:rsidRPr="00765ED9">
        <w:rPr>
          <w:rFonts w:ascii="Times New (W1)" w:eastAsiaTheme="minorHAnsi" w:hAnsi="Times New (W1)" w:cstheme="minorBidi"/>
          <w:szCs w:val="26"/>
        </w:rPr>
        <w:t xml:space="preserve">, </w:t>
      </w:r>
      <w:r w:rsidRPr="00765ED9">
        <w:rPr>
          <w:rFonts w:ascii="Times New (W1)" w:eastAsiaTheme="minorHAnsi" w:hAnsi="Times New (W1)" w:cstheme="minorBidi"/>
          <w:i/>
          <w:szCs w:val="26"/>
        </w:rPr>
        <w:t>University of Pennsylvania v. Pa. PUC</w:t>
      </w:r>
      <w:r w:rsidRPr="00765ED9">
        <w:rPr>
          <w:rFonts w:ascii="Times New (W1)" w:eastAsiaTheme="minorHAnsi" w:hAnsi="Times New (W1)" w:cstheme="minorBidi"/>
          <w:szCs w:val="26"/>
        </w:rPr>
        <w:t xml:space="preserve">, 485 A.2d 1217 </w:t>
      </w:r>
      <w:r w:rsidR="00623BCF">
        <w:rPr>
          <w:rFonts w:ascii="Times New (W1)" w:eastAsiaTheme="minorHAnsi" w:hAnsi="Times New (W1)" w:cstheme="minorBidi"/>
          <w:szCs w:val="26"/>
        </w:rPr>
        <w:t xml:space="preserve">     </w:t>
      </w:r>
      <w:r w:rsidRPr="00765ED9">
        <w:rPr>
          <w:rFonts w:ascii="Times New (W1)" w:eastAsiaTheme="minorHAnsi" w:hAnsi="Times New (W1)" w:cstheme="minorBidi"/>
          <w:szCs w:val="26"/>
        </w:rPr>
        <w:t>(Pa. Cmwlth. 1984).</w:t>
      </w:r>
    </w:p>
    <w:p w:rsidR="00244754" w:rsidRPr="00803FD5" w:rsidRDefault="00244754" w:rsidP="00765ED9">
      <w:pPr>
        <w:keepNext/>
        <w:ind w:firstLine="0"/>
        <w:rPr>
          <w:b/>
          <w:szCs w:val="26"/>
        </w:rPr>
      </w:pPr>
    </w:p>
    <w:p w:rsidR="00336227" w:rsidRDefault="00336227" w:rsidP="00765ED9">
      <w:pPr>
        <w:rPr>
          <w:rFonts w:ascii="Times New (W1)" w:hAnsi="Times New (W1)"/>
          <w:szCs w:val="26"/>
        </w:rPr>
      </w:pPr>
      <w:r>
        <w:rPr>
          <w:rFonts w:ascii="Times New (W1)" w:hAnsi="Times New (W1)"/>
          <w:szCs w:val="26"/>
        </w:rPr>
        <w:t>The Complainant’s Exceptions consist of two type-written sheets</w:t>
      </w:r>
      <w:r w:rsidR="00EF3477">
        <w:rPr>
          <w:rFonts w:ascii="Times New (W1)" w:hAnsi="Times New (W1)"/>
          <w:szCs w:val="26"/>
        </w:rPr>
        <w:t xml:space="preserve"> consisting</w:t>
      </w:r>
      <w:r w:rsidR="00765ED9">
        <w:rPr>
          <w:rFonts w:ascii="Times New (W1)" w:hAnsi="Times New (W1)"/>
          <w:szCs w:val="26"/>
        </w:rPr>
        <w:t xml:space="preserve"> of </w:t>
      </w:r>
      <w:r w:rsidR="00F31D7D">
        <w:rPr>
          <w:rFonts w:ascii="Times New (W1)" w:hAnsi="Times New (W1)"/>
          <w:szCs w:val="26"/>
        </w:rPr>
        <w:t xml:space="preserve">narration of several prior payment arrangements she had with PECO and </w:t>
      </w:r>
      <w:r w:rsidR="00765ED9">
        <w:rPr>
          <w:rFonts w:ascii="Times New (W1)" w:hAnsi="Times New (W1)"/>
          <w:szCs w:val="26"/>
        </w:rPr>
        <w:t xml:space="preserve">her </w:t>
      </w:r>
      <w:r w:rsidR="00F31D7D">
        <w:rPr>
          <w:rFonts w:ascii="Times New (W1)" w:hAnsi="Times New (W1)"/>
          <w:szCs w:val="26"/>
        </w:rPr>
        <w:t>a</w:t>
      </w:r>
      <w:r w:rsidR="00EF3477">
        <w:rPr>
          <w:rFonts w:ascii="Times New (W1)" w:hAnsi="Times New (W1)"/>
          <w:szCs w:val="26"/>
        </w:rPr>
        <w:t>lleged</w:t>
      </w:r>
      <w:r w:rsidR="00F31D7D">
        <w:rPr>
          <w:rFonts w:ascii="Times New (W1)" w:hAnsi="Times New (W1)"/>
          <w:szCs w:val="26"/>
        </w:rPr>
        <w:t xml:space="preserve"> </w:t>
      </w:r>
      <w:r w:rsidR="00EF3477">
        <w:rPr>
          <w:rFonts w:ascii="Times New (W1)" w:hAnsi="Times New (W1)"/>
          <w:szCs w:val="26"/>
        </w:rPr>
        <w:t>compliance</w:t>
      </w:r>
      <w:r w:rsidR="00F31D7D">
        <w:rPr>
          <w:rFonts w:ascii="Times New (W1)" w:hAnsi="Times New (W1)"/>
          <w:szCs w:val="26"/>
        </w:rPr>
        <w:t xml:space="preserve"> to those agreements</w:t>
      </w:r>
      <w:r w:rsidR="00765ED9">
        <w:rPr>
          <w:rFonts w:ascii="Times New (W1)" w:hAnsi="Times New (W1)"/>
          <w:szCs w:val="26"/>
        </w:rPr>
        <w:t xml:space="preserve">.  The Exceptions do not specifically contest </w:t>
      </w:r>
      <w:r w:rsidR="00EE6249">
        <w:rPr>
          <w:rFonts w:ascii="Times New (W1)" w:hAnsi="Times New (W1)"/>
          <w:szCs w:val="26"/>
        </w:rPr>
        <w:t xml:space="preserve">any conclusions or Finding of Facts in </w:t>
      </w:r>
      <w:r w:rsidR="00803FD5">
        <w:rPr>
          <w:rFonts w:ascii="Times New (W1)" w:hAnsi="Times New (W1)"/>
          <w:szCs w:val="26"/>
        </w:rPr>
        <w:t>the ALJ’s Initial Decision</w:t>
      </w:r>
      <w:r>
        <w:rPr>
          <w:rFonts w:ascii="Times New (W1)" w:hAnsi="Times New (W1)"/>
          <w:szCs w:val="26"/>
        </w:rPr>
        <w:t xml:space="preserve">.  </w:t>
      </w:r>
    </w:p>
    <w:p w:rsidR="00803FD5" w:rsidRDefault="00803FD5" w:rsidP="00765ED9"/>
    <w:p w:rsidR="001B6D58" w:rsidRDefault="001B6D58" w:rsidP="00765ED9">
      <w:r>
        <w:t xml:space="preserve">In her </w:t>
      </w:r>
      <w:r w:rsidR="00765ED9">
        <w:t>E</w:t>
      </w:r>
      <w:r>
        <w:t xml:space="preserve">xceptions, the Complainant </w:t>
      </w:r>
      <w:r w:rsidR="00803FD5">
        <w:t xml:space="preserve">also </w:t>
      </w:r>
      <w:r>
        <w:t xml:space="preserve">points out </w:t>
      </w:r>
      <w:r w:rsidR="00D5391B">
        <w:t>an</w:t>
      </w:r>
      <w:r>
        <w:t xml:space="preserve"> error in </w:t>
      </w:r>
      <w:r w:rsidR="001C780F">
        <w:t xml:space="preserve">the ALJ’s </w:t>
      </w:r>
      <w:r w:rsidR="00D5391B">
        <w:t xml:space="preserve">Findings of Fact Numbers 7 and 8 regarding household income provided by her husband and son.  </w:t>
      </w:r>
      <w:r>
        <w:t>The Complainant clarifie</w:t>
      </w:r>
      <w:r w:rsidR="001C780F">
        <w:t>s</w:t>
      </w:r>
      <w:r>
        <w:t xml:space="preserve"> that her husband’s Gross monthly income was $6,643.92</w:t>
      </w:r>
      <w:r w:rsidR="001C780F">
        <w:t>,</w:t>
      </w:r>
      <w:r>
        <w:t xml:space="preserve"> </w:t>
      </w:r>
      <w:r w:rsidR="001C780F">
        <w:t xml:space="preserve">and that her son’s unemployment compensation </w:t>
      </w:r>
      <w:r w:rsidR="00D5391B">
        <w:t xml:space="preserve">was </w:t>
      </w:r>
      <w:r>
        <w:t xml:space="preserve">$768 per month.  The Complainant also </w:t>
      </w:r>
      <w:r w:rsidR="004E0D29">
        <w:t xml:space="preserve">submits </w:t>
      </w:r>
      <w:r>
        <w:t>that debt older than four years does</w:t>
      </w:r>
      <w:r w:rsidR="001C780F">
        <w:t xml:space="preserve"> not have to be paid.  </w:t>
      </w:r>
      <w:r w:rsidR="00623BCF">
        <w:t xml:space="preserve">    </w:t>
      </w:r>
      <w:r w:rsidR="001C780F">
        <w:t xml:space="preserve">Exc. </w:t>
      </w:r>
      <w:r w:rsidR="00D5391B">
        <w:t>Nos.</w:t>
      </w:r>
      <w:r w:rsidR="001C780F">
        <w:t xml:space="preserve"> 2-4.</w:t>
      </w:r>
    </w:p>
    <w:p w:rsidR="001B6D58" w:rsidRDefault="001B6D58" w:rsidP="00765ED9"/>
    <w:p w:rsidR="00FA1D6F" w:rsidRDefault="004E0D29" w:rsidP="00765ED9">
      <w:r>
        <w:t>B</w:t>
      </w:r>
      <w:r w:rsidR="00D5391B">
        <w:t>ased upon her net monthly household income</w:t>
      </w:r>
      <w:r w:rsidR="00FF145D">
        <w:t>,</w:t>
      </w:r>
      <w:r w:rsidR="00D5391B">
        <w:t xml:space="preserve"> </w:t>
      </w:r>
      <w:r>
        <w:t xml:space="preserve">the Complainant argues that </w:t>
      </w:r>
      <w:r w:rsidR="001B6D58">
        <w:t>it is</w:t>
      </w:r>
      <w:r w:rsidR="00FA1D6F">
        <w:t xml:space="preserve"> impossible </w:t>
      </w:r>
      <w:r w:rsidR="00A63122">
        <w:t xml:space="preserve">for her </w:t>
      </w:r>
      <w:r w:rsidR="00FA1D6F">
        <w:t xml:space="preserve">to pay </w:t>
      </w:r>
      <w:r w:rsidR="00A63122">
        <w:t xml:space="preserve">the amount </w:t>
      </w:r>
      <w:r w:rsidR="00F63F44">
        <w:t xml:space="preserve">that </w:t>
      </w:r>
      <w:r>
        <w:t xml:space="preserve">the Commission directed in the proceeding at </w:t>
      </w:r>
      <w:r w:rsidR="00F63F44">
        <w:t>Docket No. F-2008-2065525</w:t>
      </w:r>
      <w:r>
        <w:t>.  I</w:t>
      </w:r>
      <w:r w:rsidR="00A16F97">
        <w:t>nstead</w:t>
      </w:r>
      <w:r w:rsidR="00FF145D">
        <w:t>,</w:t>
      </w:r>
      <w:r w:rsidR="00FA1D6F">
        <w:t xml:space="preserve"> she </w:t>
      </w:r>
      <w:r>
        <w:t xml:space="preserve">claims she </w:t>
      </w:r>
      <w:r w:rsidR="00A63122">
        <w:t>is</w:t>
      </w:r>
      <w:r w:rsidR="00FA1D6F">
        <w:t xml:space="preserve"> willing to pay up to $200</w:t>
      </w:r>
      <w:r w:rsidR="001C780F">
        <w:t xml:space="preserve"> </w:t>
      </w:r>
      <w:r>
        <w:t>per</w:t>
      </w:r>
      <w:r w:rsidR="001C780F">
        <w:t xml:space="preserve"> month</w:t>
      </w:r>
      <w:r w:rsidR="00FA1D6F">
        <w:t xml:space="preserve"> plus monthly </w:t>
      </w:r>
      <w:r w:rsidR="001C780F">
        <w:t>charges</w:t>
      </w:r>
      <w:r w:rsidR="00FA1D6F">
        <w:t>.</w:t>
      </w:r>
      <w:r w:rsidR="001B6D58">
        <w:t xml:space="preserve">  </w:t>
      </w:r>
      <w:r w:rsidR="001C780F">
        <w:t xml:space="preserve">Exc. </w:t>
      </w:r>
      <w:r w:rsidR="00D5391B">
        <w:t>Nos.</w:t>
      </w:r>
      <w:r w:rsidR="001C780F">
        <w:t xml:space="preserve"> 8,</w:t>
      </w:r>
      <w:r w:rsidR="00A16F97">
        <w:t xml:space="preserve"> </w:t>
      </w:r>
      <w:r w:rsidR="001C780F">
        <w:t>9.</w:t>
      </w:r>
    </w:p>
    <w:p w:rsidR="00FA1D6F" w:rsidRDefault="00FA1D6F" w:rsidP="00765ED9"/>
    <w:p w:rsidR="00F63AC6" w:rsidRDefault="005F7B80" w:rsidP="00765ED9">
      <w:r>
        <w:t xml:space="preserve">In reply, </w:t>
      </w:r>
      <w:r w:rsidR="009F5672">
        <w:t>PECO</w:t>
      </w:r>
      <w:r w:rsidR="003D1749">
        <w:t xml:space="preserve"> </w:t>
      </w:r>
      <w:r w:rsidR="00FF145D">
        <w:t>avers that</w:t>
      </w:r>
      <w:r w:rsidR="003D1749">
        <w:t xml:space="preserve"> the Co</w:t>
      </w:r>
      <w:r w:rsidR="0053283A">
        <w:t xml:space="preserve">mplainant </w:t>
      </w:r>
      <w:r w:rsidR="00FF145D">
        <w:t>did not meet her</w:t>
      </w:r>
      <w:r w:rsidR="0053283A">
        <w:t xml:space="preserve"> burden of proof to demonstrate to the Commission that she qualifie</w:t>
      </w:r>
      <w:r w:rsidR="004E0D29">
        <w:t>s</w:t>
      </w:r>
      <w:r w:rsidR="0053283A">
        <w:t xml:space="preserve"> for a Com</w:t>
      </w:r>
      <w:r w:rsidR="003D1749">
        <w:t>mission</w:t>
      </w:r>
      <w:r w:rsidR="004E0D29">
        <w:t>-</w:t>
      </w:r>
      <w:r w:rsidR="0053283A">
        <w:t xml:space="preserve">ordered </w:t>
      </w:r>
      <w:r w:rsidR="0053283A">
        <w:lastRenderedPageBreak/>
        <w:t xml:space="preserve">payment arrangement </w:t>
      </w:r>
      <w:r w:rsidR="00A16F97">
        <w:t>due to</w:t>
      </w:r>
      <w:r w:rsidR="0053283A">
        <w:t xml:space="preserve"> a change in household income.  </w:t>
      </w:r>
      <w:r w:rsidR="00FF145D">
        <w:t xml:space="preserve">R. Exc. at 9.  </w:t>
      </w:r>
      <w:r w:rsidR="0053283A">
        <w:t xml:space="preserve">PECO notes that the Complainant offered evidence consisting of her </w:t>
      </w:r>
      <w:r w:rsidR="00A16F97">
        <w:t>testimony</w:t>
      </w:r>
      <w:r w:rsidR="0053283A">
        <w:t xml:space="preserve"> and two exhibits ref</w:t>
      </w:r>
      <w:r w:rsidR="00A16F97">
        <w:t>l</w:t>
      </w:r>
      <w:r w:rsidR="0053283A">
        <w:t>ect</w:t>
      </w:r>
      <w:r w:rsidR="00FF145D">
        <w:t>ing</w:t>
      </w:r>
      <w:r w:rsidR="0053283A">
        <w:t xml:space="preserve"> a gross household income of approximately $7,425.</w:t>
      </w:r>
    </w:p>
    <w:p w:rsidR="00F63AC6" w:rsidRDefault="00F63AC6" w:rsidP="00765ED9"/>
    <w:p w:rsidR="00A16F97" w:rsidRDefault="00C74A90" w:rsidP="00765ED9">
      <w:r>
        <w:t xml:space="preserve">PECO </w:t>
      </w:r>
      <w:r w:rsidR="004E0D29">
        <w:t xml:space="preserve">contends that </w:t>
      </w:r>
      <w:r>
        <w:t>while the Complainant’s household income in 2011 decreased to $7,411.92</w:t>
      </w:r>
      <w:r w:rsidR="004E0D29">
        <w:t>,</w:t>
      </w:r>
      <w:r>
        <w:t xml:space="preserve"> and the family size decreased to three household members, </w:t>
      </w:r>
      <w:r w:rsidR="004E0D29">
        <w:t xml:space="preserve">this is not </w:t>
      </w:r>
      <w:r w:rsidR="009E2AAE">
        <w:t xml:space="preserve">a </w:t>
      </w:r>
      <w:r>
        <w:t>sufficient</w:t>
      </w:r>
      <w:r w:rsidR="00052237">
        <w:t xml:space="preserve"> </w:t>
      </w:r>
      <w:r w:rsidR="009E2AAE">
        <w:t xml:space="preserve">decrease </w:t>
      </w:r>
      <w:r w:rsidR="00B8689D">
        <w:t xml:space="preserve">in household income </w:t>
      </w:r>
      <w:r w:rsidR="00052237">
        <w:t>for the Commission to order a payment agreement</w:t>
      </w:r>
      <w:r>
        <w:t xml:space="preserve">.  </w:t>
      </w:r>
      <w:r w:rsidR="009E2AAE">
        <w:t xml:space="preserve">PECO </w:t>
      </w:r>
      <w:r w:rsidR="00B8689D">
        <w:t>submits that</w:t>
      </w:r>
      <w:r w:rsidR="009E2AAE">
        <w:t>, s</w:t>
      </w:r>
      <w:r>
        <w:t>ince the Complainant’s income exceed</w:t>
      </w:r>
      <w:r w:rsidR="009E2AAE">
        <w:t>ed</w:t>
      </w:r>
      <w:r>
        <w:t xml:space="preserve"> 300% of the Federal poverty level</w:t>
      </w:r>
      <w:r w:rsidR="009E2AAE">
        <w:t>,</w:t>
      </w:r>
      <w:r>
        <w:t xml:space="preserve"> she </w:t>
      </w:r>
      <w:r w:rsidR="00B8689D">
        <w:t>is r</w:t>
      </w:r>
      <w:r w:rsidR="009E2AAE">
        <w:t>equired</w:t>
      </w:r>
      <w:r>
        <w:t xml:space="preserve"> to demonstrate a change in income of at least 20%.  </w:t>
      </w:r>
      <w:r w:rsidR="00B8689D">
        <w:t>However, t</w:t>
      </w:r>
      <w:r>
        <w:t xml:space="preserve">he percentage change in </w:t>
      </w:r>
      <w:r w:rsidR="00B8689D">
        <w:t xml:space="preserve">the </w:t>
      </w:r>
      <w:r>
        <w:t xml:space="preserve">Complainant’s income </w:t>
      </w:r>
      <w:r w:rsidR="009E2AAE">
        <w:t>wa</w:t>
      </w:r>
      <w:r>
        <w:t xml:space="preserve">s only 6.92%, which </w:t>
      </w:r>
      <w:r w:rsidR="00B8689D">
        <w:t xml:space="preserve">PECO claims </w:t>
      </w:r>
      <w:r>
        <w:t xml:space="preserve">is significantly less than the 20% change in income needed to qualify for a Commission payment agreement. </w:t>
      </w:r>
      <w:r w:rsidR="009E2AAE">
        <w:t xml:space="preserve"> </w:t>
      </w:r>
      <w:r>
        <w:t>R. Exc. at 8.</w:t>
      </w:r>
      <w:r w:rsidR="0053283A">
        <w:t xml:space="preserve"> </w:t>
      </w:r>
    </w:p>
    <w:p w:rsidR="002A4D7C" w:rsidRDefault="002A4D7C" w:rsidP="00765ED9"/>
    <w:p w:rsidR="00D5391B" w:rsidRPr="00F63AC6" w:rsidRDefault="00244754" w:rsidP="00765ED9">
      <w:pPr>
        <w:keepNext/>
        <w:ind w:firstLine="0"/>
        <w:rPr>
          <w:b/>
        </w:rPr>
      </w:pPr>
      <w:r>
        <w:rPr>
          <w:b/>
        </w:rPr>
        <w:tab/>
        <w:t>F.</w:t>
      </w:r>
      <w:r>
        <w:rPr>
          <w:b/>
        </w:rPr>
        <w:tab/>
      </w:r>
      <w:r w:rsidR="009E2AAE" w:rsidRPr="00F63AC6">
        <w:rPr>
          <w:b/>
        </w:rPr>
        <w:t>Disposition</w:t>
      </w:r>
    </w:p>
    <w:p w:rsidR="009E2AAE" w:rsidRDefault="009E2AAE" w:rsidP="00765ED9">
      <w:pPr>
        <w:keepNext/>
      </w:pPr>
    </w:p>
    <w:p w:rsidR="002A4D7C" w:rsidRDefault="0007691C" w:rsidP="00765ED9">
      <w:pPr>
        <w:keepNext/>
        <w:rPr>
          <w:szCs w:val="26"/>
        </w:rPr>
      </w:pPr>
      <w:r>
        <w:t xml:space="preserve"> </w:t>
      </w:r>
      <w:r w:rsidR="00B8344A">
        <w:t xml:space="preserve">We agree with the ALJ’s finding </w:t>
      </w:r>
      <w:r w:rsidR="00B8689D">
        <w:t xml:space="preserve">and PECO’s Replies to the Complainant’s Exceptions </w:t>
      </w:r>
      <w:r w:rsidR="00B8344A">
        <w:t>that the Complainant</w:t>
      </w:r>
      <w:r w:rsidR="00F4178E">
        <w:t xml:space="preserve"> failed to sustain her burden of proof.  T</w:t>
      </w:r>
      <w:r w:rsidR="009777BA">
        <w:rPr>
          <w:szCs w:val="26"/>
        </w:rPr>
        <w:t>he Complainant verified her</w:t>
      </w:r>
      <w:r w:rsidR="009777BA" w:rsidRPr="00BE68ED">
        <w:rPr>
          <w:szCs w:val="26"/>
        </w:rPr>
        <w:t xml:space="preserve"> monthly gross household income</w:t>
      </w:r>
      <w:r w:rsidR="00F4178E">
        <w:rPr>
          <w:szCs w:val="26"/>
        </w:rPr>
        <w:t xml:space="preserve"> </w:t>
      </w:r>
      <w:r w:rsidR="00B8689D">
        <w:rPr>
          <w:szCs w:val="26"/>
        </w:rPr>
        <w:t xml:space="preserve">was </w:t>
      </w:r>
      <w:r w:rsidR="00F4178E">
        <w:rPr>
          <w:szCs w:val="26"/>
        </w:rPr>
        <w:t xml:space="preserve">$7,962.85. </w:t>
      </w:r>
      <w:r w:rsidR="00B8689D">
        <w:rPr>
          <w:szCs w:val="26"/>
        </w:rPr>
        <w:t xml:space="preserve"> </w:t>
      </w:r>
      <w:r w:rsidR="009777BA" w:rsidRPr="00BE68ED">
        <w:rPr>
          <w:szCs w:val="26"/>
        </w:rPr>
        <w:t>A</w:t>
      </w:r>
      <w:r w:rsidR="00B8689D">
        <w:rPr>
          <w:szCs w:val="26"/>
        </w:rPr>
        <w:t> </w:t>
      </w:r>
      <w:r w:rsidR="009777BA" w:rsidRPr="00BE68ED">
        <w:rPr>
          <w:szCs w:val="26"/>
        </w:rPr>
        <w:t>household consisting of t</w:t>
      </w:r>
      <w:r w:rsidR="00C77B04">
        <w:rPr>
          <w:szCs w:val="26"/>
        </w:rPr>
        <w:t>hree</w:t>
      </w:r>
      <w:r w:rsidR="009777BA" w:rsidRPr="00BE68ED">
        <w:rPr>
          <w:szCs w:val="26"/>
        </w:rPr>
        <w:t xml:space="preserve"> adults</w:t>
      </w:r>
      <w:r w:rsidR="00C77B04">
        <w:rPr>
          <w:szCs w:val="26"/>
        </w:rPr>
        <w:t xml:space="preserve"> </w:t>
      </w:r>
      <w:r w:rsidR="009777BA" w:rsidRPr="00BE68ED">
        <w:rPr>
          <w:szCs w:val="26"/>
        </w:rPr>
        <w:t>with a combined monthly gross income of $</w:t>
      </w:r>
      <w:r w:rsidR="009777BA">
        <w:rPr>
          <w:szCs w:val="26"/>
        </w:rPr>
        <w:t xml:space="preserve">7,962.85 exceeds 300 percent </w:t>
      </w:r>
      <w:r w:rsidR="00C77B04">
        <w:rPr>
          <w:szCs w:val="26"/>
        </w:rPr>
        <w:t>of the FPL</w:t>
      </w:r>
      <w:r w:rsidR="009777BA">
        <w:rPr>
          <w:szCs w:val="26"/>
        </w:rPr>
        <w:t xml:space="preserve">.  </w:t>
      </w:r>
      <w:r w:rsidR="00F4178E">
        <w:t xml:space="preserve">The percentage change in Complainant’s income is only 6.92%, which is significantly less than the 20% change in income </w:t>
      </w:r>
      <w:r w:rsidR="00114270">
        <w:t>t</w:t>
      </w:r>
      <w:r w:rsidR="00D37F3D">
        <w:t>h</w:t>
      </w:r>
      <w:r w:rsidR="00114270">
        <w:t>at</w:t>
      </w:r>
      <w:r w:rsidR="00D37F3D">
        <w:t xml:space="preserve"> is required by Section</w:t>
      </w:r>
      <w:r w:rsidR="00114270">
        <w:t>s</w:t>
      </w:r>
      <w:r w:rsidR="00D37F3D">
        <w:t xml:space="preserve"> 1</w:t>
      </w:r>
      <w:r w:rsidR="00114270">
        <w:t>405(d) and 1403 of the Code, 66 Pa.</w:t>
      </w:r>
      <w:r w:rsidR="0055012E">
        <w:t xml:space="preserve"> </w:t>
      </w:r>
      <w:r w:rsidR="00114270">
        <w:t>C.S. §§ 1405(d) and 1403</w:t>
      </w:r>
      <w:r w:rsidR="00162FF8">
        <w:t>,</w:t>
      </w:r>
      <w:r w:rsidR="00114270">
        <w:t xml:space="preserve"> </w:t>
      </w:r>
      <w:r w:rsidR="00F4178E">
        <w:t xml:space="preserve"> </w:t>
      </w:r>
      <w:r w:rsidR="00114270">
        <w:t xml:space="preserve">in order for a customer </w:t>
      </w:r>
      <w:r w:rsidR="00F4178E">
        <w:t xml:space="preserve">to qualify for a Commission payment agreement.  </w:t>
      </w:r>
      <w:r w:rsidR="009777BA" w:rsidRPr="00BE68ED">
        <w:rPr>
          <w:szCs w:val="26"/>
        </w:rPr>
        <w:t xml:space="preserve">Therefore, </w:t>
      </w:r>
      <w:r w:rsidR="009777BA">
        <w:rPr>
          <w:szCs w:val="26"/>
        </w:rPr>
        <w:t xml:space="preserve">pursuant to </w:t>
      </w:r>
      <w:r w:rsidR="00BF4DDC">
        <w:rPr>
          <w:szCs w:val="26"/>
        </w:rPr>
        <w:t xml:space="preserve">Section 1405(b) of the Code, </w:t>
      </w:r>
      <w:r w:rsidR="009777BA">
        <w:rPr>
          <w:szCs w:val="26"/>
        </w:rPr>
        <w:t>66 Pa. C.S. §</w:t>
      </w:r>
      <w:r w:rsidR="00BF4DDC">
        <w:rPr>
          <w:szCs w:val="26"/>
        </w:rPr>
        <w:t xml:space="preserve"> </w:t>
      </w:r>
      <w:r w:rsidR="009777BA">
        <w:rPr>
          <w:szCs w:val="26"/>
        </w:rPr>
        <w:t xml:space="preserve">1405(b), </w:t>
      </w:r>
      <w:r w:rsidR="00B8689D">
        <w:rPr>
          <w:szCs w:val="26"/>
        </w:rPr>
        <w:t xml:space="preserve">the </w:t>
      </w:r>
      <w:r w:rsidR="00B8689D" w:rsidRPr="00BE68ED">
        <w:rPr>
          <w:szCs w:val="26"/>
        </w:rPr>
        <w:t>Complainant</w:t>
      </w:r>
      <w:r w:rsidR="00B8689D">
        <w:rPr>
          <w:szCs w:val="26"/>
        </w:rPr>
        <w:t xml:space="preserve"> </w:t>
      </w:r>
      <w:r w:rsidR="009777BA" w:rsidRPr="00BE68ED">
        <w:rPr>
          <w:szCs w:val="26"/>
        </w:rPr>
        <w:t>must pay off the ar</w:t>
      </w:r>
      <w:r w:rsidR="009777BA">
        <w:rPr>
          <w:szCs w:val="26"/>
        </w:rPr>
        <w:t>rearage on this account within six</w:t>
      </w:r>
      <w:r w:rsidR="009777BA" w:rsidRPr="00BE68ED">
        <w:rPr>
          <w:szCs w:val="26"/>
        </w:rPr>
        <w:t xml:space="preserve"> months</w:t>
      </w:r>
      <w:r w:rsidR="009777BA">
        <w:rPr>
          <w:szCs w:val="26"/>
        </w:rPr>
        <w:t xml:space="preserve">.  </w:t>
      </w:r>
      <w:r w:rsidR="002A4D7C">
        <w:rPr>
          <w:szCs w:val="26"/>
        </w:rPr>
        <w:t>As such, we shall deny th</w:t>
      </w:r>
      <w:r w:rsidR="00B8689D">
        <w:rPr>
          <w:szCs w:val="26"/>
        </w:rPr>
        <w:t>at</w:t>
      </w:r>
      <w:r w:rsidR="002A4D7C">
        <w:rPr>
          <w:szCs w:val="26"/>
        </w:rPr>
        <w:t xml:space="preserve"> portion of the Complainant’s Exceptions </w:t>
      </w:r>
      <w:r w:rsidR="00B8689D">
        <w:rPr>
          <w:szCs w:val="26"/>
        </w:rPr>
        <w:t xml:space="preserve">in which she </w:t>
      </w:r>
      <w:r w:rsidR="002A4D7C">
        <w:rPr>
          <w:szCs w:val="26"/>
        </w:rPr>
        <w:t>request</w:t>
      </w:r>
      <w:r w:rsidR="00B8689D">
        <w:rPr>
          <w:szCs w:val="26"/>
        </w:rPr>
        <w:t>s</w:t>
      </w:r>
      <w:r w:rsidR="002A4D7C">
        <w:rPr>
          <w:szCs w:val="26"/>
        </w:rPr>
        <w:t xml:space="preserve"> a new payment arrangement.  </w:t>
      </w:r>
    </w:p>
    <w:p w:rsidR="002A4D7C" w:rsidRDefault="002A4D7C" w:rsidP="00765ED9">
      <w:pPr>
        <w:rPr>
          <w:szCs w:val="26"/>
        </w:rPr>
      </w:pPr>
    </w:p>
    <w:p w:rsidR="00B8689D" w:rsidRDefault="002A4D7C" w:rsidP="00765ED9">
      <w:r>
        <w:rPr>
          <w:szCs w:val="26"/>
        </w:rPr>
        <w:lastRenderedPageBreak/>
        <w:t xml:space="preserve">Nevertheless, </w:t>
      </w:r>
      <w:r>
        <w:t>b</w:t>
      </w:r>
      <w:r w:rsidR="00FA42E7">
        <w:t xml:space="preserve">ased upon our review of the record </w:t>
      </w:r>
      <w:r>
        <w:t xml:space="preserve"> we agree with the Complainant that </w:t>
      </w:r>
      <w:r>
        <w:rPr>
          <w:spacing w:val="-3"/>
          <w:szCs w:val="26"/>
        </w:rPr>
        <w:t xml:space="preserve">Findings of Fact Nos. 7 and 8 in the ALJ’s Initial Decision should be modified to reflect </w:t>
      </w:r>
      <w:r w:rsidR="00B8689D">
        <w:rPr>
          <w:spacing w:val="-3"/>
          <w:szCs w:val="26"/>
        </w:rPr>
        <w:t xml:space="preserve">correctly </w:t>
      </w:r>
      <w:r w:rsidR="006735B6">
        <w:rPr>
          <w:spacing w:val="-3"/>
          <w:szCs w:val="26"/>
        </w:rPr>
        <w:t>that the Complainant’s</w:t>
      </w:r>
      <w:r w:rsidR="006735B6">
        <w:t xml:space="preserve"> husband’s gross monthly income was $6,643.92, and her son’s unemployment compensation was $768 per month.  </w:t>
      </w:r>
      <w:r w:rsidR="00B8689D">
        <w:t>As such, we grant this portion of the Exceptions and modify the Initial Decision accordingly.</w:t>
      </w:r>
    </w:p>
    <w:p w:rsidR="0016648D" w:rsidRDefault="0016648D" w:rsidP="00765ED9"/>
    <w:p w:rsidR="00370349" w:rsidRDefault="00370349" w:rsidP="00765ED9">
      <w:pPr>
        <w:ind w:firstLine="0"/>
        <w:jc w:val="center"/>
        <w:rPr>
          <w:b/>
          <w:szCs w:val="26"/>
        </w:rPr>
      </w:pPr>
      <w:r w:rsidRPr="009777BA">
        <w:rPr>
          <w:b/>
          <w:szCs w:val="26"/>
        </w:rPr>
        <w:t>Conclusion</w:t>
      </w:r>
    </w:p>
    <w:p w:rsidR="00EE6249" w:rsidRPr="009777BA" w:rsidRDefault="00EE6249" w:rsidP="00765ED9">
      <w:pPr>
        <w:ind w:firstLine="0"/>
        <w:jc w:val="center"/>
        <w:rPr>
          <w:szCs w:val="26"/>
        </w:rPr>
      </w:pPr>
    </w:p>
    <w:p w:rsidR="00E919F9" w:rsidRPr="00EA34C7" w:rsidRDefault="00370349" w:rsidP="00765ED9">
      <w:pPr>
        <w:rPr>
          <w:b/>
        </w:rPr>
      </w:pPr>
      <w:r w:rsidRPr="00545F45">
        <w:rPr>
          <w:spacing w:val="-3"/>
          <w:szCs w:val="26"/>
        </w:rPr>
        <w:t xml:space="preserve">Upon </w:t>
      </w:r>
      <w:r w:rsidR="00B8689D">
        <w:rPr>
          <w:spacing w:val="-3"/>
          <w:szCs w:val="26"/>
        </w:rPr>
        <w:t xml:space="preserve">our </w:t>
      </w:r>
      <w:r w:rsidRPr="00545F45">
        <w:rPr>
          <w:spacing w:val="-3"/>
          <w:szCs w:val="26"/>
        </w:rPr>
        <w:t xml:space="preserve">review and consideration of the record evidence, </w:t>
      </w:r>
      <w:r w:rsidR="002710D4" w:rsidRPr="00EA34C7">
        <w:t xml:space="preserve">we </w:t>
      </w:r>
      <w:r w:rsidR="00EA4D85" w:rsidRPr="00EA34C7">
        <w:t xml:space="preserve">shall </w:t>
      </w:r>
      <w:r w:rsidR="006735B6">
        <w:t xml:space="preserve">grant the </w:t>
      </w:r>
      <w:r w:rsidR="004F21E9">
        <w:t xml:space="preserve"> Complainant’s Exception</w:t>
      </w:r>
      <w:r w:rsidR="006735B6">
        <w:t>s, in part, and deny the</w:t>
      </w:r>
      <w:r w:rsidR="00B8689D">
        <w:t>m</w:t>
      </w:r>
      <w:r w:rsidR="006735B6">
        <w:t xml:space="preserve">, in part, consistent with </w:t>
      </w:r>
      <w:r w:rsidR="00B8689D">
        <w:t>the foregoing discussion</w:t>
      </w:r>
      <w:r w:rsidR="004F21E9">
        <w:t xml:space="preserve"> </w:t>
      </w:r>
      <w:r w:rsidR="009228C4" w:rsidRPr="00EA34C7">
        <w:t xml:space="preserve">; </w:t>
      </w:r>
      <w:r w:rsidR="00045D50" w:rsidRPr="00EA34C7">
        <w:rPr>
          <w:b/>
        </w:rPr>
        <w:t>THEREFORE;</w:t>
      </w:r>
    </w:p>
    <w:p w:rsidR="009228C4" w:rsidRPr="000A455F" w:rsidRDefault="009228C4" w:rsidP="00765ED9">
      <w:pPr>
        <w:ind w:firstLine="0"/>
      </w:pPr>
    </w:p>
    <w:p w:rsidR="00F930D7" w:rsidRPr="00EA34C7" w:rsidRDefault="00F930D7" w:rsidP="00765ED9">
      <w:r w:rsidRPr="00EA34C7">
        <w:rPr>
          <w:b/>
        </w:rPr>
        <w:t>IT IS ORDERED:</w:t>
      </w:r>
    </w:p>
    <w:p w:rsidR="00F930D7" w:rsidRPr="00EA34C7" w:rsidRDefault="00F930D7" w:rsidP="00765ED9">
      <w:pPr>
        <w:tabs>
          <w:tab w:val="left" w:pos="-720"/>
        </w:tabs>
        <w:spacing w:line="240" w:lineRule="auto"/>
      </w:pPr>
    </w:p>
    <w:p w:rsidR="0071426C" w:rsidRPr="00EA34C7" w:rsidRDefault="00E87F92" w:rsidP="00765ED9">
      <w:pPr>
        <w:numPr>
          <w:ilvl w:val="0"/>
          <w:numId w:val="47"/>
        </w:numPr>
        <w:tabs>
          <w:tab w:val="left" w:pos="-720"/>
        </w:tabs>
        <w:ind w:left="0" w:firstLine="1440"/>
      </w:pPr>
      <w:r w:rsidRPr="00EA34C7">
        <w:t xml:space="preserve">That the Exceptions </w:t>
      </w:r>
      <w:r w:rsidR="009B2B7B" w:rsidRPr="00EA34C7">
        <w:t xml:space="preserve">of </w:t>
      </w:r>
      <w:r w:rsidR="00817015">
        <w:t>Melissa Randall</w:t>
      </w:r>
      <w:r w:rsidR="00174B74" w:rsidRPr="00EA34C7">
        <w:t xml:space="preserve"> </w:t>
      </w:r>
      <w:r w:rsidR="00056736" w:rsidRPr="00EA34C7">
        <w:t xml:space="preserve">filed on </w:t>
      </w:r>
      <w:r w:rsidR="004F21E9">
        <w:t>December</w:t>
      </w:r>
      <w:r w:rsidR="00056736" w:rsidRPr="00EA34C7">
        <w:t xml:space="preserve"> </w:t>
      </w:r>
      <w:r w:rsidR="004F21E9">
        <w:t>2</w:t>
      </w:r>
      <w:r w:rsidR="00056736" w:rsidRPr="00EA34C7">
        <w:t xml:space="preserve">1, 2011, </w:t>
      </w:r>
      <w:r w:rsidR="00174B74" w:rsidRPr="00EA34C7">
        <w:t>t</w:t>
      </w:r>
      <w:r w:rsidRPr="00EA34C7">
        <w:t xml:space="preserve">o the </w:t>
      </w:r>
      <w:r w:rsidR="005D327E" w:rsidRPr="00EA34C7">
        <w:t xml:space="preserve">Initial </w:t>
      </w:r>
      <w:r w:rsidRPr="00EA34C7">
        <w:t xml:space="preserve">Decision of Administrative Law </w:t>
      </w:r>
      <w:r w:rsidR="00347EB2" w:rsidRPr="00EA34C7">
        <w:t xml:space="preserve">Judge </w:t>
      </w:r>
      <w:r w:rsidR="004F21E9">
        <w:t>Angela T. Jones</w:t>
      </w:r>
      <w:r w:rsidR="0071426C" w:rsidRPr="00EA34C7">
        <w:t xml:space="preserve"> </w:t>
      </w:r>
      <w:r w:rsidR="00C77B04">
        <w:t>are</w:t>
      </w:r>
      <w:r w:rsidR="00205931">
        <w:rPr>
          <w:szCs w:val="26"/>
        </w:rPr>
        <w:t xml:space="preserve"> granted, in part, </w:t>
      </w:r>
      <w:r w:rsidR="00174B74" w:rsidRPr="00EA34C7">
        <w:t>a</w:t>
      </w:r>
      <w:r w:rsidR="00C77B04">
        <w:t>nd</w:t>
      </w:r>
      <w:r w:rsidR="00DC55F3">
        <w:t xml:space="preserve"> </w:t>
      </w:r>
      <w:r w:rsidR="00A46B68" w:rsidRPr="00EA34C7">
        <w:t>denied</w:t>
      </w:r>
      <w:r w:rsidR="0006108E">
        <w:t>,</w:t>
      </w:r>
      <w:r w:rsidR="00205931">
        <w:t xml:space="preserve"> in part</w:t>
      </w:r>
      <w:r w:rsidR="00B8689D">
        <w:t>, consistent with this Opinion and Order</w:t>
      </w:r>
      <w:r w:rsidR="00274573" w:rsidRPr="00EA34C7">
        <w:t xml:space="preserve">. </w:t>
      </w:r>
    </w:p>
    <w:p w:rsidR="00996C41" w:rsidRDefault="00996C41" w:rsidP="00765ED9">
      <w:pPr>
        <w:tabs>
          <w:tab w:val="left" w:pos="-720"/>
        </w:tabs>
        <w:suppressAutoHyphens/>
        <w:ind w:left="1440" w:firstLine="0"/>
      </w:pPr>
    </w:p>
    <w:p w:rsidR="00205931" w:rsidRDefault="0006108E" w:rsidP="00765ED9">
      <w:pPr>
        <w:numPr>
          <w:ilvl w:val="0"/>
          <w:numId w:val="47"/>
        </w:numPr>
        <w:tabs>
          <w:tab w:val="left" w:pos="-720"/>
        </w:tabs>
        <w:suppressAutoHyphens/>
        <w:ind w:left="0" w:firstLine="1440"/>
      </w:pPr>
      <w:r>
        <w:t xml:space="preserve">That </w:t>
      </w:r>
      <w:r w:rsidR="00F63AC6">
        <w:t xml:space="preserve">the </w:t>
      </w:r>
      <w:r w:rsidR="00205931">
        <w:t xml:space="preserve">ALJ’s Initial Decision </w:t>
      </w:r>
      <w:r w:rsidR="00B8689D">
        <w:t xml:space="preserve">is modified </w:t>
      </w:r>
      <w:r w:rsidR="007941C2">
        <w:t xml:space="preserve">for the purpose of </w:t>
      </w:r>
      <w:r w:rsidR="00B8689D">
        <w:t>correct</w:t>
      </w:r>
      <w:r w:rsidR="007941C2">
        <w:t xml:space="preserve">ing </w:t>
      </w:r>
      <w:r w:rsidR="00B8689D">
        <w:rPr>
          <w:spacing w:val="-3"/>
          <w:szCs w:val="26"/>
        </w:rPr>
        <w:t xml:space="preserve">Findings of Fact Nos. 7 and 8 in the ALJ’s Initial Decision </w:t>
      </w:r>
      <w:r w:rsidR="007941C2">
        <w:rPr>
          <w:spacing w:val="-3"/>
          <w:szCs w:val="26"/>
        </w:rPr>
        <w:t xml:space="preserve">to reflect correctly that </w:t>
      </w:r>
      <w:r w:rsidR="00B8689D">
        <w:rPr>
          <w:spacing w:val="-3"/>
          <w:szCs w:val="26"/>
        </w:rPr>
        <w:t>the Complainant’s</w:t>
      </w:r>
      <w:r w:rsidR="00B8689D">
        <w:t xml:space="preserve"> husband’s gross monthly income was $6,643.92, and her son’s unemployment compensation was $768 per month.  </w:t>
      </w:r>
    </w:p>
    <w:p w:rsidR="00205931" w:rsidRDefault="00205931" w:rsidP="00765ED9">
      <w:pPr>
        <w:tabs>
          <w:tab w:val="left" w:pos="-720"/>
        </w:tabs>
        <w:suppressAutoHyphens/>
        <w:ind w:firstLine="0"/>
      </w:pPr>
    </w:p>
    <w:p w:rsidR="00205931" w:rsidRDefault="0071426C" w:rsidP="00765ED9">
      <w:pPr>
        <w:numPr>
          <w:ilvl w:val="0"/>
          <w:numId w:val="47"/>
        </w:numPr>
        <w:tabs>
          <w:tab w:val="left" w:pos="-720"/>
        </w:tabs>
        <w:suppressAutoHyphens/>
        <w:ind w:left="0" w:firstLine="1440"/>
      </w:pPr>
      <w:r w:rsidRPr="00EA34C7">
        <w:t xml:space="preserve">That the </w:t>
      </w:r>
      <w:r w:rsidR="005D327E" w:rsidRPr="00EA34C7">
        <w:t>Initial</w:t>
      </w:r>
      <w:r w:rsidRPr="00EA34C7">
        <w:t xml:space="preserve"> Decision of </w:t>
      </w:r>
      <w:r w:rsidR="00274573" w:rsidRPr="00EA34C7">
        <w:t>Administrative Law Judge</w:t>
      </w:r>
      <w:r w:rsidR="00623BCF">
        <w:t xml:space="preserve">            </w:t>
      </w:r>
      <w:r w:rsidR="00274573" w:rsidRPr="00EA34C7">
        <w:t xml:space="preserve"> </w:t>
      </w:r>
      <w:r w:rsidR="004F21E9">
        <w:t>Angela T. Jones</w:t>
      </w:r>
      <w:r w:rsidR="00274573" w:rsidRPr="00EA34C7">
        <w:t xml:space="preserve">, issued </w:t>
      </w:r>
      <w:r w:rsidR="0006108E">
        <w:t>December 14</w:t>
      </w:r>
      <w:r w:rsidR="00274573" w:rsidRPr="00EA34C7">
        <w:t xml:space="preserve">, 2011, </w:t>
      </w:r>
      <w:r w:rsidR="007941C2">
        <w:t xml:space="preserve">as modified, </w:t>
      </w:r>
      <w:r w:rsidR="00274573" w:rsidRPr="00EA34C7">
        <w:t xml:space="preserve">is </w:t>
      </w:r>
      <w:r w:rsidR="004F21E9">
        <w:t>adopted</w:t>
      </w:r>
      <w:r w:rsidR="007941C2">
        <w:t>.</w:t>
      </w:r>
    </w:p>
    <w:p w:rsidR="007941C2" w:rsidRDefault="007941C2" w:rsidP="007941C2">
      <w:pPr>
        <w:tabs>
          <w:tab w:val="left" w:pos="-720"/>
        </w:tabs>
        <w:suppressAutoHyphens/>
        <w:ind w:left="1440" w:firstLine="0"/>
      </w:pPr>
    </w:p>
    <w:p w:rsidR="00B35B68" w:rsidRPr="00EA34C7" w:rsidRDefault="00B35B68" w:rsidP="00765ED9">
      <w:pPr>
        <w:numPr>
          <w:ilvl w:val="0"/>
          <w:numId w:val="47"/>
        </w:numPr>
        <w:tabs>
          <w:tab w:val="left" w:pos="-720"/>
        </w:tabs>
        <w:suppressAutoHyphens/>
        <w:ind w:left="0" w:firstLine="1440"/>
      </w:pPr>
      <w:r w:rsidRPr="00EA34C7">
        <w:t xml:space="preserve">That the </w:t>
      </w:r>
      <w:r w:rsidR="00E07226" w:rsidRPr="00EA34C7">
        <w:t xml:space="preserve">Complaint </w:t>
      </w:r>
      <w:r w:rsidR="00621848" w:rsidRPr="00EA34C7">
        <w:t xml:space="preserve">filed by </w:t>
      </w:r>
      <w:r w:rsidR="005403F5">
        <w:t>Melissa Randall</w:t>
      </w:r>
      <w:r w:rsidR="00483EE9" w:rsidRPr="00EA34C7">
        <w:t xml:space="preserve"> </w:t>
      </w:r>
      <w:r w:rsidR="00597DAA">
        <w:t xml:space="preserve">against PECO Energy Company </w:t>
      </w:r>
      <w:r w:rsidR="00483EE9" w:rsidRPr="00EA34C7">
        <w:t xml:space="preserve">on </w:t>
      </w:r>
      <w:r w:rsidR="00597DAA">
        <w:t>January 10, 2011</w:t>
      </w:r>
      <w:r w:rsidR="00483EE9" w:rsidRPr="00EA34C7">
        <w:t xml:space="preserve">, </w:t>
      </w:r>
      <w:r w:rsidR="00C77B04">
        <w:t xml:space="preserve">at Docket </w:t>
      </w:r>
      <w:r w:rsidR="00597DAA">
        <w:t>No. C-2011-2219901</w:t>
      </w:r>
      <w:r w:rsidR="00C77B04">
        <w:t xml:space="preserve"> </w:t>
      </w:r>
      <w:r w:rsidR="00483EE9" w:rsidRPr="00EA34C7">
        <w:t>is</w:t>
      </w:r>
      <w:r w:rsidR="00205931">
        <w:t xml:space="preserve"> dismissed</w:t>
      </w:r>
      <w:r w:rsidR="002B2C7A" w:rsidRPr="00EA34C7">
        <w:t xml:space="preserve">. </w:t>
      </w:r>
      <w:r w:rsidR="00146048" w:rsidRPr="00EA34C7">
        <w:t xml:space="preserve"> </w:t>
      </w:r>
    </w:p>
    <w:p w:rsidR="00146048" w:rsidRPr="00EA34C7" w:rsidRDefault="00146048" w:rsidP="00765ED9">
      <w:pPr>
        <w:tabs>
          <w:tab w:val="left" w:pos="-720"/>
        </w:tabs>
        <w:suppressAutoHyphens/>
        <w:ind w:left="1440" w:firstLine="0"/>
      </w:pPr>
    </w:p>
    <w:p w:rsidR="00291449" w:rsidRDefault="00205931" w:rsidP="00765ED9">
      <w:pPr>
        <w:tabs>
          <w:tab w:val="left" w:pos="-720"/>
        </w:tabs>
        <w:suppressAutoHyphens/>
      </w:pPr>
      <w:r>
        <w:lastRenderedPageBreak/>
        <w:t>5</w:t>
      </w:r>
      <w:r w:rsidR="004F21E9">
        <w:t>.</w:t>
      </w:r>
      <w:r w:rsidR="004F21E9">
        <w:tab/>
        <w:t xml:space="preserve">That </w:t>
      </w:r>
      <w:r w:rsidR="00C251FE">
        <w:t xml:space="preserve">this case shall be </w:t>
      </w:r>
      <w:r w:rsidR="004F21E9">
        <w:t>mark</w:t>
      </w:r>
      <w:r w:rsidR="00C251FE">
        <w:t>ed</w:t>
      </w:r>
      <w:r w:rsidR="004F21E9">
        <w:t xml:space="preserve"> closed. </w:t>
      </w:r>
    </w:p>
    <w:p w:rsidR="00291449" w:rsidRDefault="00291449" w:rsidP="00765ED9">
      <w:pPr>
        <w:tabs>
          <w:tab w:val="left" w:pos="-720"/>
        </w:tabs>
        <w:suppressAutoHyphens/>
      </w:pPr>
    </w:p>
    <w:p w:rsidR="008B77D4" w:rsidRPr="00EA34C7" w:rsidRDefault="008B77D4" w:rsidP="00765ED9">
      <w:pPr>
        <w:tabs>
          <w:tab w:val="left" w:pos="-720"/>
        </w:tabs>
        <w:suppressAutoHyphens/>
      </w:pPr>
    </w:p>
    <w:p w:rsidR="00F930D7" w:rsidRPr="00EA34C7" w:rsidRDefault="00017B36" w:rsidP="00765ED9">
      <w:pPr>
        <w:tabs>
          <w:tab w:val="left" w:pos="-720"/>
        </w:tabs>
        <w:suppressAutoHyphens/>
        <w:ind w:left="5040" w:firstLine="0"/>
      </w:pPr>
      <w:r>
        <w:rPr>
          <w:noProof/>
        </w:rPr>
        <w:drawing>
          <wp:anchor distT="0" distB="0" distL="114300" distR="114300" simplePos="0" relativeHeight="251658240" behindDoc="1" locked="0" layoutInCell="1" allowOverlap="1" wp14:anchorId="5681CF0A" wp14:editId="4CF0880D">
            <wp:simplePos x="0" y="0"/>
            <wp:positionH relativeFrom="column">
              <wp:posOffset>3141980</wp:posOffset>
            </wp:positionH>
            <wp:positionV relativeFrom="paragraph">
              <wp:posOffset>152400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EA34C7">
        <w:rPr>
          <w:b/>
        </w:rPr>
        <w:t>BY THE COMMISSION,</w:t>
      </w:r>
    </w:p>
    <w:p w:rsidR="00F930D7" w:rsidRPr="00EA34C7" w:rsidRDefault="00F930D7" w:rsidP="00765ED9">
      <w:pPr>
        <w:tabs>
          <w:tab w:val="left" w:pos="-720"/>
        </w:tabs>
        <w:suppressAutoHyphens/>
        <w:ind w:left="5040" w:firstLine="0"/>
      </w:pPr>
    </w:p>
    <w:p w:rsidR="00F930D7" w:rsidRPr="00EA34C7" w:rsidRDefault="00F930D7" w:rsidP="00765ED9">
      <w:pPr>
        <w:tabs>
          <w:tab w:val="left" w:pos="-720"/>
        </w:tabs>
        <w:suppressAutoHyphens/>
        <w:ind w:left="5040" w:firstLine="0"/>
      </w:pPr>
    </w:p>
    <w:p w:rsidR="00F930D7" w:rsidRPr="00EA34C7" w:rsidRDefault="009B2B7B" w:rsidP="00765ED9">
      <w:pPr>
        <w:tabs>
          <w:tab w:val="left" w:pos="-720"/>
        </w:tabs>
        <w:suppressAutoHyphens/>
        <w:spacing w:line="240" w:lineRule="auto"/>
        <w:ind w:left="5040" w:firstLine="0"/>
      </w:pPr>
      <w:r w:rsidRPr="00EA34C7">
        <w:t>Rosemary Chiavetta</w:t>
      </w:r>
    </w:p>
    <w:p w:rsidR="00F930D7" w:rsidRPr="00EA34C7" w:rsidRDefault="00F930D7" w:rsidP="00765ED9">
      <w:pPr>
        <w:tabs>
          <w:tab w:val="left" w:pos="-720"/>
        </w:tabs>
        <w:suppressAutoHyphens/>
        <w:spacing w:line="240" w:lineRule="auto"/>
        <w:ind w:left="5040" w:firstLine="0"/>
      </w:pPr>
      <w:r w:rsidRPr="00EA34C7">
        <w:t>Secretary</w:t>
      </w:r>
    </w:p>
    <w:p w:rsidR="00F930D7" w:rsidRPr="00EA34C7" w:rsidRDefault="00F930D7" w:rsidP="00765ED9">
      <w:pPr>
        <w:tabs>
          <w:tab w:val="left" w:pos="-720"/>
        </w:tabs>
        <w:suppressAutoHyphens/>
      </w:pPr>
    </w:p>
    <w:p w:rsidR="007941C2" w:rsidRDefault="007941C2" w:rsidP="00765ED9">
      <w:pPr>
        <w:tabs>
          <w:tab w:val="left" w:pos="-720"/>
        </w:tabs>
        <w:suppressAutoHyphens/>
        <w:ind w:firstLine="0"/>
      </w:pPr>
    </w:p>
    <w:p w:rsidR="00F930D7" w:rsidRPr="00EA34C7" w:rsidRDefault="00F930D7" w:rsidP="00765ED9">
      <w:pPr>
        <w:tabs>
          <w:tab w:val="left" w:pos="-720"/>
        </w:tabs>
        <w:suppressAutoHyphens/>
        <w:ind w:firstLine="0"/>
      </w:pPr>
      <w:r w:rsidRPr="00EA34C7">
        <w:t>(SEAL)</w:t>
      </w:r>
    </w:p>
    <w:p w:rsidR="00F930D7" w:rsidRPr="00EA34C7" w:rsidRDefault="00F930D7" w:rsidP="00765ED9">
      <w:pPr>
        <w:tabs>
          <w:tab w:val="left" w:pos="-720"/>
        </w:tabs>
        <w:suppressAutoHyphens/>
        <w:ind w:firstLine="0"/>
      </w:pPr>
    </w:p>
    <w:p w:rsidR="00F930D7" w:rsidRPr="00EA34C7" w:rsidRDefault="00574EAD" w:rsidP="00765ED9">
      <w:pPr>
        <w:tabs>
          <w:tab w:val="left" w:pos="-720"/>
        </w:tabs>
        <w:suppressAutoHyphens/>
        <w:ind w:firstLine="0"/>
      </w:pPr>
      <w:r w:rsidRPr="00EA34C7">
        <w:t xml:space="preserve">ORDER ADOPTED:  </w:t>
      </w:r>
      <w:r w:rsidR="00650EE0">
        <w:t>March</w:t>
      </w:r>
      <w:r w:rsidR="0093639B" w:rsidRPr="00EA34C7">
        <w:t xml:space="preserve"> 1</w:t>
      </w:r>
      <w:r w:rsidR="00C77B04">
        <w:t>5</w:t>
      </w:r>
      <w:r w:rsidR="00F930D7" w:rsidRPr="00EA34C7">
        <w:t>, 20</w:t>
      </w:r>
      <w:r w:rsidR="00E67CC4" w:rsidRPr="00EA34C7">
        <w:t>1</w:t>
      </w:r>
      <w:r w:rsidR="00817015">
        <w:t>2</w:t>
      </w:r>
    </w:p>
    <w:p w:rsidR="00F930D7" w:rsidRDefault="00B677FB" w:rsidP="00765ED9">
      <w:pPr>
        <w:tabs>
          <w:tab w:val="left" w:pos="-720"/>
        </w:tabs>
        <w:suppressAutoHyphens/>
        <w:ind w:firstLine="0"/>
      </w:pPr>
      <w:r w:rsidRPr="00EA34C7">
        <w:t>ORDER ENTERED:</w:t>
      </w:r>
      <w:r w:rsidR="00360541" w:rsidRPr="00EA34C7">
        <w:t xml:space="preserve">  </w:t>
      </w:r>
      <w:r w:rsidR="00017B36">
        <w:t>MARCH 15, 2012</w:t>
      </w:r>
      <w:bookmarkStart w:id="0" w:name="_GoBack"/>
      <w:bookmarkEnd w:id="0"/>
    </w:p>
    <w:p w:rsidR="00650EE0" w:rsidRDefault="00650EE0" w:rsidP="00765ED9">
      <w:pPr>
        <w:tabs>
          <w:tab w:val="left" w:pos="-720"/>
        </w:tabs>
        <w:suppressAutoHyphens/>
        <w:ind w:firstLine="0"/>
      </w:pPr>
    </w:p>
    <w:p w:rsidR="00650EE0" w:rsidRPr="00EA34C7" w:rsidRDefault="00650EE0" w:rsidP="00765ED9">
      <w:pPr>
        <w:tabs>
          <w:tab w:val="left" w:pos="-720"/>
        </w:tabs>
        <w:suppressAutoHyphens/>
        <w:ind w:firstLine="0"/>
        <w:rPr>
          <w:b/>
        </w:rPr>
      </w:pPr>
    </w:p>
    <w:sectPr w:rsidR="00650EE0" w:rsidRPr="00EA34C7"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80" w:rsidRDefault="00E72780">
      <w:r>
        <w:separator/>
      </w:r>
    </w:p>
  </w:endnote>
  <w:endnote w:type="continuationSeparator" w:id="0">
    <w:p w:rsidR="00E72780" w:rsidRDefault="00E7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17B36">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80" w:rsidRDefault="00E72780">
      <w:r>
        <w:separator/>
      </w:r>
    </w:p>
  </w:footnote>
  <w:footnote w:type="continuationSeparator" w:id="0">
    <w:p w:rsidR="00E72780" w:rsidRDefault="00E72780">
      <w:r>
        <w:continuationSeparator/>
      </w:r>
    </w:p>
  </w:footnote>
  <w:footnote w:id="1">
    <w:p w:rsidR="00A122AE" w:rsidRPr="00A122AE" w:rsidRDefault="00A122AE" w:rsidP="00253F82">
      <w:pPr>
        <w:pStyle w:val="FootnoteText"/>
        <w:tabs>
          <w:tab w:val="left" w:pos="1440"/>
          <w:tab w:val="left" w:pos="2160"/>
        </w:tabs>
        <w:spacing w:line="240" w:lineRule="auto"/>
        <w:ind w:firstLine="720"/>
        <w:rPr>
          <w:sz w:val="22"/>
        </w:rPr>
      </w:pPr>
      <w:r w:rsidRPr="00996C41">
        <w:rPr>
          <w:rStyle w:val="FootnoteReference"/>
          <w:sz w:val="26"/>
          <w:szCs w:val="26"/>
        </w:rPr>
        <w:footnoteRef/>
      </w:r>
      <w:r>
        <w:tab/>
      </w:r>
      <w:r w:rsidRPr="00A122AE">
        <w:rPr>
          <w:sz w:val="26"/>
        </w:rPr>
        <w:t xml:space="preserve">We </w:t>
      </w:r>
      <w:r w:rsidR="00244754">
        <w:rPr>
          <w:sz w:val="26"/>
        </w:rPr>
        <w:t xml:space="preserve">note </w:t>
      </w:r>
      <w:r w:rsidRPr="00A122AE">
        <w:rPr>
          <w:sz w:val="26"/>
        </w:rPr>
        <w:t xml:space="preserve">that the Complainant’s Exceptions do not strictly comply with Section 5.533(b) of our Regulations, 52 Pa. Code § 5.533(b), which requires that exceptions be numbered, </w:t>
      </w:r>
      <w:r w:rsidR="00FB31E2">
        <w:rPr>
          <w:sz w:val="26"/>
        </w:rPr>
        <w:t xml:space="preserve">identify </w:t>
      </w:r>
      <w:r w:rsidRPr="00A122AE">
        <w:rPr>
          <w:sz w:val="26"/>
        </w:rPr>
        <w:t xml:space="preserve">the finding of fact and conclusion of law to which exception is taken, and cite to the relevant pages of the Initial Decision.  Nevertheless, particularly because the Complainant is appearing </w:t>
      </w:r>
      <w:r w:rsidRPr="00A122AE">
        <w:rPr>
          <w:i/>
          <w:sz w:val="26"/>
        </w:rPr>
        <w:t>pro se</w:t>
      </w:r>
      <w:r w:rsidRPr="00A122AE">
        <w:rPr>
          <w:sz w:val="26"/>
        </w:rPr>
        <w:t>, we will accept the Exceptions as filed pursuant to Section 1.2(</w:t>
      </w:r>
      <w:r>
        <w:rPr>
          <w:sz w:val="26"/>
        </w:rPr>
        <w:t>a</w:t>
      </w:r>
      <w:r w:rsidRPr="00A122AE">
        <w:rPr>
          <w:sz w:val="26"/>
        </w:rPr>
        <w:t>) of our Regulations, 52 Pa. Code § 1.2(</w:t>
      </w:r>
      <w:r>
        <w:rPr>
          <w:sz w:val="26"/>
        </w:rPr>
        <w:t>a</w:t>
      </w:r>
      <w:r w:rsidRPr="00A122AE">
        <w:rPr>
          <w:sz w:val="26"/>
        </w:rPr>
        <w:t>)</w:t>
      </w:r>
      <w:r>
        <w:rPr>
          <w:sz w:val="26"/>
        </w:rPr>
        <w:t>, to secure a just, speedy, and inexpensive determination in this proceeding</w:t>
      </w:r>
      <w:r w:rsidRPr="00A122AE">
        <w:rPr>
          <w:sz w:val="26"/>
        </w:rPr>
        <w:t>.</w:t>
      </w:r>
    </w:p>
    <w:p w:rsidR="00A122AE" w:rsidRDefault="00A122AE" w:rsidP="002A1A8E">
      <w:pPr>
        <w:pStyle w:val="FootnoteText"/>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16"/>
  </w:num>
  <w:num w:numId="15">
    <w:abstractNumId w:val="39"/>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7"/>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8"/>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5"/>
  </w:num>
  <w:num w:numId="43">
    <w:abstractNumId w:val="18"/>
  </w:num>
  <w:num w:numId="44">
    <w:abstractNumId w:val="36"/>
  </w:num>
  <w:num w:numId="45">
    <w:abstractNumId w:val="27"/>
  </w:num>
  <w:num w:numId="46">
    <w:abstractNumId w:val="24"/>
  </w:num>
  <w:num w:numId="47">
    <w:abstractNumId w:val="46"/>
  </w:num>
  <w:num w:numId="48">
    <w:abstractNumId w:val="30"/>
  </w:num>
  <w:num w:numId="49">
    <w:abstractNumId w:val="4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3DA7"/>
    <w:rsid w:val="0000428F"/>
    <w:rsid w:val="00004A9E"/>
    <w:rsid w:val="00004F6D"/>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7DB"/>
    <w:rsid w:val="00017510"/>
    <w:rsid w:val="00017B36"/>
    <w:rsid w:val="00017D39"/>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E6F"/>
    <w:rsid w:val="00030A5E"/>
    <w:rsid w:val="00031BBE"/>
    <w:rsid w:val="00032D16"/>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5231"/>
    <w:rsid w:val="00045B3E"/>
    <w:rsid w:val="00045D0F"/>
    <w:rsid w:val="00045D50"/>
    <w:rsid w:val="00046544"/>
    <w:rsid w:val="00046B1E"/>
    <w:rsid w:val="00046D3B"/>
    <w:rsid w:val="00051036"/>
    <w:rsid w:val="00051E02"/>
    <w:rsid w:val="00051E32"/>
    <w:rsid w:val="00052237"/>
    <w:rsid w:val="000522E4"/>
    <w:rsid w:val="000527AB"/>
    <w:rsid w:val="0005412F"/>
    <w:rsid w:val="00054389"/>
    <w:rsid w:val="000545BD"/>
    <w:rsid w:val="000552F8"/>
    <w:rsid w:val="000559F8"/>
    <w:rsid w:val="00055DFA"/>
    <w:rsid w:val="000564F3"/>
    <w:rsid w:val="00056678"/>
    <w:rsid w:val="00056736"/>
    <w:rsid w:val="00057957"/>
    <w:rsid w:val="0006066A"/>
    <w:rsid w:val="0006108E"/>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33E6"/>
    <w:rsid w:val="00073F0A"/>
    <w:rsid w:val="00074C59"/>
    <w:rsid w:val="00076333"/>
    <w:rsid w:val="0007691C"/>
    <w:rsid w:val="000774E1"/>
    <w:rsid w:val="00077BD9"/>
    <w:rsid w:val="000805D8"/>
    <w:rsid w:val="0008068C"/>
    <w:rsid w:val="0008080B"/>
    <w:rsid w:val="000808E4"/>
    <w:rsid w:val="00080BB7"/>
    <w:rsid w:val="00080F10"/>
    <w:rsid w:val="00081C61"/>
    <w:rsid w:val="00081DF8"/>
    <w:rsid w:val="00083739"/>
    <w:rsid w:val="0008405F"/>
    <w:rsid w:val="000848D8"/>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C05F0"/>
    <w:rsid w:val="000C0BFE"/>
    <w:rsid w:val="000C19C7"/>
    <w:rsid w:val="000C1E13"/>
    <w:rsid w:val="000C210B"/>
    <w:rsid w:val="000C26A1"/>
    <w:rsid w:val="000C3756"/>
    <w:rsid w:val="000C4276"/>
    <w:rsid w:val="000C4A82"/>
    <w:rsid w:val="000C5194"/>
    <w:rsid w:val="000C5A9A"/>
    <w:rsid w:val="000C5D76"/>
    <w:rsid w:val="000D0442"/>
    <w:rsid w:val="000D1801"/>
    <w:rsid w:val="000D2C72"/>
    <w:rsid w:val="000D38E6"/>
    <w:rsid w:val="000D4977"/>
    <w:rsid w:val="000D4D17"/>
    <w:rsid w:val="000D53C1"/>
    <w:rsid w:val="000D6779"/>
    <w:rsid w:val="000D6A7B"/>
    <w:rsid w:val="000D7A9C"/>
    <w:rsid w:val="000D7D6C"/>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7072"/>
    <w:rsid w:val="000F0160"/>
    <w:rsid w:val="000F118B"/>
    <w:rsid w:val="000F18F1"/>
    <w:rsid w:val="000F1E50"/>
    <w:rsid w:val="000F2E80"/>
    <w:rsid w:val="000F398D"/>
    <w:rsid w:val="000F3A24"/>
    <w:rsid w:val="000F3CC9"/>
    <w:rsid w:val="000F3E98"/>
    <w:rsid w:val="000F3F36"/>
    <w:rsid w:val="000F48AA"/>
    <w:rsid w:val="000F6F6F"/>
    <w:rsid w:val="000F78CD"/>
    <w:rsid w:val="0010001A"/>
    <w:rsid w:val="0010015A"/>
    <w:rsid w:val="0010041F"/>
    <w:rsid w:val="00100760"/>
    <w:rsid w:val="00100847"/>
    <w:rsid w:val="0010170A"/>
    <w:rsid w:val="00101A3B"/>
    <w:rsid w:val="00101DDC"/>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AA3"/>
    <w:rsid w:val="00122BA5"/>
    <w:rsid w:val="001231CF"/>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3DEF"/>
    <w:rsid w:val="00134829"/>
    <w:rsid w:val="00134EE0"/>
    <w:rsid w:val="00135645"/>
    <w:rsid w:val="0013571D"/>
    <w:rsid w:val="00135DC2"/>
    <w:rsid w:val="001362A2"/>
    <w:rsid w:val="001368F3"/>
    <w:rsid w:val="0013798A"/>
    <w:rsid w:val="00140109"/>
    <w:rsid w:val="001424E2"/>
    <w:rsid w:val="00143E0C"/>
    <w:rsid w:val="00144B9D"/>
    <w:rsid w:val="001451DF"/>
    <w:rsid w:val="00145A3F"/>
    <w:rsid w:val="00146048"/>
    <w:rsid w:val="00146076"/>
    <w:rsid w:val="00146274"/>
    <w:rsid w:val="001468B6"/>
    <w:rsid w:val="00146E34"/>
    <w:rsid w:val="001479D1"/>
    <w:rsid w:val="00147CB0"/>
    <w:rsid w:val="00147DCE"/>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19C"/>
    <w:rsid w:val="001601B5"/>
    <w:rsid w:val="0016061C"/>
    <w:rsid w:val="00160DA3"/>
    <w:rsid w:val="00161DAB"/>
    <w:rsid w:val="00161EBB"/>
    <w:rsid w:val="0016211D"/>
    <w:rsid w:val="00162FF8"/>
    <w:rsid w:val="00163187"/>
    <w:rsid w:val="001635F3"/>
    <w:rsid w:val="0016378F"/>
    <w:rsid w:val="00163B2C"/>
    <w:rsid w:val="001640C3"/>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6D58"/>
    <w:rsid w:val="001C00B7"/>
    <w:rsid w:val="001C01F6"/>
    <w:rsid w:val="001C0ADE"/>
    <w:rsid w:val="001C136B"/>
    <w:rsid w:val="001C15FB"/>
    <w:rsid w:val="001C1C5C"/>
    <w:rsid w:val="001C3784"/>
    <w:rsid w:val="001C466E"/>
    <w:rsid w:val="001C46D4"/>
    <w:rsid w:val="001C4ECE"/>
    <w:rsid w:val="001C5AFD"/>
    <w:rsid w:val="001C615E"/>
    <w:rsid w:val="001C6679"/>
    <w:rsid w:val="001C6E68"/>
    <w:rsid w:val="001C6E9A"/>
    <w:rsid w:val="001C780F"/>
    <w:rsid w:val="001C7ABB"/>
    <w:rsid w:val="001C7B4B"/>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19D"/>
    <w:rsid w:val="001E3C03"/>
    <w:rsid w:val="001E3E18"/>
    <w:rsid w:val="001E3F4F"/>
    <w:rsid w:val="001E48DF"/>
    <w:rsid w:val="001E48E2"/>
    <w:rsid w:val="001E55C3"/>
    <w:rsid w:val="001E5728"/>
    <w:rsid w:val="001E6236"/>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67FD"/>
    <w:rsid w:val="00206C5F"/>
    <w:rsid w:val="002105F6"/>
    <w:rsid w:val="00210D44"/>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754"/>
    <w:rsid w:val="00244806"/>
    <w:rsid w:val="0024515D"/>
    <w:rsid w:val="002451D9"/>
    <w:rsid w:val="00245B72"/>
    <w:rsid w:val="00245D23"/>
    <w:rsid w:val="00245D95"/>
    <w:rsid w:val="002464E9"/>
    <w:rsid w:val="00246FA9"/>
    <w:rsid w:val="002476A6"/>
    <w:rsid w:val="00250064"/>
    <w:rsid w:val="002505A3"/>
    <w:rsid w:val="0025105B"/>
    <w:rsid w:val="00251AAD"/>
    <w:rsid w:val="00251B6F"/>
    <w:rsid w:val="002527D6"/>
    <w:rsid w:val="00253F82"/>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83"/>
    <w:rsid w:val="002C4606"/>
    <w:rsid w:val="002C468D"/>
    <w:rsid w:val="002C4D16"/>
    <w:rsid w:val="002C5D38"/>
    <w:rsid w:val="002C6095"/>
    <w:rsid w:val="002C6300"/>
    <w:rsid w:val="002C7EDE"/>
    <w:rsid w:val="002D0014"/>
    <w:rsid w:val="002D0610"/>
    <w:rsid w:val="002D0C06"/>
    <w:rsid w:val="002D0FF5"/>
    <w:rsid w:val="002D16BF"/>
    <w:rsid w:val="002D1B88"/>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206F"/>
    <w:rsid w:val="002F25F1"/>
    <w:rsid w:val="002F2695"/>
    <w:rsid w:val="002F2817"/>
    <w:rsid w:val="002F29F2"/>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24B6"/>
    <w:rsid w:val="00302D46"/>
    <w:rsid w:val="0030357E"/>
    <w:rsid w:val="00304320"/>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936"/>
    <w:rsid w:val="00335073"/>
    <w:rsid w:val="00335087"/>
    <w:rsid w:val="003357FA"/>
    <w:rsid w:val="00335820"/>
    <w:rsid w:val="00336227"/>
    <w:rsid w:val="0033687F"/>
    <w:rsid w:val="003374F2"/>
    <w:rsid w:val="00340944"/>
    <w:rsid w:val="00340BA4"/>
    <w:rsid w:val="00340C90"/>
    <w:rsid w:val="0034161B"/>
    <w:rsid w:val="003422EF"/>
    <w:rsid w:val="00343B75"/>
    <w:rsid w:val="00343C89"/>
    <w:rsid w:val="00343D8B"/>
    <w:rsid w:val="0034490E"/>
    <w:rsid w:val="00345818"/>
    <w:rsid w:val="003465A2"/>
    <w:rsid w:val="0034688C"/>
    <w:rsid w:val="00346DDC"/>
    <w:rsid w:val="00346FF2"/>
    <w:rsid w:val="003470E7"/>
    <w:rsid w:val="00347501"/>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4653"/>
    <w:rsid w:val="003B490A"/>
    <w:rsid w:val="003B4B39"/>
    <w:rsid w:val="003B4EAE"/>
    <w:rsid w:val="003B500D"/>
    <w:rsid w:val="003B5323"/>
    <w:rsid w:val="003B54B1"/>
    <w:rsid w:val="003B563F"/>
    <w:rsid w:val="003B5F65"/>
    <w:rsid w:val="003B7596"/>
    <w:rsid w:val="003B7FD3"/>
    <w:rsid w:val="003C066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749"/>
    <w:rsid w:val="003D1981"/>
    <w:rsid w:val="003D1B0A"/>
    <w:rsid w:val="003D1E32"/>
    <w:rsid w:val="003D20BE"/>
    <w:rsid w:val="003D2219"/>
    <w:rsid w:val="003D23CB"/>
    <w:rsid w:val="003D30F3"/>
    <w:rsid w:val="003D32A9"/>
    <w:rsid w:val="003D34C1"/>
    <w:rsid w:val="003D378F"/>
    <w:rsid w:val="003D418F"/>
    <w:rsid w:val="003D4822"/>
    <w:rsid w:val="003D4CA2"/>
    <w:rsid w:val="003D4EDA"/>
    <w:rsid w:val="003D4F14"/>
    <w:rsid w:val="003D542A"/>
    <w:rsid w:val="003D5FCF"/>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346E"/>
    <w:rsid w:val="004236D8"/>
    <w:rsid w:val="00424134"/>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06B"/>
    <w:rsid w:val="00465881"/>
    <w:rsid w:val="00465AA2"/>
    <w:rsid w:val="00466E99"/>
    <w:rsid w:val="00467522"/>
    <w:rsid w:val="0046756B"/>
    <w:rsid w:val="00467602"/>
    <w:rsid w:val="00470D63"/>
    <w:rsid w:val="00471BD3"/>
    <w:rsid w:val="00471C0F"/>
    <w:rsid w:val="00472614"/>
    <w:rsid w:val="004726E5"/>
    <w:rsid w:val="004732FF"/>
    <w:rsid w:val="0047366A"/>
    <w:rsid w:val="004752AD"/>
    <w:rsid w:val="0047538B"/>
    <w:rsid w:val="00475D98"/>
    <w:rsid w:val="0047615C"/>
    <w:rsid w:val="004764C9"/>
    <w:rsid w:val="00476AF8"/>
    <w:rsid w:val="00476F53"/>
    <w:rsid w:val="004770F5"/>
    <w:rsid w:val="004773A3"/>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4498"/>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32C2"/>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6DB"/>
    <w:rsid w:val="004E1CE9"/>
    <w:rsid w:val="004E3774"/>
    <w:rsid w:val="004E419D"/>
    <w:rsid w:val="004E4EFD"/>
    <w:rsid w:val="004E51A2"/>
    <w:rsid w:val="004E5495"/>
    <w:rsid w:val="004E5C74"/>
    <w:rsid w:val="004E6C97"/>
    <w:rsid w:val="004E7DA5"/>
    <w:rsid w:val="004F189C"/>
    <w:rsid w:val="004F18CB"/>
    <w:rsid w:val="004F21E9"/>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3165"/>
    <w:rsid w:val="005035AE"/>
    <w:rsid w:val="005037C3"/>
    <w:rsid w:val="00503A01"/>
    <w:rsid w:val="00503B82"/>
    <w:rsid w:val="00504117"/>
    <w:rsid w:val="00504A71"/>
    <w:rsid w:val="00504F63"/>
    <w:rsid w:val="0050542C"/>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76F"/>
    <w:rsid w:val="00517C0A"/>
    <w:rsid w:val="00517DD4"/>
    <w:rsid w:val="005207EF"/>
    <w:rsid w:val="00520D24"/>
    <w:rsid w:val="00521A59"/>
    <w:rsid w:val="00521BB9"/>
    <w:rsid w:val="00521DCD"/>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710A"/>
    <w:rsid w:val="005475EC"/>
    <w:rsid w:val="0055012E"/>
    <w:rsid w:val="005514C1"/>
    <w:rsid w:val="00551A51"/>
    <w:rsid w:val="005520F0"/>
    <w:rsid w:val="00552E19"/>
    <w:rsid w:val="00552F06"/>
    <w:rsid w:val="005536CD"/>
    <w:rsid w:val="00553E47"/>
    <w:rsid w:val="00554072"/>
    <w:rsid w:val="0055442B"/>
    <w:rsid w:val="005545A4"/>
    <w:rsid w:val="00554CE3"/>
    <w:rsid w:val="00554F2A"/>
    <w:rsid w:val="00554FF2"/>
    <w:rsid w:val="0055661D"/>
    <w:rsid w:val="00556FFD"/>
    <w:rsid w:val="00557BB5"/>
    <w:rsid w:val="0056017E"/>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2A0"/>
    <w:rsid w:val="005C24AF"/>
    <w:rsid w:val="005C3BEC"/>
    <w:rsid w:val="005C3F87"/>
    <w:rsid w:val="005C53C6"/>
    <w:rsid w:val="005C57C3"/>
    <w:rsid w:val="005C5A90"/>
    <w:rsid w:val="005C5DCF"/>
    <w:rsid w:val="005C62CB"/>
    <w:rsid w:val="005C728F"/>
    <w:rsid w:val="005D00D8"/>
    <w:rsid w:val="005D0700"/>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DA7"/>
    <w:rsid w:val="005D7E71"/>
    <w:rsid w:val="005E038F"/>
    <w:rsid w:val="005E0A7E"/>
    <w:rsid w:val="005E0EB2"/>
    <w:rsid w:val="005E1138"/>
    <w:rsid w:val="005E1E06"/>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5B2"/>
    <w:rsid w:val="005F707C"/>
    <w:rsid w:val="005F7393"/>
    <w:rsid w:val="005F75A4"/>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3BCF"/>
    <w:rsid w:val="00624805"/>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726B"/>
    <w:rsid w:val="006675CA"/>
    <w:rsid w:val="006710AA"/>
    <w:rsid w:val="00672554"/>
    <w:rsid w:val="00672788"/>
    <w:rsid w:val="0067321B"/>
    <w:rsid w:val="006735B5"/>
    <w:rsid w:val="006735B6"/>
    <w:rsid w:val="006736DA"/>
    <w:rsid w:val="0067396E"/>
    <w:rsid w:val="006744D8"/>
    <w:rsid w:val="00674BA0"/>
    <w:rsid w:val="00675345"/>
    <w:rsid w:val="006759EC"/>
    <w:rsid w:val="00675CF5"/>
    <w:rsid w:val="00676083"/>
    <w:rsid w:val="006766EF"/>
    <w:rsid w:val="0067709B"/>
    <w:rsid w:val="00677DE2"/>
    <w:rsid w:val="006805A3"/>
    <w:rsid w:val="00680FAC"/>
    <w:rsid w:val="006810CC"/>
    <w:rsid w:val="006819E9"/>
    <w:rsid w:val="00681EC4"/>
    <w:rsid w:val="006822A4"/>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818"/>
    <w:rsid w:val="00692C61"/>
    <w:rsid w:val="0069380D"/>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149D"/>
    <w:rsid w:val="006C27BD"/>
    <w:rsid w:val="006C3684"/>
    <w:rsid w:val="006C4246"/>
    <w:rsid w:val="006C4752"/>
    <w:rsid w:val="006C4B7B"/>
    <w:rsid w:val="006C4C89"/>
    <w:rsid w:val="006C4F6A"/>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304E"/>
    <w:rsid w:val="007232CD"/>
    <w:rsid w:val="00723B0A"/>
    <w:rsid w:val="00724916"/>
    <w:rsid w:val="007255AD"/>
    <w:rsid w:val="00726C22"/>
    <w:rsid w:val="0072731A"/>
    <w:rsid w:val="00730AC8"/>
    <w:rsid w:val="00732045"/>
    <w:rsid w:val="00732288"/>
    <w:rsid w:val="007325DF"/>
    <w:rsid w:val="00733046"/>
    <w:rsid w:val="0073325E"/>
    <w:rsid w:val="007333C4"/>
    <w:rsid w:val="00734FD4"/>
    <w:rsid w:val="00735CB7"/>
    <w:rsid w:val="00735FF1"/>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FF0"/>
    <w:rsid w:val="00765317"/>
    <w:rsid w:val="00765716"/>
    <w:rsid w:val="00765A30"/>
    <w:rsid w:val="00765ED9"/>
    <w:rsid w:val="00765F5B"/>
    <w:rsid w:val="0076602D"/>
    <w:rsid w:val="00766E7C"/>
    <w:rsid w:val="0077080B"/>
    <w:rsid w:val="00771267"/>
    <w:rsid w:val="007712A8"/>
    <w:rsid w:val="00773F0C"/>
    <w:rsid w:val="007746F0"/>
    <w:rsid w:val="007748FE"/>
    <w:rsid w:val="00774B13"/>
    <w:rsid w:val="00774BDF"/>
    <w:rsid w:val="007751A0"/>
    <w:rsid w:val="007753E0"/>
    <w:rsid w:val="00775594"/>
    <w:rsid w:val="00775F4E"/>
    <w:rsid w:val="00776BAD"/>
    <w:rsid w:val="00776D16"/>
    <w:rsid w:val="00777526"/>
    <w:rsid w:val="0077758C"/>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41C2"/>
    <w:rsid w:val="007943CC"/>
    <w:rsid w:val="00794BBF"/>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7A88"/>
    <w:rsid w:val="007B05EE"/>
    <w:rsid w:val="007B14C0"/>
    <w:rsid w:val="007B1821"/>
    <w:rsid w:val="007B18DE"/>
    <w:rsid w:val="007B260E"/>
    <w:rsid w:val="007B323A"/>
    <w:rsid w:val="007B3290"/>
    <w:rsid w:val="007B3A8D"/>
    <w:rsid w:val="007B5DD8"/>
    <w:rsid w:val="007B5EA7"/>
    <w:rsid w:val="007B62D7"/>
    <w:rsid w:val="007B6AE3"/>
    <w:rsid w:val="007C1D31"/>
    <w:rsid w:val="007C2070"/>
    <w:rsid w:val="007C23F7"/>
    <w:rsid w:val="007C2458"/>
    <w:rsid w:val="007C258E"/>
    <w:rsid w:val="007C2D30"/>
    <w:rsid w:val="007C31FA"/>
    <w:rsid w:val="007C32AB"/>
    <w:rsid w:val="007C3E55"/>
    <w:rsid w:val="007C3EA3"/>
    <w:rsid w:val="007C4485"/>
    <w:rsid w:val="007C48A1"/>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15EA"/>
    <w:rsid w:val="007E16DA"/>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3FD5"/>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074"/>
    <w:rsid w:val="008122E7"/>
    <w:rsid w:val="008127EF"/>
    <w:rsid w:val="00813CEE"/>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E56"/>
    <w:rsid w:val="00824567"/>
    <w:rsid w:val="00824A80"/>
    <w:rsid w:val="008251ED"/>
    <w:rsid w:val="00825218"/>
    <w:rsid w:val="00825F96"/>
    <w:rsid w:val="00827290"/>
    <w:rsid w:val="008302EC"/>
    <w:rsid w:val="00830380"/>
    <w:rsid w:val="00830993"/>
    <w:rsid w:val="008315B7"/>
    <w:rsid w:val="008315FF"/>
    <w:rsid w:val="00831A74"/>
    <w:rsid w:val="0083206D"/>
    <w:rsid w:val="00832F1B"/>
    <w:rsid w:val="008338A4"/>
    <w:rsid w:val="00833AA3"/>
    <w:rsid w:val="00834097"/>
    <w:rsid w:val="0083450A"/>
    <w:rsid w:val="008345EF"/>
    <w:rsid w:val="008348DA"/>
    <w:rsid w:val="00834F62"/>
    <w:rsid w:val="0083537C"/>
    <w:rsid w:val="0083595B"/>
    <w:rsid w:val="00835A62"/>
    <w:rsid w:val="008379BF"/>
    <w:rsid w:val="00840A2E"/>
    <w:rsid w:val="008422A8"/>
    <w:rsid w:val="00842CF1"/>
    <w:rsid w:val="00842F53"/>
    <w:rsid w:val="00842F8E"/>
    <w:rsid w:val="00843799"/>
    <w:rsid w:val="008447C0"/>
    <w:rsid w:val="00844C26"/>
    <w:rsid w:val="00845CFB"/>
    <w:rsid w:val="00845F4C"/>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E1"/>
    <w:rsid w:val="00856396"/>
    <w:rsid w:val="008563C9"/>
    <w:rsid w:val="00856CC9"/>
    <w:rsid w:val="00857689"/>
    <w:rsid w:val="00857ECC"/>
    <w:rsid w:val="00857FFC"/>
    <w:rsid w:val="00860570"/>
    <w:rsid w:val="00861742"/>
    <w:rsid w:val="00862FDD"/>
    <w:rsid w:val="008633F1"/>
    <w:rsid w:val="00864A40"/>
    <w:rsid w:val="00864F26"/>
    <w:rsid w:val="00865992"/>
    <w:rsid w:val="00865EFA"/>
    <w:rsid w:val="0086636B"/>
    <w:rsid w:val="00866461"/>
    <w:rsid w:val="00866ADD"/>
    <w:rsid w:val="00867575"/>
    <w:rsid w:val="00870576"/>
    <w:rsid w:val="00870DB5"/>
    <w:rsid w:val="00870F89"/>
    <w:rsid w:val="00872826"/>
    <w:rsid w:val="00872DF4"/>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E73"/>
    <w:rsid w:val="00890FD9"/>
    <w:rsid w:val="00891228"/>
    <w:rsid w:val="008914DA"/>
    <w:rsid w:val="00892289"/>
    <w:rsid w:val="00892DC1"/>
    <w:rsid w:val="008931A4"/>
    <w:rsid w:val="008932A5"/>
    <w:rsid w:val="00894FE8"/>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D1841"/>
    <w:rsid w:val="008D18FF"/>
    <w:rsid w:val="008D1CF7"/>
    <w:rsid w:val="008D1F06"/>
    <w:rsid w:val="008D3313"/>
    <w:rsid w:val="008D38D4"/>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3200"/>
    <w:rsid w:val="008E38CE"/>
    <w:rsid w:val="008E3E4D"/>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3506"/>
    <w:rsid w:val="0091380E"/>
    <w:rsid w:val="0091392B"/>
    <w:rsid w:val="00913C7D"/>
    <w:rsid w:val="009155DA"/>
    <w:rsid w:val="00915BA2"/>
    <w:rsid w:val="0091637B"/>
    <w:rsid w:val="0091658E"/>
    <w:rsid w:val="00916FC4"/>
    <w:rsid w:val="00917639"/>
    <w:rsid w:val="00917CA8"/>
    <w:rsid w:val="00917E64"/>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E24"/>
    <w:rsid w:val="00927F50"/>
    <w:rsid w:val="00930CCA"/>
    <w:rsid w:val="00930E9F"/>
    <w:rsid w:val="00931303"/>
    <w:rsid w:val="00933C39"/>
    <w:rsid w:val="00933C3C"/>
    <w:rsid w:val="00933C53"/>
    <w:rsid w:val="00934217"/>
    <w:rsid w:val="009347F0"/>
    <w:rsid w:val="00934F56"/>
    <w:rsid w:val="009351E9"/>
    <w:rsid w:val="009354D0"/>
    <w:rsid w:val="0093639B"/>
    <w:rsid w:val="00936BF0"/>
    <w:rsid w:val="0094071F"/>
    <w:rsid w:val="00940B1B"/>
    <w:rsid w:val="00940C59"/>
    <w:rsid w:val="00941829"/>
    <w:rsid w:val="00941928"/>
    <w:rsid w:val="00941CDE"/>
    <w:rsid w:val="00941D5C"/>
    <w:rsid w:val="0094305F"/>
    <w:rsid w:val="00943FB4"/>
    <w:rsid w:val="009441EB"/>
    <w:rsid w:val="00946473"/>
    <w:rsid w:val="009466A2"/>
    <w:rsid w:val="00947046"/>
    <w:rsid w:val="009473C0"/>
    <w:rsid w:val="00947782"/>
    <w:rsid w:val="00947B6A"/>
    <w:rsid w:val="00951B6F"/>
    <w:rsid w:val="00952321"/>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2ED"/>
    <w:rsid w:val="009677A6"/>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5B95"/>
    <w:rsid w:val="00986065"/>
    <w:rsid w:val="009873A8"/>
    <w:rsid w:val="00987731"/>
    <w:rsid w:val="009903C3"/>
    <w:rsid w:val="00991240"/>
    <w:rsid w:val="00991D0D"/>
    <w:rsid w:val="0099270F"/>
    <w:rsid w:val="009944D3"/>
    <w:rsid w:val="009945AF"/>
    <w:rsid w:val="009956C6"/>
    <w:rsid w:val="00995810"/>
    <w:rsid w:val="00995AF9"/>
    <w:rsid w:val="00996107"/>
    <w:rsid w:val="00996161"/>
    <w:rsid w:val="009966EB"/>
    <w:rsid w:val="00996B37"/>
    <w:rsid w:val="00996C41"/>
    <w:rsid w:val="00996F4A"/>
    <w:rsid w:val="00997E60"/>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2F32"/>
    <w:rsid w:val="009B4949"/>
    <w:rsid w:val="009B5202"/>
    <w:rsid w:val="009B5248"/>
    <w:rsid w:val="009B5AE6"/>
    <w:rsid w:val="009B614D"/>
    <w:rsid w:val="009B7FF8"/>
    <w:rsid w:val="009C1549"/>
    <w:rsid w:val="009C2B57"/>
    <w:rsid w:val="009C3292"/>
    <w:rsid w:val="009C34B7"/>
    <w:rsid w:val="009C4216"/>
    <w:rsid w:val="009C4931"/>
    <w:rsid w:val="009C560E"/>
    <w:rsid w:val="009C5CCE"/>
    <w:rsid w:val="009D0053"/>
    <w:rsid w:val="009D06DC"/>
    <w:rsid w:val="009D14A4"/>
    <w:rsid w:val="009D27C5"/>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2AAE"/>
    <w:rsid w:val="009E3542"/>
    <w:rsid w:val="009E3600"/>
    <w:rsid w:val="009E3C4D"/>
    <w:rsid w:val="009E4C4A"/>
    <w:rsid w:val="009E6437"/>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52E1"/>
    <w:rsid w:val="009F545E"/>
    <w:rsid w:val="009F5672"/>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22AE"/>
    <w:rsid w:val="00A133F1"/>
    <w:rsid w:val="00A135C3"/>
    <w:rsid w:val="00A1491F"/>
    <w:rsid w:val="00A151AF"/>
    <w:rsid w:val="00A15769"/>
    <w:rsid w:val="00A163E3"/>
    <w:rsid w:val="00A16F97"/>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98"/>
    <w:rsid w:val="00A96E6F"/>
    <w:rsid w:val="00A97438"/>
    <w:rsid w:val="00AA0153"/>
    <w:rsid w:val="00AA0FA8"/>
    <w:rsid w:val="00AA1056"/>
    <w:rsid w:val="00AA1709"/>
    <w:rsid w:val="00AA18F9"/>
    <w:rsid w:val="00AA1DA0"/>
    <w:rsid w:val="00AA1ED4"/>
    <w:rsid w:val="00AA22F5"/>
    <w:rsid w:val="00AA2954"/>
    <w:rsid w:val="00AA2990"/>
    <w:rsid w:val="00AA2CB7"/>
    <w:rsid w:val="00AA3573"/>
    <w:rsid w:val="00AA3E2B"/>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12"/>
    <w:rsid w:val="00AF4FE6"/>
    <w:rsid w:val="00AF5D12"/>
    <w:rsid w:val="00AF5D81"/>
    <w:rsid w:val="00AF6FE4"/>
    <w:rsid w:val="00AF713F"/>
    <w:rsid w:val="00B007F4"/>
    <w:rsid w:val="00B02EE7"/>
    <w:rsid w:val="00B02F7F"/>
    <w:rsid w:val="00B03CE4"/>
    <w:rsid w:val="00B0439C"/>
    <w:rsid w:val="00B04CE3"/>
    <w:rsid w:val="00B05B76"/>
    <w:rsid w:val="00B06406"/>
    <w:rsid w:val="00B0667D"/>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7058"/>
    <w:rsid w:val="00B20153"/>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E9C"/>
    <w:rsid w:val="00B4115D"/>
    <w:rsid w:val="00B412BF"/>
    <w:rsid w:val="00B417DC"/>
    <w:rsid w:val="00B42AE9"/>
    <w:rsid w:val="00B4359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F22"/>
    <w:rsid w:val="00B533FB"/>
    <w:rsid w:val="00B535BF"/>
    <w:rsid w:val="00B53F2D"/>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FDB"/>
    <w:rsid w:val="00B70842"/>
    <w:rsid w:val="00B713BD"/>
    <w:rsid w:val="00B715B0"/>
    <w:rsid w:val="00B71995"/>
    <w:rsid w:val="00B71BF3"/>
    <w:rsid w:val="00B729C9"/>
    <w:rsid w:val="00B7379E"/>
    <w:rsid w:val="00B73FB2"/>
    <w:rsid w:val="00B73FF0"/>
    <w:rsid w:val="00B75111"/>
    <w:rsid w:val="00B75C0A"/>
    <w:rsid w:val="00B763AA"/>
    <w:rsid w:val="00B7656A"/>
    <w:rsid w:val="00B76AAE"/>
    <w:rsid w:val="00B770D8"/>
    <w:rsid w:val="00B77946"/>
    <w:rsid w:val="00B77951"/>
    <w:rsid w:val="00B801B8"/>
    <w:rsid w:val="00B80332"/>
    <w:rsid w:val="00B8033C"/>
    <w:rsid w:val="00B811EF"/>
    <w:rsid w:val="00B816C1"/>
    <w:rsid w:val="00B8176D"/>
    <w:rsid w:val="00B818CB"/>
    <w:rsid w:val="00B8280B"/>
    <w:rsid w:val="00B8344A"/>
    <w:rsid w:val="00B83605"/>
    <w:rsid w:val="00B83AED"/>
    <w:rsid w:val="00B83F0A"/>
    <w:rsid w:val="00B858BA"/>
    <w:rsid w:val="00B85B26"/>
    <w:rsid w:val="00B85E95"/>
    <w:rsid w:val="00B8689D"/>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5F4"/>
    <w:rsid w:val="00BA3DE4"/>
    <w:rsid w:val="00BA41C3"/>
    <w:rsid w:val="00BA42AB"/>
    <w:rsid w:val="00BA51E3"/>
    <w:rsid w:val="00BA59E4"/>
    <w:rsid w:val="00BA5BAB"/>
    <w:rsid w:val="00BA6EF3"/>
    <w:rsid w:val="00BA7390"/>
    <w:rsid w:val="00BA7DCD"/>
    <w:rsid w:val="00BB07F8"/>
    <w:rsid w:val="00BB095C"/>
    <w:rsid w:val="00BB1A80"/>
    <w:rsid w:val="00BB1BD5"/>
    <w:rsid w:val="00BB1D5F"/>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6926"/>
    <w:rsid w:val="00BF6945"/>
    <w:rsid w:val="00BF74E1"/>
    <w:rsid w:val="00BF759C"/>
    <w:rsid w:val="00C00E05"/>
    <w:rsid w:val="00C012E0"/>
    <w:rsid w:val="00C0162A"/>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6A"/>
    <w:rsid w:val="00C20CC7"/>
    <w:rsid w:val="00C210A5"/>
    <w:rsid w:val="00C24390"/>
    <w:rsid w:val="00C24B98"/>
    <w:rsid w:val="00C25109"/>
    <w:rsid w:val="00C251FE"/>
    <w:rsid w:val="00C25ED3"/>
    <w:rsid w:val="00C263EA"/>
    <w:rsid w:val="00C26423"/>
    <w:rsid w:val="00C26457"/>
    <w:rsid w:val="00C26912"/>
    <w:rsid w:val="00C274A2"/>
    <w:rsid w:val="00C275B6"/>
    <w:rsid w:val="00C275F2"/>
    <w:rsid w:val="00C27818"/>
    <w:rsid w:val="00C27A7E"/>
    <w:rsid w:val="00C320C2"/>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1901"/>
    <w:rsid w:val="00C419BC"/>
    <w:rsid w:val="00C4213A"/>
    <w:rsid w:val="00C42F34"/>
    <w:rsid w:val="00C43087"/>
    <w:rsid w:val="00C4366E"/>
    <w:rsid w:val="00C43D83"/>
    <w:rsid w:val="00C44780"/>
    <w:rsid w:val="00C4479B"/>
    <w:rsid w:val="00C448BD"/>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4CA"/>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4A90"/>
    <w:rsid w:val="00C7541A"/>
    <w:rsid w:val="00C756A7"/>
    <w:rsid w:val="00C76111"/>
    <w:rsid w:val="00C76A20"/>
    <w:rsid w:val="00C77B04"/>
    <w:rsid w:val="00C77FA8"/>
    <w:rsid w:val="00C80704"/>
    <w:rsid w:val="00C80AF2"/>
    <w:rsid w:val="00C813EF"/>
    <w:rsid w:val="00C8178C"/>
    <w:rsid w:val="00C81837"/>
    <w:rsid w:val="00C823AA"/>
    <w:rsid w:val="00C82805"/>
    <w:rsid w:val="00C84138"/>
    <w:rsid w:val="00C846F4"/>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971FA"/>
    <w:rsid w:val="00CA10E0"/>
    <w:rsid w:val="00CA10F3"/>
    <w:rsid w:val="00CA1A91"/>
    <w:rsid w:val="00CA26BA"/>
    <w:rsid w:val="00CA3165"/>
    <w:rsid w:val="00CA326E"/>
    <w:rsid w:val="00CA3ABF"/>
    <w:rsid w:val="00CA5F04"/>
    <w:rsid w:val="00CA610F"/>
    <w:rsid w:val="00CA627E"/>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7C7"/>
    <w:rsid w:val="00CE186B"/>
    <w:rsid w:val="00CE23F4"/>
    <w:rsid w:val="00CE2961"/>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0D7"/>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71B5"/>
    <w:rsid w:val="00D073F2"/>
    <w:rsid w:val="00D11306"/>
    <w:rsid w:val="00D11D74"/>
    <w:rsid w:val="00D124FF"/>
    <w:rsid w:val="00D133A7"/>
    <w:rsid w:val="00D14913"/>
    <w:rsid w:val="00D15B7D"/>
    <w:rsid w:val="00D15C26"/>
    <w:rsid w:val="00D17639"/>
    <w:rsid w:val="00D17708"/>
    <w:rsid w:val="00D17DF2"/>
    <w:rsid w:val="00D20C21"/>
    <w:rsid w:val="00D218EE"/>
    <w:rsid w:val="00D22B45"/>
    <w:rsid w:val="00D2329A"/>
    <w:rsid w:val="00D24333"/>
    <w:rsid w:val="00D245D1"/>
    <w:rsid w:val="00D24B75"/>
    <w:rsid w:val="00D24E57"/>
    <w:rsid w:val="00D252EB"/>
    <w:rsid w:val="00D26084"/>
    <w:rsid w:val="00D2693C"/>
    <w:rsid w:val="00D3015D"/>
    <w:rsid w:val="00D30D94"/>
    <w:rsid w:val="00D31735"/>
    <w:rsid w:val="00D317AF"/>
    <w:rsid w:val="00D32789"/>
    <w:rsid w:val="00D33C78"/>
    <w:rsid w:val="00D34B94"/>
    <w:rsid w:val="00D35014"/>
    <w:rsid w:val="00D3534E"/>
    <w:rsid w:val="00D3581B"/>
    <w:rsid w:val="00D358D1"/>
    <w:rsid w:val="00D35CC1"/>
    <w:rsid w:val="00D37F3D"/>
    <w:rsid w:val="00D4049F"/>
    <w:rsid w:val="00D40776"/>
    <w:rsid w:val="00D407E4"/>
    <w:rsid w:val="00D413A1"/>
    <w:rsid w:val="00D41D89"/>
    <w:rsid w:val="00D43493"/>
    <w:rsid w:val="00D4436D"/>
    <w:rsid w:val="00D44913"/>
    <w:rsid w:val="00D44BED"/>
    <w:rsid w:val="00D44C51"/>
    <w:rsid w:val="00D44E2E"/>
    <w:rsid w:val="00D46129"/>
    <w:rsid w:val="00D4650D"/>
    <w:rsid w:val="00D47320"/>
    <w:rsid w:val="00D477F2"/>
    <w:rsid w:val="00D509BE"/>
    <w:rsid w:val="00D50A5C"/>
    <w:rsid w:val="00D50A73"/>
    <w:rsid w:val="00D51596"/>
    <w:rsid w:val="00D51C60"/>
    <w:rsid w:val="00D51DA5"/>
    <w:rsid w:val="00D52868"/>
    <w:rsid w:val="00D532B4"/>
    <w:rsid w:val="00D533F1"/>
    <w:rsid w:val="00D5391B"/>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D4E"/>
    <w:rsid w:val="00D61A6D"/>
    <w:rsid w:val="00D62E4D"/>
    <w:rsid w:val="00D635D4"/>
    <w:rsid w:val="00D63CD6"/>
    <w:rsid w:val="00D63EAD"/>
    <w:rsid w:val="00D6422B"/>
    <w:rsid w:val="00D6444C"/>
    <w:rsid w:val="00D64D96"/>
    <w:rsid w:val="00D66A71"/>
    <w:rsid w:val="00D66E3E"/>
    <w:rsid w:val="00D7091A"/>
    <w:rsid w:val="00D71A49"/>
    <w:rsid w:val="00D71A94"/>
    <w:rsid w:val="00D71FA6"/>
    <w:rsid w:val="00D7245F"/>
    <w:rsid w:val="00D7385B"/>
    <w:rsid w:val="00D73F1D"/>
    <w:rsid w:val="00D750B6"/>
    <w:rsid w:val="00D75266"/>
    <w:rsid w:val="00D75303"/>
    <w:rsid w:val="00D75505"/>
    <w:rsid w:val="00D75A5F"/>
    <w:rsid w:val="00D75F5F"/>
    <w:rsid w:val="00D76BAA"/>
    <w:rsid w:val="00D776EC"/>
    <w:rsid w:val="00D77B9B"/>
    <w:rsid w:val="00D80949"/>
    <w:rsid w:val="00D809EC"/>
    <w:rsid w:val="00D81206"/>
    <w:rsid w:val="00D8181F"/>
    <w:rsid w:val="00D820AD"/>
    <w:rsid w:val="00D827DA"/>
    <w:rsid w:val="00D82B9E"/>
    <w:rsid w:val="00D82BB2"/>
    <w:rsid w:val="00D83A19"/>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4215"/>
    <w:rsid w:val="00DB490C"/>
    <w:rsid w:val="00DB4CEE"/>
    <w:rsid w:val="00DB5342"/>
    <w:rsid w:val="00DB5810"/>
    <w:rsid w:val="00DB5D19"/>
    <w:rsid w:val="00DB65AF"/>
    <w:rsid w:val="00DB6EB8"/>
    <w:rsid w:val="00DB71D7"/>
    <w:rsid w:val="00DB77EF"/>
    <w:rsid w:val="00DB79FA"/>
    <w:rsid w:val="00DC0A87"/>
    <w:rsid w:val="00DC11F3"/>
    <w:rsid w:val="00DC15F6"/>
    <w:rsid w:val="00DC20F5"/>
    <w:rsid w:val="00DC2303"/>
    <w:rsid w:val="00DC2FD8"/>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7F3"/>
    <w:rsid w:val="00DD48CF"/>
    <w:rsid w:val="00DD4AC8"/>
    <w:rsid w:val="00DD5087"/>
    <w:rsid w:val="00DD5398"/>
    <w:rsid w:val="00DD60FF"/>
    <w:rsid w:val="00DD6E2E"/>
    <w:rsid w:val="00DD6F1A"/>
    <w:rsid w:val="00DD752C"/>
    <w:rsid w:val="00DD7577"/>
    <w:rsid w:val="00DD76AC"/>
    <w:rsid w:val="00DD7706"/>
    <w:rsid w:val="00DE0EB3"/>
    <w:rsid w:val="00DE1505"/>
    <w:rsid w:val="00DE27C8"/>
    <w:rsid w:val="00DE30B6"/>
    <w:rsid w:val="00DE35FA"/>
    <w:rsid w:val="00DE3B45"/>
    <w:rsid w:val="00DE5829"/>
    <w:rsid w:val="00DE5F57"/>
    <w:rsid w:val="00DE6480"/>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E000A0"/>
    <w:rsid w:val="00E00442"/>
    <w:rsid w:val="00E0060A"/>
    <w:rsid w:val="00E00BB9"/>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BA5"/>
    <w:rsid w:val="00E177DB"/>
    <w:rsid w:val="00E17982"/>
    <w:rsid w:val="00E17A7A"/>
    <w:rsid w:val="00E202F5"/>
    <w:rsid w:val="00E22282"/>
    <w:rsid w:val="00E22B0C"/>
    <w:rsid w:val="00E22F8F"/>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FE0"/>
    <w:rsid w:val="00E34743"/>
    <w:rsid w:val="00E35672"/>
    <w:rsid w:val="00E36AAB"/>
    <w:rsid w:val="00E37757"/>
    <w:rsid w:val="00E40796"/>
    <w:rsid w:val="00E40D45"/>
    <w:rsid w:val="00E411A6"/>
    <w:rsid w:val="00E41715"/>
    <w:rsid w:val="00E41864"/>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7ED"/>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84B"/>
    <w:rsid w:val="00E638DD"/>
    <w:rsid w:val="00E63A6E"/>
    <w:rsid w:val="00E63D03"/>
    <w:rsid w:val="00E6404A"/>
    <w:rsid w:val="00E64079"/>
    <w:rsid w:val="00E646DA"/>
    <w:rsid w:val="00E65F6D"/>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FE"/>
    <w:rsid w:val="00E7477E"/>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2A1"/>
    <w:rsid w:val="00E90400"/>
    <w:rsid w:val="00E9107C"/>
    <w:rsid w:val="00E91659"/>
    <w:rsid w:val="00E919F9"/>
    <w:rsid w:val="00E91F24"/>
    <w:rsid w:val="00E9213F"/>
    <w:rsid w:val="00E92EF9"/>
    <w:rsid w:val="00E931CF"/>
    <w:rsid w:val="00E931E9"/>
    <w:rsid w:val="00E93A22"/>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3129"/>
    <w:rsid w:val="00EA34C7"/>
    <w:rsid w:val="00EA3AE7"/>
    <w:rsid w:val="00EA3F6D"/>
    <w:rsid w:val="00EA44D5"/>
    <w:rsid w:val="00EA4962"/>
    <w:rsid w:val="00EA4D85"/>
    <w:rsid w:val="00EA5F0C"/>
    <w:rsid w:val="00EA6861"/>
    <w:rsid w:val="00EA6941"/>
    <w:rsid w:val="00EA7963"/>
    <w:rsid w:val="00EA7B96"/>
    <w:rsid w:val="00EB0A28"/>
    <w:rsid w:val="00EB2579"/>
    <w:rsid w:val="00EB279B"/>
    <w:rsid w:val="00EB2B84"/>
    <w:rsid w:val="00EB3110"/>
    <w:rsid w:val="00EB3278"/>
    <w:rsid w:val="00EB4A2A"/>
    <w:rsid w:val="00EB5692"/>
    <w:rsid w:val="00EB5F20"/>
    <w:rsid w:val="00EB60C6"/>
    <w:rsid w:val="00EB63A7"/>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8B0"/>
    <w:rsid w:val="00EC5F9B"/>
    <w:rsid w:val="00EC77B2"/>
    <w:rsid w:val="00EC7CF1"/>
    <w:rsid w:val="00ED0831"/>
    <w:rsid w:val="00ED1D3F"/>
    <w:rsid w:val="00ED2530"/>
    <w:rsid w:val="00ED2562"/>
    <w:rsid w:val="00ED2633"/>
    <w:rsid w:val="00ED2A57"/>
    <w:rsid w:val="00ED3913"/>
    <w:rsid w:val="00ED3D75"/>
    <w:rsid w:val="00ED543E"/>
    <w:rsid w:val="00ED5DB3"/>
    <w:rsid w:val="00ED5DCA"/>
    <w:rsid w:val="00ED664E"/>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28"/>
    <w:rsid w:val="00EE55C2"/>
    <w:rsid w:val="00EE5C7B"/>
    <w:rsid w:val="00EE5DB5"/>
    <w:rsid w:val="00EE5F02"/>
    <w:rsid w:val="00EE6249"/>
    <w:rsid w:val="00EE7BFF"/>
    <w:rsid w:val="00EF06E2"/>
    <w:rsid w:val="00EF0E7C"/>
    <w:rsid w:val="00EF166B"/>
    <w:rsid w:val="00EF1F7C"/>
    <w:rsid w:val="00EF2762"/>
    <w:rsid w:val="00EF31F4"/>
    <w:rsid w:val="00EF3357"/>
    <w:rsid w:val="00EF3477"/>
    <w:rsid w:val="00EF4228"/>
    <w:rsid w:val="00EF47EC"/>
    <w:rsid w:val="00EF5102"/>
    <w:rsid w:val="00EF67A9"/>
    <w:rsid w:val="00F00023"/>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940"/>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6235"/>
    <w:rsid w:val="00F466B2"/>
    <w:rsid w:val="00F46E93"/>
    <w:rsid w:val="00F478A5"/>
    <w:rsid w:val="00F50792"/>
    <w:rsid w:val="00F509D1"/>
    <w:rsid w:val="00F538C9"/>
    <w:rsid w:val="00F53AAA"/>
    <w:rsid w:val="00F54505"/>
    <w:rsid w:val="00F54786"/>
    <w:rsid w:val="00F549A5"/>
    <w:rsid w:val="00F54EE3"/>
    <w:rsid w:val="00F56700"/>
    <w:rsid w:val="00F57B08"/>
    <w:rsid w:val="00F621B8"/>
    <w:rsid w:val="00F62539"/>
    <w:rsid w:val="00F62A19"/>
    <w:rsid w:val="00F634CC"/>
    <w:rsid w:val="00F63AC6"/>
    <w:rsid w:val="00F63B4E"/>
    <w:rsid w:val="00F63E0F"/>
    <w:rsid w:val="00F63F44"/>
    <w:rsid w:val="00F64304"/>
    <w:rsid w:val="00F643A5"/>
    <w:rsid w:val="00F646A0"/>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D6F"/>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31E2"/>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D7771"/>
    <w:rsid w:val="00FE066B"/>
    <w:rsid w:val="00FE1220"/>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6E33"/>
    <w:rsid w:val="00FF0413"/>
    <w:rsid w:val="00FF0809"/>
    <w:rsid w:val="00FF0C24"/>
    <w:rsid w:val="00FF1449"/>
    <w:rsid w:val="00FF145D"/>
    <w:rsid w:val="00FF181A"/>
    <w:rsid w:val="00FF2930"/>
    <w:rsid w:val="00FF2AD3"/>
    <w:rsid w:val="00FF3586"/>
    <w:rsid w:val="00FF3737"/>
    <w:rsid w:val="00FF4357"/>
    <w:rsid w:val="00FF45E5"/>
    <w:rsid w:val="00FF4912"/>
    <w:rsid w:val="00FF4B7B"/>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92FC897-0756-44A6-AB17-2EFB81E1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15936</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4</cp:revision>
  <cp:lastPrinted>2012-03-15T16:51:00Z</cp:lastPrinted>
  <dcterms:created xsi:type="dcterms:W3CDTF">2012-03-02T18:50:00Z</dcterms:created>
  <dcterms:modified xsi:type="dcterms:W3CDTF">2012-03-15T16:51:00Z</dcterms:modified>
</cp:coreProperties>
</file>