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8B455C" w:rsidRDefault="008E4FD6" w:rsidP="008E4FD6">
      <w:pPr>
        <w:jc w:val="center"/>
        <w:rPr>
          <w:b/>
        </w:rPr>
      </w:pPr>
      <w:r w:rsidRPr="008B455C">
        <w:rPr>
          <w:b/>
        </w:rPr>
        <w:t>BEFORE THE</w:t>
      </w:r>
    </w:p>
    <w:p w:rsidR="008E4FD6" w:rsidRPr="008B455C" w:rsidRDefault="008E4FD6" w:rsidP="008E4FD6">
      <w:pPr>
        <w:jc w:val="center"/>
        <w:rPr>
          <w:b/>
        </w:rPr>
      </w:pPr>
      <w:smartTag w:uri="urn:schemas-microsoft-com:office:smarttags" w:element="State">
        <w:smartTag w:uri="urn:schemas-microsoft-com:office:smarttags" w:element="place">
          <w:r w:rsidRPr="008B455C">
            <w:rPr>
              <w:b/>
            </w:rPr>
            <w:t>PENNSYLVANIA</w:t>
          </w:r>
        </w:smartTag>
      </w:smartTag>
      <w:r w:rsidRPr="008B455C">
        <w:rPr>
          <w:b/>
        </w:rPr>
        <w:t xml:space="preserve"> PUBLIC UTILITY COMMISSION</w:t>
      </w:r>
    </w:p>
    <w:p w:rsidR="008E4FD6" w:rsidRPr="008B455C" w:rsidRDefault="008E4FD6" w:rsidP="008E4FD6">
      <w:pPr>
        <w:jc w:val="center"/>
        <w:rPr>
          <w:b/>
        </w:rPr>
      </w:pPr>
    </w:p>
    <w:p w:rsidR="008E4FD6" w:rsidRPr="008B455C" w:rsidRDefault="008E4FD6" w:rsidP="008E4FD6">
      <w:pPr>
        <w:jc w:val="center"/>
        <w:rPr>
          <w:b/>
        </w:rPr>
      </w:pPr>
    </w:p>
    <w:p w:rsidR="008E4FD6" w:rsidRPr="008B455C" w:rsidRDefault="008E4FD6" w:rsidP="008E4FD6">
      <w:pPr>
        <w:jc w:val="center"/>
        <w:rPr>
          <w:b/>
        </w:rPr>
      </w:pPr>
    </w:p>
    <w:p w:rsidR="00F9732A" w:rsidRPr="008B455C" w:rsidRDefault="00A258DB" w:rsidP="00F9732A">
      <w:r>
        <w:t>Thomas P. Weldon</w:t>
      </w:r>
      <w:r w:rsidR="00E67D03">
        <w:tab/>
      </w:r>
      <w:r w:rsidR="00BC7989">
        <w:tab/>
      </w:r>
      <w:r w:rsidR="00F9732A" w:rsidRPr="008B455C">
        <w:tab/>
      </w:r>
      <w:r w:rsidR="00EF7BB1" w:rsidRPr="008B455C">
        <w:tab/>
      </w:r>
      <w:r w:rsidR="00F9732A" w:rsidRPr="008B455C">
        <w:tab/>
        <w:t>:</w:t>
      </w:r>
      <w:r w:rsidR="00F9732A" w:rsidRPr="008B455C">
        <w:tab/>
      </w:r>
    </w:p>
    <w:p w:rsidR="00F9732A" w:rsidRPr="008B455C" w:rsidRDefault="00F9732A" w:rsidP="00F9732A">
      <w:r w:rsidRPr="008B455C">
        <w:tab/>
      </w:r>
      <w:r w:rsidRPr="008B455C">
        <w:tab/>
      </w:r>
      <w:r w:rsidRPr="008B455C">
        <w:tab/>
      </w:r>
      <w:r w:rsidRPr="008B455C">
        <w:tab/>
      </w:r>
      <w:r w:rsidRPr="008B455C">
        <w:tab/>
      </w:r>
      <w:r w:rsidRPr="008B455C">
        <w:tab/>
      </w:r>
      <w:r w:rsidRPr="008B455C">
        <w:tab/>
        <w:t>:</w:t>
      </w:r>
    </w:p>
    <w:p w:rsidR="00F9732A" w:rsidRPr="008B455C" w:rsidRDefault="00F9732A" w:rsidP="00F6612B">
      <w:pPr>
        <w:numPr>
          <w:ilvl w:val="0"/>
          <w:numId w:val="5"/>
        </w:numPr>
        <w:ind w:hanging="4320"/>
      </w:pPr>
      <w:r w:rsidRPr="008B455C">
        <w:t>:</w:t>
      </w:r>
      <w:r w:rsidRPr="008B455C">
        <w:tab/>
      </w:r>
      <w:r w:rsidR="00F6612B" w:rsidRPr="008B455C">
        <w:tab/>
      </w:r>
      <w:r w:rsidR="00E67D03">
        <w:t>C-2010</w:t>
      </w:r>
      <w:r w:rsidR="00BC7989">
        <w:t>-2</w:t>
      </w:r>
      <w:r w:rsidR="00A258DB">
        <w:t>215803</w:t>
      </w:r>
    </w:p>
    <w:p w:rsidR="00F9732A" w:rsidRPr="008B455C" w:rsidRDefault="00F9732A" w:rsidP="00F9732A">
      <w:pPr>
        <w:ind w:left="5040"/>
      </w:pPr>
      <w:r w:rsidRPr="008B455C">
        <w:t>:</w:t>
      </w:r>
    </w:p>
    <w:p w:rsidR="00F9732A" w:rsidRPr="008B455C" w:rsidRDefault="00F9732A" w:rsidP="00F9732A">
      <w:r w:rsidRPr="008B455C">
        <w:t>Duquesne Light Company</w:t>
      </w:r>
      <w:r w:rsidRPr="008B455C">
        <w:tab/>
      </w:r>
      <w:r w:rsidRPr="008B455C">
        <w:tab/>
        <w:t xml:space="preserve"> </w:t>
      </w:r>
      <w:r w:rsidRPr="008B455C">
        <w:tab/>
      </w:r>
      <w:r w:rsidRPr="008B455C">
        <w:tab/>
        <w:t>:</w:t>
      </w:r>
    </w:p>
    <w:p w:rsidR="00F9732A" w:rsidRPr="008B455C" w:rsidRDefault="00F9732A" w:rsidP="00F9732A">
      <w:r w:rsidRPr="008B455C">
        <w:tab/>
      </w:r>
      <w:r w:rsidRPr="008B455C">
        <w:tab/>
      </w:r>
      <w:r w:rsidRPr="008B455C">
        <w:tab/>
      </w:r>
      <w:r w:rsidRPr="008B455C">
        <w:tab/>
      </w:r>
      <w:r w:rsidRPr="008B455C">
        <w:tab/>
      </w:r>
      <w:r w:rsidRPr="008B455C">
        <w:tab/>
      </w:r>
      <w:r w:rsidRPr="008B455C">
        <w:tab/>
      </w:r>
    </w:p>
    <w:p w:rsidR="008E4FD6" w:rsidRPr="008B455C" w:rsidRDefault="008E4FD6" w:rsidP="008E4FD6">
      <w:pPr>
        <w:tabs>
          <w:tab w:val="left" w:pos="1076"/>
        </w:tabs>
      </w:pPr>
    </w:p>
    <w:p w:rsidR="008E4FD6" w:rsidRPr="008B455C" w:rsidRDefault="008E4FD6" w:rsidP="008E4FD6">
      <w:pPr>
        <w:tabs>
          <w:tab w:val="left" w:pos="1076"/>
        </w:tabs>
      </w:pPr>
    </w:p>
    <w:p w:rsidR="008E4FD6" w:rsidRPr="008B455C" w:rsidRDefault="008E4FD6" w:rsidP="008E4FD6">
      <w:pPr>
        <w:jc w:val="center"/>
        <w:rPr>
          <w:b/>
          <w:u w:val="single"/>
        </w:rPr>
      </w:pPr>
      <w:r w:rsidRPr="008B455C">
        <w:rPr>
          <w:b/>
          <w:u w:val="single"/>
        </w:rPr>
        <w:t>INITIAL DECISION</w:t>
      </w:r>
    </w:p>
    <w:p w:rsidR="008E4FD6" w:rsidRPr="008B455C" w:rsidRDefault="008E4FD6" w:rsidP="008E4FD6">
      <w:pPr>
        <w:jc w:val="center"/>
      </w:pPr>
    </w:p>
    <w:p w:rsidR="009D47A5" w:rsidRPr="008B455C" w:rsidRDefault="009D47A5" w:rsidP="008E4FD6">
      <w:pPr>
        <w:jc w:val="center"/>
      </w:pPr>
    </w:p>
    <w:p w:rsidR="008E4FD6" w:rsidRPr="008B455C" w:rsidRDefault="008E4FD6" w:rsidP="008E4FD6">
      <w:pPr>
        <w:jc w:val="center"/>
      </w:pPr>
      <w:r w:rsidRPr="008B455C">
        <w:t>Before</w:t>
      </w:r>
    </w:p>
    <w:p w:rsidR="008E4FD6" w:rsidRPr="008B455C" w:rsidRDefault="00DF0974" w:rsidP="008E4FD6">
      <w:pPr>
        <w:jc w:val="center"/>
      </w:pPr>
      <w:r w:rsidRPr="008B455C">
        <w:t>Katrina L. Dunderdale</w:t>
      </w:r>
    </w:p>
    <w:p w:rsidR="008E4FD6" w:rsidRPr="008B455C" w:rsidRDefault="008E4FD6" w:rsidP="008E4FD6">
      <w:pPr>
        <w:jc w:val="center"/>
      </w:pPr>
      <w:r w:rsidRPr="008B455C">
        <w:t>Administrative Law Judge</w:t>
      </w:r>
    </w:p>
    <w:p w:rsidR="008E4FD6" w:rsidRPr="008B455C" w:rsidRDefault="008E4FD6" w:rsidP="008E4FD6">
      <w:pPr>
        <w:jc w:val="center"/>
      </w:pPr>
    </w:p>
    <w:p w:rsidR="008E4FD6" w:rsidRPr="008B455C" w:rsidRDefault="008E4FD6" w:rsidP="008E4FD6">
      <w:pPr>
        <w:jc w:val="center"/>
      </w:pPr>
    </w:p>
    <w:p w:rsidR="00F9732A" w:rsidRPr="008B455C" w:rsidRDefault="008E4FD6" w:rsidP="00F9732A">
      <w:pPr>
        <w:jc w:val="center"/>
        <w:rPr>
          <w:u w:val="single"/>
        </w:rPr>
      </w:pPr>
      <w:r w:rsidRPr="008B455C">
        <w:rPr>
          <w:u w:val="single"/>
        </w:rPr>
        <w:t>HISTORY OF THE PROCEEDING</w:t>
      </w:r>
    </w:p>
    <w:p w:rsidR="00F9732A" w:rsidRPr="008B455C" w:rsidRDefault="00F9732A" w:rsidP="00F9732A">
      <w:pPr>
        <w:jc w:val="center"/>
        <w:rPr>
          <w:u w:val="single"/>
        </w:rPr>
      </w:pPr>
    </w:p>
    <w:p w:rsidR="00D868FB" w:rsidRPr="008B455C" w:rsidRDefault="00D868FB" w:rsidP="00F9732A">
      <w:pPr>
        <w:jc w:val="center"/>
        <w:rPr>
          <w:u w:val="single"/>
        </w:rPr>
      </w:pPr>
    </w:p>
    <w:p w:rsidR="0041637D" w:rsidRPr="008B455C" w:rsidRDefault="00F9732A" w:rsidP="00BD76C8">
      <w:pPr>
        <w:spacing w:line="360" w:lineRule="auto"/>
      </w:pPr>
      <w:r w:rsidRPr="008B455C">
        <w:tab/>
      </w:r>
      <w:r w:rsidRPr="008B455C">
        <w:tab/>
      </w:r>
      <w:r w:rsidR="00BD76C8" w:rsidRPr="008B455C">
        <w:t xml:space="preserve">On </w:t>
      </w:r>
      <w:r w:rsidR="00A258DB">
        <w:t>December 17, 2010</w:t>
      </w:r>
      <w:r w:rsidR="00BD76C8" w:rsidRPr="008B455C">
        <w:t xml:space="preserve">, </w:t>
      </w:r>
      <w:r w:rsidR="00A258DB">
        <w:t>Thomas P. Weldon</w:t>
      </w:r>
      <w:r w:rsidR="0065346D" w:rsidRPr="008B455C">
        <w:t xml:space="preserve"> (“</w:t>
      </w:r>
      <w:r w:rsidR="00A258DB">
        <w:t>Weldon</w:t>
      </w:r>
      <w:r w:rsidR="00BC7989">
        <w:t>” or “Complainant</w:t>
      </w:r>
      <w:r w:rsidR="0065346D" w:rsidRPr="008B455C">
        <w:t>”)</w:t>
      </w:r>
      <w:r w:rsidR="00BD76C8" w:rsidRPr="008B455C">
        <w:t xml:space="preserve"> filed a formal complaint with the Pennsylvania P</w:t>
      </w:r>
      <w:r w:rsidR="0041637D" w:rsidRPr="008B455C">
        <w:t>u</w:t>
      </w:r>
      <w:r w:rsidR="00BD76C8" w:rsidRPr="008B455C">
        <w:t xml:space="preserve">blic Utility Commission (“Commission”) against Duquesne Light Company (“Duquesne Light” or “Respondent”) </w:t>
      </w:r>
      <w:r w:rsidR="000955CB">
        <w:t xml:space="preserve">alleging </w:t>
      </w:r>
      <w:r w:rsidR="00A258DB">
        <w:t>Respondent sublet the utility easement to a telephone company which runs the lines above ground in a development plan that is supposed to have underground lines, and poorly trimm</w:t>
      </w:r>
      <w:r w:rsidR="00B73E4E">
        <w:t>ed</w:t>
      </w:r>
      <w:r w:rsidR="00A258DB">
        <w:t xml:space="preserve"> the trees in the easement</w:t>
      </w:r>
      <w:r w:rsidR="00B50BB3">
        <w:t xml:space="preserve">.  Complainant requested the Commission require </w:t>
      </w:r>
      <w:r w:rsidR="00BD7A50">
        <w:t xml:space="preserve">Respondent </w:t>
      </w:r>
      <w:r w:rsidR="00A258DB">
        <w:t>to comply with the local ordinance that requires underground utility lines, and correct the mistakes made when trimming trees along the easement on his property</w:t>
      </w:r>
      <w:r w:rsidR="00F86FB9">
        <w:t>.</w:t>
      </w:r>
    </w:p>
    <w:p w:rsidR="0041637D" w:rsidRPr="008B455C" w:rsidRDefault="0041637D" w:rsidP="00BD76C8">
      <w:pPr>
        <w:spacing w:line="360" w:lineRule="auto"/>
      </w:pPr>
    </w:p>
    <w:p w:rsidR="000B575F" w:rsidRPr="008B455C" w:rsidRDefault="0041637D" w:rsidP="00BD76C8">
      <w:pPr>
        <w:spacing w:line="360" w:lineRule="auto"/>
      </w:pPr>
      <w:r w:rsidRPr="008B455C">
        <w:tab/>
      </w:r>
      <w:r w:rsidRPr="008B455C">
        <w:tab/>
        <w:t xml:space="preserve">Duquesne Light filed </w:t>
      </w:r>
      <w:r w:rsidR="00DF0974" w:rsidRPr="008B455C">
        <w:t>an</w:t>
      </w:r>
      <w:r w:rsidR="00580D5E" w:rsidRPr="008B455C">
        <w:t xml:space="preserve"> </w:t>
      </w:r>
      <w:r w:rsidRPr="008B455C">
        <w:t xml:space="preserve">answer in response to </w:t>
      </w:r>
      <w:r w:rsidR="00F86FB9">
        <w:t>the</w:t>
      </w:r>
      <w:r w:rsidR="0065346D" w:rsidRPr="008B455C">
        <w:t xml:space="preserve"> </w:t>
      </w:r>
      <w:r w:rsidRPr="008B455C">
        <w:t xml:space="preserve">complaint on </w:t>
      </w:r>
      <w:r w:rsidR="00A258DB">
        <w:t>January 6, 2011</w:t>
      </w:r>
      <w:r w:rsidR="00DF2BF0">
        <w:t xml:space="preserve"> in</w:t>
      </w:r>
      <w:r w:rsidR="00A258DB">
        <w:t xml:space="preserve"> which Duquesne Light generally denied the allegations and </w:t>
      </w:r>
      <w:r w:rsidR="007B5C9C">
        <w:t>requested</w:t>
      </w:r>
      <w:r w:rsidR="00DF08BA" w:rsidRPr="008B455C">
        <w:t xml:space="preserve"> </w:t>
      </w:r>
      <w:r w:rsidR="00DF0974" w:rsidRPr="008B455C">
        <w:t>the</w:t>
      </w:r>
      <w:r w:rsidR="00DF08BA" w:rsidRPr="008B455C">
        <w:t xml:space="preserve"> complaint </w:t>
      </w:r>
      <w:r w:rsidR="00DF39F5">
        <w:t xml:space="preserve">should </w:t>
      </w:r>
      <w:r w:rsidR="00DF08BA" w:rsidRPr="008B455C">
        <w:t xml:space="preserve">be dismissed.  </w:t>
      </w:r>
    </w:p>
    <w:p w:rsidR="000B575F" w:rsidRPr="008B455C" w:rsidRDefault="000B575F" w:rsidP="00BD76C8">
      <w:pPr>
        <w:spacing w:line="360" w:lineRule="auto"/>
      </w:pPr>
    </w:p>
    <w:p w:rsidR="008E4FD6" w:rsidRPr="008B455C" w:rsidRDefault="0084410C" w:rsidP="006D3697">
      <w:pPr>
        <w:spacing w:line="360" w:lineRule="auto"/>
      </w:pPr>
      <w:r w:rsidRPr="008B455C">
        <w:tab/>
      </w:r>
      <w:r w:rsidRPr="008B455C">
        <w:tab/>
      </w:r>
      <w:r w:rsidR="006D3697" w:rsidRPr="008B455C">
        <w:t xml:space="preserve">On </w:t>
      </w:r>
      <w:r w:rsidR="00A258DB">
        <w:t>October 3, 2011</w:t>
      </w:r>
      <w:r w:rsidR="00D2288B">
        <w:t xml:space="preserve">, the Office of Administrative Law Judge scheduled an initial telephonic hearing in this matter for </w:t>
      </w:r>
      <w:r w:rsidR="00A258DB">
        <w:t>November 14, 2011</w:t>
      </w:r>
      <w:r w:rsidR="004E7B43">
        <w:t xml:space="preserve">, and the </w:t>
      </w:r>
      <w:r w:rsidR="00EF5386" w:rsidRPr="008B455C">
        <w:t xml:space="preserve">Telephone Hearing Notice </w:t>
      </w:r>
      <w:r w:rsidR="006D3697" w:rsidRPr="008B455C">
        <w:t xml:space="preserve">was </w:t>
      </w:r>
      <w:r w:rsidR="006D3697" w:rsidRPr="008B455C">
        <w:lastRenderedPageBreak/>
        <w:t xml:space="preserve">sent to </w:t>
      </w:r>
      <w:r w:rsidR="00BC7989">
        <w:t>Complainant</w:t>
      </w:r>
      <w:r w:rsidR="00863BD5" w:rsidRPr="008B455C">
        <w:t xml:space="preserve"> </w:t>
      </w:r>
      <w:r w:rsidR="006D3697" w:rsidRPr="008B455C">
        <w:t>and Duquesne Light</w:t>
      </w:r>
      <w:r w:rsidR="00EF5386" w:rsidRPr="008B455C">
        <w:t xml:space="preserve"> on that date</w:t>
      </w:r>
      <w:r w:rsidR="006D3697" w:rsidRPr="008B455C">
        <w:t xml:space="preserve">.  On </w:t>
      </w:r>
      <w:r w:rsidR="00A258DB">
        <w:t>October 4, 2011</w:t>
      </w:r>
      <w:r w:rsidR="006D3697" w:rsidRPr="008B455C">
        <w:t>, the undersigned issued a</w:t>
      </w:r>
      <w:r w:rsidR="008418FC" w:rsidRPr="008B455C">
        <w:t xml:space="preserve"> Prehearing Order.  </w:t>
      </w:r>
    </w:p>
    <w:p w:rsidR="008E4FD6" w:rsidRPr="008B455C" w:rsidRDefault="008E4FD6" w:rsidP="008E4FD6">
      <w:pPr>
        <w:tabs>
          <w:tab w:val="left" w:pos="2160"/>
        </w:tabs>
        <w:spacing w:line="360" w:lineRule="auto"/>
        <w:ind w:firstLine="1440"/>
      </w:pPr>
    </w:p>
    <w:p w:rsidR="00411416" w:rsidRDefault="001F030C" w:rsidP="005A65F5">
      <w:pPr>
        <w:tabs>
          <w:tab w:val="left" w:pos="2160"/>
        </w:tabs>
        <w:spacing w:line="360" w:lineRule="auto"/>
        <w:ind w:firstLine="1440"/>
      </w:pPr>
      <w:r w:rsidRPr="008B455C">
        <w:t xml:space="preserve">The </w:t>
      </w:r>
      <w:r w:rsidR="00863BD5" w:rsidRPr="008B455C">
        <w:t xml:space="preserve">presiding officer convened the </w:t>
      </w:r>
      <w:r w:rsidRPr="008B455C">
        <w:t xml:space="preserve">initial hearing </w:t>
      </w:r>
      <w:r w:rsidR="006D3697" w:rsidRPr="008B455C">
        <w:t xml:space="preserve">as scheduled on </w:t>
      </w:r>
      <w:r w:rsidR="00A258DB">
        <w:t>November 14, 2011.</w:t>
      </w:r>
      <w:r w:rsidR="006D3697" w:rsidRPr="008B455C">
        <w:t xml:space="preserve">  </w:t>
      </w:r>
      <w:r w:rsidR="005A65F5">
        <w:t xml:space="preserve">Complainant </w:t>
      </w:r>
      <w:r w:rsidR="005A65F5" w:rsidRPr="008D5A3F">
        <w:t xml:space="preserve">appeared </w:t>
      </w:r>
      <w:r w:rsidR="005A65F5" w:rsidRPr="008D5A3F">
        <w:rPr>
          <w:i/>
        </w:rPr>
        <w:t>pro se</w:t>
      </w:r>
      <w:r w:rsidR="005A65F5">
        <w:t xml:space="preserve"> and </w:t>
      </w:r>
      <w:r w:rsidR="005A65F5" w:rsidRPr="008D5A3F">
        <w:t xml:space="preserve">testified on </w:t>
      </w:r>
      <w:r w:rsidR="00A258DB">
        <w:t>his</w:t>
      </w:r>
      <w:r w:rsidR="005A65F5">
        <w:t xml:space="preserve"> own behalf.  </w:t>
      </w:r>
      <w:r w:rsidR="00AB0C95">
        <w:t>H</w:t>
      </w:r>
      <w:r w:rsidR="005A65F5" w:rsidRPr="008D5A3F">
        <w:t xml:space="preserve">e offered </w:t>
      </w:r>
      <w:r w:rsidR="005A65F5">
        <w:t xml:space="preserve">no other witness </w:t>
      </w:r>
      <w:r w:rsidR="00A258DB">
        <w:t>but did offer three</w:t>
      </w:r>
      <w:r w:rsidR="005A65F5">
        <w:t xml:space="preserve"> exhibits</w:t>
      </w:r>
      <w:r w:rsidR="00A258DB">
        <w:t>, marked and admitted as Complainant Exhibits 1 through 3</w:t>
      </w:r>
      <w:r w:rsidR="005A65F5" w:rsidRPr="008D5A3F">
        <w:t xml:space="preserve">.  Respondent was represented by </w:t>
      </w:r>
      <w:r w:rsidR="005A65F5">
        <w:t xml:space="preserve">Krysia Kubiak, Esquire who </w:t>
      </w:r>
      <w:r w:rsidR="005A65F5" w:rsidRPr="008D5A3F">
        <w:t xml:space="preserve">presented the testimony of </w:t>
      </w:r>
      <w:r w:rsidR="00A258DB">
        <w:t>three individuals</w:t>
      </w:r>
      <w:r w:rsidR="005A65F5">
        <w:t xml:space="preserve">.  </w:t>
      </w:r>
      <w:r w:rsidR="005A65F5" w:rsidRPr="008D5A3F">
        <w:t xml:space="preserve"> </w:t>
      </w:r>
      <w:r w:rsidR="005A65F5">
        <w:t>Respondent</w:t>
      </w:r>
      <w:r w:rsidR="005A65F5" w:rsidRPr="008D5A3F">
        <w:t xml:space="preserve"> offered </w:t>
      </w:r>
      <w:r w:rsidR="00A258DB">
        <w:t>five</w:t>
      </w:r>
      <w:r w:rsidR="005A65F5">
        <w:t xml:space="preserve"> exhibit</w:t>
      </w:r>
      <w:r w:rsidR="00A258DB">
        <w:t>s</w:t>
      </w:r>
      <w:r w:rsidR="005A65F5" w:rsidRPr="008D5A3F">
        <w:t xml:space="preserve">, marked </w:t>
      </w:r>
      <w:r w:rsidR="005A65F5">
        <w:t>Duquesne Light Exhibit</w:t>
      </w:r>
      <w:r w:rsidR="00A258DB">
        <w:t>s 1 through 5</w:t>
      </w:r>
      <w:r w:rsidR="005A65F5">
        <w:t xml:space="preserve">, </w:t>
      </w:r>
      <w:r w:rsidR="005A65F5" w:rsidRPr="008D5A3F">
        <w:t xml:space="preserve">which </w:t>
      </w:r>
      <w:r w:rsidR="00A258DB">
        <w:t>were</w:t>
      </w:r>
      <w:r w:rsidR="005A65F5" w:rsidRPr="008D5A3F">
        <w:t xml:space="preserve"> admitted into evidence.  The transcript of the hearing</w:t>
      </w:r>
      <w:r w:rsidR="005A65F5">
        <w:t xml:space="preserve">, which </w:t>
      </w:r>
      <w:r w:rsidR="005A65F5" w:rsidRPr="008D5A3F">
        <w:t xml:space="preserve">contains </w:t>
      </w:r>
      <w:r w:rsidR="00A258DB">
        <w:t>ninety</w:t>
      </w:r>
      <w:r w:rsidR="005A65F5" w:rsidRPr="008D5A3F">
        <w:t xml:space="preserve"> (</w:t>
      </w:r>
      <w:r w:rsidR="00A258DB">
        <w:t>90</w:t>
      </w:r>
      <w:r w:rsidR="005A65F5" w:rsidRPr="008D5A3F">
        <w:t>) pages</w:t>
      </w:r>
      <w:r w:rsidR="005A65F5">
        <w:t xml:space="preserve">, was received by the presiding officer on </w:t>
      </w:r>
      <w:r w:rsidR="00A258DB">
        <w:t>December 20, 2011</w:t>
      </w:r>
      <w:r w:rsidR="005A65F5" w:rsidRPr="008D5A3F">
        <w:t xml:space="preserve">.  Complainant and Respondent issued final statements on the hearing record in lieu of filing briefs.  </w:t>
      </w:r>
      <w:r w:rsidR="00537506">
        <w:t xml:space="preserve">  </w:t>
      </w:r>
    </w:p>
    <w:p w:rsidR="008E10FA" w:rsidRDefault="008E10FA" w:rsidP="00E3360C">
      <w:pPr>
        <w:tabs>
          <w:tab w:val="left" w:pos="2160"/>
        </w:tabs>
        <w:spacing w:line="360" w:lineRule="auto"/>
      </w:pPr>
    </w:p>
    <w:p w:rsidR="008E10FA" w:rsidRPr="008B455C" w:rsidRDefault="00431883" w:rsidP="008E10FA">
      <w:pPr>
        <w:tabs>
          <w:tab w:val="left" w:pos="2160"/>
        </w:tabs>
        <w:spacing w:line="360" w:lineRule="auto"/>
        <w:ind w:firstLine="1440"/>
      </w:pPr>
      <w:r>
        <w:t xml:space="preserve">Upon receipt of the transcript, </w:t>
      </w:r>
      <w:r w:rsidR="008E10FA" w:rsidRPr="008B455C">
        <w:t>the presiding officer closed the hearing record by Interim Order Closing the Hearing Record</w:t>
      </w:r>
      <w:r>
        <w:t xml:space="preserve"> on </w:t>
      </w:r>
      <w:r w:rsidR="00A258DB">
        <w:t>December 21, 2011</w:t>
      </w:r>
      <w:r w:rsidR="008E10FA" w:rsidRPr="008B455C">
        <w:t>.</w:t>
      </w:r>
    </w:p>
    <w:p w:rsidR="008E10FA" w:rsidRPr="008D5A3F" w:rsidRDefault="008E10FA" w:rsidP="000B7C98">
      <w:pPr>
        <w:tabs>
          <w:tab w:val="left" w:pos="2160"/>
        </w:tabs>
        <w:spacing w:line="360" w:lineRule="auto"/>
        <w:ind w:firstLine="1440"/>
      </w:pPr>
    </w:p>
    <w:p w:rsidR="008E4FD6" w:rsidRPr="008B455C" w:rsidRDefault="008E4FD6" w:rsidP="008E4FD6">
      <w:pPr>
        <w:tabs>
          <w:tab w:val="left" w:pos="2160"/>
        </w:tabs>
        <w:spacing w:line="360" w:lineRule="auto"/>
        <w:jc w:val="center"/>
        <w:rPr>
          <w:u w:val="single"/>
        </w:rPr>
      </w:pPr>
      <w:r w:rsidRPr="008B455C">
        <w:rPr>
          <w:u w:val="single"/>
        </w:rPr>
        <w:t xml:space="preserve">FINDINGS OF </w:t>
      </w:r>
      <w:smartTag w:uri="urn:schemas-microsoft-com:office:smarttags" w:element="stockticker">
        <w:r w:rsidRPr="008B455C">
          <w:rPr>
            <w:u w:val="single"/>
          </w:rPr>
          <w:t>FACT</w:t>
        </w:r>
      </w:smartTag>
    </w:p>
    <w:p w:rsidR="008E4FD6" w:rsidRPr="008B455C" w:rsidRDefault="008E4FD6" w:rsidP="008E4FD6">
      <w:pPr>
        <w:tabs>
          <w:tab w:val="left" w:pos="2160"/>
        </w:tabs>
        <w:spacing w:line="360" w:lineRule="auto"/>
        <w:rPr>
          <w:u w:val="single"/>
        </w:rPr>
      </w:pPr>
    </w:p>
    <w:p w:rsidR="00DA66D7" w:rsidRPr="008B455C" w:rsidRDefault="008E4FD6" w:rsidP="00600EE9">
      <w:pPr>
        <w:tabs>
          <w:tab w:val="left" w:pos="2160"/>
        </w:tabs>
        <w:spacing w:line="360" w:lineRule="auto"/>
        <w:ind w:firstLine="1440"/>
      </w:pPr>
      <w:r w:rsidRPr="008B455C">
        <w:t>1.</w:t>
      </w:r>
      <w:r w:rsidRPr="008B455C">
        <w:tab/>
      </w:r>
      <w:r w:rsidR="00BC7989">
        <w:t>Complainant</w:t>
      </w:r>
      <w:r w:rsidR="00FA2D82" w:rsidRPr="008B455C">
        <w:t xml:space="preserve">, </w:t>
      </w:r>
      <w:r w:rsidR="00E968DA">
        <w:t>Thomas P. Weldon</w:t>
      </w:r>
      <w:r w:rsidR="00FA2D82" w:rsidRPr="008B455C">
        <w:t xml:space="preserve">, </w:t>
      </w:r>
      <w:r w:rsidR="00A745EC">
        <w:t xml:space="preserve">has </w:t>
      </w:r>
      <w:r w:rsidR="00FA2D82" w:rsidRPr="008B455C">
        <w:t>reside</w:t>
      </w:r>
      <w:r w:rsidR="00A745EC">
        <w:t>d</w:t>
      </w:r>
      <w:r w:rsidR="00FA2D82" w:rsidRPr="008B455C">
        <w:t xml:space="preserve"> at </w:t>
      </w:r>
      <w:r w:rsidR="0023728E">
        <w:t>329 Toura Drive, Pittsburgh,</w:t>
      </w:r>
      <w:r w:rsidR="00836E65" w:rsidRPr="008B455C">
        <w:t xml:space="preserve"> P</w:t>
      </w:r>
      <w:r w:rsidR="003121E7" w:rsidRPr="008B455C">
        <w:t>ennsylvania</w:t>
      </w:r>
      <w:r w:rsidR="00B33E15">
        <w:t xml:space="preserve"> </w:t>
      </w:r>
      <w:r w:rsidR="0023728E">
        <w:t>since 1969</w:t>
      </w:r>
      <w:r w:rsidR="003121E7" w:rsidRPr="008B455C">
        <w:t>.</w:t>
      </w:r>
      <w:r w:rsidR="0023728E">
        <w:t xml:space="preserve">  (Tr. 8).</w:t>
      </w:r>
      <w:r w:rsidR="003121E7" w:rsidRPr="008B455C">
        <w:t xml:space="preserve">  </w:t>
      </w:r>
      <w:r w:rsidR="00613AE9" w:rsidRPr="008B455C">
        <w:t xml:space="preserve"> </w:t>
      </w:r>
    </w:p>
    <w:p w:rsidR="001354D6" w:rsidRPr="008B455C" w:rsidRDefault="001354D6" w:rsidP="00600EE9">
      <w:pPr>
        <w:tabs>
          <w:tab w:val="left" w:pos="2160"/>
        </w:tabs>
        <w:spacing w:line="360" w:lineRule="auto"/>
        <w:ind w:firstLine="1440"/>
      </w:pPr>
    </w:p>
    <w:p w:rsidR="00F35726" w:rsidRPr="008B455C" w:rsidRDefault="001354D6" w:rsidP="00F35726">
      <w:pPr>
        <w:tabs>
          <w:tab w:val="left" w:pos="2160"/>
        </w:tabs>
        <w:spacing w:line="360" w:lineRule="auto"/>
        <w:ind w:firstLine="1440"/>
      </w:pPr>
      <w:r w:rsidRPr="008B455C">
        <w:t>2.</w:t>
      </w:r>
      <w:r w:rsidRPr="008B455C">
        <w:tab/>
      </w:r>
      <w:r w:rsidR="00E968DA">
        <w:t xml:space="preserve">Respondent, </w:t>
      </w:r>
      <w:r w:rsidR="00A745EC">
        <w:t>Duquesne Light Company</w:t>
      </w:r>
      <w:r w:rsidR="00E968DA">
        <w:t>,</w:t>
      </w:r>
      <w:r w:rsidR="00A745EC">
        <w:t xml:space="preserve"> provide</w:t>
      </w:r>
      <w:r w:rsidR="0023728E">
        <w:t>s</w:t>
      </w:r>
      <w:r w:rsidR="00851E2B">
        <w:t xml:space="preserve"> electric services to Complainant at </w:t>
      </w:r>
      <w:r w:rsidR="00E968DA">
        <w:t>the service address</w:t>
      </w:r>
      <w:r w:rsidR="00851E2B">
        <w:t>.</w:t>
      </w:r>
      <w:r w:rsidR="0023728E">
        <w:t xml:space="preserve">  (Tr. 8; Complainant Exhibit 2).</w:t>
      </w:r>
    </w:p>
    <w:p w:rsidR="00142A80" w:rsidRDefault="00142A80" w:rsidP="006B629F">
      <w:pPr>
        <w:tabs>
          <w:tab w:val="left" w:pos="2160"/>
        </w:tabs>
        <w:spacing w:line="360" w:lineRule="auto"/>
        <w:ind w:firstLine="1440"/>
      </w:pPr>
    </w:p>
    <w:p w:rsidR="009767E8" w:rsidRDefault="009767E8" w:rsidP="006B629F">
      <w:pPr>
        <w:tabs>
          <w:tab w:val="left" w:pos="2160"/>
        </w:tabs>
        <w:spacing w:line="360" w:lineRule="auto"/>
        <w:ind w:firstLine="1440"/>
      </w:pPr>
      <w:r>
        <w:t>3.</w:t>
      </w:r>
      <w:r>
        <w:tab/>
        <w:t>Respondent’s power lines serve Complainant’s residence and run along the back edge of his real property.  The power line was installed shortly after Complainant purchased the property in 1969.  (Tr. 15-17).</w:t>
      </w:r>
    </w:p>
    <w:p w:rsidR="009767E8" w:rsidRPr="008B455C" w:rsidRDefault="009767E8" w:rsidP="006B629F">
      <w:pPr>
        <w:tabs>
          <w:tab w:val="left" w:pos="2160"/>
        </w:tabs>
        <w:spacing w:line="360" w:lineRule="auto"/>
        <w:ind w:firstLine="1440"/>
      </w:pPr>
    </w:p>
    <w:p w:rsidR="00142A80" w:rsidRPr="008B455C" w:rsidRDefault="003C2683" w:rsidP="006B629F">
      <w:pPr>
        <w:tabs>
          <w:tab w:val="left" w:pos="2160"/>
        </w:tabs>
        <w:spacing w:line="360" w:lineRule="auto"/>
        <w:ind w:firstLine="1440"/>
      </w:pPr>
      <w:r>
        <w:t>4</w:t>
      </w:r>
      <w:r w:rsidR="00142A80" w:rsidRPr="008B455C">
        <w:t>.</w:t>
      </w:r>
      <w:r w:rsidR="00142A80" w:rsidRPr="008B455C">
        <w:tab/>
      </w:r>
      <w:r w:rsidR="0023728E">
        <w:t>During the week of September 6, 2010, Respondent’s Vegetation Management crew trimmed various trees along Respondent’s right-of-way located along the back edge of Complainant’s property</w:t>
      </w:r>
      <w:r w:rsidR="008F10C5">
        <w:t xml:space="preserve"> using American Standards Institute industry standards for pruning trees in an electric utility’s right-of-way.  (Tr. 45-46, 80; </w:t>
      </w:r>
      <w:r w:rsidR="0023728E">
        <w:t>Complainant Exhibit 2).</w:t>
      </w:r>
    </w:p>
    <w:p w:rsidR="00357F0A" w:rsidRDefault="003C2683" w:rsidP="006B629F">
      <w:pPr>
        <w:tabs>
          <w:tab w:val="left" w:pos="2160"/>
        </w:tabs>
        <w:spacing w:line="360" w:lineRule="auto"/>
        <w:ind w:firstLine="1440"/>
      </w:pPr>
      <w:r>
        <w:lastRenderedPageBreak/>
        <w:t>5</w:t>
      </w:r>
      <w:r w:rsidR="00357F0A">
        <w:t>.</w:t>
      </w:r>
      <w:r w:rsidR="00357F0A">
        <w:tab/>
        <w:t>Respondent’s Vegetation Management crew did not “top” the trees on Complainant’s property but did prune off branches on the “wire side” of the trees, leaving the trees with a “lop sided” appearance.  (Tr. 54; Duquesne Light Exhibit 3).</w:t>
      </w:r>
    </w:p>
    <w:p w:rsidR="00357F0A" w:rsidRDefault="00357F0A" w:rsidP="006B629F">
      <w:pPr>
        <w:tabs>
          <w:tab w:val="left" w:pos="2160"/>
        </w:tabs>
        <w:spacing w:line="360" w:lineRule="auto"/>
        <w:ind w:firstLine="1440"/>
      </w:pPr>
    </w:p>
    <w:p w:rsidR="00B5453D" w:rsidRDefault="003C2683" w:rsidP="00B5453D">
      <w:pPr>
        <w:tabs>
          <w:tab w:val="left" w:pos="2160"/>
        </w:tabs>
        <w:spacing w:line="360" w:lineRule="auto"/>
        <w:ind w:firstLine="1440"/>
      </w:pPr>
      <w:r>
        <w:t>6</w:t>
      </w:r>
      <w:r w:rsidR="00EB08F3">
        <w:t>.</w:t>
      </w:r>
      <w:r w:rsidR="00EB08F3">
        <w:tab/>
      </w:r>
      <w:r w:rsidR="0023728E">
        <w:t xml:space="preserve">On September 13, 2010, Complainant contacted Respondent to complain his trees were pruned improperly and should be trimmed by Respondent.  (Tr. </w:t>
      </w:r>
      <w:r w:rsidR="00357F0A">
        <w:t>53</w:t>
      </w:r>
      <w:r w:rsidR="0023728E">
        <w:t>; Complainant Exhibit 2).</w:t>
      </w:r>
    </w:p>
    <w:p w:rsidR="00C96422" w:rsidRDefault="00C96422" w:rsidP="006B629F">
      <w:pPr>
        <w:tabs>
          <w:tab w:val="left" w:pos="2160"/>
        </w:tabs>
        <w:spacing w:line="360" w:lineRule="auto"/>
        <w:ind w:firstLine="1440"/>
      </w:pPr>
    </w:p>
    <w:p w:rsidR="000841E3" w:rsidRDefault="003C2683" w:rsidP="006B629F">
      <w:pPr>
        <w:tabs>
          <w:tab w:val="left" w:pos="2160"/>
        </w:tabs>
        <w:spacing w:line="360" w:lineRule="auto"/>
        <w:ind w:firstLine="1440"/>
      </w:pPr>
      <w:r>
        <w:t>7</w:t>
      </w:r>
      <w:r w:rsidR="000841E3">
        <w:t>.</w:t>
      </w:r>
      <w:r w:rsidR="000841E3">
        <w:tab/>
      </w:r>
      <w:r w:rsidR="0023728E">
        <w:t>On December 17, 2010, Complainant filed a formal complaint against Respondent with the Commission.  (Complainant Exhibit 1).</w:t>
      </w:r>
    </w:p>
    <w:p w:rsidR="00F85392" w:rsidRDefault="00F85392" w:rsidP="006B629F">
      <w:pPr>
        <w:tabs>
          <w:tab w:val="left" w:pos="2160"/>
        </w:tabs>
        <w:spacing w:line="360" w:lineRule="auto"/>
        <w:ind w:firstLine="1440"/>
      </w:pPr>
    </w:p>
    <w:p w:rsidR="00F85392" w:rsidRDefault="003C2683" w:rsidP="006B629F">
      <w:pPr>
        <w:tabs>
          <w:tab w:val="left" w:pos="2160"/>
        </w:tabs>
        <w:spacing w:line="360" w:lineRule="auto"/>
        <w:ind w:firstLine="1440"/>
      </w:pPr>
      <w:r>
        <w:t>8</w:t>
      </w:r>
      <w:r w:rsidR="0023728E">
        <w:t>.</w:t>
      </w:r>
      <w:r w:rsidR="009767E8">
        <w:tab/>
        <w:t xml:space="preserve">Prior to September 2010, Complainant asked Respondent to </w:t>
      </w:r>
      <w:r w:rsidR="00E82E1E">
        <w:t xml:space="preserve">“top” the trees and </w:t>
      </w:r>
      <w:r w:rsidR="009767E8">
        <w:t xml:space="preserve">trim for symmetry </w:t>
      </w:r>
      <w:r w:rsidR="00E82E1E">
        <w:t>in order to avoid uneven growth and the possibility the trees might collapse due to uneven branch development</w:t>
      </w:r>
      <w:r w:rsidR="009767E8">
        <w:t>.  (Tr. 18</w:t>
      </w:r>
      <w:r w:rsidR="00E82E1E">
        <w:t>-21</w:t>
      </w:r>
      <w:r w:rsidR="009767E8">
        <w:t>).</w:t>
      </w:r>
    </w:p>
    <w:p w:rsidR="00C01EA5" w:rsidRDefault="00C01EA5" w:rsidP="006B629F">
      <w:pPr>
        <w:tabs>
          <w:tab w:val="left" w:pos="2160"/>
        </w:tabs>
        <w:spacing w:line="360" w:lineRule="auto"/>
        <w:ind w:firstLine="1440"/>
      </w:pPr>
    </w:p>
    <w:p w:rsidR="00C01EA5" w:rsidRPr="008B455C" w:rsidRDefault="003C2683" w:rsidP="006B629F">
      <w:pPr>
        <w:tabs>
          <w:tab w:val="left" w:pos="2160"/>
        </w:tabs>
        <w:spacing w:line="360" w:lineRule="auto"/>
        <w:ind w:firstLine="1440"/>
      </w:pPr>
      <w:r>
        <w:t>9</w:t>
      </w:r>
      <w:r w:rsidR="00CA262F">
        <w:t>.</w:t>
      </w:r>
      <w:r w:rsidR="00CA262F">
        <w:tab/>
      </w:r>
      <w:r w:rsidR="00805657">
        <w:t>Complainant’s main concern is two spruce trees along the back edge of his property that were not topped in 2010.  (Tr. 35-41).</w:t>
      </w:r>
    </w:p>
    <w:p w:rsidR="00F85392" w:rsidRDefault="00F85392" w:rsidP="006B629F">
      <w:pPr>
        <w:tabs>
          <w:tab w:val="left" w:pos="2160"/>
        </w:tabs>
        <w:spacing w:line="360" w:lineRule="auto"/>
        <w:ind w:firstLine="1440"/>
      </w:pPr>
    </w:p>
    <w:p w:rsidR="00142A80" w:rsidRPr="008B455C" w:rsidRDefault="003C2683" w:rsidP="006B629F">
      <w:pPr>
        <w:tabs>
          <w:tab w:val="left" w:pos="2160"/>
        </w:tabs>
        <w:spacing w:line="360" w:lineRule="auto"/>
        <w:ind w:firstLine="1440"/>
      </w:pPr>
      <w:r>
        <w:t>10</w:t>
      </w:r>
      <w:r w:rsidR="00805657">
        <w:t>.</w:t>
      </w:r>
      <w:r w:rsidR="00805657">
        <w:tab/>
        <w:t xml:space="preserve">Respondent </w:t>
      </w:r>
      <w:r w:rsidR="0090752E">
        <w:t xml:space="preserve">previously </w:t>
      </w:r>
      <w:r w:rsidR="00805657">
        <w:t>trimmed the trees located in the right-of-way on Complainant’s property in 2000 and 2005.  (Tr. 42, 45).</w:t>
      </w:r>
    </w:p>
    <w:p w:rsidR="00F17004" w:rsidRPr="008B455C" w:rsidRDefault="00F17004" w:rsidP="00F17004">
      <w:pPr>
        <w:pStyle w:val="BodyText"/>
        <w:jc w:val="left"/>
        <w:rPr>
          <w:sz w:val="24"/>
          <w:szCs w:val="24"/>
        </w:rPr>
      </w:pPr>
    </w:p>
    <w:p w:rsidR="00EF7BB1" w:rsidRPr="008B455C" w:rsidRDefault="00C01EA5" w:rsidP="00F17004">
      <w:pPr>
        <w:pStyle w:val="BodyText"/>
        <w:jc w:val="left"/>
        <w:rPr>
          <w:sz w:val="24"/>
          <w:szCs w:val="24"/>
        </w:rPr>
      </w:pPr>
      <w:r>
        <w:rPr>
          <w:sz w:val="24"/>
          <w:szCs w:val="24"/>
        </w:rPr>
        <w:tab/>
      </w:r>
      <w:r>
        <w:rPr>
          <w:sz w:val="24"/>
          <w:szCs w:val="24"/>
        </w:rPr>
        <w:tab/>
      </w:r>
      <w:r w:rsidR="003C2683">
        <w:rPr>
          <w:sz w:val="24"/>
          <w:szCs w:val="24"/>
        </w:rPr>
        <w:t>11</w:t>
      </w:r>
      <w:r w:rsidR="00805657">
        <w:rPr>
          <w:sz w:val="24"/>
          <w:szCs w:val="24"/>
        </w:rPr>
        <w:t>.</w:t>
      </w:r>
      <w:r w:rsidR="00805657">
        <w:rPr>
          <w:sz w:val="24"/>
          <w:szCs w:val="24"/>
        </w:rPr>
        <w:tab/>
        <w:t xml:space="preserve">Respondent’s tree trimming policy is to clear vegetation from </w:t>
      </w:r>
      <w:r w:rsidR="00357F0A">
        <w:rPr>
          <w:sz w:val="24"/>
          <w:szCs w:val="24"/>
        </w:rPr>
        <w:t xml:space="preserve">its </w:t>
      </w:r>
      <w:r w:rsidR="00805657">
        <w:rPr>
          <w:sz w:val="24"/>
          <w:szCs w:val="24"/>
        </w:rPr>
        <w:t>electric lines using proper pruning practices.</w:t>
      </w:r>
      <w:r w:rsidR="00357F0A">
        <w:rPr>
          <w:sz w:val="24"/>
          <w:szCs w:val="24"/>
        </w:rPr>
        <w:t xml:space="preserve">  Respondent does not trim to clear vegetation from other utilities’ lines.</w:t>
      </w:r>
      <w:r w:rsidR="00805657">
        <w:rPr>
          <w:sz w:val="24"/>
          <w:szCs w:val="24"/>
        </w:rPr>
        <w:t xml:space="preserve">  (Tr. 45</w:t>
      </w:r>
      <w:r w:rsidR="00357F0A">
        <w:rPr>
          <w:sz w:val="24"/>
          <w:szCs w:val="24"/>
        </w:rPr>
        <w:t>-46</w:t>
      </w:r>
      <w:r w:rsidR="00805657">
        <w:rPr>
          <w:sz w:val="24"/>
          <w:szCs w:val="24"/>
        </w:rPr>
        <w:t>).</w:t>
      </w:r>
    </w:p>
    <w:p w:rsidR="00D31EF2" w:rsidRDefault="00D31EF2" w:rsidP="00F17004">
      <w:pPr>
        <w:pStyle w:val="BodyText"/>
        <w:jc w:val="left"/>
        <w:rPr>
          <w:sz w:val="24"/>
          <w:szCs w:val="24"/>
        </w:rPr>
      </w:pPr>
    </w:p>
    <w:p w:rsidR="002203B6" w:rsidRDefault="002203B6" w:rsidP="00F17004">
      <w:pPr>
        <w:pStyle w:val="BodyText"/>
        <w:jc w:val="left"/>
        <w:rPr>
          <w:sz w:val="24"/>
          <w:szCs w:val="24"/>
        </w:rPr>
      </w:pPr>
      <w:r>
        <w:rPr>
          <w:sz w:val="24"/>
          <w:szCs w:val="24"/>
        </w:rPr>
        <w:tab/>
      </w:r>
      <w:r>
        <w:rPr>
          <w:sz w:val="24"/>
          <w:szCs w:val="24"/>
        </w:rPr>
        <w:tab/>
      </w:r>
      <w:r w:rsidR="003C2683">
        <w:rPr>
          <w:sz w:val="24"/>
          <w:szCs w:val="24"/>
        </w:rPr>
        <w:t>12</w:t>
      </w:r>
      <w:r>
        <w:rPr>
          <w:sz w:val="24"/>
          <w:szCs w:val="24"/>
        </w:rPr>
        <w:t>.</w:t>
      </w:r>
      <w:r>
        <w:rPr>
          <w:sz w:val="24"/>
          <w:szCs w:val="24"/>
        </w:rPr>
        <w:tab/>
      </w:r>
      <w:r w:rsidR="00357F0A">
        <w:rPr>
          <w:sz w:val="24"/>
          <w:szCs w:val="24"/>
        </w:rPr>
        <w:t>Respondent does not have reliability issues related to trees on the circuit that runs past Complainant’s residence.  (Tr. 48-49).</w:t>
      </w:r>
    </w:p>
    <w:p w:rsidR="007A263F" w:rsidRDefault="007A263F" w:rsidP="00F17004">
      <w:pPr>
        <w:pStyle w:val="BodyText"/>
        <w:jc w:val="left"/>
        <w:rPr>
          <w:sz w:val="24"/>
          <w:szCs w:val="24"/>
        </w:rPr>
      </w:pPr>
    </w:p>
    <w:p w:rsidR="00B57F6B" w:rsidRDefault="003C2683" w:rsidP="00F17004">
      <w:pPr>
        <w:pStyle w:val="BodyText"/>
        <w:jc w:val="left"/>
        <w:rPr>
          <w:sz w:val="24"/>
          <w:szCs w:val="24"/>
        </w:rPr>
      </w:pPr>
      <w:r>
        <w:rPr>
          <w:sz w:val="24"/>
          <w:szCs w:val="24"/>
        </w:rPr>
        <w:tab/>
      </w:r>
      <w:r>
        <w:rPr>
          <w:sz w:val="24"/>
          <w:szCs w:val="24"/>
        </w:rPr>
        <w:tab/>
        <w:t>13</w:t>
      </w:r>
      <w:r w:rsidR="00357F0A">
        <w:rPr>
          <w:sz w:val="24"/>
          <w:szCs w:val="24"/>
        </w:rPr>
        <w:t>.</w:t>
      </w:r>
      <w:r w:rsidR="00357F0A">
        <w:rPr>
          <w:sz w:val="24"/>
          <w:szCs w:val="24"/>
        </w:rPr>
        <w:tab/>
        <w:t>When a tree is “topped”, the pruning allows for lateral growth of the remaining lower branches.  This pruning practice does not weaken the tree.  (Tr. 49).</w:t>
      </w:r>
    </w:p>
    <w:p w:rsidR="00156A90" w:rsidRPr="008B455C" w:rsidRDefault="00156A90" w:rsidP="00F17004">
      <w:pPr>
        <w:pStyle w:val="BodyText"/>
        <w:jc w:val="left"/>
        <w:rPr>
          <w:sz w:val="24"/>
          <w:szCs w:val="24"/>
        </w:rPr>
      </w:pPr>
    </w:p>
    <w:p w:rsidR="008E4FD6" w:rsidRPr="00B524A4" w:rsidRDefault="008E4FD6" w:rsidP="008E4FD6">
      <w:pPr>
        <w:tabs>
          <w:tab w:val="left" w:pos="2160"/>
        </w:tabs>
        <w:spacing w:line="360" w:lineRule="auto"/>
        <w:jc w:val="center"/>
        <w:rPr>
          <w:u w:val="single"/>
        </w:rPr>
      </w:pPr>
      <w:r w:rsidRPr="00B524A4">
        <w:rPr>
          <w:u w:val="single"/>
        </w:rPr>
        <w:lastRenderedPageBreak/>
        <w:t>DISCUSSION</w:t>
      </w:r>
    </w:p>
    <w:p w:rsidR="008E4FD6" w:rsidRPr="00B524A4" w:rsidRDefault="008E4FD6" w:rsidP="008E4FD6">
      <w:pPr>
        <w:tabs>
          <w:tab w:val="left" w:pos="2160"/>
        </w:tabs>
        <w:spacing w:line="360" w:lineRule="auto"/>
        <w:jc w:val="center"/>
        <w:rPr>
          <w:u w:val="single"/>
        </w:rPr>
      </w:pPr>
    </w:p>
    <w:p w:rsidR="00B66DDD" w:rsidRPr="003C2683" w:rsidRDefault="000C736C" w:rsidP="000C736C">
      <w:pPr>
        <w:pStyle w:val="BodyText"/>
        <w:jc w:val="left"/>
        <w:rPr>
          <w:sz w:val="24"/>
          <w:szCs w:val="24"/>
        </w:rPr>
      </w:pPr>
      <w:r w:rsidRPr="00F73AC5">
        <w:rPr>
          <w:sz w:val="24"/>
          <w:szCs w:val="24"/>
        </w:rPr>
        <w:tab/>
      </w:r>
      <w:r w:rsidRPr="00F73AC5">
        <w:rPr>
          <w:sz w:val="24"/>
          <w:szCs w:val="24"/>
        </w:rPr>
        <w:tab/>
      </w:r>
      <w:r w:rsidR="00C931B6" w:rsidRPr="003C2683">
        <w:rPr>
          <w:sz w:val="24"/>
          <w:szCs w:val="24"/>
        </w:rPr>
        <w:t xml:space="preserve">On </w:t>
      </w:r>
      <w:r w:rsidR="003C2683" w:rsidRPr="003C2683">
        <w:rPr>
          <w:sz w:val="24"/>
          <w:szCs w:val="24"/>
        </w:rPr>
        <w:t>December 17, 2010,</w:t>
      </w:r>
      <w:r w:rsidR="00C931B6" w:rsidRPr="003C2683">
        <w:rPr>
          <w:sz w:val="24"/>
          <w:szCs w:val="24"/>
        </w:rPr>
        <w:t xml:space="preserve"> </w:t>
      </w:r>
      <w:r w:rsidR="00BC7989" w:rsidRPr="003C2683">
        <w:rPr>
          <w:sz w:val="24"/>
          <w:szCs w:val="24"/>
        </w:rPr>
        <w:t>Complainant</w:t>
      </w:r>
      <w:r w:rsidR="00CB7EF0" w:rsidRPr="003C2683">
        <w:rPr>
          <w:sz w:val="24"/>
          <w:szCs w:val="24"/>
        </w:rPr>
        <w:t xml:space="preserve"> </w:t>
      </w:r>
      <w:r w:rsidR="001140BC" w:rsidRPr="003C2683">
        <w:rPr>
          <w:sz w:val="24"/>
          <w:szCs w:val="24"/>
        </w:rPr>
        <w:t xml:space="preserve">filed </w:t>
      </w:r>
      <w:r w:rsidR="00CB7EF0" w:rsidRPr="003C2683">
        <w:rPr>
          <w:sz w:val="24"/>
          <w:szCs w:val="24"/>
        </w:rPr>
        <w:t>a formal complaint</w:t>
      </w:r>
      <w:r w:rsidR="001140BC" w:rsidRPr="003C2683">
        <w:rPr>
          <w:sz w:val="24"/>
          <w:szCs w:val="24"/>
        </w:rPr>
        <w:t xml:space="preserve"> with the Commission</w:t>
      </w:r>
      <w:r w:rsidR="006515DB" w:rsidRPr="003C2683">
        <w:rPr>
          <w:sz w:val="24"/>
          <w:szCs w:val="24"/>
        </w:rPr>
        <w:t xml:space="preserve"> </w:t>
      </w:r>
      <w:r w:rsidR="00874177" w:rsidRPr="003C2683">
        <w:rPr>
          <w:sz w:val="24"/>
          <w:szCs w:val="24"/>
        </w:rPr>
        <w:t xml:space="preserve">alleging </w:t>
      </w:r>
      <w:r w:rsidR="003C2683" w:rsidRPr="003C2683">
        <w:rPr>
          <w:sz w:val="24"/>
          <w:szCs w:val="24"/>
        </w:rPr>
        <w:t>Respondent sublet the utility easement to a telephone company which runs the lines above ground in a development plan that is supposed to have underground lines, and poorly trimm</w:t>
      </w:r>
      <w:r w:rsidR="006A7EF1">
        <w:rPr>
          <w:sz w:val="24"/>
          <w:szCs w:val="24"/>
        </w:rPr>
        <w:t>ed</w:t>
      </w:r>
      <w:r w:rsidR="003C2683" w:rsidRPr="003C2683">
        <w:rPr>
          <w:sz w:val="24"/>
          <w:szCs w:val="24"/>
        </w:rPr>
        <w:t xml:space="preserve"> the trees in the easement.  Complainant requested the Commission require Respondent to comply with the local ordinance that requires underground utility lines, and correct the mistakes made when trimming trees along the easement on his property.</w:t>
      </w:r>
    </w:p>
    <w:p w:rsidR="00B66DDD" w:rsidRPr="00B524A4" w:rsidRDefault="00B66DDD" w:rsidP="000C736C">
      <w:pPr>
        <w:pStyle w:val="BodyText"/>
        <w:jc w:val="left"/>
        <w:rPr>
          <w:sz w:val="24"/>
          <w:szCs w:val="24"/>
        </w:rPr>
      </w:pPr>
    </w:p>
    <w:p w:rsidR="00563FC3" w:rsidRPr="008B455C" w:rsidRDefault="008618BE" w:rsidP="008B6587">
      <w:pPr>
        <w:pStyle w:val="BodyText"/>
        <w:jc w:val="left"/>
        <w:rPr>
          <w:sz w:val="24"/>
          <w:szCs w:val="24"/>
        </w:rPr>
      </w:pPr>
      <w:r w:rsidRPr="008B455C">
        <w:rPr>
          <w:sz w:val="24"/>
          <w:szCs w:val="24"/>
        </w:rPr>
        <w:tab/>
      </w:r>
      <w:r w:rsidRPr="008B455C">
        <w:rPr>
          <w:sz w:val="24"/>
          <w:szCs w:val="24"/>
        </w:rPr>
        <w:tab/>
      </w:r>
      <w:r w:rsidR="00BC7989">
        <w:rPr>
          <w:sz w:val="24"/>
          <w:szCs w:val="24"/>
        </w:rPr>
        <w:t>Complainant</w:t>
      </w:r>
      <w:r w:rsidR="00C40364" w:rsidRPr="008B455C">
        <w:rPr>
          <w:sz w:val="24"/>
          <w:szCs w:val="24"/>
        </w:rPr>
        <w:t xml:space="preserve"> </w:t>
      </w:r>
      <w:r w:rsidR="003C2777">
        <w:rPr>
          <w:sz w:val="24"/>
          <w:szCs w:val="24"/>
        </w:rPr>
        <w:t>argues</w:t>
      </w:r>
      <w:r w:rsidR="00A51FE0">
        <w:rPr>
          <w:sz w:val="24"/>
          <w:szCs w:val="24"/>
        </w:rPr>
        <w:t xml:space="preserve"> </w:t>
      </w:r>
      <w:r w:rsidR="00E82E1E">
        <w:rPr>
          <w:sz w:val="24"/>
          <w:szCs w:val="24"/>
        </w:rPr>
        <w:t>all utilities</w:t>
      </w:r>
      <w:r w:rsidR="00EB50B6">
        <w:rPr>
          <w:sz w:val="24"/>
          <w:szCs w:val="24"/>
        </w:rPr>
        <w:t>’</w:t>
      </w:r>
      <w:r w:rsidR="00E82E1E">
        <w:rPr>
          <w:sz w:val="24"/>
          <w:szCs w:val="24"/>
        </w:rPr>
        <w:t xml:space="preserve"> lines were to be constructed underground according to the deed and other documents he signed when purchasing the property back in 1969.  Complainant contends Respondent must have engaged in fraud or some illegal activity to be allowed to put the electric lines above ground and on his property.  In addition, Complainant avers the way Respondent trims the trees on his property has left the trees in a precarious condition, making it more likely that the trees will collapse and fall, potentially causing damage to Complainant’s property or the property of his neighbors.  Complainant asks the Commission to order Respondent to trim the trees, remove all of the branches that reach the level of the telephone lines, and then trim the trees for symmetry.  </w:t>
      </w:r>
    </w:p>
    <w:p w:rsidR="00563FC3" w:rsidRPr="008B455C" w:rsidRDefault="00563FC3" w:rsidP="008B6587">
      <w:pPr>
        <w:pStyle w:val="BodyText"/>
        <w:jc w:val="left"/>
        <w:rPr>
          <w:sz w:val="24"/>
          <w:szCs w:val="24"/>
        </w:rPr>
      </w:pPr>
    </w:p>
    <w:p w:rsidR="006B2DFE" w:rsidRPr="008B455C" w:rsidRDefault="006B2DFE" w:rsidP="008B6587">
      <w:pPr>
        <w:pStyle w:val="BodyText"/>
        <w:jc w:val="left"/>
        <w:rPr>
          <w:sz w:val="24"/>
          <w:szCs w:val="24"/>
        </w:rPr>
      </w:pPr>
      <w:r w:rsidRPr="008B455C">
        <w:rPr>
          <w:sz w:val="24"/>
          <w:szCs w:val="24"/>
        </w:rPr>
        <w:tab/>
      </w:r>
      <w:r w:rsidR="00F6612B" w:rsidRPr="008B455C">
        <w:rPr>
          <w:sz w:val="24"/>
          <w:szCs w:val="24"/>
        </w:rPr>
        <w:tab/>
      </w:r>
      <w:r w:rsidRPr="008B455C">
        <w:rPr>
          <w:sz w:val="24"/>
          <w:szCs w:val="24"/>
        </w:rPr>
        <w:t>Respondent</w:t>
      </w:r>
      <w:r w:rsidR="00B92616">
        <w:rPr>
          <w:sz w:val="24"/>
          <w:szCs w:val="24"/>
        </w:rPr>
        <w:t xml:space="preserve"> argues</w:t>
      </w:r>
      <w:r w:rsidR="003C2683">
        <w:rPr>
          <w:sz w:val="24"/>
          <w:szCs w:val="24"/>
        </w:rPr>
        <w:t xml:space="preserve"> the trees were trimmed in order to provide safe and reliable electric service to Complainant and its other customers.  Respondent insists it used practices accepted within the industry for pruning trees away from electric lines.  Respondent acknowledges Complainant was not satisfied with the final appearance of the trees on his property but Respondent complied with best practices in how it maintained the vegetation along this electric line and in how it pruned nearby branches away from the electric line.</w:t>
      </w:r>
    </w:p>
    <w:p w:rsidR="006B2DFE" w:rsidRDefault="006B2DFE" w:rsidP="008B6587">
      <w:pPr>
        <w:pStyle w:val="BodyText"/>
        <w:jc w:val="left"/>
        <w:rPr>
          <w:sz w:val="24"/>
          <w:szCs w:val="24"/>
        </w:rPr>
      </w:pPr>
    </w:p>
    <w:p w:rsidR="0064482C" w:rsidRPr="0064482C" w:rsidRDefault="00042872" w:rsidP="008B6587">
      <w:pPr>
        <w:pStyle w:val="BodyText"/>
        <w:jc w:val="left"/>
        <w:rPr>
          <w:sz w:val="24"/>
          <w:szCs w:val="24"/>
          <w:u w:val="single"/>
        </w:rPr>
      </w:pPr>
      <w:r>
        <w:rPr>
          <w:sz w:val="24"/>
          <w:szCs w:val="24"/>
          <w:u w:val="single"/>
        </w:rPr>
        <w:t>Responsibility to Provide Service</w:t>
      </w:r>
    </w:p>
    <w:p w:rsidR="0064482C" w:rsidRPr="008B455C" w:rsidRDefault="0064482C" w:rsidP="008B6587">
      <w:pPr>
        <w:pStyle w:val="BodyText"/>
        <w:jc w:val="left"/>
        <w:rPr>
          <w:sz w:val="24"/>
          <w:szCs w:val="24"/>
        </w:rPr>
      </w:pPr>
    </w:p>
    <w:p w:rsidR="00720C39" w:rsidRDefault="006354D3" w:rsidP="00F6612B">
      <w:pPr>
        <w:pStyle w:val="BodyText"/>
        <w:ind w:firstLine="1440"/>
        <w:jc w:val="left"/>
        <w:rPr>
          <w:sz w:val="24"/>
          <w:szCs w:val="24"/>
        </w:rPr>
      </w:pPr>
      <w:r>
        <w:rPr>
          <w:sz w:val="24"/>
          <w:szCs w:val="24"/>
        </w:rPr>
        <w:t>“</w:t>
      </w:r>
      <w:r w:rsidR="00720C39">
        <w:rPr>
          <w:sz w:val="24"/>
          <w:szCs w:val="24"/>
        </w:rPr>
        <w:t>Every public utility shall furnis</w:t>
      </w:r>
      <w:r>
        <w:rPr>
          <w:sz w:val="24"/>
          <w:szCs w:val="24"/>
        </w:rPr>
        <w:t>h and maintain adequate</w:t>
      </w:r>
      <w:r w:rsidR="00720C39">
        <w:rPr>
          <w:sz w:val="24"/>
          <w:szCs w:val="24"/>
        </w:rPr>
        <w:t xml:space="preserve">, efficient, safe, and reasonable service and facilities, and shall make all such repairs, changes, alterations, substitutions, extensions, and improvements in or to such service and facilities as shall be </w:t>
      </w:r>
      <w:r w:rsidR="00720C39">
        <w:rPr>
          <w:sz w:val="24"/>
          <w:szCs w:val="24"/>
        </w:rPr>
        <w:lastRenderedPageBreak/>
        <w:t>necessary or proper for the accommodation, convenience, and safety of its patrons, employees, and the public.  Such service also shall be reasonably continuous and without unreasonable interruptions or delay.  Such service and facilities shall be in conformity with the r</w:t>
      </w:r>
      <w:r>
        <w:rPr>
          <w:sz w:val="24"/>
          <w:szCs w:val="24"/>
        </w:rPr>
        <w:t>e</w:t>
      </w:r>
      <w:r w:rsidR="00720C39">
        <w:rPr>
          <w:sz w:val="24"/>
          <w:szCs w:val="24"/>
        </w:rPr>
        <w:t>gulations and orders of the Commission.  Subject to the provisions of this part and the regulations or orders of the Commission, every</w:t>
      </w:r>
      <w:r>
        <w:rPr>
          <w:sz w:val="24"/>
          <w:szCs w:val="24"/>
        </w:rPr>
        <w:t xml:space="preserve"> </w:t>
      </w:r>
      <w:r w:rsidR="00720C39">
        <w:rPr>
          <w:sz w:val="24"/>
          <w:szCs w:val="24"/>
        </w:rPr>
        <w:t>public utility may have reasonable rules and regulations governing the conditions under which it shall be required to render service</w:t>
      </w:r>
      <w:r>
        <w:rPr>
          <w:sz w:val="24"/>
          <w:szCs w:val="24"/>
        </w:rPr>
        <w:t>….”  66 Pa.</w:t>
      </w:r>
      <w:r w:rsidR="00E14693">
        <w:rPr>
          <w:sz w:val="24"/>
          <w:szCs w:val="24"/>
        </w:rPr>
        <w:t xml:space="preserve"> </w:t>
      </w:r>
      <w:r>
        <w:rPr>
          <w:sz w:val="24"/>
          <w:szCs w:val="24"/>
        </w:rPr>
        <w:t>C.S.A. §1501.</w:t>
      </w:r>
    </w:p>
    <w:p w:rsidR="00042872" w:rsidRDefault="00042872" w:rsidP="00042872">
      <w:pPr>
        <w:pStyle w:val="BodyText"/>
        <w:jc w:val="left"/>
        <w:rPr>
          <w:sz w:val="24"/>
          <w:szCs w:val="24"/>
        </w:rPr>
      </w:pPr>
    </w:p>
    <w:p w:rsidR="00042872" w:rsidRDefault="00042872" w:rsidP="00042872">
      <w:pPr>
        <w:pStyle w:val="BodyText"/>
        <w:jc w:val="left"/>
        <w:rPr>
          <w:sz w:val="24"/>
          <w:szCs w:val="24"/>
        </w:rPr>
      </w:pPr>
      <w:r>
        <w:rPr>
          <w:sz w:val="24"/>
          <w:szCs w:val="24"/>
          <w:u w:val="single"/>
        </w:rPr>
        <w:t>Burden of Proof</w:t>
      </w:r>
    </w:p>
    <w:p w:rsidR="00042872" w:rsidRPr="00042872" w:rsidRDefault="00042872" w:rsidP="00042872">
      <w:pPr>
        <w:pStyle w:val="BodyText"/>
        <w:jc w:val="left"/>
        <w:rPr>
          <w:sz w:val="24"/>
          <w:szCs w:val="24"/>
        </w:rPr>
      </w:pPr>
    </w:p>
    <w:p w:rsidR="0016133D" w:rsidRDefault="0016133D" w:rsidP="0016133D">
      <w:pPr>
        <w:spacing w:line="360" w:lineRule="auto"/>
        <w:ind w:firstLine="1440"/>
      </w:pPr>
      <w:r w:rsidRPr="004E7308">
        <w:t>As the party seeking affirmative relief from the Commission, Complainant bears the burden of proof</w:t>
      </w:r>
      <w:r>
        <w:t xml:space="preserve"> by substantial evidence</w:t>
      </w:r>
      <w:r w:rsidRPr="004E7308">
        <w:t>.  66 Pa. C.S.</w:t>
      </w:r>
      <w:r w:rsidR="00EF3ADB">
        <w:t>A.</w:t>
      </w:r>
      <w:r w:rsidRPr="004E7308">
        <w:t xml:space="preserve"> §332(a).</w:t>
      </w:r>
      <w:r>
        <w:t xml:space="preserve">  </w:t>
      </w:r>
      <w:r w:rsidRPr="006E5FE7">
        <w:t xml:space="preserve">Substantial evidence is defined as such evidence that a reasonable mind might accept as adequate to support a conclusion.  More is required than a mere trace of evidence or a suspicion of the existence of a fact sought to be established.  </w:t>
      </w:r>
      <w:r w:rsidRPr="006E5FE7">
        <w:rPr>
          <w:u w:val="single"/>
        </w:rPr>
        <w:t>Norfolk &amp; Western Ry. Company v. Pennsylvania Public Utility Commission</w:t>
      </w:r>
      <w:r w:rsidRPr="006E5FE7">
        <w:t xml:space="preserve">, 489 Pa. 109, 413 A.2d 1037 (1980); </w:t>
      </w:r>
      <w:r w:rsidRPr="006E5FE7">
        <w:rPr>
          <w:u w:val="single"/>
        </w:rPr>
        <w:t>Erie Resistor Corp. v. Unemployment Board of Review</w:t>
      </w:r>
      <w:r w:rsidRPr="006E5FE7">
        <w:t xml:space="preserve">, 194 Pa. Superior Ct. 278, 166 A.2d 96 (1961); </w:t>
      </w:r>
      <w:r w:rsidRPr="006E5FE7">
        <w:rPr>
          <w:u w:val="single"/>
        </w:rPr>
        <w:t>Murphy v. Department of Public Welfare</w:t>
      </w:r>
      <w:r w:rsidRPr="006E5FE7">
        <w:t>, 480 A.2d 382 (Pa. Cmwlth. 1984).</w:t>
      </w:r>
    </w:p>
    <w:p w:rsidR="00145EBF" w:rsidRDefault="00145EBF" w:rsidP="00F6612B">
      <w:pPr>
        <w:pStyle w:val="BodyText"/>
        <w:ind w:firstLine="1440"/>
        <w:jc w:val="left"/>
        <w:rPr>
          <w:sz w:val="24"/>
          <w:szCs w:val="24"/>
        </w:rPr>
      </w:pPr>
    </w:p>
    <w:p w:rsidR="0064482C" w:rsidRPr="00C06F04" w:rsidRDefault="0064482C" w:rsidP="0064482C">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  66 Pa. C.S.</w:t>
      </w:r>
      <w:r w:rsidR="00EF3ADB">
        <w:rPr>
          <w:sz w:val="24"/>
          <w:szCs w:val="24"/>
        </w:rPr>
        <w:t>A.</w:t>
      </w:r>
      <w:r w:rsidRPr="00BF51E4">
        <w:rPr>
          <w:sz w:val="24"/>
          <w:szCs w:val="24"/>
        </w:rPr>
        <w:t xml:space="preserve"> §1501</w:t>
      </w:r>
      <w:r>
        <w:rPr>
          <w:sz w:val="24"/>
          <w:szCs w:val="24"/>
        </w:rPr>
        <w:t xml:space="preserve"> and §</w:t>
      </w:r>
      <w:r w:rsidRPr="00BF51E4">
        <w:rPr>
          <w:sz w:val="24"/>
          <w:szCs w:val="24"/>
        </w:rPr>
        <w:t xml:space="preserve">1502.  The Commission approves the cost of providing a utility system that is designed to provide reasonable service at reasonable rates </w:t>
      </w:r>
      <w:r w:rsidR="002258CE">
        <w:rPr>
          <w:sz w:val="24"/>
          <w:szCs w:val="24"/>
        </w:rPr>
        <w:t>–</w:t>
      </w:r>
      <w:r w:rsidRPr="00BF51E4">
        <w:rPr>
          <w:sz w:val="24"/>
          <w:szCs w:val="24"/>
        </w:rPr>
        <w:t xml:space="preserve"> not perfect service without regard to cost.  Since reasonable service may result in occasional loss of service or property damage, </w:t>
      </w:r>
      <w:r w:rsidRPr="00C06F04">
        <w:rPr>
          <w:sz w:val="24"/>
          <w:szCs w:val="24"/>
        </w:rPr>
        <w:t xml:space="preserve">the Commission is permitted to limit liability.  See </w:t>
      </w:r>
      <w:r w:rsidRPr="00C06F04">
        <w:rPr>
          <w:sz w:val="24"/>
          <w:szCs w:val="24"/>
          <w:u w:val="single"/>
        </w:rPr>
        <w:t>DeFranscesco v. West Penn Power Company</w:t>
      </w:r>
      <w:r w:rsidRPr="00C06F04">
        <w:rPr>
          <w:sz w:val="24"/>
          <w:szCs w:val="24"/>
        </w:rPr>
        <w:t xml:space="preserve">, 329 Pa. Superior Ct. 508, 478 A.2d 1295 (1984).  </w:t>
      </w:r>
    </w:p>
    <w:p w:rsidR="006C31EA" w:rsidRDefault="006C31EA" w:rsidP="00042872">
      <w:pPr>
        <w:spacing w:line="360" w:lineRule="auto"/>
        <w:rPr>
          <w:u w:val="single"/>
        </w:rPr>
      </w:pPr>
    </w:p>
    <w:p w:rsidR="00042872" w:rsidRDefault="0030501A" w:rsidP="00042872">
      <w:pPr>
        <w:spacing w:line="360" w:lineRule="auto"/>
      </w:pPr>
      <w:r>
        <w:rPr>
          <w:u w:val="single"/>
        </w:rPr>
        <w:t>Trimming of Trees</w:t>
      </w:r>
    </w:p>
    <w:p w:rsidR="00C06F04" w:rsidRPr="00C06F04" w:rsidRDefault="00C06F04" w:rsidP="00042872">
      <w:pPr>
        <w:spacing w:line="360" w:lineRule="auto"/>
      </w:pPr>
    </w:p>
    <w:p w:rsidR="00042872" w:rsidRPr="00C06F04" w:rsidRDefault="00042872" w:rsidP="00042872">
      <w:pPr>
        <w:spacing w:line="360" w:lineRule="auto"/>
      </w:pPr>
      <w:r w:rsidRPr="00C06F04">
        <w:tab/>
      </w:r>
      <w:r w:rsidRPr="00C06F04">
        <w:tab/>
        <w:t xml:space="preserve">Complainant wants the Commission to direct Duquesne Light to </w:t>
      </w:r>
      <w:r w:rsidR="003C2683">
        <w:t>“top” all the trees and trim for symmetry, especially two spruce trees on which Respondent trimmed branches off on one side but did not “top”</w:t>
      </w:r>
      <w:r w:rsidRPr="00C06F04">
        <w:t xml:space="preserve">.  Clearly, how a public utility engages in its vegetation </w:t>
      </w:r>
      <w:r w:rsidRPr="00C06F04">
        <w:lastRenderedPageBreak/>
        <w:t>maintenance practice falls with</w:t>
      </w:r>
      <w:r w:rsidR="00FD62E1">
        <w:t>in</w:t>
      </w:r>
      <w:r w:rsidRPr="00C06F04">
        <w:t xml:space="preserve"> the parameters of its service obligation under the Public Utility Code.  </w:t>
      </w:r>
      <w:r w:rsidRPr="00C06F04">
        <w:rPr>
          <w:u w:val="single"/>
        </w:rPr>
        <w:t>West Penn Power</w:t>
      </w:r>
      <w:r w:rsidRPr="00C06F04">
        <w:t xml:space="preserve">, </w:t>
      </w:r>
      <w:r w:rsidRPr="00C06F04">
        <w:rPr>
          <w:i/>
        </w:rPr>
        <w:t>supra</w:t>
      </w:r>
      <w:r w:rsidRPr="00C06F04">
        <w:t>.</w:t>
      </w:r>
    </w:p>
    <w:p w:rsidR="00C06F04" w:rsidRPr="00C06F04" w:rsidRDefault="00C06F04" w:rsidP="00C06F04">
      <w:pPr>
        <w:pStyle w:val="BodyText"/>
        <w:rPr>
          <w:sz w:val="24"/>
          <w:szCs w:val="24"/>
        </w:rPr>
      </w:pPr>
    </w:p>
    <w:p w:rsidR="00C06F04" w:rsidRPr="00C06F04" w:rsidRDefault="00C06F04" w:rsidP="00143BCC">
      <w:pPr>
        <w:pStyle w:val="BodyText"/>
        <w:jc w:val="left"/>
        <w:rPr>
          <w:sz w:val="24"/>
          <w:szCs w:val="24"/>
        </w:rPr>
      </w:pPr>
      <w:r w:rsidRPr="00C06F04">
        <w:rPr>
          <w:sz w:val="24"/>
          <w:szCs w:val="24"/>
        </w:rPr>
        <w:tab/>
      </w:r>
      <w:r w:rsidRPr="00C06F04">
        <w:rPr>
          <w:sz w:val="24"/>
          <w:szCs w:val="24"/>
        </w:rPr>
        <w:tab/>
        <w:t>Complainant submit</w:t>
      </w:r>
      <w:r w:rsidR="003C2683">
        <w:rPr>
          <w:sz w:val="24"/>
          <w:szCs w:val="24"/>
        </w:rPr>
        <w:t>ted a photograph of one of the trees, showing “criss-crossing” branches in and through the canopy of one tree.  The photograph depicts a tree</w:t>
      </w:r>
      <w:r w:rsidRPr="00C06F04">
        <w:rPr>
          <w:sz w:val="24"/>
          <w:szCs w:val="24"/>
        </w:rPr>
        <w:t xml:space="preserve"> that </w:t>
      </w:r>
      <w:r w:rsidR="003C2683">
        <w:rPr>
          <w:sz w:val="24"/>
          <w:szCs w:val="24"/>
        </w:rPr>
        <w:t>is</w:t>
      </w:r>
      <w:r w:rsidRPr="00C06F04">
        <w:rPr>
          <w:sz w:val="24"/>
          <w:szCs w:val="24"/>
        </w:rPr>
        <w:t xml:space="preserve"> not aesthetically pleasing</w:t>
      </w:r>
      <w:r w:rsidR="00363713">
        <w:rPr>
          <w:sz w:val="24"/>
          <w:szCs w:val="24"/>
        </w:rPr>
        <w:t xml:space="preserve">. </w:t>
      </w:r>
      <w:r w:rsidR="003C2683">
        <w:rPr>
          <w:sz w:val="24"/>
          <w:szCs w:val="24"/>
        </w:rPr>
        <w:t xml:space="preserve"> </w:t>
      </w:r>
      <w:r w:rsidR="00363713">
        <w:rPr>
          <w:sz w:val="24"/>
          <w:szCs w:val="24"/>
        </w:rPr>
        <w:t>H</w:t>
      </w:r>
      <w:r w:rsidRPr="00C06F04">
        <w:rPr>
          <w:sz w:val="24"/>
          <w:szCs w:val="24"/>
        </w:rPr>
        <w:t xml:space="preserve">owever, the mere fact </w:t>
      </w:r>
      <w:r w:rsidR="003C2683">
        <w:rPr>
          <w:sz w:val="24"/>
          <w:szCs w:val="24"/>
        </w:rPr>
        <w:t>Complainant’s</w:t>
      </w:r>
      <w:r w:rsidRPr="00C06F04">
        <w:rPr>
          <w:sz w:val="24"/>
          <w:szCs w:val="24"/>
        </w:rPr>
        <w:t xml:space="preserve"> trees </w:t>
      </w:r>
      <w:r w:rsidR="003C2683">
        <w:rPr>
          <w:sz w:val="24"/>
          <w:szCs w:val="24"/>
        </w:rPr>
        <w:t>may</w:t>
      </w:r>
      <w:r w:rsidRPr="00C06F04">
        <w:rPr>
          <w:sz w:val="24"/>
          <w:szCs w:val="24"/>
        </w:rPr>
        <w:t xml:space="preserve"> not</w:t>
      </w:r>
      <w:r w:rsidR="003C2683">
        <w:rPr>
          <w:sz w:val="24"/>
          <w:szCs w:val="24"/>
        </w:rPr>
        <w:t xml:space="preserve"> be</w:t>
      </w:r>
      <w:r w:rsidRPr="00C06F04">
        <w:rPr>
          <w:sz w:val="24"/>
          <w:szCs w:val="24"/>
        </w:rPr>
        <w:t xml:space="preserve"> aesthetically appealing does not mean Respondent’s tree trimming crew performed an unreasonable or inadequate vegetation maintenance operation.</w:t>
      </w:r>
    </w:p>
    <w:p w:rsidR="00C06F04" w:rsidRPr="00C06F04" w:rsidRDefault="00C06F04" w:rsidP="00C06F04">
      <w:pPr>
        <w:pStyle w:val="BodyText"/>
        <w:rPr>
          <w:sz w:val="24"/>
          <w:szCs w:val="24"/>
        </w:rPr>
      </w:pPr>
    </w:p>
    <w:p w:rsidR="00C06F04" w:rsidRPr="00C06F04" w:rsidRDefault="00C06F04" w:rsidP="00143BCC">
      <w:pPr>
        <w:pStyle w:val="BodyText"/>
        <w:jc w:val="left"/>
        <w:rPr>
          <w:sz w:val="24"/>
          <w:szCs w:val="24"/>
        </w:rPr>
      </w:pPr>
      <w:r w:rsidRPr="00C06F04">
        <w:rPr>
          <w:sz w:val="24"/>
          <w:szCs w:val="24"/>
        </w:rPr>
        <w:tab/>
      </w:r>
      <w:r w:rsidRPr="00C06F04">
        <w:rPr>
          <w:sz w:val="24"/>
          <w:szCs w:val="24"/>
        </w:rPr>
        <w:tab/>
        <w:t xml:space="preserve">Complainant does not dispute that Duquesne Light </w:t>
      </w:r>
      <w:r w:rsidR="003C2683">
        <w:rPr>
          <w:sz w:val="24"/>
          <w:szCs w:val="24"/>
        </w:rPr>
        <w:t>must</w:t>
      </w:r>
      <w:r w:rsidRPr="00C06F04">
        <w:rPr>
          <w:sz w:val="24"/>
          <w:szCs w:val="24"/>
        </w:rPr>
        <w:t xml:space="preserve"> undertake some manner of tree trimming to clear its power lines.  Obviously, clearance of this vegetation for public safety and reliability of service was the only prudent course to follow.</w:t>
      </w:r>
      <w:r w:rsidR="003C2683">
        <w:rPr>
          <w:sz w:val="24"/>
          <w:szCs w:val="24"/>
        </w:rPr>
        <w:t xml:space="preserve">  </w:t>
      </w:r>
      <w:r w:rsidRPr="00C06F04">
        <w:rPr>
          <w:sz w:val="24"/>
          <w:szCs w:val="24"/>
        </w:rPr>
        <w:t xml:space="preserve">Yet, Complainant contends the extent of this clearance operation was </w:t>
      </w:r>
      <w:r w:rsidR="003C2683">
        <w:rPr>
          <w:sz w:val="24"/>
          <w:szCs w:val="24"/>
        </w:rPr>
        <w:t xml:space="preserve">not extensive enough and Respondent should be held responsible to trim the trees for symmetry.  </w:t>
      </w:r>
      <w:r w:rsidR="0030501A">
        <w:rPr>
          <w:sz w:val="24"/>
          <w:szCs w:val="24"/>
        </w:rPr>
        <w:t xml:space="preserve">The testimony presented sufficiently proved the trees were trimmed consistent with industry practice and in order to secure more reliable and safe service to all Respondent’s customers.  </w:t>
      </w:r>
      <w:r w:rsidRPr="00C06F04">
        <w:rPr>
          <w:sz w:val="24"/>
          <w:szCs w:val="24"/>
        </w:rPr>
        <w:t xml:space="preserve"> </w:t>
      </w:r>
    </w:p>
    <w:p w:rsidR="0064482C" w:rsidRPr="00BF51E4" w:rsidRDefault="0064482C" w:rsidP="0064482C">
      <w:pPr>
        <w:pStyle w:val="BodyText"/>
        <w:ind w:firstLine="1440"/>
        <w:jc w:val="left"/>
        <w:rPr>
          <w:sz w:val="24"/>
          <w:szCs w:val="24"/>
        </w:rPr>
      </w:pPr>
    </w:p>
    <w:p w:rsidR="0064482C" w:rsidRDefault="0064482C" w:rsidP="0064482C">
      <w:pPr>
        <w:pStyle w:val="BodyText"/>
        <w:ind w:firstLine="1440"/>
        <w:jc w:val="left"/>
        <w:rPr>
          <w:sz w:val="24"/>
          <w:szCs w:val="24"/>
        </w:rPr>
      </w:pPr>
      <w:r w:rsidRPr="00BF51E4">
        <w:rPr>
          <w:sz w:val="24"/>
          <w:szCs w:val="24"/>
        </w:rPr>
        <w:t xml:space="preserve">Therefore, Complainant </w:t>
      </w:r>
      <w:r w:rsidR="0030501A">
        <w:rPr>
          <w:sz w:val="24"/>
          <w:szCs w:val="24"/>
        </w:rPr>
        <w:t>did</w:t>
      </w:r>
      <w:r w:rsidRPr="00BF51E4">
        <w:rPr>
          <w:sz w:val="24"/>
          <w:szCs w:val="24"/>
        </w:rPr>
        <w:t xml:space="preserve"> not m</w:t>
      </w:r>
      <w:r w:rsidR="0030501A">
        <w:rPr>
          <w:sz w:val="24"/>
          <w:szCs w:val="24"/>
        </w:rPr>
        <w:t>e</w:t>
      </w:r>
      <w:r w:rsidRPr="00BF51E4">
        <w:rPr>
          <w:sz w:val="24"/>
          <w:szCs w:val="24"/>
        </w:rPr>
        <w:t xml:space="preserve">et </w:t>
      </w:r>
      <w:r w:rsidR="00042872">
        <w:rPr>
          <w:sz w:val="24"/>
          <w:szCs w:val="24"/>
        </w:rPr>
        <w:t>his</w:t>
      </w:r>
      <w:r w:rsidRPr="00BF51E4">
        <w:rPr>
          <w:sz w:val="24"/>
          <w:szCs w:val="24"/>
        </w:rPr>
        <w:t xml:space="preserve"> burden of proving Respondent violated the Commission’s regulations by failing to provide reasonable and adequate customer service </w:t>
      </w:r>
      <w:r w:rsidR="00042872">
        <w:rPr>
          <w:sz w:val="24"/>
          <w:szCs w:val="24"/>
        </w:rPr>
        <w:t>in how the vegetation on his property was removed from the easement</w:t>
      </w:r>
      <w:r w:rsidRPr="00BF51E4">
        <w:rPr>
          <w:sz w:val="24"/>
          <w:szCs w:val="24"/>
        </w:rPr>
        <w:t xml:space="preserve">.  </w:t>
      </w:r>
    </w:p>
    <w:p w:rsidR="0064482C" w:rsidRDefault="0064482C" w:rsidP="0064482C">
      <w:pPr>
        <w:pStyle w:val="BodyText"/>
        <w:jc w:val="left"/>
        <w:rPr>
          <w:sz w:val="24"/>
          <w:szCs w:val="24"/>
        </w:rPr>
      </w:pPr>
    </w:p>
    <w:p w:rsidR="00042872" w:rsidRPr="00042872" w:rsidRDefault="00042872" w:rsidP="0064482C">
      <w:pPr>
        <w:pStyle w:val="BodyText"/>
        <w:jc w:val="left"/>
        <w:rPr>
          <w:sz w:val="24"/>
          <w:szCs w:val="24"/>
        </w:rPr>
      </w:pPr>
      <w:r>
        <w:rPr>
          <w:sz w:val="24"/>
          <w:szCs w:val="24"/>
          <w:u w:val="single"/>
        </w:rPr>
        <w:t xml:space="preserve">Jurisdiction </w:t>
      </w:r>
      <w:r w:rsidR="00CE616A">
        <w:rPr>
          <w:sz w:val="24"/>
          <w:szCs w:val="24"/>
          <w:u w:val="single"/>
        </w:rPr>
        <w:t>C</w:t>
      </w:r>
      <w:r>
        <w:rPr>
          <w:sz w:val="24"/>
          <w:szCs w:val="24"/>
          <w:u w:val="single"/>
        </w:rPr>
        <w:t>oncerning Use of Easement</w:t>
      </w:r>
    </w:p>
    <w:p w:rsidR="00042872" w:rsidRDefault="00042872" w:rsidP="0064482C">
      <w:pPr>
        <w:pStyle w:val="BodyText"/>
        <w:jc w:val="left"/>
        <w:rPr>
          <w:sz w:val="24"/>
          <w:szCs w:val="24"/>
        </w:rPr>
      </w:pPr>
    </w:p>
    <w:p w:rsidR="0030501A" w:rsidRDefault="00042872" w:rsidP="00042872">
      <w:pPr>
        <w:spacing w:line="360" w:lineRule="auto"/>
      </w:pPr>
      <w:r>
        <w:tab/>
      </w:r>
      <w:r>
        <w:tab/>
        <w:t>Complainant challenges the lawfulness of Respondent</w:t>
      </w:r>
      <w:r w:rsidR="0030501A">
        <w:t xml:space="preserve"> locating its f</w:t>
      </w:r>
      <w:r>
        <w:t xml:space="preserve">acilities </w:t>
      </w:r>
      <w:r w:rsidR="0030501A">
        <w:t>above ground</w:t>
      </w:r>
      <w:r>
        <w:t xml:space="preserve"> as exceeding the grant of easement </w:t>
      </w:r>
      <w:r w:rsidR="0030501A">
        <w:t>evidenced by real estate documents signed by Complainant or obtained by Complainant when he purchased the land and built the residence in 1969.  Complainant avers those documents show the electric lines were to be installed underground but Respondent built them above</w:t>
      </w:r>
      <w:r w:rsidR="00A6485B">
        <w:t xml:space="preserve"> </w:t>
      </w:r>
      <w:r w:rsidR="0030501A">
        <w:t xml:space="preserve">ground.  The Commission does not have jurisdiction to determine the scope or the validity of an easement.  </w:t>
      </w:r>
    </w:p>
    <w:p w:rsidR="0030501A" w:rsidRDefault="0030501A" w:rsidP="00042872">
      <w:pPr>
        <w:spacing w:line="360" w:lineRule="auto"/>
      </w:pPr>
    </w:p>
    <w:p w:rsidR="00042872" w:rsidRDefault="00042872" w:rsidP="0030501A">
      <w:pPr>
        <w:spacing w:line="360" w:lineRule="auto"/>
        <w:ind w:firstLine="1350"/>
      </w:pPr>
      <w:r w:rsidRPr="00273F16">
        <w:lastRenderedPageBreak/>
        <w:t xml:space="preserve">As a creature of legislation, the Commission possesses only the authority the State Legislature has specifically granted to it in the Public Utility Code (the “Code”), 66 Pa. C.S. §§101, </w:t>
      </w:r>
      <w:r w:rsidRPr="00273F16">
        <w:rPr>
          <w:i/>
        </w:rPr>
        <w:t>et seq</w:t>
      </w:r>
      <w:r w:rsidRPr="00273F16">
        <w:t>.  Its jurisdiction must arise from the express language of the pertinent enabling legislation or by strong and necessar</w:t>
      </w:r>
      <w:r w:rsidR="0030501A">
        <w:t>y implication therefrom.</w:t>
      </w:r>
      <w:r w:rsidR="0030501A">
        <w:rPr>
          <w:rStyle w:val="FootnoteReference"/>
        </w:rPr>
        <w:footnoteReference w:id="1"/>
      </w:r>
      <w:r>
        <w:t xml:space="preserve">  The Commission, however, </w:t>
      </w:r>
      <w:r w:rsidRPr="00F05215">
        <w:t>does not have jurisdiction to determine the scope and validity of an easement</w:t>
      </w:r>
      <w:r w:rsidR="0030501A">
        <w:t>.</w:t>
      </w:r>
      <w:r>
        <w:t xml:space="preserve">  Only </w:t>
      </w:r>
      <w:r w:rsidR="0030501A">
        <w:t>the</w:t>
      </w:r>
      <w:r>
        <w:t xml:space="preserve"> Court of Common Pleas </w:t>
      </w:r>
      <w:r w:rsidR="0030501A">
        <w:t>for the county in which Complainant lives, can hear an easement claim.</w:t>
      </w:r>
      <w:r w:rsidR="0030501A">
        <w:rPr>
          <w:rStyle w:val="FootnoteReference"/>
        </w:rPr>
        <w:footnoteReference w:id="2"/>
      </w:r>
      <w:r w:rsidR="0030501A">
        <w:t xml:space="preserve">  </w:t>
      </w:r>
      <w:r>
        <w:t>Therefore, this claim can receive no consideration in this forum.</w:t>
      </w:r>
    </w:p>
    <w:p w:rsidR="00042872" w:rsidRDefault="00042872" w:rsidP="00042872">
      <w:pPr>
        <w:spacing w:line="360" w:lineRule="auto"/>
      </w:pPr>
    </w:p>
    <w:p w:rsidR="008A0599" w:rsidRDefault="008A0599" w:rsidP="008A0599">
      <w:pPr>
        <w:pStyle w:val="BodyText"/>
        <w:jc w:val="left"/>
        <w:rPr>
          <w:sz w:val="24"/>
          <w:szCs w:val="24"/>
        </w:rPr>
      </w:pPr>
      <w:r>
        <w:rPr>
          <w:sz w:val="24"/>
          <w:szCs w:val="24"/>
          <w:u w:val="single"/>
        </w:rPr>
        <w:t>Conclusion</w:t>
      </w:r>
    </w:p>
    <w:p w:rsidR="008A0599" w:rsidRDefault="008A0599" w:rsidP="008A0599">
      <w:pPr>
        <w:pStyle w:val="BodyText"/>
        <w:ind w:firstLine="1440"/>
        <w:jc w:val="left"/>
        <w:rPr>
          <w:sz w:val="24"/>
          <w:szCs w:val="24"/>
        </w:rPr>
      </w:pPr>
    </w:p>
    <w:p w:rsidR="008A0599" w:rsidRPr="00EA1625" w:rsidRDefault="008A0599" w:rsidP="008A0599">
      <w:pPr>
        <w:pStyle w:val="BodyText"/>
        <w:ind w:firstLine="1440"/>
        <w:jc w:val="left"/>
        <w:rPr>
          <w:sz w:val="24"/>
          <w:szCs w:val="24"/>
        </w:rPr>
      </w:pPr>
      <w:r w:rsidRPr="00EA1625">
        <w:rPr>
          <w:sz w:val="24"/>
          <w:szCs w:val="24"/>
        </w:rPr>
        <w:t xml:space="preserve">Accordingly the complaint is </w:t>
      </w:r>
      <w:r>
        <w:rPr>
          <w:sz w:val="24"/>
          <w:szCs w:val="24"/>
        </w:rPr>
        <w:t xml:space="preserve">denied in </w:t>
      </w:r>
      <w:r w:rsidR="00C06F04">
        <w:rPr>
          <w:sz w:val="24"/>
          <w:szCs w:val="24"/>
        </w:rPr>
        <w:t>the ordering paragraph</w:t>
      </w:r>
      <w:r w:rsidRPr="00EA1625">
        <w:rPr>
          <w:sz w:val="24"/>
          <w:szCs w:val="24"/>
        </w:rPr>
        <w:t xml:space="preserve"> below. </w:t>
      </w:r>
    </w:p>
    <w:p w:rsidR="008A0599" w:rsidRPr="008A0599" w:rsidRDefault="008A0599" w:rsidP="008A0599">
      <w:pPr>
        <w:pStyle w:val="BodyText"/>
        <w:jc w:val="left"/>
        <w:rPr>
          <w:sz w:val="24"/>
          <w:szCs w:val="24"/>
        </w:rPr>
      </w:pPr>
    </w:p>
    <w:p w:rsidR="008E4FD6" w:rsidRPr="008B455C" w:rsidRDefault="008E4FD6" w:rsidP="008E4FD6">
      <w:pPr>
        <w:spacing w:line="360" w:lineRule="auto"/>
        <w:jc w:val="center"/>
        <w:rPr>
          <w:u w:val="single"/>
        </w:rPr>
      </w:pPr>
      <w:r w:rsidRPr="008B455C">
        <w:rPr>
          <w:u w:val="single"/>
        </w:rPr>
        <w:t>CONCLUSIONS OF LAW</w:t>
      </w:r>
    </w:p>
    <w:p w:rsidR="008E4FD6" w:rsidRPr="008B455C" w:rsidRDefault="008E4FD6" w:rsidP="008E4FD6">
      <w:pPr>
        <w:spacing w:line="360" w:lineRule="auto"/>
        <w:ind w:firstLine="1440"/>
      </w:pPr>
    </w:p>
    <w:p w:rsidR="008E4FD6" w:rsidRPr="008B455C" w:rsidRDefault="008E4FD6" w:rsidP="008E4FD6">
      <w:pPr>
        <w:numPr>
          <w:ilvl w:val="0"/>
          <w:numId w:val="1"/>
        </w:numPr>
        <w:tabs>
          <w:tab w:val="clear" w:pos="900"/>
          <w:tab w:val="num" w:pos="2160"/>
        </w:tabs>
        <w:spacing w:line="360" w:lineRule="auto"/>
        <w:ind w:left="0" w:firstLine="1440"/>
      </w:pPr>
      <w:r w:rsidRPr="008B455C">
        <w:t xml:space="preserve">The Commission has jurisdiction over the parties and the subject matter of this proceeding.  66 </w:t>
      </w:r>
      <w:smartTag w:uri="urn:schemas-microsoft-com:office:smarttags" w:element="State">
        <w:smartTag w:uri="urn:schemas-microsoft-com:office:smarttags" w:element="place">
          <w:r w:rsidRPr="008B455C">
            <w:t>Pa.</w:t>
          </w:r>
        </w:smartTag>
      </w:smartTag>
      <w:r w:rsidRPr="008B455C">
        <w:t xml:space="preserve"> C.S. §701.</w:t>
      </w:r>
    </w:p>
    <w:p w:rsidR="008E4FD6" w:rsidRPr="008B455C" w:rsidRDefault="008E4FD6" w:rsidP="008E4FD6">
      <w:pPr>
        <w:tabs>
          <w:tab w:val="num" w:pos="2160"/>
        </w:tabs>
        <w:spacing w:line="360" w:lineRule="auto"/>
        <w:ind w:firstLine="1260"/>
      </w:pPr>
    </w:p>
    <w:p w:rsidR="00732CDD" w:rsidRPr="008B455C" w:rsidRDefault="00861DF9" w:rsidP="00943CC8">
      <w:pPr>
        <w:spacing w:line="360" w:lineRule="auto"/>
      </w:pPr>
      <w:r w:rsidRPr="008B455C">
        <w:tab/>
      </w:r>
      <w:r w:rsidRPr="008B455C">
        <w:tab/>
        <w:t>2</w:t>
      </w:r>
      <w:r w:rsidR="003E2BB0" w:rsidRPr="008B455C">
        <w:t>.</w:t>
      </w:r>
      <w:r w:rsidR="003E2BB0" w:rsidRPr="008B455C">
        <w:tab/>
      </w:r>
      <w:r w:rsidR="00BC7989">
        <w:t>Complainant</w:t>
      </w:r>
      <w:r w:rsidR="00EA1EDF" w:rsidRPr="008B455C">
        <w:t xml:space="preserve"> </w:t>
      </w:r>
      <w:r w:rsidR="00D868FB" w:rsidRPr="008B455C">
        <w:t>carr</w:t>
      </w:r>
      <w:r w:rsidR="006D384B">
        <w:t>ies</w:t>
      </w:r>
      <w:r w:rsidR="00EA1EDF" w:rsidRPr="008B455C">
        <w:t xml:space="preserve"> the burden of proving </w:t>
      </w:r>
      <w:r w:rsidR="00617C29" w:rsidRPr="008B455C">
        <w:t>Respondent</w:t>
      </w:r>
      <w:r w:rsidR="000943A5">
        <w:t xml:space="preserve"> </w:t>
      </w:r>
      <w:r w:rsidR="0016133D">
        <w:t>did</w:t>
      </w:r>
      <w:r w:rsidR="000943A5">
        <w:t xml:space="preserve"> not provid</w:t>
      </w:r>
      <w:r w:rsidR="0016133D">
        <w:t>e</w:t>
      </w:r>
      <w:r w:rsidR="000943A5">
        <w:t xml:space="preserve"> reasonable and adequate service</w:t>
      </w:r>
      <w:r w:rsidR="00617C29" w:rsidRPr="008B455C">
        <w:t>.</w:t>
      </w:r>
      <w:r w:rsidR="00B219F2" w:rsidRPr="008B455C">
        <w:t xml:space="preserve">  66 Pa.</w:t>
      </w:r>
      <w:r w:rsidR="00BC1FD7">
        <w:t xml:space="preserve"> </w:t>
      </w:r>
      <w:r w:rsidR="00B219F2" w:rsidRPr="008B455C">
        <w:t>C.S.A. §332(a).</w:t>
      </w:r>
    </w:p>
    <w:p w:rsidR="00732CDD" w:rsidRPr="008B455C" w:rsidRDefault="00732CDD" w:rsidP="00943CC8">
      <w:pPr>
        <w:spacing w:line="360" w:lineRule="auto"/>
      </w:pPr>
    </w:p>
    <w:p w:rsidR="008B6587" w:rsidRDefault="00732CDD" w:rsidP="008B6587">
      <w:pPr>
        <w:pStyle w:val="FootnoteText"/>
        <w:spacing w:line="360" w:lineRule="auto"/>
        <w:rPr>
          <w:sz w:val="24"/>
          <w:szCs w:val="24"/>
        </w:rPr>
      </w:pPr>
      <w:r w:rsidRPr="008B455C">
        <w:rPr>
          <w:sz w:val="24"/>
          <w:szCs w:val="24"/>
        </w:rPr>
        <w:tab/>
      </w:r>
      <w:r w:rsidRPr="008B455C">
        <w:rPr>
          <w:sz w:val="24"/>
          <w:szCs w:val="24"/>
        </w:rPr>
        <w:tab/>
      </w:r>
      <w:r w:rsidR="00D86C43" w:rsidRPr="008B455C">
        <w:rPr>
          <w:sz w:val="24"/>
          <w:szCs w:val="24"/>
        </w:rPr>
        <w:t>3</w:t>
      </w:r>
      <w:r w:rsidRPr="008B455C">
        <w:rPr>
          <w:sz w:val="24"/>
          <w:szCs w:val="24"/>
        </w:rPr>
        <w:t>.</w:t>
      </w:r>
      <w:r w:rsidRPr="008B455C">
        <w:rPr>
          <w:sz w:val="24"/>
          <w:szCs w:val="24"/>
        </w:rPr>
        <w:tab/>
      </w:r>
      <w:r w:rsidR="0016133D">
        <w:rPr>
          <w:sz w:val="24"/>
          <w:szCs w:val="24"/>
        </w:rPr>
        <w:t xml:space="preserve">Respondent </w:t>
      </w:r>
      <w:r w:rsidR="003B3294">
        <w:rPr>
          <w:sz w:val="24"/>
          <w:szCs w:val="24"/>
        </w:rPr>
        <w:t xml:space="preserve">provided Complainant with reasonable and adequate customer service in </w:t>
      </w:r>
      <w:r w:rsidR="0030501A">
        <w:rPr>
          <w:sz w:val="24"/>
          <w:szCs w:val="24"/>
        </w:rPr>
        <w:t>how it trimmed the trees on the back edge of Complainant’s property</w:t>
      </w:r>
      <w:r w:rsidR="008B6587" w:rsidRPr="008B455C">
        <w:rPr>
          <w:sz w:val="24"/>
          <w:szCs w:val="24"/>
        </w:rPr>
        <w:t xml:space="preserve">.  </w:t>
      </w:r>
    </w:p>
    <w:p w:rsidR="007B0DB8" w:rsidRDefault="007B0DB8" w:rsidP="008B6587">
      <w:pPr>
        <w:pStyle w:val="FootnoteText"/>
        <w:spacing w:line="360" w:lineRule="auto"/>
        <w:rPr>
          <w:sz w:val="24"/>
          <w:szCs w:val="24"/>
        </w:rPr>
      </w:pPr>
    </w:p>
    <w:p w:rsidR="007D2DA0" w:rsidRDefault="00617C29" w:rsidP="00617C29">
      <w:pPr>
        <w:spacing w:line="360" w:lineRule="auto"/>
      </w:pPr>
      <w:r w:rsidRPr="008B455C">
        <w:tab/>
      </w:r>
      <w:r w:rsidRPr="008B455C">
        <w:tab/>
      </w:r>
      <w:r w:rsidR="00D86C43" w:rsidRPr="008B455C">
        <w:t>4</w:t>
      </w:r>
      <w:r w:rsidRPr="008B455C">
        <w:t>.</w:t>
      </w:r>
      <w:r w:rsidRPr="008B455C">
        <w:tab/>
      </w:r>
      <w:r w:rsidR="00BC7989">
        <w:t>Complainant</w:t>
      </w:r>
      <w:r w:rsidR="00DC3243" w:rsidRPr="008B455C">
        <w:t xml:space="preserve"> </w:t>
      </w:r>
      <w:r w:rsidR="006D384B">
        <w:t>failed to meet</w:t>
      </w:r>
      <w:r w:rsidR="00732CDD" w:rsidRPr="008B455C">
        <w:t xml:space="preserve"> </w:t>
      </w:r>
      <w:r w:rsidR="00DC3243" w:rsidRPr="008B455C">
        <w:t>the</w:t>
      </w:r>
      <w:r w:rsidR="00732CDD" w:rsidRPr="008B455C">
        <w:t xml:space="preserve"> burden of proving </w:t>
      </w:r>
      <w:r w:rsidRPr="008B455C">
        <w:t>Respondent</w:t>
      </w:r>
      <w:r w:rsidR="000943A5">
        <w:t xml:space="preserve"> did not provide reasonable and adequate service</w:t>
      </w:r>
      <w:r w:rsidR="00060974">
        <w:t xml:space="preserve">.  </w:t>
      </w:r>
      <w:r w:rsidR="00861DF9" w:rsidRPr="008B455C">
        <w:t xml:space="preserve">  </w:t>
      </w:r>
    </w:p>
    <w:p w:rsidR="002F5507" w:rsidRDefault="002F5507" w:rsidP="003C13E7">
      <w:pPr>
        <w:spacing w:line="360" w:lineRule="auto"/>
      </w:pPr>
    </w:p>
    <w:p w:rsidR="00A40462" w:rsidRPr="008B455C" w:rsidRDefault="0030501A" w:rsidP="003C13E7">
      <w:pPr>
        <w:spacing w:line="360" w:lineRule="auto"/>
      </w:pPr>
      <w:r>
        <w:tab/>
      </w:r>
      <w:r>
        <w:tab/>
        <w:t>5</w:t>
      </w:r>
      <w:r w:rsidR="002F5507">
        <w:t>.</w:t>
      </w:r>
      <w:r w:rsidR="002F5507">
        <w:tab/>
        <w:t xml:space="preserve">The Commission is without jurisdiction to consider </w:t>
      </w:r>
      <w:r>
        <w:t>the validity or scope of an easement in real estate</w:t>
      </w:r>
      <w:r w:rsidR="002F5507">
        <w:t xml:space="preserve">.  </w:t>
      </w:r>
      <w:r>
        <w:rPr>
          <w:u w:val="single"/>
        </w:rPr>
        <w:t>Fairview Water Company v. Pa. P.U.C.</w:t>
      </w:r>
      <w:r>
        <w:t>, 509 Pa. 384,</w:t>
      </w:r>
      <w:r w:rsidRPr="00584275">
        <w:t xml:space="preserve"> 502 A.2d 162</w:t>
      </w:r>
      <w:r>
        <w:t xml:space="preserve"> (1985).</w:t>
      </w:r>
      <w:r w:rsidR="007D2DA0" w:rsidRPr="008B455C">
        <w:tab/>
      </w:r>
    </w:p>
    <w:p w:rsidR="002F5507" w:rsidRDefault="002F5507" w:rsidP="00CF2BAB">
      <w:pPr>
        <w:spacing w:line="360" w:lineRule="auto"/>
        <w:jc w:val="center"/>
        <w:rPr>
          <w:u w:val="single"/>
        </w:rPr>
      </w:pPr>
    </w:p>
    <w:p w:rsidR="008E4FD6" w:rsidRPr="008B455C" w:rsidRDefault="008E4FD6" w:rsidP="00CF2BAB">
      <w:pPr>
        <w:spacing w:line="360" w:lineRule="auto"/>
        <w:jc w:val="center"/>
        <w:rPr>
          <w:u w:val="single"/>
        </w:rPr>
      </w:pPr>
      <w:r w:rsidRPr="008B455C">
        <w:rPr>
          <w:u w:val="single"/>
        </w:rPr>
        <w:t>ORDER</w:t>
      </w:r>
    </w:p>
    <w:p w:rsidR="00A40462" w:rsidRDefault="00A40462" w:rsidP="008E4FD6">
      <w:pPr>
        <w:tabs>
          <w:tab w:val="num" w:pos="2160"/>
        </w:tabs>
        <w:spacing w:line="360" w:lineRule="auto"/>
        <w:jc w:val="center"/>
        <w:rPr>
          <w:u w:val="single"/>
        </w:rPr>
      </w:pPr>
    </w:p>
    <w:p w:rsidR="006C3A14" w:rsidRPr="008B455C" w:rsidRDefault="006C3A14" w:rsidP="008E4FD6">
      <w:pPr>
        <w:tabs>
          <w:tab w:val="num" w:pos="2160"/>
        </w:tabs>
        <w:spacing w:line="360" w:lineRule="auto"/>
        <w:jc w:val="center"/>
        <w:rPr>
          <w:u w:val="single"/>
        </w:rPr>
      </w:pPr>
    </w:p>
    <w:p w:rsidR="008E4FD6" w:rsidRPr="008B455C" w:rsidRDefault="008E4FD6" w:rsidP="008E4FD6">
      <w:pPr>
        <w:tabs>
          <w:tab w:val="num" w:pos="2160"/>
        </w:tabs>
        <w:spacing w:line="360" w:lineRule="auto"/>
        <w:ind w:firstLine="1440"/>
      </w:pPr>
      <w:r w:rsidRPr="008B455C">
        <w:t xml:space="preserve">THEREFORE, </w:t>
      </w:r>
    </w:p>
    <w:p w:rsidR="008E4FD6" w:rsidRPr="008B455C" w:rsidRDefault="008E4FD6" w:rsidP="008E4FD6">
      <w:pPr>
        <w:tabs>
          <w:tab w:val="num" w:pos="2160"/>
        </w:tabs>
        <w:spacing w:line="360" w:lineRule="auto"/>
      </w:pPr>
    </w:p>
    <w:p w:rsidR="008E4FD6" w:rsidRPr="008B455C" w:rsidRDefault="008E4FD6" w:rsidP="008E4FD6">
      <w:pPr>
        <w:tabs>
          <w:tab w:val="num" w:pos="2160"/>
        </w:tabs>
        <w:spacing w:line="360" w:lineRule="auto"/>
        <w:ind w:firstLine="1440"/>
      </w:pPr>
      <w:r w:rsidRPr="008B455C">
        <w:t>IT IS ORDERED:</w:t>
      </w:r>
    </w:p>
    <w:p w:rsidR="008E4FD6" w:rsidRPr="008B455C" w:rsidRDefault="008E4FD6" w:rsidP="008E4FD6">
      <w:pPr>
        <w:tabs>
          <w:tab w:val="num" w:pos="2160"/>
        </w:tabs>
        <w:spacing w:line="360" w:lineRule="auto"/>
        <w:rPr>
          <w:b/>
        </w:rPr>
      </w:pPr>
    </w:p>
    <w:p w:rsidR="008E4FD6" w:rsidRDefault="00DC3243" w:rsidP="008E4FD6">
      <w:pPr>
        <w:tabs>
          <w:tab w:val="num" w:pos="2160"/>
        </w:tabs>
        <w:spacing w:line="360" w:lineRule="auto"/>
        <w:ind w:firstLine="1440"/>
      </w:pPr>
      <w:r w:rsidRPr="008B455C">
        <w:t>T</w:t>
      </w:r>
      <w:r w:rsidR="00617C29" w:rsidRPr="008B455C">
        <w:t xml:space="preserve">hat the complaint </w:t>
      </w:r>
      <w:r w:rsidR="00617C29" w:rsidRPr="002F64FF">
        <w:t xml:space="preserve">of </w:t>
      </w:r>
      <w:r w:rsidR="000258F4">
        <w:t>Thomas P. Weldon</w:t>
      </w:r>
      <w:r w:rsidR="003E1EE5" w:rsidRPr="002F64FF">
        <w:t xml:space="preserve"> </w:t>
      </w:r>
      <w:r w:rsidR="00B219F2" w:rsidRPr="002F64FF">
        <w:t>versus</w:t>
      </w:r>
      <w:r w:rsidR="00617C29" w:rsidRPr="002F64FF">
        <w:t xml:space="preserve"> Duquesne Light C</w:t>
      </w:r>
      <w:r w:rsidR="00A70C75" w:rsidRPr="002F64FF">
        <w:t>ompany</w:t>
      </w:r>
      <w:r w:rsidR="00B219F2" w:rsidRPr="00055267">
        <w:t xml:space="preserve"> </w:t>
      </w:r>
      <w:r w:rsidR="00B219F2" w:rsidRPr="008B455C">
        <w:t xml:space="preserve">at </w:t>
      </w:r>
      <w:r w:rsidR="00060974">
        <w:t>Docket No. C</w:t>
      </w:r>
      <w:r w:rsidR="00F6612B" w:rsidRPr="008B455C">
        <w:noBreakHyphen/>
      </w:r>
      <w:r w:rsidR="00B848D9">
        <w:t>2010</w:t>
      </w:r>
      <w:r w:rsidR="003E1EE5" w:rsidRPr="008B455C">
        <w:t>-2</w:t>
      </w:r>
      <w:r w:rsidR="000258F4">
        <w:t>215803</w:t>
      </w:r>
      <w:r w:rsidR="00A70C75" w:rsidRPr="008B455C">
        <w:t xml:space="preserve"> </w:t>
      </w:r>
      <w:r w:rsidR="002F5507" w:rsidRPr="00EA1625">
        <w:t>hereby</w:t>
      </w:r>
      <w:r w:rsidR="00D76480">
        <w:t xml:space="preserve"> is</w:t>
      </w:r>
      <w:r w:rsidR="002F5507" w:rsidRPr="00EA1625">
        <w:t xml:space="preserve"> </w:t>
      </w:r>
      <w:r w:rsidR="002F5507">
        <w:t xml:space="preserve">denied because Complainant failed to prove </w:t>
      </w:r>
      <w:r w:rsidR="00D76480" w:rsidRPr="008B455C">
        <w:t>Respondent</w:t>
      </w:r>
      <w:r w:rsidR="00D76480">
        <w:t xml:space="preserve"> did not provide reasonable and adequate service in </w:t>
      </w:r>
      <w:r w:rsidR="000258F4">
        <w:t xml:space="preserve">vegetation management program at his residence </w:t>
      </w:r>
      <w:r w:rsidR="0030501A">
        <w:t>in September 2010.</w:t>
      </w:r>
    </w:p>
    <w:p w:rsidR="000258F4" w:rsidRDefault="000258F4" w:rsidP="008E4FD6">
      <w:pPr>
        <w:tabs>
          <w:tab w:val="num" w:pos="2160"/>
        </w:tabs>
        <w:spacing w:line="360" w:lineRule="auto"/>
        <w:ind w:firstLine="1440"/>
      </w:pPr>
    </w:p>
    <w:p w:rsidR="000258F4" w:rsidRDefault="000258F4" w:rsidP="008E4FD6">
      <w:pPr>
        <w:tabs>
          <w:tab w:val="num" w:pos="2160"/>
        </w:tabs>
        <w:spacing w:line="360" w:lineRule="auto"/>
        <w:ind w:firstLine="1440"/>
      </w:pPr>
    </w:p>
    <w:p w:rsidR="008E4FD6" w:rsidRPr="008B455C" w:rsidRDefault="00766B36" w:rsidP="008E4FD6">
      <w:pPr>
        <w:tabs>
          <w:tab w:val="num" w:pos="2160"/>
        </w:tabs>
        <w:spacing w:line="360" w:lineRule="auto"/>
        <w:ind w:firstLine="1440"/>
      </w:pPr>
      <w:r w:rsidRPr="008B455C">
        <w:tab/>
        <w:t xml:space="preserve"> </w:t>
      </w:r>
    </w:p>
    <w:p w:rsidR="008E4FD6" w:rsidRPr="008B455C" w:rsidRDefault="008E4FD6" w:rsidP="008E4FD6">
      <w:pPr>
        <w:tabs>
          <w:tab w:val="num" w:pos="2160"/>
          <w:tab w:val="left" w:pos="5048"/>
        </w:tabs>
      </w:pPr>
      <w:r w:rsidRPr="008B455C">
        <w:t>Date:</w:t>
      </w:r>
      <w:r w:rsidR="00187D62">
        <w:t xml:space="preserve"> </w:t>
      </w:r>
      <w:r w:rsidR="009D47A5" w:rsidRPr="008B455C">
        <w:t xml:space="preserve"> </w:t>
      </w:r>
      <w:r w:rsidR="0030501A">
        <w:rPr>
          <w:u w:val="single"/>
        </w:rPr>
        <w:t xml:space="preserve">March </w:t>
      </w:r>
      <w:r w:rsidR="00F93596">
        <w:rPr>
          <w:u w:val="single"/>
        </w:rPr>
        <w:t>20</w:t>
      </w:r>
      <w:r w:rsidR="000258F4">
        <w:rPr>
          <w:u w:val="single"/>
        </w:rPr>
        <w:t>, 2012</w:t>
      </w:r>
      <w:r w:rsidRPr="008B455C">
        <w:tab/>
      </w:r>
      <w:r w:rsidR="00187D62">
        <w:tab/>
      </w:r>
      <w:r w:rsidRPr="008B455C">
        <w:t>_________________________</w:t>
      </w:r>
      <w:r w:rsidR="00187D62" w:rsidRPr="008B455C">
        <w:t>_____</w:t>
      </w:r>
    </w:p>
    <w:p w:rsidR="008E4FD6" w:rsidRPr="008B455C" w:rsidRDefault="008E4FD6" w:rsidP="008E4FD6">
      <w:pPr>
        <w:tabs>
          <w:tab w:val="num" w:pos="2160"/>
        </w:tabs>
      </w:pPr>
      <w:r w:rsidRPr="008B455C">
        <w:tab/>
      </w:r>
      <w:r w:rsidRPr="008B455C">
        <w:tab/>
      </w:r>
      <w:r w:rsidRPr="008B455C">
        <w:tab/>
      </w:r>
      <w:r w:rsidRPr="008B455C">
        <w:tab/>
      </w:r>
      <w:r w:rsidRPr="008B455C">
        <w:tab/>
      </w:r>
      <w:r w:rsidR="00187D62">
        <w:tab/>
      </w:r>
      <w:r w:rsidR="00DC3243" w:rsidRPr="008B455C">
        <w:t>Katrina L. Dunderdale</w:t>
      </w:r>
    </w:p>
    <w:p w:rsidR="00CA57BA" w:rsidRPr="008B455C" w:rsidRDefault="008E4FD6" w:rsidP="0030501A">
      <w:pPr>
        <w:tabs>
          <w:tab w:val="num" w:pos="2160"/>
        </w:tabs>
      </w:pPr>
      <w:r w:rsidRPr="008B455C">
        <w:tab/>
      </w:r>
      <w:r w:rsidRPr="008B455C">
        <w:tab/>
      </w:r>
      <w:r w:rsidR="00F6612B" w:rsidRPr="008B455C">
        <w:tab/>
      </w:r>
      <w:r w:rsidR="0030501A">
        <w:tab/>
      </w:r>
      <w:r w:rsidR="0030501A">
        <w:tab/>
      </w:r>
      <w:r w:rsidR="00187D62">
        <w:tab/>
      </w:r>
      <w:r w:rsidR="0030501A">
        <w:t>Administrative Law Judge</w:t>
      </w:r>
    </w:p>
    <w:sectPr w:rsidR="00CA57BA" w:rsidRPr="008B455C"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BBD" w:rsidRDefault="00AE7BBD">
      <w:r>
        <w:separator/>
      </w:r>
    </w:p>
  </w:endnote>
  <w:endnote w:type="continuationSeparator" w:id="0">
    <w:p w:rsidR="00AE7BBD" w:rsidRDefault="00AE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Default="00713C1C" w:rsidP="008E4FD6">
    <w:pPr>
      <w:pStyle w:val="Footer"/>
      <w:framePr w:wrap="around" w:vAnchor="text" w:hAnchor="margin" w:xAlign="center" w:y="1"/>
      <w:rPr>
        <w:rStyle w:val="PageNumber"/>
      </w:rPr>
    </w:pPr>
    <w:r>
      <w:rPr>
        <w:rStyle w:val="PageNumber"/>
      </w:rPr>
      <w:fldChar w:fldCharType="begin"/>
    </w:r>
    <w:r w:rsidR="00F30562">
      <w:rPr>
        <w:rStyle w:val="PageNumber"/>
      </w:rPr>
      <w:instrText xml:space="preserve">PAGE  </w:instrText>
    </w:r>
    <w:r>
      <w:rPr>
        <w:rStyle w:val="PageNumber"/>
      </w:rPr>
      <w:fldChar w:fldCharType="end"/>
    </w:r>
  </w:p>
  <w:p w:rsidR="00F30562" w:rsidRDefault="00F30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562" w:rsidRPr="004205D2" w:rsidRDefault="00713C1C" w:rsidP="008E4FD6">
    <w:pPr>
      <w:pStyle w:val="Footer"/>
      <w:framePr w:wrap="around" w:vAnchor="text" w:hAnchor="margin" w:xAlign="center" w:y="1"/>
      <w:rPr>
        <w:rStyle w:val="PageNumber"/>
      </w:rPr>
    </w:pPr>
    <w:r w:rsidRPr="004205D2">
      <w:rPr>
        <w:rStyle w:val="PageNumber"/>
      </w:rPr>
      <w:fldChar w:fldCharType="begin"/>
    </w:r>
    <w:r w:rsidR="00F30562" w:rsidRPr="004205D2">
      <w:rPr>
        <w:rStyle w:val="PageNumber"/>
      </w:rPr>
      <w:instrText xml:space="preserve">PAGE  </w:instrText>
    </w:r>
    <w:r w:rsidRPr="004205D2">
      <w:rPr>
        <w:rStyle w:val="PageNumber"/>
      </w:rPr>
      <w:fldChar w:fldCharType="separate"/>
    </w:r>
    <w:r w:rsidR="007B7BEF">
      <w:rPr>
        <w:rStyle w:val="PageNumber"/>
        <w:noProof/>
      </w:rPr>
      <w:t>7</w:t>
    </w:r>
    <w:r w:rsidRPr="004205D2">
      <w:rPr>
        <w:rStyle w:val="PageNumber"/>
      </w:rPr>
      <w:fldChar w:fldCharType="end"/>
    </w:r>
  </w:p>
  <w:p w:rsidR="00F30562" w:rsidRDefault="00F30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BBD" w:rsidRDefault="00AE7BBD">
      <w:r>
        <w:separator/>
      </w:r>
    </w:p>
  </w:footnote>
  <w:footnote w:type="continuationSeparator" w:id="0">
    <w:p w:rsidR="00AE7BBD" w:rsidRDefault="00AE7BBD">
      <w:r>
        <w:continuationSeparator/>
      </w:r>
    </w:p>
  </w:footnote>
  <w:footnote w:id="1">
    <w:p w:rsidR="0030501A" w:rsidRDefault="0030501A" w:rsidP="0030501A">
      <w:pPr>
        <w:pStyle w:val="FootnoteText"/>
        <w:ind w:firstLine="720"/>
      </w:pPr>
      <w:r>
        <w:rPr>
          <w:rStyle w:val="FootnoteReference"/>
        </w:rPr>
        <w:footnoteRef/>
      </w:r>
      <w:r>
        <w:t xml:space="preserve"> </w:t>
      </w:r>
      <w:r>
        <w:tab/>
      </w:r>
      <w:r w:rsidRPr="00273F16">
        <w:rPr>
          <w:u w:val="single"/>
        </w:rPr>
        <w:t>Feingold v. Bell of Pa.</w:t>
      </w:r>
      <w:r w:rsidRPr="00273F16">
        <w:t xml:space="preserve">, 477 Pa. 1, 383 A.2d </w:t>
      </w:r>
      <w:r>
        <w:t>7</w:t>
      </w:r>
      <w:r w:rsidRPr="00273F16">
        <w:t xml:space="preserve">91 (1977); </w:t>
      </w:r>
      <w:r w:rsidRPr="00273F16">
        <w:rPr>
          <w:u w:val="single"/>
        </w:rPr>
        <w:t>Allegheny County Port Authority v. Pa. P.U.C.</w:t>
      </w:r>
      <w:r w:rsidRPr="00273F16">
        <w:t xml:space="preserve">, 427 Pa. 562, 237 A.2d 602 (1967); </w:t>
      </w:r>
      <w:r w:rsidRPr="00273F16">
        <w:rPr>
          <w:u w:val="single"/>
        </w:rPr>
        <w:t>Behrend v. Bell of P</w:t>
      </w:r>
      <w:r>
        <w:rPr>
          <w:u w:val="single"/>
        </w:rPr>
        <w:t>a.</w:t>
      </w:r>
      <w:r w:rsidRPr="00273F16">
        <w:t xml:space="preserve">, 257 Pa. Superior Ct. 35, 390 A.2d 233 (1978); </w:t>
      </w:r>
      <w:r w:rsidRPr="00273F16">
        <w:rPr>
          <w:u w:val="single"/>
        </w:rPr>
        <w:t>Pa. Department of Highways v. Pa. P.U.C.</w:t>
      </w:r>
      <w:r w:rsidRPr="00273F16">
        <w:t xml:space="preserve">, 198 Pa. Superior Ct. 87, 182 A.2d 267 (1962); </w:t>
      </w:r>
      <w:r w:rsidRPr="00273F16">
        <w:rPr>
          <w:u w:val="single"/>
        </w:rPr>
        <w:t>City of Erie v. Pa. Electric Co.</w:t>
      </w:r>
      <w:r w:rsidRPr="00273F16">
        <w:t>, 383 A.2d 575 (Pa. Cmwlth. 1978).</w:t>
      </w:r>
    </w:p>
    <w:p w:rsidR="0030501A" w:rsidRDefault="0030501A" w:rsidP="0030501A">
      <w:pPr>
        <w:pStyle w:val="FootnoteText"/>
        <w:ind w:firstLine="720"/>
      </w:pPr>
    </w:p>
  </w:footnote>
  <w:footnote w:id="2">
    <w:p w:rsidR="0030501A" w:rsidRDefault="0030501A" w:rsidP="0030501A">
      <w:pPr>
        <w:pStyle w:val="FootnoteText"/>
        <w:ind w:firstLine="720"/>
      </w:pPr>
      <w:r>
        <w:rPr>
          <w:rStyle w:val="FootnoteReference"/>
        </w:rPr>
        <w:footnoteRef/>
      </w:r>
      <w:r>
        <w:t xml:space="preserve"> </w:t>
      </w:r>
      <w:r>
        <w:tab/>
      </w:r>
      <w:r>
        <w:rPr>
          <w:u w:val="single"/>
        </w:rPr>
        <w:t>Fairview Water Company v. Pa. P.U.C.</w:t>
      </w:r>
      <w:r>
        <w:t>, 509 Pa. 384,</w:t>
      </w:r>
      <w:r w:rsidRPr="00584275">
        <w:t xml:space="preserve"> 502 A.2d 162</w:t>
      </w:r>
      <w:r>
        <w:t xml:space="preserve"> (1985).</w:t>
      </w:r>
      <w:r w:rsidR="00BA6B0F">
        <w:t xml:space="preserve">  </w:t>
      </w:r>
      <w:r w:rsidR="00BA6B0F" w:rsidRPr="00E25405">
        <w:rPr>
          <w:u w:val="single"/>
        </w:rPr>
        <w:t>Anne E. Perrige v. Metropolitan Edison Co.</w:t>
      </w:r>
      <w:r w:rsidR="00BA6B0F">
        <w:t>, Docket No. C-00004110 (Order entered</w:t>
      </w:r>
      <w:bookmarkStart w:id="0" w:name="_GoBack"/>
      <w:bookmarkEnd w:id="0"/>
      <w:r w:rsidR="00BA6B0F">
        <w:t xml:space="preserve"> July 3, 2003); </w:t>
      </w:r>
      <w:r w:rsidR="00BA6B0F" w:rsidRPr="00E25405">
        <w:rPr>
          <w:u w:val="single"/>
        </w:rPr>
        <w:t>Fiorillo v. PECO Energy Co.</w:t>
      </w:r>
      <w:r w:rsidR="00BA6B0F">
        <w:t>, Docket No. C-00971088 (Order entered September 15, 1999).</w:t>
      </w:r>
    </w:p>
    <w:p w:rsidR="0030501A" w:rsidRDefault="0030501A">
      <w:pPr>
        <w:pStyle w:val="FootnoteText"/>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2643"/>
    <w:rsid w:val="00002933"/>
    <w:rsid w:val="00004CAB"/>
    <w:rsid w:val="00010C1B"/>
    <w:rsid w:val="00014CD9"/>
    <w:rsid w:val="00015B93"/>
    <w:rsid w:val="00015E77"/>
    <w:rsid w:val="000218E1"/>
    <w:rsid w:val="00022C14"/>
    <w:rsid w:val="0002562B"/>
    <w:rsid w:val="000258F4"/>
    <w:rsid w:val="00030A0C"/>
    <w:rsid w:val="00032447"/>
    <w:rsid w:val="0003254A"/>
    <w:rsid w:val="0003345F"/>
    <w:rsid w:val="00034D3C"/>
    <w:rsid w:val="0003750C"/>
    <w:rsid w:val="00042684"/>
    <w:rsid w:val="00042872"/>
    <w:rsid w:val="00051FFD"/>
    <w:rsid w:val="000539E5"/>
    <w:rsid w:val="00055267"/>
    <w:rsid w:val="00060974"/>
    <w:rsid w:val="00065B67"/>
    <w:rsid w:val="00066099"/>
    <w:rsid w:val="00067DC6"/>
    <w:rsid w:val="00067F4C"/>
    <w:rsid w:val="00081933"/>
    <w:rsid w:val="00083542"/>
    <w:rsid w:val="00083F07"/>
    <w:rsid w:val="0008418F"/>
    <w:rsid w:val="000841E3"/>
    <w:rsid w:val="000919E3"/>
    <w:rsid w:val="000920B0"/>
    <w:rsid w:val="000943A5"/>
    <w:rsid w:val="00094EC4"/>
    <w:rsid w:val="000955CB"/>
    <w:rsid w:val="00095A48"/>
    <w:rsid w:val="000A7A7E"/>
    <w:rsid w:val="000A7DE2"/>
    <w:rsid w:val="000B0443"/>
    <w:rsid w:val="000B1450"/>
    <w:rsid w:val="000B4044"/>
    <w:rsid w:val="000B575F"/>
    <w:rsid w:val="000B7C98"/>
    <w:rsid w:val="000C22D0"/>
    <w:rsid w:val="000C39FB"/>
    <w:rsid w:val="000C639E"/>
    <w:rsid w:val="000C660C"/>
    <w:rsid w:val="000C6633"/>
    <w:rsid w:val="000C736C"/>
    <w:rsid w:val="000D4E83"/>
    <w:rsid w:val="000D6424"/>
    <w:rsid w:val="000D7D68"/>
    <w:rsid w:val="000E0DDA"/>
    <w:rsid w:val="000E33AA"/>
    <w:rsid w:val="000E4C15"/>
    <w:rsid w:val="000E4D29"/>
    <w:rsid w:val="000F0F3C"/>
    <w:rsid w:val="000F45A3"/>
    <w:rsid w:val="000F4D6B"/>
    <w:rsid w:val="0010040A"/>
    <w:rsid w:val="00103B9D"/>
    <w:rsid w:val="0010437D"/>
    <w:rsid w:val="00106746"/>
    <w:rsid w:val="001130C8"/>
    <w:rsid w:val="001140BC"/>
    <w:rsid w:val="001161AA"/>
    <w:rsid w:val="0011788E"/>
    <w:rsid w:val="0012141F"/>
    <w:rsid w:val="00121AE5"/>
    <w:rsid w:val="0012478B"/>
    <w:rsid w:val="00125CCD"/>
    <w:rsid w:val="00130E27"/>
    <w:rsid w:val="001339E0"/>
    <w:rsid w:val="00133A47"/>
    <w:rsid w:val="00133B41"/>
    <w:rsid w:val="001354D6"/>
    <w:rsid w:val="00137307"/>
    <w:rsid w:val="001375AA"/>
    <w:rsid w:val="00142A80"/>
    <w:rsid w:val="00143BCC"/>
    <w:rsid w:val="00143FA7"/>
    <w:rsid w:val="00144748"/>
    <w:rsid w:val="00144BDA"/>
    <w:rsid w:val="00145EBF"/>
    <w:rsid w:val="001513EC"/>
    <w:rsid w:val="001525AD"/>
    <w:rsid w:val="00152853"/>
    <w:rsid w:val="00153E19"/>
    <w:rsid w:val="00154258"/>
    <w:rsid w:val="00156938"/>
    <w:rsid w:val="00156A90"/>
    <w:rsid w:val="0016133D"/>
    <w:rsid w:val="0016401C"/>
    <w:rsid w:val="00165400"/>
    <w:rsid w:val="00166F22"/>
    <w:rsid w:val="00167534"/>
    <w:rsid w:val="0017741E"/>
    <w:rsid w:val="00182EDA"/>
    <w:rsid w:val="0018379D"/>
    <w:rsid w:val="00183AE1"/>
    <w:rsid w:val="00185EF9"/>
    <w:rsid w:val="00187D62"/>
    <w:rsid w:val="00195561"/>
    <w:rsid w:val="00196E40"/>
    <w:rsid w:val="001A3F9E"/>
    <w:rsid w:val="001B283D"/>
    <w:rsid w:val="001B3B0D"/>
    <w:rsid w:val="001B436F"/>
    <w:rsid w:val="001C3008"/>
    <w:rsid w:val="001C5F76"/>
    <w:rsid w:val="001D1195"/>
    <w:rsid w:val="001D1DC6"/>
    <w:rsid w:val="001D5E87"/>
    <w:rsid w:val="001D67F3"/>
    <w:rsid w:val="001D6F49"/>
    <w:rsid w:val="001D7070"/>
    <w:rsid w:val="001D79FF"/>
    <w:rsid w:val="001E2C24"/>
    <w:rsid w:val="001E4654"/>
    <w:rsid w:val="001F030C"/>
    <w:rsid w:val="00200ED0"/>
    <w:rsid w:val="00203C61"/>
    <w:rsid w:val="00206B04"/>
    <w:rsid w:val="002075E6"/>
    <w:rsid w:val="00210334"/>
    <w:rsid w:val="00210460"/>
    <w:rsid w:val="00214A19"/>
    <w:rsid w:val="002154B5"/>
    <w:rsid w:val="002165A2"/>
    <w:rsid w:val="00216A05"/>
    <w:rsid w:val="002203B6"/>
    <w:rsid w:val="002258CE"/>
    <w:rsid w:val="00230C81"/>
    <w:rsid w:val="0023169E"/>
    <w:rsid w:val="002332DF"/>
    <w:rsid w:val="00234C5A"/>
    <w:rsid w:val="0023728E"/>
    <w:rsid w:val="00240B83"/>
    <w:rsid w:val="00244AD1"/>
    <w:rsid w:val="002520A5"/>
    <w:rsid w:val="00254BFC"/>
    <w:rsid w:val="00254FD1"/>
    <w:rsid w:val="0025557F"/>
    <w:rsid w:val="00261181"/>
    <w:rsid w:val="00263EFE"/>
    <w:rsid w:val="00264C6D"/>
    <w:rsid w:val="00265108"/>
    <w:rsid w:val="0026526F"/>
    <w:rsid w:val="00271E72"/>
    <w:rsid w:val="00271FF1"/>
    <w:rsid w:val="00280380"/>
    <w:rsid w:val="00280AF0"/>
    <w:rsid w:val="00283A3F"/>
    <w:rsid w:val="00284FA9"/>
    <w:rsid w:val="002867AD"/>
    <w:rsid w:val="002904BB"/>
    <w:rsid w:val="00291917"/>
    <w:rsid w:val="00293E92"/>
    <w:rsid w:val="00295403"/>
    <w:rsid w:val="002A748B"/>
    <w:rsid w:val="002A78AC"/>
    <w:rsid w:val="002B433A"/>
    <w:rsid w:val="002B4996"/>
    <w:rsid w:val="002B4DFA"/>
    <w:rsid w:val="002C5DA2"/>
    <w:rsid w:val="002C703F"/>
    <w:rsid w:val="002C7AB0"/>
    <w:rsid w:val="002D04F8"/>
    <w:rsid w:val="002D29E7"/>
    <w:rsid w:val="002E2B6E"/>
    <w:rsid w:val="002E597B"/>
    <w:rsid w:val="002E5A74"/>
    <w:rsid w:val="002E6B15"/>
    <w:rsid w:val="002F15F6"/>
    <w:rsid w:val="002F1743"/>
    <w:rsid w:val="002F4F6F"/>
    <w:rsid w:val="002F5507"/>
    <w:rsid w:val="002F64FF"/>
    <w:rsid w:val="002F6CA8"/>
    <w:rsid w:val="002F6DFB"/>
    <w:rsid w:val="00302C62"/>
    <w:rsid w:val="00302D41"/>
    <w:rsid w:val="0030501A"/>
    <w:rsid w:val="00307FF8"/>
    <w:rsid w:val="00311588"/>
    <w:rsid w:val="003121E7"/>
    <w:rsid w:val="00324C80"/>
    <w:rsid w:val="00324D48"/>
    <w:rsid w:val="00326059"/>
    <w:rsid w:val="00330B01"/>
    <w:rsid w:val="0033183D"/>
    <w:rsid w:val="00334D84"/>
    <w:rsid w:val="003400E6"/>
    <w:rsid w:val="0034231B"/>
    <w:rsid w:val="003427F6"/>
    <w:rsid w:val="00342B49"/>
    <w:rsid w:val="0034410D"/>
    <w:rsid w:val="0034434C"/>
    <w:rsid w:val="00345020"/>
    <w:rsid w:val="0034692A"/>
    <w:rsid w:val="0035606C"/>
    <w:rsid w:val="0035629D"/>
    <w:rsid w:val="00357F0A"/>
    <w:rsid w:val="003603C7"/>
    <w:rsid w:val="00360EB9"/>
    <w:rsid w:val="00361EAC"/>
    <w:rsid w:val="00363713"/>
    <w:rsid w:val="003649AC"/>
    <w:rsid w:val="00365F7C"/>
    <w:rsid w:val="00370128"/>
    <w:rsid w:val="00373245"/>
    <w:rsid w:val="00373ECC"/>
    <w:rsid w:val="0037694C"/>
    <w:rsid w:val="00380F4B"/>
    <w:rsid w:val="00383822"/>
    <w:rsid w:val="00386C1C"/>
    <w:rsid w:val="00387E50"/>
    <w:rsid w:val="003908EE"/>
    <w:rsid w:val="00391096"/>
    <w:rsid w:val="00394A82"/>
    <w:rsid w:val="003B045F"/>
    <w:rsid w:val="003B10A0"/>
    <w:rsid w:val="003B3294"/>
    <w:rsid w:val="003B4F65"/>
    <w:rsid w:val="003B7783"/>
    <w:rsid w:val="003C13E7"/>
    <w:rsid w:val="003C2683"/>
    <w:rsid w:val="003C2777"/>
    <w:rsid w:val="003C417D"/>
    <w:rsid w:val="003C4E1D"/>
    <w:rsid w:val="003C7776"/>
    <w:rsid w:val="003D0DEF"/>
    <w:rsid w:val="003D374F"/>
    <w:rsid w:val="003D500A"/>
    <w:rsid w:val="003D5173"/>
    <w:rsid w:val="003D67D8"/>
    <w:rsid w:val="003E1EE5"/>
    <w:rsid w:val="003E2BB0"/>
    <w:rsid w:val="003E2D32"/>
    <w:rsid w:val="003E60E7"/>
    <w:rsid w:val="003F1BC1"/>
    <w:rsid w:val="003F56DB"/>
    <w:rsid w:val="003F6E27"/>
    <w:rsid w:val="0040104B"/>
    <w:rsid w:val="0040125C"/>
    <w:rsid w:val="00411416"/>
    <w:rsid w:val="0041637D"/>
    <w:rsid w:val="004205D2"/>
    <w:rsid w:val="00421585"/>
    <w:rsid w:val="004219BD"/>
    <w:rsid w:val="00424E72"/>
    <w:rsid w:val="00430437"/>
    <w:rsid w:val="00431883"/>
    <w:rsid w:val="004322BD"/>
    <w:rsid w:val="00435791"/>
    <w:rsid w:val="00440B6B"/>
    <w:rsid w:val="004455C4"/>
    <w:rsid w:val="00446EE8"/>
    <w:rsid w:val="00462770"/>
    <w:rsid w:val="0046290B"/>
    <w:rsid w:val="004635FD"/>
    <w:rsid w:val="00465878"/>
    <w:rsid w:val="0046652F"/>
    <w:rsid w:val="00470AFC"/>
    <w:rsid w:val="004721B7"/>
    <w:rsid w:val="00472A21"/>
    <w:rsid w:val="00474C53"/>
    <w:rsid w:val="00477B44"/>
    <w:rsid w:val="00483A4C"/>
    <w:rsid w:val="004859D0"/>
    <w:rsid w:val="00487AE0"/>
    <w:rsid w:val="004970DA"/>
    <w:rsid w:val="004A26B6"/>
    <w:rsid w:val="004A6673"/>
    <w:rsid w:val="004B34C6"/>
    <w:rsid w:val="004B422F"/>
    <w:rsid w:val="004B4B53"/>
    <w:rsid w:val="004C32C0"/>
    <w:rsid w:val="004C4A78"/>
    <w:rsid w:val="004C5FA9"/>
    <w:rsid w:val="004C6202"/>
    <w:rsid w:val="004D2634"/>
    <w:rsid w:val="004D3826"/>
    <w:rsid w:val="004D3A14"/>
    <w:rsid w:val="004D454A"/>
    <w:rsid w:val="004D75D5"/>
    <w:rsid w:val="004E01BD"/>
    <w:rsid w:val="004E3B20"/>
    <w:rsid w:val="004E4252"/>
    <w:rsid w:val="004E605F"/>
    <w:rsid w:val="004E7B43"/>
    <w:rsid w:val="0050181E"/>
    <w:rsid w:val="0050497A"/>
    <w:rsid w:val="00504A1A"/>
    <w:rsid w:val="00505478"/>
    <w:rsid w:val="00507ECF"/>
    <w:rsid w:val="00514F02"/>
    <w:rsid w:val="00517217"/>
    <w:rsid w:val="00522985"/>
    <w:rsid w:val="00531E4E"/>
    <w:rsid w:val="00537506"/>
    <w:rsid w:val="0053772F"/>
    <w:rsid w:val="00540E3A"/>
    <w:rsid w:val="00543B7C"/>
    <w:rsid w:val="00543F98"/>
    <w:rsid w:val="005447FE"/>
    <w:rsid w:val="00544F7E"/>
    <w:rsid w:val="00545043"/>
    <w:rsid w:val="005451B0"/>
    <w:rsid w:val="00546919"/>
    <w:rsid w:val="00547948"/>
    <w:rsid w:val="00550F87"/>
    <w:rsid w:val="00552C73"/>
    <w:rsid w:val="00553E91"/>
    <w:rsid w:val="00557326"/>
    <w:rsid w:val="00560A07"/>
    <w:rsid w:val="00563142"/>
    <w:rsid w:val="00563254"/>
    <w:rsid w:val="005637DF"/>
    <w:rsid w:val="00563FC3"/>
    <w:rsid w:val="005647C7"/>
    <w:rsid w:val="005763CB"/>
    <w:rsid w:val="00577567"/>
    <w:rsid w:val="00580981"/>
    <w:rsid w:val="00580D5E"/>
    <w:rsid w:val="0058201B"/>
    <w:rsid w:val="005900D4"/>
    <w:rsid w:val="0059029B"/>
    <w:rsid w:val="00592DDB"/>
    <w:rsid w:val="00596262"/>
    <w:rsid w:val="0059631D"/>
    <w:rsid w:val="005A32E9"/>
    <w:rsid w:val="005A3E08"/>
    <w:rsid w:val="005A65F5"/>
    <w:rsid w:val="005A77D0"/>
    <w:rsid w:val="005B64BD"/>
    <w:rsid w:val="005C6D4A"/>
    <w:rsid w:val="005D03F4"/>
    <w:rsid w:val="005D2762"/>
    <w:rsid w:val="005D4345"/>
    <w:rsid w:val="005E1CC5"/>
    <w:rsid w:val="005E2935"/>
    <w:rsid w:val="005E636D"/>
    <w:rsid w:val="005E6C92"/>
    <w:rsid w:val="005E6DB5"/>
    <w:rsid w:val="005F4120"/>
    <w:rsid w:val="00600EE9"/>
    <w:rsid w:val="0060359F"/>
    <w:rsid w:val="00607B04"/>
    <w:rsid w:val="0061034B"/>
    <w:rsid w:val="00613AE9"/>
    <w:rsid w:val="00616E73"/>
    <w:rsid w:val="00616FE9"/>
    <w:rsid w:val="00617C29"/>
    <w:rsid w:val="006220FF"/>
    <w:rsid w:val="00623177"/>
    <w:rsid w:val="00632562"/>
    <w:rsid w:val="00633976"/>
    <w:rsid w:val="00633E89"/>
    <w:rsid w:val="0063487E"/>
    <w:rsid w:val="006354D3"/>
    <w:rsid w:val="00636459"/>
    <w:rsid w:val="00641052"/>
    <w:rsid w:val="0064482C"/>
    <w:rsid w:val="00645FE8"/>
    <w:rsid w:val="0065019D"/>
    <w:rsid w:val="006515DB"/>
    <w:rsid w:val="00651AB0"/>
    <w:rsid w:val="0065346D"/>
    <w:rsid w:val="0065396D"/>
    <w:rsid w:val="00653FDE"/>
    <w:rsid w:val="006552C8"/>
    <w:rsid w:val="0066212D"/>
    <w:rsid w:val="00664032"/>
    <w:rsid w:val="006663CA"/>
    <w:rsid w:val="0066791C"/>
    <w:rsid w:val="00674B93"/>
    <w:rsid w:val="006771E3"/>
    <w:rsid w:val="006772A2"/>
    <w:rsid w:val="00682B76"/>
    <w:rsid w:val="006869B5"/>
    <w:rsid w:val="00687C7C"/>
    <w:rsid w:val="00691FDA"/>
    <w:rsid w:val="00692E3E"/>
    <w:rsid w:val="00694153"/>
    <w:rsid w:val="0069460C"/>
    <w:rsid w:val="006954BC"/>
    <w:rsid w:val="006A0714"/>
    <w:rsid w:val="006A7864"/>
    <w:rsid w:val="006A7EF1"/>
    <w:rsid w:val="006B0612"/>
    <w:rsid w:val="006B2DFE"/>
    <w:rsid w:val="006B50E8"/>
    <w:rsid w:val="006B629F"/>
    <w:rsid w:val="006B7DE7"/>
    <w:rsid w:val="006C13BF"/>
    <w:rsid w:val="006C13FD"/>
    <w:rsid w:val="006C31EA"/>
    <w:rsid w:val="006C3A14"/>
    <w:rsid w:val="006C7D49"/>
    <w:rsid w:val="006D2CFC"/>
    <w:rsid w:val="006D2E25"/>
    <w:rsid w:val="006D2F3E"/>
    <w:rsid w:val="006D3697"/>
    <w:rsid w:val="006D384B"/>
    <w:rsid w:val="006D38B1"/>
    <w:rsid w:val="006D68C8"/>
    <w:rsid w:val="006E0E78"/>
    <w:rsid w:val="006E12A1"/>
    <w:rsid w:val="006E175B"/>
    <w:rsid w:val="006E59A8"/>
    <w:rsid w:val="006F0249"/>
    <w:rsid w:val="006F10EA"/>
    <w:rsid w:val="006F2A86"/>
    <w:rsid w:val="006F2B77"/>
    <w:rsid w:val="006F2CF9"/>
    <w:rsid w:val="006F324E"/>
    <w:rsid w:val="006F3BE4"/>
    <w:rsid w:val="006F5ACE"/>
    <w:rsid w:val="006F5FE7"/>
    <w:rsid w:val="006F60DA"/>
    <w:rsid w:val="006F6520"/>
    <w:rsid w:val="006F7393"/>
    <w:rsid w:val="00700704"/>
    <w:rsid w:val="00700E85"/>
    <w:rsid w:val="00707472"/>
    <w:rsid w:val="00710B17"/>
    <w:rsid w:val="00710CE3"/>
    <w:rsid w:val="0071171E"/>
    <w:rsid w:val="007121EF"/>
    <w:rsid w:val="007138E5"/>
    <w:rsid w:val="00713AFF"/>
    <w:rsid w:val="00713C1C"/>
    <w:rsid w:val="00714548"/>
    <w:rsid w:val="0071586C"/>
    <w:rsid w:val="007172D2"/>
    <w:rsid w:val="00720C39"/>
    <w:rsid w:val="007272A7"/>
    <w:rsid w:val="00732CDD"/>
    <w:rsid w:val="00736DBA"/>
    <w:rsid w:val="00740BC6"/>
    <w:rsid w:val="007454F2"/>
    <w:rsid w:val="007516D0"/>
    <w:rsid w:val="00751CE0"/>
    <w:rsid w:val="007535C9"/>
    <w:rsid w:val="00753A3F"/>
    <w:rsid w:val="00754FD3"/>
    <w:rsid w:val="00757A01"/>
    <w:rsid w:val="00766B36"/>
    <w:rsid w:val="00766D51"/>
    <w:rsid w:val="00772949"/>
    <w:rsid w:val="00772CFC"/>
    <w:rsid w:val="0077612B"/>
    <w:rsid w:val="00776CD8"/>
    <w:rsid w:val="0078110D"/>
    <w:rsid w:val="00781A81"/>
    <w:rsid w:val="00783095"/>
    <w:rsid w:val="00785AF3"/>
    <w:rsid w:val="0079328F"/>
    <w:rsid w:val="007939B6"/>
    <w:rsid w:val="00794F1B"/>
    <w:rsid w:val="007A263F"/>
    <w:rsid w:val="007A32D3"/>
    <w:rsid w:val="007A40D1"/>
    <w:rsid w:val="007A5552"/>
    <w:rsid w:val="007B0DB8"/>
    <w:rsid w:val="007B5C9C"/>
    <w:rsid w:val="007B6775"/>
    <w:rsid w:val="007B7BEF"/>
    <w:rsid w:val="007C06FD"/>
    <w:rsid w:val="007C2EFF"/>
    <w:rsid w:val="007C404E"/>
    <w:rsid w:val="007D2958"/>
    <w:rsid w:val="007D2DA0"/>
    <w:rsid w:val="007D79D2"/>
    <w:rsid w:val="007E7B4E"/>
    <w:rsid w:val="007F02A4"/>
    <w:rsid w:val="007F479E"/>
    <w:rsid w:val="00805657"/>
    <w:rsid w:val="00806E0D"/>
    <w:rsid w:val="00823FCA"/>
    <w:rsid w:val="00824890"/>
    <w:rsid w:val="008251D8"/>
    <w:rsid w:val="00836E65"/>
    <w:rsid w:val="008418FC"/>
    <w:rsid w:val="0084410C"/>
    <w:rsid w:val="00851E2B"/>
    <w:rsid w:val="0085780E"/>
    <w:rsid w:val="008618BE"/>
    <w:rsid w:val="00861DA4"/>
    <w:rsid w:val="00861DF9"/>
    <w:rsid w:val="00862D6B"/>
    <w:rsid w:val="0086399B"/>
    <w:rsid w:val="00863BD5"/>
    <w:rsid w:val="00863CD4"/>
    <w:rsid w:val="00864EB7"/>
    <w:rsid w:val="0086657E"/>
    <w:rsid w:val="00867F55"/>
    <w:rsid w:val="00873D8A"/>
    <w:rsid w:val="00874177"/>
    <w:rsid w:val="00874953"/>
    <w:rsid w:val="00891035"/>
    <w:rsid w:val="008927B5"/>
    <w:rsid w:val="00892EA3"/>
    <w:rsid w:val="00894816"/>
    <w:rsid w:val="008A0599"/>
    <w:rsid w:val="008A28F8"/>
    <w:rsid w:val="008A63E2"/>
    <w:rsid w:val="008B3879"/>
    <w:rsid w:val="008B445B"/>
    <w:rsid w:val="008B455C"/>
    <w:rsid w:val="008B6587"/>
    <w:rsid w:val="008B6F55"/>
    <w:rsid w:val="008C17E6"/>
    <w:rsid w:val="008C18E9"/>
    <w:rsid w:val="008C36F2"/>
    <w:rsid w:val="008D0326"/>
    <w:rsid w:val="008D0D31"/>
    <w:rsid w:val="008D6CA9"/>
    <w:rsid w:val="008D6E2C"/>
    <w:rsid w:val="008D7DC6"/>
    <w:rsid w:val="008E09C6"/>
    <w:rsid w:val="008E0E89"/>
    <w:rsid w:val="008E10FA"/>
    <w:rsid w:val="008E450B"/>
    <w:rsid w:val="008E4FD6"/>
    <w:rsid w:val="008E5C99"/>
    <w:rsid w:val="008F10C5"/>
    <w:rsid w:val="008F4EF2"/>
    <w:rsid w:val="008F7C99"/>
    <w:rsid w:val="009001C9"/>
    <w:rsid w:val="00906FD4"/>
    <w:rsid w:val="0090752E"/>
    <w:rsid w:val="009101FF"/>
    <w:rsid w:val="00910A53"/>
    <w:rsid w:val="00917283"/>
    <w:rsid w:val="0092068A"/>
    <w:rsid w:val="00921285"/>
    <w:rsid w:val="009252B2"/>
    <w:rsid w:val="009310EE"/>
    <w:rsid w:val="00933485"/>
    <w:rsid w:val="00933A70"/>
    <w:rsid w:val="0094142D"/>
    <w:rsid w:val="00943CC8"/>
    <w:rsid w:val="00943E53"/>
    <w:rsid w:val="009445CA"/>
    <w:rsid w:val="00955333"/>
    <w:rsid w:val="00960580"/>
    <w:rsid w:val="00962EE7"/>
    <w:rsid w:val="00966C36"/>
    <w:rsid w:val="00970027"/>
    <w:rsid w:val="0097047D"/>
    <w:rsid w:val="009725C9"/>
    <w:rsid w:val="009760CB"/>
    <w:rsid w:val="009767E8"/>
    <w:rsid w:val="00985E17"/>
    <w:rsid w:val="009901A1"/>
    <w:rsid w:val="009A5AF8"/>
    <w:rsid w:val="009B446B"/>
    <w:rsid w:val="009B699D"/>
    <w:rsid w:val="009C05E9"/>
    <w:rsid w:val="009C098C"/>
    <w:rsid w:val="009C27D2"/>
    <w:rsid w:val="009C3132"/>
    <w:rsid w:val="009C4526"/>
    <w:rsid w:val="009C5EB5"/>
    <w:rsid w:val="009D227B"/>
    <w:rsid w:val="009D2B67"/>
    <w:rsid w:val="009D47A5"/>
    <w:rsid w:val="009D69B6"/>
    <w:rsid w:val="009E6876"/>
    <w:rsid w:val="009F2964"/>
    <w:rsid w:val="009F38D7"/>
    <w:rsid w:val="009F6130"/>
    <w:rsid w:val="009F73D4"/>
    <w:rsid w:val="00A00793"/>
    <w:rsid w:val="00A04076"/>
    <w:rsid w:val="00A10010"/>
    <w:rsid w:val="00A10E1F"/>
    <w:rsid w:val="00A128E0"/>
    <w:rsid w:val="00A15866"/>
    <w:rsid w:val="00A16D50"/>
    <w:rsid w:val="00A23CCA"/>
    <w:rsid w:val="00A248FB"/>
    <w:rsid w:val="00A258DB"/>
    <w:rsid w:val="00A25C43"/>
    <w:rsid w:val="00A2609D"/>
    <w:rsid w:val="00A2772F"/>
    <w:rsid w:val="00A334E4"/>
    <w:rsid w:val="00A33DF5"/>
    <w:rsid w:val="00A40462"/>
    <w:rsid w:val="00A4355E"/>
    <w:rsid w:val="00A469B4"/>
    <w:rsid w:val="00A46AA1"/>
    <w:rsid w:val="00A478A9"/>
    <w:rsid w:val="00A50227"/>
    <w:rsid w:val="00A511AD"/>
    <w:rsid w:val="00A51FE0"/>
    <w:rsid w:val="00A52673"/>
    <w:rsid w:val="00A55F7C"/>
    <w:rsid w:val="00A645A9"/>
    <w:rsid w:val="00A6485B"/>
    <w:rsid w:val="00A64AC5"/>
    <w:rsid w:val="00A70C75"/>
    <w:rsid w:val="00A733A2"/>
    <w:rsid w:val="00A745EC"/>
    <w:rsid w:val="00A7747A"/>
    <w:rsid w:val="00A801E7"/>
    <w:rsid w:val="00A806BC"/>
    <w:rsid w:val="00A80E4E"/>
    <w:rsid w:val="00A831C5"/>
    <w:rsid w:val="00A848BA"/>
    <w:rsid w:val="00A86E3D"/>
    <w:rsid w:val="00A90619"/>
    <w:rsid w:val="00A914E9"/>
    <w:rsid w:val="00A93EC0"/>
    <w:rsid w:val="00A94A48"/>
    <w:rsid w:val="00AA0B1B"/>
    <w:rsid w:val="00AA1488"/>
    <w:rsid w:val="00AA6286"/>
    <w:rsid w:val="00AA70E2"/>
    <w:rsid w:val="00AB0C95"/>
    <w:rsid w:val="00AB2298"/>
    <w:rsid w:val="00AB30CF"/>
    <w:rsid w:val="00AB40A9"/>
    <w:rsid w:val="00AC1113"/>
    <w:rsid w:val="00AC1F4C"/>
    <w:rsid w:val="00AC3C83"/>
    <w:rsid w:val="00AC6067"/>
    <w:rsid w:val="00AC6745"/>
    <w:rsid w:val="00AC6E5D"/>
    <w:rsid w:val="00AE1E3E"/>
    <w:rsid w:val="00AE20FB"/>
    <w:rsid w:val="00AE290D"/>
    <w:rsid w:val="00AE3923"/>
    <w:rsid w:val="00AE7BBD"/>
    <w:rsid w:val="00AF4238"/>
    <w:rsid w:val="00AF5FC0"/>
    <w:rsid w:val="00AF63EA"/>
    <w:rsid w:val="00B010E8"/>
    <w:rsid w:val="00B1500F"/>
    <w:rsid w:val="00B16875"/>
    <w:rsid w:val="00B219F2"/>
    <w:rsid w:val="00B23445"/>
    <w:rsid w:val="00B33E15"/>
    <w:rsid w:val="00B406E2"/>
    <w:rsid w:val="00B41507"/>
    <w:rsid w:val="00B428F4"/>
    <w:rsid w:val="00B46636"/>
    <w:rsid w:val="00B47CC4"/>
    <w:rsid w:val="00B50814"/>
    <w:rsid w:val="00B50BB3"/>
    <w:rsid w:val="00B5162C"/>
    <w:rsid w:val="00B524A4"/>
    <w:rsid w:val="00B5453D"/>
    <w:rsid w:val="00B55DDC"/>
    <w:rsid w:val="00B57F6B"/>
    <w:rsid w:val="00B66DDD"/>
    <w:rsid w:val="00B67B97"/>
    <w:rsid w:val="00B7377B"/>
    <w:rsid w:val="00B73E4E"/>
    <w:rsid w:val="00B76E51"/>
    <w:rsid w:val="00B77E42"/>
    <w:rsid w:val="00B81FED"/>
    <w:rsid w:val="00B845F6"/>
    <w:rsid w:val="00B848D9"/>
    <w:rsid w:val="00B91AD9"/>
    <w:rsid w:val="00B92616"/>
    <w:rsid w:val="00B93A4F"/>
    <w:rsid w:val="00B946B2"/>
    <w:rsid w:val="00B94FFF"/>
    <w:rsid w:val="00BA3DE1"/>
    <w:rsid w:val="00BA45E7"/>
    <w:rsid w:val="00BA4C2A"/>
    <w:rsid w:val="00BA5695"/>
    <w:rsid w:val="00BA6B0F"/>
    <w:rsid w:val="00BB036D"/>
    <w:rsid w:val="00BB1AB4"/>
    <w:rsid w:val="00BB1FC4"/>
    <w:rsid w:val="00BB4907"/>
    <w:rsid w:val="00BB6201"/>
    <w:rsid w:val="00BB70B3"/>
    <w:rsid w:val="00BB7D46"/>
    <w:rsid w:val="00BC1B4F"/>
    <w:rsid w:val="00BC1FD7"/>
    <w:rsid w:val="00BC360E"/>
    <w:rsid w:val="00BC6CA5"/>
    <w:rsid w:val="00BC7989"/>
    <w:rsid w:val="00BD11FD"/>
    <w:rsid w:val="00BD3085"/>
    <w:rsid w:val="00BD6511"/>
    <w:rsid w:val="00BD76C8"/>
    <w:rsid w:val="00BD7A50"/>
    <w:rsid w:val="00BE36AA"/>
    <w:rsid w:val="00BE55BE"/>
    <w:rsid w:val="00BE5FCB"/>
    <w:rsid w:val="00BE723C"/>
    <w:rsid w:val="00BF28AB"/>
    <w:rsid w:val="00BF309A"/>
    <w:rsid w:val="00BF51E4"/>
    <w:rsid w:val="00C01EA5"/>
    <w:rsid w:val="00C03561"/>
    <w:rsid w:val="00C0376D"/>
    <w:rsid w:val="00C03919"/>
    <w:rsid w:val="00C03C67"/>
    <w:rsid w:val="00C04B60"/>
    <w:rsid w:val="00C0572F"/>
    <w:rsid w:val="00C06F04"/>
    <w:rsid w:val="00C12C25"/>
    <w:rsid w:val="00C13DF0"/>
    <w:rsid w:val="00C14193"/>
    <w:rsid w:val="00C14FBB"/>
    <w:rsid w:val="00C17738"/>
    <w:rsid w:val="00C17AD8"/>
    <w:rsid w:val="00C2330B"/>
    <w:rsid w:val="00C23A79"/>
    <w:rsid w:val="00C23DE7"/>
    <w:rsid w:val="00C26323"/>
    <w:rsid w:val="00C3358D"/>
    <w:rsid w:val="00C378D0"/>
    <w:rsid w:val="00C37FDB"/>
    <w:rsid w:val="00C40364"/>
    <w:rsid w:val="00C44AC9"/>
    <w:rsid w:val="00C45F56"/>
    <w:rsid w:val="00C61317"/>
    <w:rsid w:val="00C63894"/>
    <w:rsid w:val="00C655E8"/>
    <w:rsid w:val="00C7117A"/>
    <w:rsid w:val="00C74183"/>
    <w:rsid w:val="00C800CB"/>
    <w:rsid w:val="00C803A5"/>
    <w:rsid w:val="00C82C14"/>
    <w:rsid w:val="00C85078"/>
    <w:rsid w:val="00C862F8"/>
    <w:rsid w:val="00C908DB"/>
    <w:rsid w:val="00C931B6"/>
    <w:rsid w:val="00C93B23"/>
    <w:rsid w:val="00C96422"/>
    <w:rsid w:val="00CA0FA9"/>
    <w:rsid w:val="00CA262F"/>
    <w:rsid w:val="00CA57BA"/>
    <w:rsid w:val="00CB54CC"/>
    <w:rsid w:val="00CB7EF0"/>
    <w:rsid w:val="00CC069F"/>
    <w:rsid w:val="00CD3B69"/>
    <w:rsid w:val="00CD3DEB"/>
    <w:rsid w:val="00CD4ED5"/>
    <w:rsid w:val="00CD53CA"/>
    <w:rsid w:val="00CE02D2"/>
    <w:rsid w:val="00CE1628"/>
    <w:rsid w:val="00CE3AFA"/>
    <w:rsid w:val="00CE616A"/>
    <w:rsid w:val="00CF2BAB"/>
    <w:rsid w:val="00CF54D1"/>
    <w:rsid w:val="00D010F1"/>
    <w:rsid w:val="00D01109"/>
    <w:rsid w:val="00D02CF4"/>
    <w:rsid w:val="00D06971"/>
    <w:rsid w:val="00D06B34"/>
    <w:rsid w:val="00D07E03"/>
    <w:rsid w:val="00D13BDB"/>
    <w:rsid w:val="00D2288B"/>
    <w:rsid w:val="00D26452"/>
    <w:rsid w:val="00D27A8A"/>
    <w:rsid w:val="00D30F60"/>
    <w:rsid w:val="00D31EF2"/>
    <w:rsid w:val="00D354FD"/>
    <w:rsid w:val="00D3570E"/>
    <w:rsid w:val="00D41A38"/>
    <w:rsid w:val="00D422B1"/>
    <w:rsid w:val="00D45250"/>
    <w:rsid w:val="00D45488"/>
    <w:rsid w:val="00D467C6"/>
    <w:rsid w:val="00D57B37"/>
    <w:rsid w:val="00D654B3"/>
    <w:rsid w:val="00D65923"/>
    <w:rsid w:val="00D65D16"/>
    <w:rsid w:val="00D66AFA"/>
    <w:rsid w:val="00D761B6"/>
    <w:rsid w:val="00D76480"/>
    <w:rsid w:val="00D76D1C"/>
    <w:rsid w:val="00D76DB8"/>
    <w:rsid w:val="00D838A7"/>
    <w:rsid w:val="00D85A3F"/>
    <w:rsid w:val="00D868FB"/>
    <w:rsid w:val="00D86C43"/>
    <w:rsid w:val="00D86FEA"/>
    <w:rsid w:val="00D94038"/>
    <w:rsid w:val="00D94F6C"/>
    <w:rsid w:val="00DA3335"/>
    <w:rsid w:val="00DA3D69"/>
    <w:rsid w:val="00DA430D"/>
    <w:rsid w:val="00DA5163"/>
    <w:rsid w:val="00DA66D7"/>
    <w:rsid w:val="00DA6BE7"/>
    <w:rsid w:val="00DA709B"/>
    <w:rsid w:val="00DA72B7"/>
    <w:rsid w:val="00DB1053"/>
    <w:rsid w:val="00DB192A"/>
    <w:rsid w:val="00DB40BF"/>
    <w:rsid w:val="00DB7463"/>
    <w:rsid w:val="00DC297D"/>
    <w:rsid w:val="00DC3243"/>
    <w:rsid w:val="00DC6EA0"/>
    <w:rsid w:val="00DD020B"/>
    <w:rsid w:val="00DD2547"/>
    <w:rsid w:val="00DD6D12"/>
    <w:rsid w:val="00DD73DD"/>
    <w:rsid w:val="00DD7859"/>
    <w:rsid w:val="00DE608E"/>
    <w:rsid w:val="00DF08BA"/>
    <w:rsid w:val="00DF0974"/>
    <w:rsid w:val="00DF2688"/>
    <w:rsid w:val="00DF26E1"/>
    <w:rsid w:val="00DF2BF0"/>
    <w:rsid w:val="00DF3972"/>
    <w:rsid w:val="00DF39F5"/>
    <w:rsid w:val="00DF4B76"/>
    <w:rsid w:val="00E05C97"/>
    <w:rsid w:val="00E109B6"/>
    <w:rsid w:val="00E11F39"/>
    <w:rsid w:val="00E14394"/>
    <w:rsid w:val="00E14693"/>
    <w:rsid w:val="00E14AE5"/>
    <w:rsid w:val="00E16E1F"/>
    <w:rsid w:val="00E16E9D"/>
    <w:rsid w:val="00E25405"/>
    <w:rsid w:val="00E305D1"/>
    <w:rsid w:val="00E31B73"/>
    <w:rsid w:val="00E3360C"/>
    <w:rsid w:val="00E34A6F"/>
    <w:rsid w:val="00E36F96"/>
    <w:rsid w:val="00E41DD8"/>
    <w:rsid w:val="00E47B98"/>
    <w:rsid w:val="00E52B61"/>
    <w:rsid w:val="00E52BA8"/>
    <w:rsid w:val="00E56F54"/>
    <w:rsid w:val="00E57675"/>
    <w:rsid w:val="00E6223D"/>
    <w:rsid w:val="00E645B5"/>
    <w:rsid w:val="00E67D03"/>
    <w:rsid w:val="00E73280"/>
    <w:rsid w:val="00E75181"/>
    <w:rsid w:val="00E7573A"/>
    <w:rsid w:val="00E7797A"/>
    <w:rsid w:val="00E8182E"/>
    <w:rsid w:val="00E82E1E"/>
    <w:rsid w:val="00E82ED9"/>
    <w:rsid w:val="00E86BB6"/>
    <w:rsid w:val="00E87654"/>
    <w:rsid w:val="00E9039A"/>
    <w:rsid w:val="00E90BC9"/>
    <w:rsid w:val="00E95158"/>
    <w:rsid w:val="00E968DA"/>
    <w:rsid w:val="00E96CE7"/>
    <w:rsid w:val="00EA075C"/>
    <w:rsid w:val="00EA12C1"/>
    <w:rsid w:val="00EA1752"/>
    <w:rsid w:val="00EA1EDF"/>
    <w:rsid w:val="00EA5CC6"/>
    <w:rsid w:val="00EB08F3"/>
    <w:rsid w:val="00EB2F3A"/>
    <w:rsid w:val="00EB50B6"/>
    <w:rsid w:val="00EB6518"/>
    <w:rsid w:val="00EC1213"/>
    <w:rsid w:val="00EC1C81"/>
    <w:rsid w:val="00EC6DA3"/>
    <w:rsid w:val="00ED0A26"/>
    <w:rsid w:val="00ED13BB"/>
    <w:rsid w:val="00ED6AF6"/>
    <w:rsid w:val="00ED7A75"/>
    <w:rsid w:val="00EE2926"/>
    <w:rsid w:val="00EE51C2"/>
    <w:rsid w:val="00EF0B42"/>
    <w:rsid w:val="00EF0F65"/>
    <w:rsid w:val="00EF2B87"/>
    <w:rsid w:val="00EF3ADB"/>
    <w:rsid w:val="00EF49DF"/>
    <w:rsid w:val="00EF5386"/>
    <w:rsid w:val="00EF6B54"/>
    <w:rsid w:val="00EF6D7D"/>
    <w:rsid w:val="00EF7458"/>
    <w:rsid w:val="00EF7BB1"/>
    <w:rsid w:val="00F0584F"/>
    <w:rsid w:val="00F06B97"/>
    <w:rsid w:val="00F12CBF"/>
    <w:rsid w:val="00F1611B"/>
    <w:rsid w:val="00F17004"/>
    <w:rsid w:val="00F17080"/>
    <w:rsid w:val="00F205AD"/>
    <w:rsid w:val="00F21839"/>
    <w:rsid w:val="00F2639D"/>
    <w:rsid w:val="00F2792A"/>
    <w:rsid w:val="00F27D7F"/>
    <w:rsid w:val="00F27E5E"/>
    <w:rsid w:val="00F30562"/>
    <w:rsid w:val="00F31764"/>
    <w:rsid w:val="00F31BDE"/>
    <w:rsid w:val="00F3398B"/>
    <w:rsid w:val="00F3411A"/>
    <w:rsid w:val="00F35726"/>
    <w:rsid w:val="00F35B71"/>
    <w:rsid w:val="00F42A12"/>
    <w:rsid w:val="00F44627"/>
    <w:rsid w:val="00F556B2"/>
    <w:rsid w:val="00F606DA"/>
    <w:rsid w:val="00F650AC"/>
    <w:rsid w:val="00F6612B"/>
    <w:rsid w:val="00F67901"/>
    <w:rsid w:val="00F73AC5"/>
    <w:rsid w:val="00F7580A"/>
    <w:rsid w:val="00F768B3"/>
    <w:rsid w:val="00F81937"/>
    <w:rsid w:val="00F8273E"/>
    <w:rsid w:val="00F83DE6"/>
    <w:rsid w:val="00F8480C"/>
    <w:rsid w:val="00F85392"/>
    <w:rsid w:val="00F863BA"/>
    <w:rsid w:val="00F866E9"/>
    <w:rsid w:val="00F86FB9"/>
    <w:rsid w:val="00F872F3"/>
    <w:rsid w:val="00F93596"/>
    <w:rsid w:val="00F9451C"/>
    <w:rsid w:val="00F9542E"/>
    <w:rsid w:val="00F95F05"/>
    <w:rsid w:val="00F9732A"/>
    <w:rsid w:val="00FA2D82"/>
    <w:rsid w:val="00FA766D"/>
    <w:rsid w:val="00FA7693"/>
    <w:rsid w:val="00FB12D4"/>
    <w:rsid w:val="00FB13F3"/>
    <w:rsid w:val="00FC0796"/>
    <w:rsid w:val="00FC23D6"/>
    <w:rsid w:val="00FC4468"/>
    <w:rsid w:val="00FC45C2"/>
    <w:rsid w:val="00FD62E1"/>
    <w:rsid w:val="00FD73AA"/>
    <w:rsid w:val="00FE06BD"/>
    <w:rsid w:val="00FE3E04"/>
    <w:rsid w:val="00FE558E"/>
    <w:rsid w:val="00FF021A"/>
    <w:rsid w:val="00FF0E78"/>
    <w:rsid w:val="00FF1C88"/>
    <w:rsid w:val="00FF31A7"/>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4205D2"/>
    <w:pPr>
      <w:tabs>
        <w:tab w:val="center" w:pos="4680"/>
        <w:tab w:val="right" w:pos="9360"/>
      </w:tabs>
    </w:pPr>
  </w:style>
  <w:style w:type="character" w:customStyle="1" w:styleId="HeaderChar">
    <w:name w:val="Header Char"/>
    <w:basedOn w:val="DefaultParagraphFont"/>
    <w:link w:val="Header"/>
    <w:rsid w:val="004205D2"/>
    <w:rPr>
      <w:sz w:val="24"/>
      <w:szCs w:val="24"/>
    </w:rPr>
  </w:style>
  <w:style w:type="paragraph" w:styleId="BalloonText">
    <w:name w:val="Balloon Text"/>
    <w:basedOn w:val="Normal"/>
    <w:link w:val="BalloonTextChar"/>
    <w:rsid w:val="00FD62E1"/>
    <w:rPr>
      <w:rFonts w:ascii="Tahoma" w:hAnsi="Tahoma" w:cs="Tahoma"/>
      <w:sz w:val="16"/>
      <w:szCs w:val="16"/>
    </w:rPr>
  </w:style>
  <w:style w:type="character" w:customStyle="1" w:styleId="BalloonTextChar">
    <w:name w:val="Balloon Text Char"/>
    <w:basedOn w:val="DefaultParagraphFont"/>
    <w:link w:val="BalloonText"/>
    <w:rsid w:val="00FD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link w:val="HeaderChar"/>
    <w:rsid w:val="004205D2"/>
    <w:pPr>
      <w:tabs>
        <w:tab w:val="center" w:pos="4680"/>
        <w:tab w:val="right" w:pos="9360"/>
      </w:tabs>
    </w:pPr>
  </w:style>
  <w:style w:type="character" w:customStyle="1" w:styleId="HeaderChar">
    <w:name w:val="Header Char"/>
    <w:basedOn w:val="DefaultParagraphFont"/>
    <w:link w:val="Header"/>
    <w:rsid w:val="004205D2"/>
    <w:rPr>
      <w:sz w:val="24"/>
      <w:szCs w:val="24"/>
    </w:rPr>
  </w:style>
  <w:style w:type="paragraph" w:styleId="BalloonText">
    <w:name w:val="Balloon Text"/>
    <w:basedOn w:val="Normal"/>
    <w:link w:val="BalloonTextChar"/>
    <w:rsid w:val="00FD62E1"/>
    <w:rPr>
      <w:rFonts w:ascii="Tahoma" w:hAnsi="Tahoma" w:cs="Tahoma"/>
      <w:sz w:val="16"/>
      <w:szCs w:val="16"/>
    </w:rPr>
  </w:style>
  <w:style w:type="character" w:customStyle="1" w:styleId="BalloonTextChar">
    <w:name w:val="Balloon Text Char"/>
    <w:basedOn w:val="DefaultParagraphFont"/>
    <w:link w:val="BalloonText"/>
    <w:rsid w:val="00FD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A3A1-AF15-4954-9670-979ADA1B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2</cp:revision>
  <cp:lastPrinted>2012-03-20T16:24:00Z</cp:lastPrinted>
  <dcterms:created xsi:type="dcterms:W3CDTF">2012-03-20T16:28:00Z</dcterms:created>
  <dcterms:modified xsi:type="dcterms:W3CDTF">2012-03-20T16:28:00Z</dcterms:modified>
</cp:coreProperties>
</file>