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9E67C2" w:rsidRDefault="00A01330" w:rsidP="00C81100">
      <w:pPr>
        <w:jc w:val="center"/>
        <w:rPr>
          <w:b/>
          <w:sz w:val="24"/>
          <w:szCs w:val="24"/>
        </w:rPr>
      </w:pPr>
      <w:r w:rsidRPr="009E67C2">
        <w:rPr>
          <w:b/>
          <w:sz w:val="24"/>
          <w:szCs w:val="24"/>
        </w:rPr>
        <w:t>BEFORE THE</w:t>
      </w:r>
    </w:p>
    <w:p w:rsidR="00A01330" w:rsidRPr="009E67C2" w:rsidRDefault="00A01330" w:rsidP="00C81100">
      <w:pPr>
        <w:jc w:val="center"/>
        <w:rPr>
          <w:b/>
          <w:sz w:val="24"/>
          <w:szCs w:val="24"/>
        </w:rPr>
      </w:pPr>
      <w:r w:rsidRPr="009E67C2">
        <w:rPr>
          <w:b/>
          <w:sz w:val="24"/>
          <w:szCs w:val="24"/>
        </w:rPr>
        <w:t>PENNSYLVANIA PUBLIC UTILITY COMMISSION</w:t>
      </w:r>
    </w:p>
    <w:p w:rsidR="00A01330" w:rsidRPr="009E67C2" w:rsidRDefault="00A01330" w:rsidP="00C81100">
      <w:pPr>
        <w:jc w:val="center"/>
        <w:rPr>
          <w:sz w:val="23"/>
          <w:szCs w:val="23"/>
        </w:rPr>
      </w:pPr>
    </w:p>
    <w:p w:rsidR="00A01330" w:rsidRPr="009E67C2" w:rsidRDefault="00A01330" w:rsidP="00C81100">
      <w:pPr>
        <w:jc w:val="center"/>
        <w:rPr>
          <w:sz w:val="23"/>
          <w:szCs w:val="23"/>
        </w:rPr>
      </w:pPr>
    </w:p>
    <w:p w:rsidR="003B1503" w:rsidRPr="009E67C2" w:rsidRDefault="00DB5116" w:rsidP="003B1503">
      <w:pPr>
        <w:rPr>
          <w:sz w:val="23"/>
          <w:szCs w:val="23"/>
        </w:rPr>
      </w:pPr>
      <w:r w:rsidRPr="009E67C2">
        <w:rPr>
          <w:sz w:val="23"/>
          <w:szCs w:val="23"/>
        </w:rPr>
        <w:t>Sandra Brown</w:t>
      </w:r>
      <w:r w:rsidR="00475F59" w:rsidRPr="009E67C2">
        <w:rPr>
          <w:sz w:val="23"/>
          <w:szCs w:val="23"/>
        </w:rPr>
        <w:tab/>
      </w:r>
      <w:r w:rsidR="00055C21" w:rsidRPr="009E67C2">
        <w:rPr>
          <w:sz w:val="23"/>
          <w:szCs w:val="23"/>
        </w:rPr>
        <w:tab/>
      </w:r>
      <w:r w:rsidR="007D41EF" w:rsidRPr="009E67C2">
        <w:rPr>
          <w:sz w:val="23"/>
          <w:szCs w:val="23"/>
        </w:rPr>
        <w:tab/>
      </w:r>
      <w:r w:rsidR="007D41EF" w:rsidRPr="009E67C2">
        <w:rPr>
          <w:sz w:val="23"/>
          <w:szCs w:val="23"/>
        </w:rPr>
        <w:tab/>
      </w:r>
      <w:r w:rsidR="003B1503" w:rsidRPr="009E67C2">
        <w:rPr>
          <w:sz w:val="23"/>
          <w:szCs w:val="23"/>
        </w:rPr>
        <w:tab/>
        <w:t>:</w:t>
      </w:r>
    </w:p>
    <w:p w:rsidR="003B1503" w:rsidRPr="009E67C2" w:rsidRDefault="007E5B8D" w:rsidP="003B1503">
      <w:pPr>
        <w:rPr>
          <w:sz w:val="23"/>
          <w:szCs w:val="23"/>
        </w:rPr>
      </w:pPr>
      <w:r w:rsidRPr="009E67C2">
        <w:rPr>
          <w:sz w:val="23"/>
          <w:szCs w:val="23"/>
        </w:rPr>
        <w:tab/>
      </w:r>
      <w:r w:rsidRPr="009E67C2">
        <w:rPr>
          <w:sz w:val="23"/>
          <w:szCs w:val="23"/>
        </w:rPr>
        <w:tab/>
      </w:r>
      <w:r w:rsidRPr="009E67C2">
        <w:rPr>
          <w:sz w:val="23"/>
          <w:szCs w:val="23"/>
        </w:rPr>
        <w:tab/>
      </w:r>
      <w:r w:rsidRPr="009E67C2">
        <w:rPr>
          <w:sz w:val="23"/>
          <w:szCs w:val="23"/>
        </w:rPr>
        <w:tab/>
      </w:r>
      <w:r w:rsidRPr="009E67C2">
        <w:rPr>
          <w:sz w:val="23"/>
          <w:szCs w:val="23"/>
        </w:rPr>
        <w:tab/>
      </w:r>
      <w:r w:rsidRPr="009E67C2">
        <w:rPr>
          <w:sz w:val="23"/>
          <w:szCs w:val="23"/>
        </w:rPr>
        <w:tab/>
      </w:r>
      <w:r w:rsidR="003B1503" w:rsidRPr="009E67C2">
        <w:rPr>
          <w:sz w:val="23"/>
          <w:szCs w:val="23"/>
        </w:rPr>
        <w:t>:</w:t>
      </w:r>
    </w:p>
    <w:p w:rsidR="003B1503" w:rsidRPr="009E67C2" w:rsidRDefault="007E5B8D" w:rsidP="003B1503">
      <w:pPr>
        <w:rPr>
          <w:sz w:val="23"/>
          <w:szCs w:val="23"/>
        </w:rPr>
      </w:pPr>
      <w:r w:rsidRPr="009E67C2">
        <w:rPr>
          <w:sz w:val="23"/>
          <w:szCs w:val="23"/>
        </w:rPr>
        <w:tab/>
      </w:r>
      <w:r w:rsidRPr="009E67C2">
        <w:rPr>
          <w:sz w:val="23"/>
          <w:szCs w:val="23"/>
        </w:rPr>
        <w:tab/>
        <w:t>v.</w:t>
      </w:r>
      <w:r w:rsidRPr="009E67C2">
        <w:rPr>
          <w:sz w:val="23"/>
          <w:szCs w:val="23"/>
        </w:rPr>
        <w:tab/>
      </w:r>
      <w:r w:rsidRPr="009E67C2">
        <w:rPr>
          <w:sz w:val="23"/>
          <w:szCs w:val="23"/>
        </w:rPr>
        <w:tab/>
      </w:r>
      <w:r w:rsidRPr="009E67C2">
        <w:rPr>
          <w:sz w:val="23"/>
          <w:szCs w:val="23"/>
        </w:rPr>
        <w:tab/>
      </w:r>
      <w:r w:rsidRPr="009E67C2">
        <w:rPr>
          <w:sz w:val="23"/>
          <w:szCs w:val="23"/>
        </w:rPr>
        <w:tab/>
      </w:r>
      <w:r w:rsidR="003B1503" w:rsidRPr="009E67C2">
        <w:rPr>
          <w:sz w:val="23"/>
          <w:szCs w:val="23"/>
        </w:rPr>
        <w:t>:</w:t>
      </w:r>
      <w:r w:rsidRPr="009E67C2">
        <w:rPr>
          <w:sz w:val="23"/>
          <w:szCs w:val="23"/>
        </w:rPr>
        <w:tab/>
      </w:r>
      <w:r w:rsidR="00D63684" w:rsidRPr="009E67C2">
        <w:rPr>
          <w:sz w:val="23"/>
          <w:szCs w:val="23"/>
        </w:rPr>
        <w:tab/>
      </w:r>
      <w:r w:rsidR="00DB5116" w:rsidRPr="009E67C2">
        <w:rPr>
          <w:sz w:val="23"/>
          <w:szCs w:val="23"/>
        </w:rPr>
        <w:t>F</w:t>
      </w:r>
      <w:r w:rsidRPr="009E67C2">
        <w:rPr>
          <w:sz w:val="23"/>
          <w:szCs w:val="23"/>
        </w:rPr>
        <w:t>-20</w:t>
      </w:r>
      <w:r w:rsidR="007D41EF" w:rsidRPr="009E67C2">
        <w:rPr>
          <w:sz w:val="23"/>
          <w:szCs w:val="23"/>
        </w:rPr>
        <w:t>1</w:t>
      </w:r>
      <w:r w:rsidR="00055C21" w:rsidRPr="009E67C2">
        <w:rPr>
          <w:sz w:val="23"/>
          <w:szCs w:val="23"/>
        </w:rPr>
        <w:t>1</w:t>
      </w:r>
      <w:r w:rsidRPr="009E67C2">
        <w:rPr>
          <w:sz w:val="23"/>
          <w:szCs w:val="23"/>
        </w:rPr>
        <w:t>-2</w:t>
      </w:r>
      <w:r w:rsidR="00055C21" w:rsidRPr="009E67C2">
        <w:rPr>
          <w:sz w:val="23"/>
          <w:szCs w:val="23"/>
        </w:rPr>
        <w:t>2</w:t>
      </w:r>
      <w:r w:rsidR="00DB5116" w:rsidRPr="009E67C2">
        <w:rPr>
          <w:sz w:val="23"/>
          <w:szCs w:val="23"/>
        </w:rPr>
        <w:t>63622</w:t>
      </w:r>
    </w:p>
    <w:p w:rsidR="003B1503" w:rsidRPr="009E67C2" w:rsidRDefault="007E5B8D" w:rsidP="003B1503">
      <w:pPr>
        <w:rPr>
          <w:sz w:val="23"/>
          <w:szCs w:val="23"/>
        </w:rPr>
      </w:pPr>
      <w:r w:rsidRPr="009E67C2">
        <w:rPr>
          <w:sz w:val="23"/>
          <w:szCs w:val="23"/>
        </w:rPr>
        <w:tab/>
      </w:r>
      <w:r w:rsidRPr="009E67C2">
        <w:rPr>
          <w:sz w:val="23"/>
          <w:szCs w:val="23"/>
        </w:rPr>
        <w:tab/>
      </w:r>
      <w:r w:rsidRPr="009E67C2">
        <w:rPr>
          <w:sz w:val="23"/>
          <w:szCs w:val="23"/>
        </w:rPr>
        <w:tab/>
      </w:r>
      <w:r w:rsidRPr="009E67C2">
        <w:rPr>
          <w:sz w:val="23"/>
          <w:szCs w:val="23"/>
        </w:rPr>
        <w:tab/>
      </w:r>
      <w:r w:rsidRPr="009E67C2">
        <w:rPr>
          <w:sz w:val="23"/>
          <w:szCs w:val="23"/>
        </w:rPr>
        <w:tab/>
      </w:r>
      <w:r w:rsidRPr="009E67C2">
        <w:rPr>
          <w:sz w:val="23"/>
          <w:szCs w:val="23"/>
        </w:rPr>
        <w:tab/>
      </w:r>
      <w:r w:rsidR="003B1503" w:rsidRPr="009E67C2">
        <w:rPr>
          <w:sz w:val="23"/>
          <w:szCs w:val="23"/>
        </w:rPr>
        <w:t xml:space="preserve">: </w:t>
      </w:r>
      <w:r w:rsidR="003B1503" w:rsidRPr="009E67C2">
        <w:rPr>
          <w:sz w:val="23"/>
          <w:szCs w:val="23"/>
        </w:rPr>
        <w:tab/>
      </w:r>
    </w:p>
    <w:p w:rsidR="003B1503" w:rsidRPr="009E67C2" w:rsidRDefault="00DB5116" w:rsidP="003B1503">
      <w:pPr>
        <w:rPr>
          <w:sz w:val="23"/>
          <w:szCs w:val="23"/>
        </w:rPr>
      </w:pPr>
      <w:r w:rsidRPr="009E67C2">
        <w:rPr>
          <w:sz w:val="23"/>
          <w:szCs w:val="23"/>
        </w:rPr>
        <w:t xml:space="preserve">PECO Energy </w:t>
      </w:r>
      <w:r w:rsidR="00475F59" w:rsidRPr="009E67C2">
        <w:rPr>
          <w:sz w:val="23"/>
          <w:szCs w:val="23"/>
        </w:rPr>
        <w:t>Company</w:t>
      </w:r>
      <w:r w:rsidR="007E5B8D" w:rsidRPr="009E67C2">
        <w:rPr>
          <w:sz w:val="23"/>
          <w:szCs w:val="23"/>
        </w:rPr>
        <w:tab/>
      </w:r>
      <w:r w:rsidR="007E5B8D" w:rsidRPr="009E67C2">
        <w:rPr>
          <w:sz w:val="23"/>
          <w:szCs w:val="23"/>
        </w:rPr>
        <w:tab/>
      </w:r>
      <w:r w:rsidR="00314157" w:rsidRPr="009E67C2">
        <w:rPr>
          <w:sz w:val="23"/>
          <w:szCs w:val="23"/>
        </w:rPr>
        <w:tab/>
      </w:r>
      <w:r w:rsidR="003B1503" w:rsidRPr="009E67C2">
        <w:rPr>
          <w:sz w:val="23"/>
          <w:szCs w:val="23"/>
        </w:rPr>
        <w:t>:</w:t>
      </w:r>
    </w:p>
    <w:p w:rsidR="00466F8B" w:rsidRPr="009E67C2" w:rsidRDefault="00466F8B" w:rsidP="00C81100">
      <w:pPr>
        <w:rPr>
          <w:sz w:val="23"/>
          <w:szCs w:val="23"/>
        </w:rPr>
      </w:pPr>
    </w:p>
    <w:p w:rsidR="008011E2" w:rsidRPr="009E67C2" w:rsidRDefault="008011E2" w:rsidP="00C81100">
      <w:pPr>
        <w:rPr>
          <w:sz w:val="23"/>
          <w:szCs w:val="23"/>
        </w:rPr>
      </w:pPr>
    </w:p>
    <w:p w:rsidR="00D63684" w:rsidRPr="009E67C2" w:rsidRDefault="00D63684" w:rsidP="00C81100">
      <w:pPr>
        <w:rPr>
          <w:sz w:val="23"/>
          <w:szCs w:val="23"/>
        </w:rPr>
      </w:pPr>
    </w:p>
    <w:p w:rsidR="00D63684" w:rsidRPr="00503F2B" w:rsidRDefault="00D63684" w:rsidP="00D63684">
      <w:pPr>
        <w:autoSpaceDE/>
        <w:autoSpaceDN/>
        <w:spacing w:line="360" w:lineRule="auto"/>
        <w:jc w:val="center"/>
        <w:rPr>
          <w:b/>
          <w:sz w:val="24"/>
          <w:szCs w:val="24"/>
          <w:u w:val="single"/>
        </w:rPr>
      </w:pPr>
      <w:r w:rsidRPr="00503F2B">
        <w:rPr>
          <w:b/>
          <w:sz w:val="24"/>
          <w:szCs w:val="24"/>
          <w:u w:val="single"/>
        </w:rPr>
        <w:t>ORDER CONTINUING HEARING</w:t>
      </w:r>
    </w:p>
    <w:p w:rsidR="00D63684" w:rsidRPr="009E67C2" w:rsidRDefault="00D63684" w:rsidP="00D63684">
      <w:pPr>
        <w:autoSpaceDE/>
        <w:autoSpaceDN/>
        <w:spacing w:line="360" w:lineRule="auto"/>
        <w:rPr>
          <w:sz w:val="23"/>
          <w:szCs w:val="23"/>
        </w:rPr>
      </w:pPr>
    </w:p>
    <w:p w:rsidR="00DB5116" w:rsidRPr="009E67C2" w:rsidRDefault="00D63684" w:rsidP="00DB5116">
      <w:pPr>
        <w:tabs>
          <w:tab w:val="left" w:pos="0"/>
        </w:tabs>
        <w:autoSpaceDE/>
        <w:autoSpaceDN/>
        <w:spacing w:line="360" w:lineRule="auto"/>
        <w:rPr>
          <w:sz w:val="23"/>
          <w:szCs w:val="23"/>
        </w:rPr>
      </w:pPr>
      <w:r w:rsidRPr="009E67C2">
        <w:rPr>
          <w:sz w:val="23"/>
          <w:szCs w:val="23"/>
        </w:rPr>
        <w:tab/>
      </w:r>
      <w:r w:rsidRPr="009E67C2">
        <w:rPr>
          <w:sz w:val="23"/>
          <w:szCs w:val="23"/>
        </w:rPr>
        <w:tab/>
        <w:t>A hearing in this matter ha</w:t>
      </w:r>
      <w:r w:rsidR="00101E6D" w:rsidRPr="009E67C2">
        <w:rPr>
          <w:sz w:val="23"/>
          <w:szCs w:val="23"/>
        </w:rPr>
        <w:t>d</w:t>
      </w:r>
      <w:r w:rsidRPr="009E67C2">
        <w:rPr>
          <w:sz w:val="23"/>
          <w:szCs w:val="23"/>
        </w:rPr>
        <w:t xml:space="preserve"> been scheduled for </w:t>
      </w:r>
      <w:r w:rsidR="00DB5116" w:rsidRPr="009E67C2">
        <w:rPr>
          <w:sz w:val="23"/>
          <w:szCs w:val="23"/>
        </w:rPr>
        <w:t>March 20, 2012</w:t>
      </w:r>
      <w:r w:rsidRPr="009E67C2">
        <w:rPr>
          <w:sz w:val="23"/>
          <w:szCs w:val="23"/>
        </w:rPr>
        <w:t xml:space="preserve">.  On </w:t>
      </w:r>
      <w:r w:rsidR="00DB5116" w:rsidRPr="009E67C2">
        <w:rPr>
          <w:sz w:val="23"/>
          <w:szCs w:val="23"/>
        </w:rPr>
        <w:t>March 19</w:t>
      </w:r>
      <w:r w:rsidR="00475F59" w:rsidRPr="009E67C2">
        <w:rPr>
          <w:sz w:val="23"/>
          <w:szCs w:val="23"/>
        </w:rPr>
        <w:t>,</w:t>
      </w:r>
      <w:r w:rsidRPr="009E67C2">
        <w:rPr>
          <w:sz w:val="23"/>
          <w:szCs w:val="23"/>
        </w:rPr>
        <w:t xml:space="preserve"> 201</w:t>
      </w:r>
      <w:r w:rsidR="00DA1145" w:rsidRPr="009E67C2">
        <w:rPr>
          <w:sz w:val="23"/>
          <w:szCs w:val="23"/>
        </w:rPr>
        <w:t>2</w:t>
      </w:r>
      <w:r w:rsidRPr="009E67C2">
        <w:rPr>
          <w:sz w:val="23"/>
          <w:szCs w:val="23"/>
        </w:rPr>
        <w:t xml:space="preserve">, </w:t>
      </w:r>
      <w:r w:rsidR="00BE4213" w:rsidRPr="009E67C2">
        <w:rPr>
          <w:sz w:val="23"/>
          <w:szCs w:val="23"/>
        </w:rPr>
        <w:t xml:space="preserve">counsel for </w:t>
      </w:r>
      <w:r w:rsidR="00DB5116" w:rsidRPr="009E67C2">
        <w:rPr>
          <w:sz w:val="23"/>
          <w:szCs w:val="23"/>
        </w:rPr>
        <w:t xml:space="preserve">PECO Energy Company (PECO) contacted me and requested that the hearing be continued to allow PECO to perform a high bill field investigation.  Counsel requested that this matter be continued for thirty (30) days so that the investigation can be completed and so the parties may have an opportunity to resolve the issues </w:t>
      </w:r>
      <w:proofErr w:type="gramStart"/>
      <w:r w:rsidR="00DB5116" w:rsidRPr="009E67C2">
        <w:rPr>
          <w:sz w:val="23"/>
          <w:szCs w:val="23"/>
        </w:rPr>
        <w:t>raised</w:t>
      </w:r>
      <w:proofErr w:type="gramEnd"/>
      <w:r w:rsidR="00DB5116" w:rsidRPr="009E67C2">
        <w:rPr>
          <w:sz w:val="23"/>
          <w:szCs w:val="23"/>
        </w:rPr>
        <w:t xml:space="preserve"> in the Complaint.  Sandra Brown (Complainant) does not object to the continuance.</w:t>
      </w:r>
    </w:p>
    <w:p w:rsidR="00D63684" w:rsidRPr="009E67C2" w:rsidRDefault="00D63684" w:rsidP="00D63684">
      <w:pPr>
        <w:autoSpaceDE/>
        <w:autoSpaceDN/>
        <w:spacing w:line="360" w:lineRule="auto"/>
        <w:rPr>
          <w:sz w:val="23"/>
          <w:szCs w:val="23"/>
        </w:rPr>
      </w:pPr>
    </w:p>
    <w:p w:rsidR="00D63684" w:rsidRPr="009E67C2" w:rsidRDefault="00D63684" w:rsidP="00D63684">
      <w:pPr>
        <w:autoSpaceDE/>
        <w:autoSpaceDN/>
        <w:spacing w:line="360" w:lineRule="auto"/>
        <w:rPr>
          <w:sz w:val="23"/>
          <w:szCs w:val="23"/>
        </w:rPr>
      </w:pPr>
      <w:r w:rsidRPr="009E67C2">
        <w:rPr>
          <w:sz w:val="23"/>
          <w:szCs w:val="23"/>
        </w:rPr>
        <w:tab/>
      </w:r>
      <w:r w:rsidRPr="009E67C2">
        <w:rPr>
          <w:sz w:val="23"/>
          <w:szCs w:val="23"/>
        </w:rPr>
        <w:tab/>
        <w:t xml:space="preserve">The Commission’s Rules of Administrative Practice and Procedure at 52 Pa. Code </w:t>
      </w:r>
    </w:p>
    <w:p w:rsidR="00D63684" w:rsidRPr="009E67C2" w:rsidRDefault="00D63684" w:rsidP="00D63684">
      <w:pPr>
        <w:autoSpaceDE/>
        <w:autoSpaceDN/>
        <w:spacing w:line="360" w:lineRule="auto"/>
        <w:rPr>
          <w:sz w:val="23"/>
          <w:szCs w:val="23"/>
        </w:rPr>
      </w:pPr>
      <w:r w:rsidRPr="009E67C2">
        <w:rPr>
          <w:sz w:val="23"/>
          <w:szCs w:val="23"/>
        </w:rPr>
        <w:t xml:space="preserve">§ 1.15(b) state that, “Only for good cause shown will requests for continuance be considered.”   In this case, </w:t>
      </w:r>
      <w:r w:rsidR="00DB5116" w:rsidRPr="009E67C2">
        <w:rPr>
          <w:sz w:val="23"/>
          <w:szCs w:val="23"/>
        </w:rPr>
        <w:t>PECO</w:t>
      </w:r>
      <w:r w:rsidRPr="009E67C2">
        <w:rPr>
          <w:sz w:val="23"/>
          <w:szCs w:val="23"/>
        </w:rPr>
        <w:t xml:space="preserve">’s request </w:t>
      </w:r>
      <w:r w:rsidR="00DA1145" w:rsidRPr="009E67C2">
        <w:rPr>
          <w:sz w:val="23"/>
          <w:szCs w:val="23"/>
        </w:rPr>
        <w:t xml:space="preserve">for a continuance </w:t>
      </w:r>
      <w:r w:rsidR="00DB5116" w:rsidRPr="009E67C2">
        <w:rPr>
          <w:sz w:val="23"/>
          <w:szCs w:val="23"/>
        </w:rPr>
        <w:t xml:space="preserve">to conduct an investigation that may lead to a settlement without the necessity of a hearing </w:t>
      </w:r>
      <w:r w:rsidRPr="009E67C2">
        <w:rPr>
          <w:sz w:val="23"/>
          <w:szCs w:val="23"/>
        </w:rPr>
        <w:t>constitutes good cause for granting the continuance.</w:t>
      </w:r>
    </w:p>
    <w:p w:rsidR="00D63684" w:rsidRPr="009E67C2" w:rsidRDefault="00D63684" w:rsidP="00D63684">
      <w:pPr>
        <w:autoSpaceDE/>
        <w:autoSpaceDN/>
        <w:spacing w:line="360" w:lineRule="auto"/>
        <w:rPr>
          <w:sz w:val="23"/>
          <w:szCs w:val="23"/>
        </w:rPr>
      </w:pPr>
    </w:p>
    <w:p w:rsidR="00D63684" w:rsidRPr="009E67C2" w:rsidRDefault="00D63684" w:rsidP="00D63684">
      <w:pPr>
        <w:autoSpaceDE/>
        <w:autoSpaceDN/>
        <w:spacing w:line="360" w:lineRule="auto"/>
        <w:rPr>
          <w:sz w:val="23"/>
          <w:szCs w:val="23"/>
        </w:rPr>
      </w:pPr>
      <w:r w:rsidRPr="009E67C2">
        <w:rPr>
          <w:sz w:val="23"/>
          <w:szCs w:val="23"/>
        </w:rPr>
        <w:tab/>
      </w:r>
      <w:r w:rsidRPr="009E67C2">
        <w:rPr>
          <w:sz w:val="23"/>
          <w:szCs w:val="23"/>
        </w:rPr>
        <w:tab/>
        <w:t>THEREFORE,</w:t>
      </w:r>
    </w:p>
    <w:p w:rsidR="00D63684" w:rsidRPr="009E67C2" w:rsidRDefault="00D63684" w:rsidP="00D63684">
      <w:pPr>
        <w:autoSpaceDE/>
        <w:autoSpaceDN/>
        <w:spacing w:line="360" w:lineRule="auto"/>
        <w:rPr>
          <w:sz w:val="23"/>
          <w:szCs w:val="23"/>
        </w:rPr>
      </w:pPr>
    </w:p>
    <w:p w:rsidR="00D63684" w:rsidRPr="009E67C2" w:rsidRDefault="00D63684" w:rsidP="00D63684">
      <w:pPr>
        <w:autoSpaceDE/>
        <w:autoSpaceDN/>
        <w:spacing w:line="360" w:lineRule="auto"/>
        <w:rPr>
          <w:sz w:val="23"/>
          <w:szCs w:val="23"/>
        </w:rPr>
      </w:pPr>
      <w:r w:rsidRPr="009E67C2">
        <w:rPr>
          <w:sz w:val="23"/>
          <w:szCs w:val="23"/>
        </w:rPr>
        <w:tab/>
      </w:r>
      <w:r w:rsidR="00BE4213" w:rsidRPr="009E67C2">
        <w:rPr>
          <w:sz w:val="23"/>
          <w:szCs w:val="23"/>
        </w:rPr>
        <w:tab/>
      </w:r>
      <w:r w:rsidRPr="009E67C2">
        <w:rPr>
          <w:sz w:val="23"/>
          <w:szCs w:val="23"/>
        </w:rPr>
        <w:t>IT IS ORDERED:</w:t>
      </w:r>
    </w:p>
    <w:p w:rsidR="00D63684" w:rsidRPr="009E67C2" w:rsidRDefault="00D63684" w:rsidP="00D63684">
      <w:pPr>
        <w:autoSpaceDE/>
        <w:autoSpaceDN/>
        <w:spacing w:line="360" w:lineRule="auto"/>
        <w:rPr>
          <w:sz w:val="23"/>
          <w:szCs w:val="23"/>
        </w:rPr>
      </w:pPr>
    </w:p>
    <w:p w:rsidR="00D63684" w:rsidRPr="009E67C2" w:rsidRDefault="00D63684" w:rsidP="00D63684">
      <w:pPr>
        <w:autoSpaceDE/>
        <w:autoSpaceDN/>
        <w:spacing w:line="360" w:lineRule="auto"/>
        <w:rPr>
          <w:sz w:val="23"/>
          <w:szCs w:val="23"/>
        </w:rPr>
      </w:pPr>
      <w:r w:rsidRPr="009E67C2">
        <w:rPr>
          <w:sz w:val="23"/>
          <w:szCs w:val="23"/>
        </w:rPr>
        <w:tab/>
      </w:r>
      <w:r w:rsidRPr="009E67C2">
        <w:rPr>
          <w:sz w:val="23"/>
          <w:szCs w:val="23"/>
        </w:rPr>
        <w:tab/>
        <w:t>1.</w:t>
      </w:r>
      <w:r w:rsidRPr="009E67C2">
        <w:rPr>
          <w:sz w:val="23"/>
          <w:szCs w:val="23"/>
        </w:rPr>
        <w:tab/>
        <w:t xml:space="preserve">That the hearing scheduled for </w:t>
      </w:r>
      <w:r w:rsidR="00DB5116" w:rsidRPr="009E67C2">
        <w:rPr>
          <w:sz w:val="23"/>
          <w:szCs w:val="23"/>
        </w:rPr>
        <w:t>March 20</w:t>
      </w:r>
      <w:r w:rsidR="00DA1145" w:rsidRPr="009E67C2">
        <w:rPr>
          <w:sz w:val="23"/>
          <w:szCs w:val="23"/>
        </w:rPr>
        <w:t xml:space="preserve">, </w:t>
      </w:r>
      <w:r w:rsidRPr="009E67C2">
        <w:rPr>
          <w:sz w:val="23"/>
          <w:szCs w:val="23"/>
        </w:rPr>
        <w:t>201</w:t>
      </w:r>
      <w:r w:rsidR="00DA1145" w:rsidRPr="009E67C2">
        <w:rPr>
          <w:sz w:val="23"/>
          <w:szCs w:val="23"/>
        </w:rPr>
        <w:t>2</w:t>
      </w:r>
      <w:r w:rsidRPr="009E67C2">
        <w:rPr>
          <w:sz w:val="23"/>
          <w:szCs w:val="23"/>
        </w:rPr>
        <w:t xml:space="preserve">, </w:t>
      </w:r>
      <w:proofErr w:type="gramStart"/>
      <w:r w:rsidRPr="009E67C2">
        <w:rPr>
          <w:sz w:val="23"/>
          <w:szCs w:val="23"/>
        </w:rPr>
        <w:t>be</w:t>
      </w:r>
      <w:proofErr w:type="gramEnd"/>
      <w:r w:rsidRPr="009E67C2">
        <w:rPr>
          <w:sz w:val="23"/>
          <w:szCs w:val="23"/>
        </w:rPr>
        <w:t xml:space="preserve"> and hereby is continued and will be rescheduled.</w:t>
      </w:r>
    </w:p>
    <w:p w:rsidR="00314157" w:rsidRPr="009E67C2" w:rsidRDefault="00314157" w:rsidP="00D63684">
      <w:pPr>
        <w:autoSpaceDE/>
        <w:autoSpaceDN/>
        <w:spacing w:line="360" w:lineRule="auto"/>
        <w:rPr>
          <w:sz w:val="23"/>
          <w:szCs w:val="23"/>
        </w:rPr>
      </w:pPr>
    </w:p>
    <w:p w:rsidR="00D63684" w:rsidRPr="009E67C2" w:rsidRDefault="00D63684" w:rsidP="00D63684">
      <w:pPr>
        <w:autoSpaceDE/>
        <w:autoSpaceDN/>
        <w:spacing w:line="360" w:lineRule="auto"/>
        <w:rPr>
          <w:sz w:val="23"/>
          <w:szCs w:val="23"/>
        </w:rPr>
      </w:pPr>
    </w:p>
    <w:p w:rsidR="00D63684" w:rsidRPr="009E67C2" w:rsidRDefault="00D63684" w:rsidP="00D63684">
      <w:pPr>
        <w:autoSpaceDE/>
        <w:autoSpaceDN/>
        <w:rPr>
          <w:sz w:val="23"/>
          <w:szCs w:val="23"/>
        </w:rPr>
      </w:pPr>
      <w:r w:rsidRPr="009E67C2">
        <w:rPr>
          <w:sz w:val="23"/>
          <w:szCs w:val="23"/>
        </w:rPr>
        <w:t>Date:</w:t>
      </w:r>
      <w:r w:rsidRPr="009E67C2">
        <w:rPr>
          <w:sz w:val="23"/>
          <w:szCs w:val="23"/>
        </w:rPr>
        <w:tab/>
      </w:r>
      <w:r w:rsidR="00DB5116" w:rsidRPr="009E67C2">
        <w:rPr>
          <w:sz w:val="23"/>
          <w:szCs w:val="23"/>
        </w:rPr>
        <w:t>March 20</w:t>
      </w:r>
      <w:r w:rsidRPr="009E67C2">
        <w:rPr>
          <w:sz w:val="23"/>
          <w:szCs w:val="23"/>
        </w:rPr>
        <w:t>, 201</w:t>
      </w:r>
      <w:r w:rsidR="00DA1145" w:rsidRPr="009E67C2">
        <w:rPr>
          <w:sz w:val="23"/>
          <w:szCs w:val="23"/>
        </w:rPr>
        <w:t>2</w:t>
      </w:r>
      <w:r w:rsidR="00DB5116" w:rsidRPr="009E67C2">
        <w:rPr>
          <w:sz w:val="23"/>
          <w:szCs w:val="23"/>
        </w:rPr>
        <w:tab/>
      </w:r>
      <w:r w:rsidRPr="009E67C2">
        <w:rPr>
          <w:sz w:val="23"/>
          <w:szCs w:val="23"/>
        </w:rPr>
        <w:tab/>
      </w:r>
      <w:r w:rsidRPr="009E67C2">
        <w:rPr>
          <w:sz w:val="23"/>
          <w:szCs w:val="23"/>
        </w:rPr>
        <w:tab/>
      </w:r>
      <w:r w:rsidRPr="009E67C2">
        <w:rPr>
          <w:sz w:val="23"/>
          <w:szCs w:val="23"/>
        </w:rPr>
        <w:tab/>
      </w:r>
      <w:r w:rsidRPr="009E67C2">
        <w:rPr>
          <w:sz w:val="23"/>
          <w:szCs w:val="23"/>
        </w:rPr>
        <w:tab/>
        <w:t>__________________________</w:t>
      </w:r>
    </w:p>
    <w:p w:rsidR="00D63684" w:rsidRPr="009E67C2" w:rsidRDefault="00D63684" w:rsidP="00D63684">
      <w:pPr>
        <w:autoSpaceDE/>
        <w:autoSpaceDN/>
        <w:rPr>
          <w:sz w:val="23"/>
          <w:szCs w:val="23"/>
        </w:rPr>
      </w:pPr>
      <w:r w:rsidRPr="009E67C2">
        <w:rPr>
          <w:sz w:val="23"/>
          <w:szCs w:val="23"/>
        </w:rPr>
        <w:tab/>
      </w:r>
      <w:r w:rsidRPr="009E67C2">
        <w:rPr>
          <w:sz w:val="23"/>
          <w:szCs w:val="23"/>
        </w:rPr>
        <w:tab/>
      </w:r>
      <w:r w:rsidRPr="009E67C2">
        <w:rPr>
          <w:sz w:val="23"/>
          <w:szCs w:val="23"/>
        </w:rPr>
        <w:tab/>
      </w:r>
      <w:r w:rsidRPr="009E67C2">
        <w:rPr>
          <w:sz w:val="23"/>
          <w:szCs w:val="23"/>
        </w:rPr>
        <w:tab/>
      </w:r>
      <w:r w:rsidRPr="009E67C2">
        <w:rPr>
          <w:sz w:val="23"/>
          <w:szCs w:val="23"/>
        </w:rPr>
        <w:tab/>
      </w:r>
      <w:r w:rsidRPr="009E67C2">
        <w:rPr>
          <w:sz w:val="23"/>
          <w:szCs w:val="23"/>
        </w:rPr>
        <w:tab/>
      </w:r>
      <w:r w:rsidRPr="009E67C2">
        <w:rPr>
          <w:sz w:val="23"/>
          <w:szCs w:val="23"/>
        </w:rPr>
        <w:tab/>
      </w:r>
      <w:r w:rsidRPr="009E67C2">
        <w:rPr>
          <w:sz w:val="23"/>
          <w:szCs w:val="23"/>
        </w:rPr>
        <w:tab/>
        <w:t>Dennis J. Buckley</w:t>
      </w:r>
    </w:p>
    <w:p w:rsidR="002052F6" w:rsidRDefault="00D63684" w:rsidP="00314157">
      <w:pPr>
        <w:autoSpaceDE/>
        <w:autoSpaceDN/>
        <w:rPr>
          <w:sz w:val="23"/>
          <w:szCs w:val="23"/>
        </w:rPr>
        <w:sectPr w:rsidR="002052F6" w:rsidSect="006B08C2">
          <w:footerReference w:type="even" r:id="rId9"/>
          <w:footerReference w:type="default" r:id="rId10"/>
          <w:type w:val="continuous"/>
          <w:pgSz w:w="12240" w:h="15840"/>
          <w:pgMar w:top="1440" w:right="1440" w:bottom="1440" w:left="1440" w:header="720" w:footer="720" w:gutter="0"/>
          <w:cols w:space="720"/>
          <w:noEndnote/>
          <w:titlePg/>
        </w:sectPr>
      </w:pPr>
      <w:r w:rsidRPr="009E67C2">
        <w:rPr>
          <w:sz w:val="23"/>
          <w:szCs w:val="23"/>
        </w:rPr>
        <w:tab/>
      </w:r>
      <w:r w:rsidRPr="009E67C2">
        <w:rPr>
          <w:sz w:val="23"/>
          <w:szCs w:val="23"/>
        </w:rPr>
        <w:tab/>
      </w:r>
      <w:r w:rsidRPr="009E67C2">
        <w:rPr>
          <w:sz w:val="23"/>
          <w:szCs w:val="23"/>
        </w:rPr>
        <w:tab/>
      </w:r>
      <w:r w:rsidRPr="009E67C2">
        <w:rPr>
          <w:sz w:val="23"/>
          <w:szCs w:val="23"/>
        </w:rPr>
        <w:tab/>
      </w:r>
      <w:r w:rsidRPr="009E67C2">
        <w:rPr>
          <w:sz w:val="23"/>
          <w:szCs w:val="23"/>
        </w:rPr>
        <w:tab/>
      </w:r>
      <w:r w:rsidRPr="009E67C2">
        <w:rPr>
          <w:sz w:val="23"/>
          <w:szCs w:val="23"/>
        </w:rPr>
        <w:tab/>
      </w:r>
      <w:r w:rsidRPr="009E67C2">
        <w:rPr>
          <w:sz w:val="23"/>
          <w:szCs w:val="23"/>
        </w:rPr>
        <w:tab/>
      </w:r>
      <w:r w:rsidRPr="009E67C2">
        <w:rPr>
          <w:sz w:val="23"/>
          <w:szCs w:val="23"/>
        </w:rPr>
        <w:tab/>
        <w:t>Administrative Law Judge</w:t>
      </w:r>
    </w:p>
    <w:p w:rsidR="002052F6" w:rsidRDefault="002052F6" w:rsidP="002052F6">
      <w:pPr>
        <w:contextualSpacing/>
        <w:rPr>
          <w:rFonts w:ascii="Microsoft Sans Serif"/>
          <w:sz w:val="24"/>
        </w:rPr>
      </w:pPr>
      <w:r>
        <w:rPr>
          <w:rFonts w:ascii="Microsoft Sans Serif"/>
          <w:b/>
          <w:sz w:val="24"/>
          <w:u w:val="single"/>
        </w:rPr>
        <w:lastRenderedPageBreak/>
        <w:t>F-2011-2263622 - SANDRA BROWN v. PECO ENERGY COMPANY</w:t>
      </w:r>
      <w:r>
        <w:rPr>
          <w:rFonts w:ascii="Microsoft Sans Serif"/>
          <w:b/>
          <w:sz w:val="24"/>
          <w:u w:val="single"/>
        </w:rPr>
        <w:cr/>
      </w:r>
      <w:r>
        <w:rPr>
          <w:rFonts w:ascii="Microsoft Sans Serif"/>
          <w:sz w:val="24"/>
        </w:rPr>
        <w:cr/>
      </w:r>
    </w:p>
    <w:p w:rsidR="002052F6" w:rsidRDefault="002052F6" w:rsidP="002052F6">
      <w:pPr>
        <w:contextualSpacing/>
        <w:rPr>
          <w:rFonts w:ascii="Microsoft Sans Serif"/>
          <w:sz w:val="24"/>
        </w:rPr>
      </w:pPr>
    </w:p>
    <w:p w:rsidR="002052F6" w:rsidRDefault="002052F6" w:rsidP="002052F6">
      <w:pPr>
        <w:contextualSpacing/>
        <w:rPr>
          <w:rFonts w:ascii="Microsoft Sans Serif"/>
          <w:sz w:val="24"/>
        </w:rPr>
      </w:pPr>
      <w:r>
        <w:rPr>
          <w:rFonts w:ascii="Microsoft Sans Serif"/>
          <w:sz w:val="24"/>
        </w:rPr>
        <w:t>SANDRA BROWN</w:t>
      </w:r>
      <w:r>
        <w:rPr>
          <w:rFonts w:ascii="Microsoft Sans Serif"/>
          <w:sz w:val="24"/>
        </w:rPr>
        <w:cr/>
        <w:t>929 WYNNEWOOD ROAD</w:t>
      </w:r>
      <w:r>
        <w:rPr>
          <w:rFonts w:ascii="Microsoft Sans Serif"/>
          <w:sz w:val="24"/>
        </w:rPr>
        <w:cr/>
        <w:t>PHILADELPHIA PA  19151</w:t>
      </w:r>
      <w:r>
        <w:rPr>
          <w:rFonts w:ascii="Microsoft Sans Serif"/>
          <w:sz w:val="24"/>
        </w:rPr>
        <w:cr/>
      </w:r>
      <w:r w:rsidRPr="00B628EB">
        <w:rPr>
          <w:rFonts w:ascii="Microsoft Sans Serif"/>
          <w:b/>
          <w:sz w:val="24"/>
        </w:rPr>
        <w:t>215.878.1981</w:t>
      </w:r>
      <w:r>
        <w:rPr>
          <w:rFonts w:ascii="Microsoft Sans Serif"/>
          <w:sz w:val="24"/>
        </w:rPr>
        <w:cr/>
      </w:r>
    </w:p>
    <w:p w:rsidR="002052F6" w:rsidRDefault="002052F6" w:rsidP="002052F6">
      <w:pPr>
        <w:contextualSpacing/>
      </w:pPr>
      <w:r>
        <w:rPr>
          <w:rFonts w:ascii="Microsoft Sans Serif"/>
          <w:b/>
          <w:sz w:val="24"/>
          <w:u w:val="single"/>
        </w:rPr>
        <w:cr/>
      </w:r>
      <w:r>
        <w:rPr>
          <w:rFonts w:ascii="Microsoft Sans Serif"/>
          <w:sz w:val="24"/>
        </w:rPr>
        <w:t>TISHEKIA WILLIAMS ESQUIRE</w:t>
      </w:r>
      <w:r>
        <w:rPr>
          <w:rFonts w:ascii="Microsoft Sans Serif"/>
          <w:sz w:val="24"/>
        </w:rPr>
        <w:cr/>
        <w:t>EXELON BUSINESS SERVICES COMPANY</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r>
      <w:r w:rsidRPr="00B628EB">
        <w:rPr>
          <w:rFonts w:ascii="Microsoft Sans Serif"/>
          <w:b/>
          <w:sz w:val="24"/>
        </w:rPr>
        <w:t>215.841.6841</w:t>
      </w:r>
      <w:r>
        <w:rPr>
          <w:rFonts w:ascii="Microsoft Sans Serif"/>
          <w:sz w:val="24"/>
        </w:rPr>
        <w:cr/>
      </w:r>
    </w:p>
    <w:p w:rsidR="002052F6" w:rsidRDefault="002052F6" w:rsidP="002052F6">
      <w:pPr>
        <w:contextualSpacing/>
      </w:pPr>
    </w:p>
    <w:p w:rsidR="002052F6" w:rsidRDefault="002052F6" w:rsidP="002052F6"/>
    <w:p w:rsidR="00D63684" w:rsidRPr="009E67C2" w:rsidRDefault="00D63684" w:rsidP="00314157">
      <w:pPr>
        <w:autoSpaceDE/>
        <w:autoSpaceDN/>
        <w:rPr>
          <w:sz w:val="23"/>
          <w:szCs w:val="23"/>
        </w:rPr>
      </w:pPr>
      <w:bookmarkStart w:id="0" w:name="_GoBack"/>
      <w:bookmarkEnd w:id="0"/>
    </w:p>
    <w:sectPr w:rsidR="00D63684" w:rsidRPr="009E67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860" w:rsidRDefault="00D75860">
      <w:r>
        <w:separator/>
      </w:r>
    </w:p>
  </w:endnote>
  <w:endnote w:type="continuationSeparator" w:id="0">
    <w:p w:rsidR="00D75860" w:rsidRDefault="00D75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52F6">
      <w:rPr>
        <w:rStyle w:val="PageNumber"/>
        <w:noProof/>
      </w:rPr>
      <w:t>2</w:t>
    </w:r>
    <w:r>
      <w:rPr>
        <w:rStyle w:val="PageNumber"/>
      </w:rPr>
      <w:fldChar w:fldCharType="end"/>
    </w:r>
  </w:p>
  <w:p w:rsidR="006B08C2" w:rsidRDefault="006B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860" w:rsidRDefault="00D75860">
      <w:r>
        <w:separator/>
      </w:r>
    </w:p>
  </w:footnote>
  <w:footnote w:type="continuationSeparator" w:id="0">
    <w:p w:rsidR="00D75860" w:rsidRDefault="00D75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26F22"/>
    <w:rsid w:val="00055C21"/>
    <w:rsid w:val="000B40DB"/>
    <w:rsid w:val="000C29CA"/>
    <w:rsid w:val="000D39CD"/>
    <w:rsid w:val="000E64D7"/>
    <w:rsid w:val="00101E6D"/>
    <w:rsid w:val="00105DA0"/>
    <w:rsid w:val="001109E2"/>
    <w:rsid w:val="00115DAF"/>
    <w:rsid w:val="00122DFB"/>
    <w:rsid w:val="00150EB1"/>
    <w:rsid w:val="001600B8"/>
    <w:rsid w:val="0016688B"/>
    <w:rsid w:val="00166B0E"/>
    <w:rsid w:val="001765C3"/>
    <w:rsid w:val="00192CBA"/>
    <w:rsid w:val="001C5B6F"/>
    <w:rsid w:val="001E1C95"/>
    <w:rsid w:val="001F7F8A"/>
    <w:rsid w:val="002052F6"/>
    <w:rsid w:val="00212490"/>
    <w:rsid w:val="00251B56"/>
    <w:rsid w:val="002B0937"/>
    <w:rsid w:val="003112BF"/>
    <w:rsid w:val="00314157"/>
    <w:rsid w:val="003212B2"/>
    <w:rsid w:val="00336D49"/>
    <w:rsid w:val="00337F8B"/>
    <w:rsid w:val="00355692"/>
    <w:rsid w:val="00361125"/>
    <w:rsid w:val="003A6970"/>
    <w:rsid w:val="003B1503"/>
    <w:rsid w:val="003C1F8F"/>
    <w:rsid w:val="003F2366"/>
    <w:rsid w:val="003F6F58"/>
    <w:rsid w:val="004032CE"/>
    <w:rsid w:val="00405714"/>
    <w:rsid w:val="00407A27"/>
    <w:rsid w:val="00415A1D"/>
    <w:rsid w:val="00466F8B"/>
    <w:rsid w:val="00475F59"/>
    <w:rsid w:val="00496408"/>
    <w:rsid w:val="00496B51"/>
    <w:rsid w:val="004C0371"/>
    <w:rsid w:val="005031B5"/>
    <w:rsid w:val="00503F2B"/>
    <w:rsid w:val="0050701F"/>
    <w:rsid w:val="0051502A"/>
    <w:rsid w:val="00524411"/>
    <w:rsid w:val="005560D2"/>
    <w:rsid w:val="00571EDD"/>
    <w:rsid w:val="005A7648"/>
    <w:rsid w:val="005B1756"/>
    <w:rsid w:val="00650F97"/>
    <w:rsid w:val="00657BF9"/>
    <w:rsid w:val="006619C6"/>
    <w:rsid w:val="0067197F"/>
    <w:rsid w:val="00673F5D"/>
    <w:rsid w:val="00685397"/>
    <w:rsid w:val="006905F4"/>
    <w:rsid w:val="006A416B"/>
    <w:rsid w:val="006A75B3"/>
    <w:rsid w:val="006B08C2"/>
    <w:rsid w:val="006B4BF4"/>
    <w:rsid w:val="006B789F"/>
    <w:rsid w:val="006E0F54"/>
    <w:rsid w:val="00700589"/>
    <w:rsid w:val="00701ABD"/>
    <w:rsid w:val="00712615"/>
    <w:rsid w:val="00736CC4"/>
    <w:rsid w:val="00771959"/>
    <w:rsid w:val="0077461C"/>
    <w:rsid w:val="007751E5"/>
    <w:rsid w:val="00777417"/>
    <w:rsid w:val="007C1845"/>
    <w:rsid w:val="007C4C3B"/>
    <w:rsid w:val="007D41EF"/>
    <w:rsid w:val="007E11A3"/>
    <w:rsid w:val="007E5B8D"/>
    <w:rsid w:val="007E5F82"/>
    <w:rsid w:val="007E6BA7"/>
    <w:rsid w:val="007F29A5"/>
    <w:rsid w:val="008011E2"/>
    <w:rsid w:val="008011FE"/>
    <w:rsid w:val="008032DA"/>
    <w:rsid w:val="00806F7E"/>
    <w:rsid w:val="00807CE1"/>
    <w:rsid w:val="00833A51"/>
    <w:rsid w:val="008417C9"/>
    <w:rsid w:val="008675F2"/>
    <w:rsid w:val="0087075E"/>
    <w:rsid w:val="008745A3"/>
    <w:rsid w:val="00882840"/>
    <w:rsid w:val="008F2448"/>
    <w:rsid w:val="009119CA"/>
    <w:rsid w:val="009152CE"/>
    <w:rsid w:val="009157C0"/>
    <w:rsid w:val="0093282A"/>
    <w:rsid w:val="00933192"/>
    <w:rsid w:val="00940F50"/>
    <w:rsid w:val="0094378D"/>
    <w:rsid w:val="00967C5A"/>
    <w:rsid w:val="009D205E"/>
    <w:rsid w:val="009D67F1"/>
    <w:rsid w:val="009E553B"/>
    <w:rsid w:val="009E67C2"/>
    <w:rsid w:val="009E7BFB"/>
    <w:rsid w:val="009F1C01"/>
    <w:rsid w:val="00A01330"/>
    <w:rsid w:val="00A07660"/>
    <w:rsid w:val="00A4149A"/>
    <w:rsid w:val="00A66698"/>
    <w:rsid w:val="00AB2A2D"/>
    <w:rsid w:val="00AC1591"/>
    <w:rsid w:val="00AE6262"/>
    <w:rsid w:val="00AF288A"/>
    <w:rsid w:val="00B05270"/>
    <w:rsid w:val="00B145BF"/>
    <w:rsid w:val="00B218EC"/>
    <w:rsid w:val="00B23652"/>
    <w:rsid w:val="00B40227"/>
    <w:rsid w:val="00B4086D"/>
    <w:rsid w:val="00B66AD6"/>
    <w:rsid w:val="00B86061"/>
    <w:rsid w:val="00BB63B5"/>
    <w:rsid w:val="00BD2D47"/>
    <w:rsid w:val="00BE4213"/>
    <w:rsid w:val="00BE5464"/>
    <w:rsid w:val="00BF0ABC"/>
    <w:rsid w:val="00C07D26"/>
    <w:rsid w:val="00C170D9"/>
    <w:rsid w:val="00C743BB"/>
    <w:rsid w:val="00C751CE"/>
    <w:rsid w:val="00C81100"/>
    <w:rsid w:val="00C851DD"/>
    <w:rsid w:val="00C85CA5"/>
    <w:rsid w:val="00CC2590"/>
    <w:rsid w:val="00CF2C2D"/>
    <w:rsid w:val="00D52DAE"/>
    <w:rsid w:val="00D55527"/>
    <w:rsid w:val="00D63684"/>
    <w:rsid w:val="00D75860"/>
    <w:rsid w:val="00DA1145"/>
    <w:rsid w:val="00DB036A"/>
    <w:rsid w:val="00DB273F"/>
    <w:rsid w:val="00DB5116"/>
    <w:rsid w:val="00DD1D22"/>
    <w:rsid w:val="00DF0230"/>
    <w:rsid w:val="00E01DD4"/>
    <w:rsid w:val="00E04142"/>
    <w:rsid w:val="00E20E4E"/>
    <w:rsid w:val="00E5495C"/>
    <w:rsid w:val="00E84E2C"/>
    <w:rsid w:val="00E9026F"/>
    <w:rsid w:val="00F10EDB"/>
    <w:rsid w:val="00F17EFA"/>
    <w:rsid w:val="00F2122C"/>
    <w:rsid w:val="00F25149"/>
    <w:rsid w:val="00F26904"/>
    <w:rsid w:val="00F278E4"/>
    <w:rsid w:val="00F31757"/>
    <w:rsid w:val="00F44AA0"/>
    <w:rsid w:val="00F81994"/>
    <w:rsid w:val="00F9166E"/>
    <w:rsid w:val="00F94BA1"/>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7C1845"/>
    <w:rPr>
      <w:rFonts w:ascii="Tahoma" w:hAnsi="Tahoma" w:cs="Tahoma"/>
      <w:sz w:val="16"/>
      <w:szCs w:val="16"/>
    </w:rPr>
  </w:style>
  <w:style w:type="character" w:customStyle="1" w:styleId="BalloonTextChar">
    <w:name w:val="Balloon Text Char"/>
    <w:basedOn w:val="DefaultParagraphFont"/>
    <w:link w:val="BalloonText"/>
    <w:rsid w:val="007C18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BalloonText">
    <w:name w:val="Balloon Text"/>
    <w:basedOn w:val="Normal"/>
    <w:link w:val="BalloonTextChar"/>
    <w:rsid w:val="007C1845"/>
    <w:rPr>
      <w:rFonts w:ascii="Tahoma" w:hAnsi="Tahoma" w:cs="Tahoma"/>
      <w:sz w:val="16"/>
      <w:szCs w:val="16"/>
    </w:rPr>
  </w:style>
  <w:style w:type="character" w:customStyle="1" w:styleId="BalloonTextChar">
    <w:name w:val="Balloon Text Char"/>
    <w:basedOn w:val="DefaultParagraphFont"/>
    <w:link w:val="BalloonText"/>
    <w:rsid w:val="007C18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579749">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33099-1858-4EB7-BC24-A4FA5F0C8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1562</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astout</cp:lastModifiedBy>
  <cp:revision>3</cp:revision>
  <cp:lastPrinted>2012-03-20T19:25:00Z</cp:lastPrinted>
  <dcterms:created xsi:type="dcterms:W3CDTF">2012-03-22T14:35:00Z</dcterms:created>
  <dcterms:modified xsi:type="dcterms:W3CDTF">2012-03-22T14:36:00Z</dcterms:modified>
</cp:coreProperties>
</file>