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EA1625" w:rsidRDefault="008E4FD6" w:rsidP="00EA1625">
      <w:pPr>
        <w:jc w:val="center"/>
        <w:rPr>
          <w:b/>
        </w:rPr>
      </w:pPr>
      <w:r w:rsidRPr="00EA1625">
        <w:rPr>
          <w:b/>
        </w:rPr>
        <w:t>BEFORE THE</w:t>
      </w:r>
    </w:p>
    <w:p w:rsidR="008E4FD6" w:rsidRPr="00EA1625" w:rsidRDefault="008E4FD6" w:rsidP="00EA1625">
      <w:pPr>
        <w:jc w:val="center"/>
        <w:rPr>
          <w:b/>
        </w:rPr>
      </w:pPr>
      <w:smartTag w:uri="urn:schemas-microsoft-com:office:smarttags" w:element="State">
        <w:smartTag w:uri="urn:schemas-microsoft-com:office:smarttags" w:element="place">
          <w:r w:rsidRPr="00EA1625">
            <w:rPr>
              <w:b/>
            </w:rPr>
            <w:t>PENNSYLVANIA</w:t>
          </w:r>
        </w:smartTag>
      </w:smartTag>
      <w:r w:rsidRPr="00EA1625">
        <w:rPr>
          <w:b/>
        </w:rPr>
        <w:t xml:space="preserve"> PUBLIC UTILITY COMMISSION</w:t>
      </w:r>
    </w:p>
    <w:p w:rsidR="008E4FD6" w:rsidRPr="00EA1625" w:rsidRDefault="008E4FD6" w:rsidP="00EA1625">
      <w:pPr>
        <w:jc w:val="center"/>
        <w:rPr>
          <w:b/>
        </w:rPr>
      </w:pPr>
    </w:p>
    <w:p w:rsidR="008E4FD6" w:rsidRPr="00EA1625" w:rsidRDefault="008E4FD6" w:rsidP="00D2354E"/>
    <w:p w:rsidR="008E4FD6" w:rsidRPr="00EA1625" w:rsidRDefault="008E4FD6" w:rsidP="00D2354E"/>
    <w:p w:rsidR="00F9732A" w:rsidRPr="00EA1625" w:rsidRDefault="004B4BF2" w:rsidP="00D2354E">
      <w:r>
        <w:t>Mary A. Reynolds</w:t>
      </w:r>
      <w:r w:rsidR="00F9732A" w:rsidRPr="00EA1625">
        <w:tab/>
      </w:r>
      <w:r w:rsidR="00F9732A" w:rsidRPr="00EA1625">
        <w:tab/>
      </w:r>
      <w:r w:rsidR="00F9732A" w:rsidRPr="00EA1625">
        <w:tab/>
      </w:r>
      <w:r w:rsidR="00EF7BB1" w:rsidRPr="00EA1625">
        <w:tab/>
      </w:r>
      <w:r w:rsidR="00F9732A" w:rsidRPr="00EA1625">
        <w:tab/>
        <w:t>:</w:t>
      </w:r>
      <w:r w:rsidR="00F9732A" w:rsidRPr="00EA1625">
        <w:tab/>
      </w:r>
    </w:p>
    <w:p w:rsidR="00F9732A" w:rsidRPr="00EA1625" w:rsidRDefault="00F9732A" w:rsidP="00D2354E">
      <w:r w:rsidRPr="00EA1625">
        <w:tab/>
      </w:r>
      <w:r w:rsidRPr="00EA1625">
        <w:tab/>
      </w:r>
      <w:r w:rsidRPr="00EA1625">
        <w:tab/>
      </w:r>
      <w:r w:rsidRPr="00EA1625">
        <w:tab/>
      </w:r>
      <w:r w:rsidRPr="00EA1625">
        <w:tab/>
      </w:r>
      <w:r w:rsidRPr="00EA1625">
        <w:tab/>
      </w:r>
      <w:r w:rsidRPr="00EA1625">
        <w:tab/>
        <w:t>:</w:t>
      </w:r>
    </w:p>
    <w:p w:rsidR="00F9732A" w:rsidRPr="00EA1625" w:rsidRDefault="00F9732A" w:rsidP="00D2354E">
      <w:pPr>
        <w:numPr>
          <w:ilvl w:val="0"/>
          <w:numId w:val="5"/>
        </w:numPr>
        <w:ind w:hanging="4320"/>
      </w:pPr>
      <w:r w:rsidRPr="00EA1625">
        <w:t>:</w:t>
      </w:r>
      <w:r w:rsidRPr="00EA1625">
        <w:tab/>
      </w:r>
      <w:r w:rsidR="00F6612B" w:rsidRPr="00EA1625">
        <w:tab/>
      </w:r>
      <w:r w:rsidR="004D6DDC">
        <w:t>C</w:t>
      </w:r>
      <w:r w:rsidR="00AD253F">
        <w:t>-</w:t>
      </w:r>
      <w:r w:rsidR="004B4BF2">
        <w:t>2010-2195218</w:t>
      </w:r>
    </w:p>
    <w:p w:rsidR="00F9732A" w:rsidRPr="00EA1625" w:rsidRDefault="00F9732A" w:rsidP="00D2354E">
      <w:pPr>
        <w:ind w:left="5040"/>
      </w:pPr>
      <w:r w:rsidRPr="00EA1625">
        <w:t>:</w:t>
      </w:r>
    </w:p>
    <w:p w:rsidR="00F9732A" w:rsidRPr="00EA1625" w:rsidRDefault="004B4BF2" w:rsidP="00D2354E">
      <w:r>
        <w:t>Philadelphia Gas Works</w:t>
      </w:r>
      <w:r>
        <w:tab/>
      </w:r>
      <w:r w:rsidR="007B3113">
        <w:tab/>
      </w:r>
      <w:r w:rsidR="00F9732A" w:rsidRPr="00EA1625">
        <w:t xml:space="preserve"> </w:t>
      </w:r>
      <w:r w:rsidR="00F9732A" w:rsidRPr="00EA1625">
        <w:tab/>
      </w:r>
      <w:r w:rsidR="00F9732A" w:rsidRPr="00EA1625">
        <w:tab/>
        <w:t>:</w:t>
      </w:r>
    </w:p>
    <w:p w:rsidR="004D6DDC" w:rsidRDefault="004D6DDC" w:rsidP="00BE6E3A"/>
    <w:p w:rsidR="00BE6E3A" w:rsidRPr="00EA1625" w:rsidRDefault="00BE6E3A" w:rsidP="00BE6E3A"/>
    <w:p w:rsidR="008E4FD6" w:rsidRPr="00EA1625" w:rsidRDefault="008E4FD6" w:rsidP="00D2354E">
      <w:pPr>
        <w:tabs>
          <w:tab w:val="left" w:pos="1076"/>
        </w:tabs>
      </w:pPr>
    </w:p>
    <w:p w:rsidR="008E4FD6" w:rsidRPr="00EA1625" w:rsidRDefault="008E4FD6" w:rsidP="00EA1625">
      <w:pPr>
        <w:jc w:val="center"/>
        <w:rPr>
          <w:b/>
          <w:u w:val="single"/>
        </w:rPr>
      </w:pPr>
      <w:r w:rsidRPr="00EA1625">
        <w:rPr>
          <w:b/>
          <w:u w:val="single"/>
        </w:rPr>
        <w:t>INITIAL DECISION</w:t>
      </w:r>
    </w:p>
    <w:p w:rsidR="008E4FD6" w:rsidRPr="00EA1625" w:rsidRDefault="008E4FD6" w:rsidP="00EA1625">
      <w:pPr>
        <w:jc w:val="center"/>
      </w:pPr>
    </w:p>
    <w:p w:rsidR="009D47A5" w:rsidRPr="00EA1625" w:rsidRDefault="009D47A5" w:rsidP="00EA1625">
      <w:pPr>
        <w:jc w:val="center"/>
      </w:pPr>
    </w:p>
    <w:p w:rsidR="008E4FD6" w:rsidRPr="00EA1625" w:rsidRDefault="008E4FD6" w:rsidP="00EA1625">
      <w:pPr>
        <w:jc w:val="center"/>
      </w:pPr>
      <w:r w:rsidRPr="00EA1625">
        <w:t>Before</w:t>
      </w:r>
    </w:p>
    <w:p w:rsidR="008E4FD6" w:rsidRPr="00EA1625" w:rsidRDefault="00DF0974" w:rsidP="00EA1625">
      <w:pPr>
        <w:jc w:val="center"/>
      </w:pPr>
      <w:r w:rsidRPr="00EA1625">
        <w:t>Katrina L. Dunderdale</w:t>
      </w:r>
    </w:p>
    <w:p w:rsidR="008E4FD6" w:rsidRPr="00EA1625" w:rsidRDefault="008E4FD6" w:rsidP="00EA1625">
      <w:pPr>
        <w:jc w:val="center"/>
      </w:pPr>
      <w:r w:rsidRPr="00EA1625">
        <w:t>Administrative Law Judge</w:t>
      </w:r>
    </w:p>
    <w:p w:rsidR="008E4FD6" w:rsidRDefault="008E4FD6" w:rsidP="00D2354E"/>
    <w:p w:rsidR="00BE6E3A" w:rsidRPr="00EA1625" w:rsidRDefault="00BE6E3A" w:rsidP="00D2354E"/>
    <w:p w:rsidR="00F9732A" w:rsidRPr="00EA1625" w:rsidRDefault="008E4FD6" w:rsidP="00EA1625">
      <w:pPr>
        <w:jc w:val="center"/>
        <w:rPr>
          <w:u w:val="single"/>
        </w:rPr>
      </w:pPr>
      <w:r w:rsidRPr="00EA1625">
        <w:rPr>
          <w:u w:val="single"/>
        </w:rPr>
        <w:t>HISTORY OF THE PROCEEDING</w:t>
      </w:r>
    </w:p>
    <w:p w:rsidR="00F9732A" w:rsidRPr="00EA1625" w:rsidRDefault="00F9732A" w:rsidP="00D2354E">
      <w:pPr>
        <w:rPr>
          <w:u w:val="single"/>
        </w:rPr>
      </w:pPr>
    </w:p>
    <w:p w:rsidR="00D868FB" w:rsidRPr="00EA1625" w:rsidRDefault="00D868FB" w:rsidP="00D2354E">
      <w:pPr>
        <w:rPr>
          <w:u w:val="single"/>
        </w:rPr>
      </w:pPr>
    </w:p>
    <w:p w:rsidR="0041637D" w:rsidRDefault="00F9732A" w:rsidP="00EA1625">
      <w:pPr>
        <w:spacing w:line="360" w:lineRule="auto"/>
      </w:pPr>
      <w:r w:rsidRPr="00EA1625">
        <w:tab/>
      </w:r>
      <w:r w:rsidRPr="00EA1625">
        <w:tab/>
      </w:r>
      <w:r w:rsidR="00E55C1D">
        <w:t xml:space="preserve">On </w:t>
      </w:r>
      <w:r w:rsidR="004B4BF2">
        <w:t>August 19, 2010</w:t>
      </w:r>
      <w:r w:rsidR="00BD76C8" w:rsidRPr="00EA1625">
        <w:t>,</w:t>
      </w:r>
      <w:r w:rsidR="004B4BF2">
        <w:t xml:space="preserve"> Mary A. Reynolds</w:t>
      </w:r>
      <w:r w:rsidR="00BD76C8" w:rsidRPr="00EA1625">
        <w:t xml:space="preserve"> </w:t>
      </w:r>
      <w:r w:rsidR="00497A4D">
        <w:t xml:space="preserve">(“Complainant”) </w:t>
      </w:r>
      <w:r w:rsidR="00BD76C8" w:rsidRPr="00EA1625">
        <w:t>filed a formal complaint with the Pennsylvania P</w:t>
      </w:r>
      <w:r w:rsidR="0041637D" w:rsidRPr="00EA1625">
        <w:t>u</w:t>
      </w:r>
      <w:r w:rsidR="00BD76C8" w:rsidRPr="00EA1625">
        <w:t xml:space="preserve">blic Utility Commission (“Commission”) against </w:t>
      </w:r>
      <w:r w:rsidR="004B4BF2">
        <w:t>Philadelphia Gas Works</w:t>
      </w:r>
      <w:r w:rsidR="004201C6" w:rsidRPr="00EA1625">
        <w:t xml:space="preserve"> </w:t>
      </w:r>
      <w:r w:rsidR="00BD76C8" w:rsidRPr="00EA1625">
        <w:t>(“</w:t>
      </w:r>
      <w:r w:rsidR="004B4BF2">
        <w:t>PGW</w:t>
      </w:r>
      <w:r w:rsidR="00BD76C8" w:rsidRPr="00EA1625">
        <w:t>” or “</w:t>
      </w:r>
      <w:r w:rsidR="00FD4410">
        <w:t>Respondent</w:t>
      </w:r>
      <w:r w:rsidR="00BD76C8" w:rsidRPr="00EA1625">
        <w:t xml:space="preserve">”) </w:t>
      </w:r>
      <w:r w:rsidR="004201C6" w:rsidRPr="00EA1625">
        <w:t>alleging</w:t>
      </w:r>
      <w:r w:rsidR="00BD76C8" w:rsidRPr="00EA1625">
        <w:t xml:space="preserve"> </w:t>
      </w:r>
      <w:r w:rsidR="004B4BF2">
        <w:t>PGW won’t investigate her high bills and threatens to terminate her service without allowing her an opportunity to have a payment agreement</w:t>
      </w:r>
      <w:r w:rsidR="00AD75C9">
        <w:t xml:space="preserve">. </w:t>
      </w:r>
    </w:p>
    <w:p w:rsidR="00AD75C9" w:rsidRPr="00EA1625" w:rsidRDefault="00AD75C9" w:rsidP="00EA1625">
      <w:pPr>
        <w:spacing w:line="360" w:lineRule="auto"/>
      </w:pPr>
    </w:p>
    <w:p w:rsidR="000B575F" w:rsidRDefault="0041637D" w:rsidP="00EA1625">
      <w:pPr>
        <w:spacing w:line="360" w:lineRule="auto"/>
      </w:pPr>
      <w:r w:rsidRPr="00EA1625">
        <w:tab/>
      </w:r>
      <w:r w:rsidRPr="00EA1625">
        <w:tab/>
      </w:r>
      <w:r w:rsidR="004B4BF2">
        <w:t>PGW</w:t>
      </w:r>
      <w:r w:rsidRPr="00EA1625">
        <w:t xml:space="preserve"> filed </w:t>
      </w:r>
      <w:r w:rsidR="00DF0974" w:rsidRPr="00EA1625">
        <w:t>an</w:t>
      </w:r>
      <w:r w:rsidR="00580D5E" w:rsidRPr="00EA1625">
        <w:t xml:space="preserve"> </w:t>
      </w:r>
      <w:r w:rsidRPr="00EA1625">
        <w:t xml:space="preserve">answer on </w:t>
      </w:r>
      <w:r w:rsidR="00CF7FD0">
        <w:t xml:space="preserve">September </w:t>
      </w:r>
      <w:r w:rsidR="004B4BF2">
        <w:t>13, 2010</w:t>
      </w:r>
      <w:r w:rsidRPr="00EA1625">
        <w:t xml:space="preserve">.  In </w:t>
      </w:r>
      <w:r w:rsidR="00DF0974" w:rsidRPr="00EA1625">
        <w:t>its</w:t>
      </w:r>
      <w:r w:rsidRPr="00EA1625">
        <w:t xml:space="preserve"> </w:t>
      </w:r>
      <w:r w:rsidR="00580D5E" w:rsidRPr="00EA1625">
        <w:t xml:space="preserve">responsive pleading, </w:t>
      </w:r>
      <w:r w:rsidR="004B4BF2">
        <w:t>PGW</w:t>
      </w:r>
      <w:r w:rsidR="003F5065">
        <w:t xml:space="preserve"> </w:t>
      </w:r>
      <w:r w:rsidR="00C15A48">
        <w:t>avers</w:t>
      </w:r>
      <w:r w:rsidR="004B4BF2">
        <w:t xml:space="preserve"> Complainant had a zero balance until 2006 when she began accumulating arrearages due to underpaid monthly bills.  </w:t>
      </w:r>
      <w:r w:rsidR="00C15A48">
        <w:t xml:space="preserve"> </w:t>
      </w:r>
      <w:r w:rsidR="004B4BF2">
        <w:t xml:space="preserve">Respondent contends Complainant is not entitled to a payment agreement from the Commission because the account balance contains </w:t>
      </w:r>
      <w:r w:rsidR="00FC6F9E">
        <w:t>Consumer Responsibility Program (“</w:t>
      </w:r>
      <w:r w:rsidR="004B4BF2">
        <w:t>CRP</w:t>
      </w:r>
      <w:r w:rsidR="00FC6F9E">
        <w:t>”)</w:t>
      </w:r>
      <w:r w:rsidR="004B4BF2">
        <w:t xml:space="preserve"> arrears.  </w:t>
      </w:r>
      <w:r w:rsidR="00734AEF">
        <w:t xml:space="preserve">Furthermore, Respondent contends </w:t>
      </w:r>
      <w:r w:rsidR="004B4BF2">
        <w:t xml:space="preserve">Complainant’s account would be finalized with the August 2010 account statement because another individual requested to have the natural gas service established in his name.  Respondent further avers its meter, which is equipped with an automatic reading device, correctly measured Complainant’s natural gas usage.  </w:t>
      </w:r>
    </w:p>
    <w:p w:rsidR="00A85958" w:rsidRDefault="00A85958" w:rsidP="00EA1625">
      <w:pPr>
        <w:spacing w:line="360" w:lineRule="auto"/>
      </w:pPr>
    </w:p>
    <w:p w:rsidR="008E4FD6" w:rsidRPr="00EA1625" w:rsidRDefault="009239E5" w:rsidP="00A90945">
      <w:pPr>
        <w:spacing w:line="360" w:lineRule="auto"/>
        <w:ind w:firstLine="1440"/>
      </w:pPr>
      <w:r>
        <w:lastRenderedPageBreak/>
        <w:t xml:space="preserve">By Telephone Hearing Notice dated </w:t>
      </w:r>
      <w:r w:rsidR="004B4BF2">
        <w:t>August 31, 2010</w:t>
      </w:r>
      <w:r>
        <w:t xml:space="preserve">, the Public Utility Commission notified the parties an initial hearing in this case was scheduled for </w:t>
      </w:r>
      <w:r w:rsidR="00F533E6">
        <w:t>Thursday, December 2</w:t>
      </w:r>
      <w:r w:rsidR="00A90945">
        <w:t>, 2010</w:t>
      </w:r>
      <w:r w:rsidR="009F2B2E">
        <w:t>,</w:t>
      </w:r>
      <w:r w:rsidR="00D23617">
        <w:t xml:space="preserve"> </w:t>
      </w:r>
      <w:r w:rsidR="009737DF">
        <w:t>at 9</w:t>
      </w:r>
      <w:r w:rsidR="00F533E6">
        <w:t>:3</w:t>
      </w:r>
      <w:r>
        <w:t>0 a.m.</w:t>
      </w:r>
      <w:r w:rsidR="00CA5F7A">
        <w:t xml:space="preserve"> before Administrative Law Judge (“ALJ”) Cynthia W. Fordham.  </w:t>
      </w:r>
      <w:r>
        <w:rPr>
          <w:spacing w:val="-3"/>
        </w:rPr>
        <w:t xml:space="preserve">On </w:t>
      </w:r>
      <w:r w:rsidR="00F533E6">
        <w:rPr>
          <w:spacing w:val="-3"/>
        </w:rPr>
        <w:t>October 22, 2010</w:t>
      </w:r>
      <w:r>
        <w:rPr>
          <w:spacing w:val="-3"/>
        </w:rPr>
        <w:t xml:space="preserve">, </w:t>
      </w:r>
      <w:r w:rsidR="00CA5F7A">
        <w:rPr>
          <w:spacing w:val="-3"/>
        </w:rPr>
        <w:t>ALJ Fordham</w:t>
      </w:r>
      <w:r>
        <w:rPr>
          <w:spacing w:val="-3"/>
        </w:rPr>
        <w:t xml:space="preserve"> issued a Prehearing Order </w:t>
      </w:r>
      <w:r>
        <w:t xml:space="preserve">setting forth </w:t>
      </w:r>
      <w:r w:rsidRPr="009F5BA4">
        <w:t>the date and time of the scheduled hearing</w:t>
      </w:r>
      <w:r w:rsidR="00CA5F7A">
        <w:t xml:space="preserve"> and various procedural matters</w:t>
      </w:r>
      <w:r>
        <w:t xml:space="preserve">. </w:t>
      </w:r>
      <w:r w:rsidR="00D93CB5">
        <w:t xml:space="preserve"> </w:t>
      </w:r>
      <w:r w:rsidR="00CA5F7A">
        <w:t>On November 30, 2010, the matter was continued until Friday, December 17, 2010</w:t>
      </w:r>
      <w:r w:rsidR="00142C06">
        <w:t>,</w:t>
      </w:r>
      <w:r w:rsidR="00CA5F7A">
        <w:t xml:space="preserve"> at 2:00 p.m.</w:t>
      </w:r>
    </w:p>
    <w:p w:rsidR="00CA5F7A" w:rsidRPr="00B73D10" w:rsidRDefault="00CA5F7A" w:rsidP="00CA5F7A">
      <w:pPr>
        <w:spacing w:line="360" w:lineRule="auto"/>
      </w:pPr>
    </w:p>
    <w:p w:rsidR="00CA5F7A" w:rsidRPr="00B73D10" w:rsidRDefault="00CA5F7A" w:rsidP="00CA5F7A">
      <w:pPr>
        <w:spacing w:line="360" w:lineRule="auto"/>
        <w:ind w:firstLine="1440"/>
      </w:pPr>
      <w:r>
        <w:t>ALJ Fordham</w:t>
      </w:r>
      <w:r w:rsidRPr="00B73D10">
        <w:t xml:space="preserve"> convened the initial hearing as scheduled on </w:t>
      </w:r>
      <w:r>
        <w:t>December 17, 2010</w:t>
      </w:r>
      <w:r w:rsidRPr="00B73D10">
        <w:t xml:space="preserve">.  </w:t>
      </w:r>
      <w:r>
        <w:t>Ms. Reynolds</w:t>
      </w:r>
      <w:r w:rsidRPr="00B73D10">
        <w:t xml:space="preserve"> (“Complainant”) appeared </w:t>
      </w:r>
      <w:r w:rsidRPr="00B73D10">
        <w:rPr>
          <w:i/>
        </w:rPr>
        <w:t>pro se</w:t>
      </w:r>
      <w:r w:rsidRPr="00B73D10">
        <w:t xml:space="preserve"> </w:t>
      </w:r>
      <w:r>
        <w:t xml:space="preserve">and testified </w:t>
      </w:r>
      <w:r w:rsidRPr="00B73D10">
        <w:t xml:space="preserve">on </w:t>
      </w:r>
      <w:r>
        <w:t>her</w:t>
      </w:r>
      <w:r w:rsidRPr="00B73D10">
        <w:t xml:space="preserve"> own behalf.  </w:t>
      </w:r>
      <w:r>
        <w:t>Complainant offered four exhibits, marked Complainant Exhibits 1 through 4.  Complainant’s Exhibits 1, 2</w:t>
      </w:r>
      <w:r w:rsidR="00142C06">
        <w:t>,</w:t>
      </w:r>
      <w:r>
        <w:t xml:space="preserve"> and 4 were admitted into evidence.  </w:t>
      </w:r>
      <w:r w:rsidRPr="00B73D10">
        <w:t xml:space="preserve">Respondent was represented by </w:t>
      </w:r>
      <w:r w:rsidR="009D4FFE">
        <w:t xml:space="preserve">Gerald P. Clark, Esquire and </w:t>
      </w:r>
      <w:proofErr w:type="spellStart"/>
      <w:r>
        <w:t>Laureto</w:t>
      </w:r>
      <w:proofErr w:type="spellEnd"/>
      <w:r>
        <w:t xml:space="preserve"> Farinas</w:t>
      </w:r>
      <w:r w:rsidRPr="00B73D10">
        <w:t xml:space="preserve">, Esquire.  </w:t>
      </w:r>
      <w:r w:rsidR="00FC6F9E">
        <w:t>Respondent</w:t>
      </w:r>
      <w:r w:rsidRPr="00B73D10">
        <w:t xml:space="preserve"> presented the testimon</w:t>
      </w:r>
      <w:r w:rsidR="00FC6F9E">
        <w:t>ies</w:t>
      </w:r>
      <w:r w:rsidRPr="00B73D10">
        <w:t xml:space="preserve"> of </w:t>
      </w:r>
      <w:r w:rsidR="00FC6F9E">
        <w:t>two</w:t>
      </w:r>
      <w:r w:rsidRPr="00B73D10">
        <w:t xml:space="preserve"> witness</w:t>
      </w:r>
      <w:r w:rsidR="00FC6F9E">
        <w:t>es</w:t>
      </w:r>
      <w:r w:rsidRPr="00B73D10">
        <w:t xml:space="preserve">, and offered </w:t>
      </w:r>
      <w:r>
        <w:t>five</w:t>
      </w:r>
      <w:r w:rsidRPr="00B73D10">
        <w:t xml:space="preserve"> exhibits, marked </w:t>
      </w:r>
      <w:r>
        <w:t>PGW</w:t>
      </w:r>
      <w:r w:rsidRPr="00B73D10">
        <w:t xml:space="preserve"> Exhibit</w:t>
      </w:r>
      <w:r>
        <w:t>s 1, 3, 4, 5, and 7</w:t>
      </w:r>
      <w:r w:rsidRPr="00B73D10">
        <w:t xml:space="preserve">, which exhibits were admitted into evidence.  The transcript of the hearing contains </w:t>
      </w:r>
      <w:r>
        <w:t xml:space="preserve">125 </w:t>
      </w:r>
      <w:r w:rsidRPr="00B73D10">
        <w:t>pages</w:t>
      </w:r>
      <w:r>
        <w:t xml:space="preserve"> and was received by ALJ Fordham on January 12, 201</w:t>
      </w:r>
      <w:r w:rsidR="004B4267">
        <w:t>1</w:t>
      </w:r>
      <w:r>
        <w:t>.</w:t>
      </w:r>
      <w:r w:rsidRPr="00B73D10">
        <w:t xml:space="preserve">    </w:t>
      </w:r>
    </w:p>
    <w:p w:rsidR="00CA5F7A" w:rsidRPr="00B73D10" w:rsidRDefault="00CA5F7A" w:rsidP="00CA5F7A">
      <w:pPr>
        <w:tabs>
          <w:tab w:val="left" w:pos="2160"/>
        </w:tabs>
        <w:spacing w:line="360" w:lineRule="auto"/>
        <w:ind w:firstLine="1440"/>
      </w:pPr>
    </w:p>
    <w:p w:rsidR="00CA5F7A" w:rsidRPr="00B73D10" w:rsidRDefault="00CA5F7A" w:rsidP="00CA5F7A">
      <w:pPr>
        <w:tabs>
          <w:tab w:val="left" w:pos="2160"/>
        </w:tabs>
        <w:spacing w:line="360" w:lineRule="auto"/>
        <w:ind w:firstLine="1440"/>
      </w:pPr>
      <w:r>
        <w:t xml:space="preserve">On February 7, 2012, the Office of Administrative Law Judge issued a Judge Change Notice authorizing Administrative Law Judge Katrina L. Dunderdale to issue a decision in this matter.  </w:t>
      </w:r>
      <w:r w:rsidRPr="00B73D10">
        <w:t xml:space="preserve">On </w:t>
      </w:r>
      <w:r>
        <w:t>February 21, 2012,</w:t>
      </w:r>
      <w:r w:rsidRPr="00B73D10">
        <w:t xml:space="preserve"> </w:t>
      </w:r>
      <w:r>
        <w:t>ALJ Dunderdale closed the hearing</w:t>
      </w:r>
      <w:r w:rsidRPr="00B73D10">
        <w:t xml:space="preserve"> record by Interim Order Closing the Hearing Record.</w:t>
      </w:r>
      <w:r w:rsidR="00684461">
        <w:t xml:space="preserve">  </w:t>
      </w:r>
    </w:p>
    <w:p w:rsidR="00CA5F7A" w:rsidRDefault="00CA5F7A" w:rsidP="00CA5F7A">
      <w:pPr>
        <w:tabs>
          <w:tab w:val="left" w:pos="2160"/>
        </w:tabs>
        <w:spacing w:line="360" w:lineRule="auto"/>
        <w:rPr>
          <w:u w:val="single"/>
        </w:rPr>
      </w:pPr>
    </w:p>
    <w:p w:rsidR="008E4FD6" w:rsidRPr="00EA1625" w:rsidRDefault="008E4FD6" w:rsidP="00EA1625">
      <w:pPr>
        <w:tabs>
          <w:tab w:val="left" w:pos="2160"/>
        </w:tabs>
        <w:spacing w:line="360" w:lineRule="auto"/>
        <w:jc w:val="center"/>
        <w:rPr>
          <w:u w:val="single"/>
        </w:rPr>
      </w:pPr>
      <w:r w:rsidRPr="00EA1625">
        <w:rPr>
          <w:u w:val="single"/>
        </w:rPr>
        <w:t xml:space="preserve">FINDINGS OF </w:t>
      </w:r>
      <w:smartTag w:uri="urn:schemas-microsoft-com:office:smarttags" w:element="stockticker">
        <w:r w:rsidRPr="00EA1625">
          <w:rPr>
            <w:u w:val="single"/>
          </w:rPr>
          <w:t>FACT</w:t>
        </w:r>
      </w:smartTag>
    </w:p>
    <w:p w:rsidR="008E4FD6" w:rsidRPr="00EA1625" w:rsidRDefault="008E4FD6" w:rsidP="00EA1625">
      <w:pPr>
        <w:tabs>
          <w:tab w:val="left" w:pos="2160"/>
        </w:tabs>
        <w:spacing w:line="360" w:lineRule="auto"/>
        <w:rPr>
          <w:u w:val="single"/>
        </w:rPr>
      </w:pPr>
    </w:p>
    <w:p w:rsidR="00DA66D7" w:rsidRDefault="008E4FD6" w:rsidP="00EA1625">
      <w:pPr>
        <w:tabs>
          <w:tab w:val="left" w:pos="2160"/>
        </w:tabs>
        <w:spacing w:line="360" w:lineRule="auto"/>
        <w:ind w:firstLine="1440"/>
      </w:pPr>
      <w:r w:rsidRPr="00EA1625">
        <w:t>1.</w:t>
      </w:r>
      <w:r w:rsidRPr="00EA1625">
        <w:tab/>
      </w:r>
      <w:r w:rsidR="006322C5">
        <w:t xml:space="preserve">Since 2009, </w:t>
      </w:r>
      <w:r w:rsidR="00FD4410">
        <w:t>Complainant</w:t>
      </w:r>
      <w:r w:rsidR="00FA2D82" w:rsidRPr="00EA1625">
        <w:t xml:space="preserve">, </w:t>
      </w:r>
      <w:r w:rsidR="00CA5F7A">
        <w:t>Mary A. Reynolds</w:t>
      </w:r>
      <w:r w:rsidR="00B07286">
        <w:t>,</w:t>
      </w:r>
      <w:r w:rsidR="0073725A">
        <w:t xml:space="preserve"> </w:t>
      </w:r>
      <w:r w:rsidR="006322C5">
        <w:t>has resided</w:t>
      </w:r>
      <w:r w:rsidR="004C68D2">
        <w:t xml:space="preserve"> at 6328</w:t>
      </w:r>
      <w:r w:rsidR="00C54587">
        <w:t> </w:t>
      </w:r>
      <w:proofErr w:type="spellStart"/>
      <w:r w:rsidR="004C68D2">
        <w:t>Glenloch</w:t>
      </w:r>
      <w:proofErr w:type="spellEnd"/>
      <w:r w:rsidR="004C68D2">
        <w:t xml:space="preserve"> Street</w:t>
      </w:r>
      <w:r w:rsidR="00A82474">
        <w:t xml:space="preserve"> (“6328 </w:t>
      </w:r>
      <w:proofErr w:type="spellStart"/>
      <w:r w:rsidR="00A82474">
        <w:t>Glenloch</w:t>
      </w:r>
      <w:proofErr w:type="spellEnd"/>
      <w:r w:rsidR="006322C5">
        <w:t xml:space="preserve">”), </w:t>
      </w:r>
      <w:r w:rsidR="004C68D2">
        <w:t xml:space="preserve">Philadelphia, </w:t>
      </w:r>
      <w:r w:rsidR="00D11E0E">
        <w:t xml:space="preserve">Pennsylvania </w:t>
      </w:r>
      <w:r w:rsidR="000A46F6">
        <w:t>1</w:t>
      </w:r>
      <w:r w:rsidR="004C68D2">
        <w:t>9135</w:t>
      </w:r>
      <w:r w:rsidR="00F10EF2">
        <w:t xml:space="preserve">, </w:t>
      </w:r>
      <w:r w:rsidR="006322C5">
        <w:t xml:space="preserve">with a friend where Complainant is not </w:t>
      </w:r>
      <w:r w:rsidR="00FC6F9E">
        <w:t>a</w:t>
      </w:r>
      <w:r w:rsidR="006322C5">
        <w:t xml:space="preserve"> customer of record with Respondent</w:t>
      </w:r>
      <w:r w:rsidR="00D11E0E">
        <w:t>.</w:t>
      </w:r>
      <w:r w:rsidR="004F40E1">
        <w:t xml:space="preserve">  </w:t>
      </w:r>
      <w:proofErr w:type="gramStart"/>
      <w:r w:rsidR="004C68D2">
        <w:t xml:space="preserve">(Tr. 6, </w:t>
      </w:r>
      <w:r w:rsidR="006322C5">
        <w:t>51, 54</w:t>
      </w:r>
      <w:r w:rsidR="00680293">
        <w:t>, 90</w:t>
      </w:r>
      <w:r w:rsidR="006322C5">
        <w:t>; Complainant Exhibit 3</w:t>
      </w:r>
      <w:r w:rsidR="004C68D2">
        <w:t>).</w:t>
      </w:r>
      <w:proofErr w:type="gramEnd"/>
    </w:p>
    <w:p w:rsidR="00114E63" w:rsidRDefault="00114E63" w:rsidP="00114E63">
      <w:pPr>
        <w:tabs>
          <w:tab w:val="left" w:pos="2160"/>
        </w:tabs>
        <w:spacing w:line="360" w:lineRule="auto"/>
        <w:ind w:firstLine="1440"/>
      </w:pPr>
    </w:p>
    <w:p w:rsidR="00114E63" w:rsidRDefault="000D5FCA" w:rsidP="00114E63">
      <w:pPr>
        <w:tabs>
          <w:tab w:val="left" w:pos="2160"/>
        </w:tabs>
        <w:spacing w:line="360" w:lineRule="auto"/>
        <w:ind w:firstLine="1440"/>
      </w:pPr>
      <w:r>
        <w:t>2</w:t>
      </w:r>
      <w:r w:rsidR="00114E63">
        <w:t>.</w:t>
      </w:r>
      <w:r w:rsidR="00114E63">
        <w:tab/>
        <w:t xml:space="preserve">Complainant also resides at 4934 </w:t>
      </w:r>
      <w:proofErr w:type="spellStart"/>
      <w:r w:rsidR="00114E63">
        <w:t>Baynton</w:t>
      </w:r>
      <w:proofErr w:type="spellEnd"/>
      <w:r w:rsidR="00114E63">
        <w:t xml:space="preserve"> Street (“4934 </w:t>
      </w:r>
      <w:proofErr w:type="spellStart"/>
      <w:r w:rsidR="00114E63">
        <w:t>Baynton</w:t>
      </w:r>
      <w:proofErr w:type="spellEnd"/>
      <w:r w:rsidR="00114E63">
        <w:t>”)</w:t>
      </w:r>
      <w:r>
        <w:t xml:space="preserve">, Philadelphia, Pennsylvania, </w:t>
      </w:r>
      <w:r w:rsidR="00114E63">
        <w:t>but Respondent does not provide Complainant with natural gas service at that address</w:t>
      </w:r>
      <w:r>
        <w:t xml:space="preserve">.  </w:t>
      </w:r>
      <w:proofErr w:type="gramStart"/>
      <w:r>
        <w:t>(Tr. 11</w:t>
      </w:r>
      <w:r w:rsidR="00114E63">
        <w:t>).</w:t>
      </w:r>
      <w:proofErr w:type="gramEnd"/>
    </w:p>
    <w:p w:rsidR="00114E63" w:rsidRDefault="000D5FCA" w:rsidP="00114E63">
      <w:pPr>
        <w:tabs>
          <w:tab w:val="left" w:pos="2160"/>
        </w:tabs>
        <w:spacing w:line="360" w:lineRule="auto"/>
        <w:ind w:firstLine="1440"/>
      </w:pPr>
      <w:r>
        <w:lastRenderedPageBreak/>
        <w:t>3</w:t>
      </w:r>
      <w:r w:rsidR="00FC6F9E">
        <w:t>.</w:t>
      </w:r>
      <w:r w:rsidR="00FC6F9E">
        <w:tab/>
        <w:t>Complainant also resides</w:t>
      </w:r>
      <w:r w:rsidR="00114E63">
        <w:t xml:space="preserve"> at 1250 </w:t>
      </w:r>
      <w:proofErr w:type="spellStart"/>
      <w:r w:rsidR="00114E63">
        <w:t>Stirling</w:t>
      </w:r>
      <w:proofErr w:type="spellEnd"/>
      <w:r w:rsidR="00114E63">
        <w:t xml:space="preserve"> Street (“1250 </w:t>
      </w:r>
      <w:proofErr w:type="spellStart"/>
      <w:r w:rsidR="00114E63">
        <w:t>Stirling</w:t>
      </w:r>
      <w:proofErr w:type="spellEnd"/>
      <w:r w:rsidR="00114E63">
        <w:t>”), Philadelphia, Pennsylvania</w:t>
      </w:r>
      <w:r w:rsidR="00FC6F9E">
        <w:t>.  Si</w:t>
      </w:r>
      <w:r w:rsidR="00114E63">
        <w:t>nce August 2010, Complainant’s son, Darnell Jenkins, has resided at that address, pays the bills associated with that address and is currently the customer of record</w:t>
      </w:r>
      <w:r w:rsidR="00FC6F9E">
        <w:t xml:space="preserve"> there</w:t>
      </w:r>
      <w:r w:rsidR="00114E63">
        <w:t xml:space="preserve">.  Respondent continues to provide natural gas service at that service address.  </w:t>
      </w:r>
      <w:proofErr w:type="gramStart"/>
      <w:r w:rsidR="00114E63">
        <w:t>(Tr. 11, 18, 43</w:t>
      </w:r>
      <w:r w:rsidR="009D4C6D">
        <w:t>-</w:t>
      </w:r>
      <w:r w:rsidR="00114E63">
        <w:t>44, 48, 58).</w:t>
      </w:r>
      <w:proofErr w:type="gramEnd"/>
    </w:p>
    <w:p w:rsidR="00114E63" w:rsidRDefault="00114E63" w:rsidP="00EA1625">
      <w:pPr>
        <w:tabs>
          <w:tab w:val="left" w:pos="2160"/>
        </w:tabs>
        <w:spacing w:line="360" w:lineRule="auto"/>
        <w:ind w:firstLine="1440"/>
      </w:pPr>
    </w:p>
    <w:p w:rsidR="006322C5" w:rsidRDefault="000D5FCA" w:rsidP="00EA1625">
      <w:pPr>
        <w:tabs>
          <w:tab w:val="left" w:pos="2160"/>
        </w:tabs>
        <w:spacing w:line="360" w:lineRule="auto"/>
        <w:ind w:firstLine="1440"/>
      </w:pPr>
      <w:r>
        <w:t>4</w:t>
      </w:r>
      <w:r w:rsidR="006322C5">
        <w:t>.</w:t>
      </w:r>
      <w:r w:rsidR="006322C5">
        <w:tab/>
        <w:t xml:space="preserve">Complainant moves around between </w:t>
      </w:r>
      <w:r w:rsidR="00114E63">
        <w:t xml:space="preserve">the </w:t>
      </w:r>
      <w:r w:rsidR="006322C5">
        <w:t xml:space="preserve">three residences: </w:t>
      </w:r>
      <w:r w:rsidR="004221F3">
        <w:t xml:space="preserve"> </w:t>
      </w:r>
      <w:r w:rsidR="006322C5">
        <w:t xml:space="preserve">6328 </w:t>
      </w:r>
      <w:proofErr w:type="spellStart"/>
      <w:r w:rsidR="006322C5">
        <w:t>Glenloch</w:t>
      </w:r>
      <w:proofErr w:type="spellEnd"/>
      <w:r w:rsidR="006322C5">
        <w:t xml:space="preserve">, 1250 </w:t>
      </w:r>
      <w:proofErr w:type="spellStart"/>
      <w:r w:rsidR="006322C5">
        <w:t>Stirling</w:t>
      </w:r>
      <w:proofErr w:type="spellEnd"/>
      <w:r w:rsidR="006322C5">
        <w:t xml:space="preserve">, and 4934 </w:t>
      </w:r>
      <w:proofErr w:type="spellStart"/>
      <w:r w:rsidR="006322C5">
        <w:t>Baynton</w:t>
      </w:r>
      <w:proofErr w:type="spellEnd"/>
      <w:r w:rsidR="00114E63">
        <w:t xml:space="preserve">, and denies living </w:t>
      </w:r>
      <w:r w:rsidR="00FC6F9E">
        <w:t>at</w:t>
      </w:r>
      <w:r w:rsidR="00935802">
        <w:t xml:space="preserve"> only one address</w:t>
      </w:r>
      <w:r w:rsidR="006322C5">
        <w:t xml:space="preserve">.  </w:t>
      </w:r>
      <w:proofErr w:type="gramStart"/>
      <w:r w:rsidR="006322C5">
        <w:t>(Tr. 55</w:t>
      </w:r>
      <w:r w:rsidR="00935802">
        <w:t>, 66</w:t>
      </w:r>
      <w:r w:rsidR="006322C5">
        <w:t>).</w:t>
      </w:r>
      <w:proofErr w:type="gramEnd"/>
    </w:p>
    <w:p w:rsidR="00F747D3" w:rsidRDefault="00F747D3" w:rsidP="00EA1625">
      <w:pPr>
        <w:tabs>
          <w:tab w:val="left" w:pos="2160"/>
        </w:tabs>
        <w:spacing w:line="360" w:lineRule="auto"/>
        <w:ind w:firstLine="1440"/>
      </w:pPr>
    </w:p>
    <w:p w:rsidR="00F747D3" w:rsidRPr="00EA1625" w:rsidRDefault="000D5FCA" w:rsidP="00EA1625">
      <w:pPr>
        <w:tabs>
          <w:tab w:val="left" w:pos="2160"/>
        </w:tabs>
        <w:spacing w:line="360" w:lineRule="auto"/>
        <w:ind w:firstLine="1440"/>
      </w:pPr>
      <w:r>
        <w:t>5</w:t>
      </w:r>
      <w:r w:rsidR="00F747D3">
        <w:t>.</w:t>
      </w:r>
      <w:r w:rsidR="00F747D3">
        <w:tab/>
        <w:t>Complainant receives mail at 125</w:t>
      </w:r>
      <w:r w:rsidR="00FC6F9E">
        <w:t>0</w:t>
      </w:r>
      <w:r w:rsidR="00F747D3">
        <w:t xml:space="preserve"> </w:t>
      </w:r>
      <w:proofErr w:type="spellStart"/>
      <w:r w:rsidR="00F747D3">
        <w:t>Stirling</w:t>
      </w:r>
      <w:proofErr w:type="spellEnd"/>
      <w:r w:rsidR="00F747D3">
        <w:t xml:space="preserve"> and </w:t>
      </w:r>
      <w:r w:rsidR="006D2C6C">
        <w:t>lists her legal address a</w:t>
      </w:r>
      <w:r w:rsidR="00F747D3">
        <w:t>s 125</w:t>
      </w:r>
      <w:r w:rsidR="00FC6F9E">
        <w:t>0</w:t>
      </w:r>
      <w:r w:rsidR="00F747D3">
        <w:t xml:space="preserve"> </w:t>
      </w:r>
      <w:proofErr w:type="spellStart"/>
      <w:r w:rsidR="00F747D3">
        <w:t>Stirling</w:t>
      </w:r>
      <w:proofErr w:type="spellEnd"/>
      <w:r w:rsidR="00F747D3">
        <w:t>.  (Tr. 55-57).</w:t>
      </w:r>
    </w:p>
    <w:p w:rsidR="004C68D2" w:rsidRDefault="004C68D2" w:rsidP="00EA1625">
      <w:pPr>
        <w:tabs>
          <w:tab w:val="left" w:pos="2160"/>
        </w:tabs>
        <w:spacing w:line="360" w:lineRule="auto"/>
        <w:ind w:firstLine="1440"/>
      </w:pPr>
    </w:p>
    <w:p w:rsidR="004C68D2" w:rsidRDefault="000D5FCA" w:rsidP="00EA1625">
      <w:pPr>
        <w:tabs>
          <w:tab w:val="left" w:pos="2160"/>
        </w:tabs>
        <w:spacing w:line="360" w:lineRule="auto"/>
        <w:ind w:firstLine="1440"/>
      </w:pPr>
      <w:r>
        <w:t>6</w:t>
      </w:r>
      <w:r w:rsidR="004C68D2">
        <w:t>.</w:t>
      </w:r>
      <w:r w:rsidR="004C68D2">
        <w:tab/>
        <w:t>Complainant was unemployed from</w:t>
      </w:r>
      <w:r w:rsidR="00A82474">
        <w:t xml:space="preserve"> June 24, 2009</w:t>
      </w:r>
      <w:r w:rsidR="004C68D2">
        <w:t xml:space="preserve"> to October 2009.  (Tr.</w:t>
      </w:r>
      <w:r w:rsidR="00754C84">
        <w:t> </w:t>
      </w:r>
      <w:r w:rsidR="004C68D2">
        <w:t xml:space="preserve">11, </w:t>
      </w:r>
      <w:r>
        <w:t>44</w:t>
      </w:r>
      <w:r w:rsidR="00713E49">
        <w:t>-</w:t>
      </w:r>
      <w:r>
        <w:t>45</w:t>
      </w:r>
      <w:r w:rsidR="004C68D2">
        <w:t>).</w:t>
      </w:r>
    </w:p>
    <w:p w:rsidR="009F0D6C" w:rsidRDefault="009F0D6C" w:rsidP="009848F7">
      <w:pPr>
        <w:tabs>
          <w:tab w:val="left" w:pos="2160"/>
        </w:tabs>
        <w:spacing w:line="360" w:lineRule="auto"/>
        <w:ind w:firstLine="1440"/>
      </w:pPr>
    </w:p>
    <w:p w:rsidR="001F78F1" w:rsidRPr="001F78F1" w:rsidRDefault="001F78F1" w:rsidP="001F78F1">
      <w:pPr>
        <w:pStyle w:val="PlainText"/>
        <w:spacing w:line="360" w:lineRule="auto"/>
        <w:ind w:firstLine="1440"/>
        <w:rPr>
          <w:rFonts w:ascii="Times New Roman" w:hAnsi="Times New Roman" w:cs="Times New Roman"/>
          <w:sz w:val="24"/>
          <w:szCs w:val="24"/>
        </w:rPr>
      </w:pPr>
      <w:r w:rsidRPr="001F78F1">
        <w:rPr>
          <w:rFonts w:ascii="Times New Roman" w:hAnsi="Times New Roman" w:cs="Times New Roman"/>
          <w:sz w:val="24"/>
          <w:szCs w:val="24"/>
        </w:rPr>
        <w:t>7.</w:t>
      </w:r>
      <w:r w:rsidRPr="001F78F1">
        <w:rPr>
          <w:rFonts w:ascii="Times New Roman" w:hAnsi="Times New Roman" w:cs="Times New Roman"/>
          <w:sz w:val="24"/>
          <w:szCs w:val="24"/>
        </w:rPr>
        <w:tab/>
        <w:t xml:space="preserve">As of October 14, 2010, Complainant owed $8,413.10 to Respondent for natural gas service provided at the service address at 1250 </w:t>
      </w:r>
      <w:proofErr w:type="spellStart"/>
      <w:r w:rsidRPr="001F78F1">
        <w:rPr>
          <w:rFonts w:ascii="Times New Roman" w:hAnsi="Times New Roman" w:cs="Times New Roman"/>
          <w:sz w:val="24"/>
          <w:szCs w:val="24"/>
        </w:rPr>
        <w:t>Stirling</w:t>
      </w:r>
      <w:proofErr w:type="spellEnd"/>
      <w:r w:rsidRPr="001F78F1">
        <w:rPr>
          <w:rFonts w:ascii="Times New Roman" w:hAnsi="Times New Roman" w:cs="Times New Roman"/>
          <w:sz w:val="24"/>
          <w:szCs w:val="24"/>
        </w:rPr>
        <w:t xml:space="preserve"> from 2006 to August 2010.  </w:t>
      </w:r>
      <w:proofErr w:type="gramStart"/>
      <w:r w:rsidRPr="001F78F1">
        <w:rPr>
          <w:rFonts w:ascii="Times New Roman" w:hAnsi="Times New Roman" w:cs="Times New Roman"/>
          <w:sz w:val="24"/>
          <w:szCs w:val="24"/>
        </w:rPr>
        <w:t>(Tr. 49-50; Complainant Exhibit 1 &amp; PGW Exhibit 1).</w:t>
      </w:r>
      <w:proofErr w:type="gramEnd"/>
    </w:p>
    <w:p w:rsidR="00086D0E" w:rsidRDefault="00086D0E" w:rsidP="009848F7">
      <w:pPr>
        <w:tabs>
          <w:tab w:val="left" w:pos="2160"/>
        </w:tabs>
        <w:spacing w:line="360" w:lineRule="auto"/>
        <w:ind w:firstLine="1440"/>
      </w:pPr>
    </w:p>
    <w:p w:rsidR="00086D0E" w:rsidRDefault="000D5FCA" w:rsidP="009848F7">
      <w:pPr>
        <w:tabs>
          <w:tab w:val="left" w:pos="2160"/>
        </w:tabs>
        <w:spacing w:line="360" w:lineRule="auto"/>
        <w:ind w:firstLine="1440"/>
      </w:pPr>
      <w:r>
        <w:t>8</w:t>
      </w:r>
      <w:r w:rsidR="00086D0E">
        <w:t>.</w:t>
      </w:r>
      <w:r w:rsidR="00086D0E">
        <w:tab/>
      </w:r>
      <w:r w:rsidR="00114E63">
        <w:t xml:space="preserve">Complainant does not dispute the billing statements issued by Respondent for natural gas service provided to Complainant at 1250 </w:t>
      </w:r>
      <w:proofErr w:type="spellStart"/>
      <w:r w:rsidR="00114E63">
        <w:t>Stirling</w:t>
      </w:r>
      <w:proofErr w:type="spellEnd"/>
      <w:r w:rsidR="00114E63">
        <w:t xml:space="preserve"> prior to August 2010.  </w:t>
      </w:r>
      <w:proofErr w:type="gramStart"/>
      <w:r w:rsidR="00114E63">
        <w:t>(Tr. 65).</w:t>
      </w:r>
      <w:proofErr w:type="gramEnd"/>
    </w:p>
    <w:p w:rsidR="00086D0E" w:rsidRDefault="00086D0E" w:rsidP="009848F7">
      <w:pPr>
        <w:tabs>
          <w:tab w:val="left" w:pos="2160"/>
        </w:tabs>
        <w:spacing w:line="360" w:lineRule="auto"/>
        <w:ind w:firstLine="1440"/>
      </w:pPr>
    </w:p>
    <w:p w:rsidR="00086D0E" w:rsidRDefault="000D5FCA" w:rsidP="009848F7">
      <w:pPr>
        <w:tabs>
          <w:tab w:val="left" w:pos="2160"/>
        </w:tabs>
        <w:spacing w:line="360" w:lineRule="auto"/>
        <w:ind w:firstLine="1440"/>
      </w:pPr>
      <w:r>
        <w:t>9</w:t>
      </w:r>
      <w:r w:rsidR="00B2307D">
        <w:t>.</w:t>
      </w:r>
      <w:r w:rsidR="00B2307D">
        <w:tab/>
      </w:r>
      <w:r w:rsidR="00935802">
        <w:t xml:space="preserve">Complainant knows the Commission cannot offer her a payment arrangement because she no longer is the customer of record for 1250 </w:t>
      </w:r>
      <w:proofErr w:type="spellStart"/>
      <w:r w:rsidR="00935802">
        <w:t>Stirling</w:t>
      </w:r>
      <w:proofErr w:type="spellEnd"/>
      <w:r w:rsidR="00935802">
        <w:t xml:space="preserve">.  </w:t>
      </w:r>
      <w:proofErr w:type="gramStart"/>
      <w:r w:rsidR="00935802">
        <w:t>(Tr. 69).</w:t>
      </w:r>
      <w:proofErr w:type="gramEnd"/>
    </w:p>
    <w:p w:rsidR="00086D0E" w:rsidRDefault="00086D0E" w:rsidP="009848F7">
      <w:pPr>
        <w:tabs>
          <w:tab w:val="left" w:pos="2160"/>
        </w:tabs>
        <w:spacing w:line="360" w:lineRule="auto"/>
        <w:ind w:firstLine="1440"/>
      </w:pPr>
    </w:p>
    <w:p w:rsidR="00784F1D" w:rsidRDefault="000D5FCA" w:rsidP="000D5FCA">
      <w:pPr>
        <w:tabs>
          <w:tab w:val="left" w:pos="2160"/>
        </w:tabs>
        <w:spacing w:line="360" w:lineRule="auto"/>
        <w:ind w:firstLine="1440"/>
        <w:rPr>
          <w:spacing w:val="-3"/>
        </w:rPr>
      </w:pPr>
      <w:r>
        <w:t>10</w:t>
      </w:r>
      <w:r w:rsidR="00636266">
        <w:t>.</w:t>
      </w:r>
      <w:r w:rsidR="00636266">
        <w:tab/>
      </w:r>
      <w:r w:rsidR="009848F7">
        <w:t xml:space="preserve"> </w:t>
      </w:r>
      <w:r w:rsidR="00DE7C99">
        <w:t>Complainant filed an informal complaint against Respondent with the Commission’s Bureau of Consumer Services</w:t>
      </w:r>
      <w:r w:rsidR="00680293">
        <w:t xml:space="preserve"> (“BCS”) </w:t>
      </w:r>
      <w:r w:rsidR="00DE7C99">
        <w:t xml:space="preserve">on August 11, 2010.  BCS did not render a decision because Complainant’s account contains </w:t>
      </w:r>
      <w:r w:rsidR="00680293">
        <w:t>Customer Responsibility Program (“</w:t>
      </w:r>
      <w:r w:rsidR="00DE7C99">
        <w:t>CRP</w:t>
      </w:r>
      <w:r w:rsidR="00680293">
        <w:t>”)</w:t>
      </w:r>
      <w:r w:rsidR="00DE7C99">
        <w:t xml:space="preserve"> arrears, which is outside the Commission’s jurisdiction pursuant to 6</w:t>
      </w:r>
      <w:r w:rsidR="00FC6F9E">
        <w:t xml:space="preserve">6 Pa. C.S.A. §1405(c).  </w:t>
      </w:r>
      <w:proofErr w:type="gramStart"/>
      <w:r w:rsidR="00FC6F9E">
        <w:t>(Tr.</w:t>
      </w:r>
      <w:r w:rsidR="004B750E">
        <w:t> </w:t>
      </w:r>
      <w:r w:rsidR="00FC6F9E">
        <w:t>80</w:t>
      </w:r>
      <w:r w:rsidR="00DE7C99">
        <w:t>; PGW Exhibit 5).</w:t>
      </w:r>
      <w:proofErr w:type="gramEnd"/>
    </w:p>
    <w:p w:rsidR="000B2586" w:rsidRDefault="000B2586" w:rsidP="00744725">
      <w:pPr>
        <w:tabs>
          <w:tab w:val="left" w:pos="1440"/>
        </w:tabs>
        <w:spacing w:line="360" w:lineRule="auto"/>
        <w:rPr>
          <w:spacing w:val="-3"/>
        </w:rPr>
      </w:pPr>
    </w:p>
    <w:p w:rsidR="00744725" w:rsidRDefault="00744725" w:rsidP="00744725">
      <w:pPr>
        <w:tabs>
          <w:tab w:val="left" w:pos="1440"/>
        </w:tabs>
        <w:spacing w:line="360" w:lineRule="auto"/>
        <w:rPr>
          <w:spacing w:val="-3"/>
        </w:rPr>
      </w:pPr>
      <w:r>
        <w:rPr>
          <w:spacing w:val="-3"/>
        </w:rPr>
        <w:lastRenderedPageBreak/>
        <w:tab/>
      </w:r>
      <w:r w:rsidR="000202E4">
        <w:rPr>
          <w:spacing w:val="-3"/>
        </w:rPr>
        <w:t>1</w:t>
      </w:r>
      <w:r w:rsidR="00FC6F9E">
        <w:rPr>
          <w:spacing w:val="-3"/>
        </w:rPr>
        <w:t>1</w:t>
      </w:r>
      <w:r>
        <w:rPr>
          <w:spacing w:val="-3"/>
        </w:rPr>
        <w:t>.</w:t>
      </w:r>
      <w:r>
        <w:rPr>
          <w:spacing w:val="-3"/>
        </w:rPr>
        <w:tab/>
      </w:r>
      <w:r w:rsidR="000B2586">
        <w:rPr>
          <w:spacing w:val="-3"/>
        </w:rPr>
        <w:t xml:space="preserve">On </w:t>
      </w:r>
      <w:r w:rsidR="00ED0F51">
        <w:rPr>
          <w:spacing w:val="-3"/>
        </w:rPr>
        <w:t>August 19, 2010</w:t>
      </w:r>
      <w:r w:rsidR="000B2586">
        <w:rPr>
          <w:spacing w:val="-3"/>
        </w:rPr>
        <w:t xml:space="preserve">, Complainant filed a formal complaint against </w:t>
      </w:r>
      <w:r w:rsidR="00ED0F51">
        <w:rPr>
          <w:spacing w:val="-3"/>
        </w:rPr>
        <w:t>PGW</w:t>
      </w:r>
      <w:r w:rsidR="000B2586">
        <w:rPr>
          <w:spacing w:val="-3"/>
        </w:rPr>
        <w:t xml:space="preserve"> with the Commission.</w:t>
      </w:r>
    </w:p>
    <w:p w:rsidR="00F57008" w:rsidRDefault="00F57008" w:rsidP="00B613EB">
      <w:pPr>
        <w:tabs>
          <w:tab w:val="left" w:pos="1440"/>
        </w:tabs>
        <w:spacing w:line="360" w:lineRule="auto"/>
        <w:rPr>
          <w:spacing w:val="-3"/>
        </w:rPr>
      </w:pPr>
    </w:p>
    <w:p w:rsidR="008E4FD6" w:rsidRPr="00EA1625" w:rsidRDefault="008E4FD6" w:rsidP="00EA1625">
      <w:pPr>
        <w:tabs>
          <w:tab w:val="left" w:pos="2160"/>
        </w:tabs>
        <w:spacing w:line="360" w:lineRule="auto"/>
        <w:jc w:val="center"/>
        <w:rPr>
          <w:u w:val="single"/>
        </w:rPr>
      </w:pPr>
      <w:r w:rsidRPr="00EA1625">
        <w:rPr>
          <w:u w:val="single"/>
        </w:rPr>
        <w:t>DISCUSSION</w:t>
      </w:r>
    </w:p>
    <w:p w:rsidR="008E4FD6" w:rsidRPr="00ED0F51" w:rsidRDefault="008E4FD6" w:rsidP="006E5FE7">
      <w:pPr>
        <w:tabs>
          <w:tab w:val="left" w:pos="2160"/>
        </w:tabs>
        <w:spacing w:line="360" w:lineRule="auto"/>
        <w:rPr>
          <w:u w:val="single"/>
        </w:rPr>
      </w:pPr>
    </w:p>
    <w:p w:rsidR="00B66DDD" w:rsidRPr="00FA64E4" w:rsidRDefault="000C736C" w:rsidP="006E5FE7">
      <w:pPr>
        <w:pStyle w:val="BodyText"/>
        <w:jc w:val="left"/>
        <w:rPr>
          <w:sz w:val="24"/>
          <w:szCs w:val="24"/>
        </w:rPr>
      </w:pPr>
      <w:r w:rsidRPr="00ED0F51">
        <w:rPr>
          <w:sz w:val="24"/>
          <w:szCs w:val="24"/>
        </w:rPr>
        <w:tab/>
      </w:r>
      <w:r w:rsidRPr="00ED0F51">
        <w:rPr>
          <w:sz w:val="24"/>
          <w:szCs w:val="24"/>
        </w:rPr>
        <w:tab/>
      </w:r>
      <w:r w:rsidR="00C931B6" w:rsidRPr="00ED0F51">
        <w:rPr>
          <w:sz w:val="24"/>
          <w:szCs w:val="24"/>
        </w:rPr>
        <w:t>On</w:t>
      </w:r>
      <w:r w:rsidR="00FB579D" w:rsidRPr="00ED0F51">
        <w:rPr>
          <w:sz w:val="24"/>
          <w:szCs w:val="24"/>
        </w:rPr>
        <w:t xml:space="preserve"> </w:t>
      </w:r>
      <w:r w:rsidR="00ED0F51" w:rsidRPr="00ED0F51">
        <w:rPr>
          <w:sz w:val="24"/>
          <w:szCs w:val="24"/>
        </w:rPr>
        <w:t>August 19, 2010</w:t>
      </w:r>
      <w:r w:rsidR="00C931B6" w:rsidRPr="00ED0F51">
        <w:rPr>
          <w:sz w:val="24"/>
          <w:szCs w:val="24"/>
        </w:rPr>
        <w:t xml:space="preserve">, </w:t>
      </w:r>
      <w:r w:rsidR="00FD4410" w:rsidRPr="00ED0F51">
        <w:rPr>
          <w:sz w:val="24"/>
          <w:szCs w:val="24"/>
        </w:rPr>
        <w:t>Complainant</w:t>
      </w:r>
      <w:r w:rsidR="00CB7EF0" w:rsidRPr="00ED0F51">
        <w:rPr>
          <w:sz w:val="24"/>
          <w:szCs w:val="24"/>
        </w:rPr>
        <w:t xml:space="preserve"> </w:t>
      </w:r>
      <w:r w:rsidR="001140BC" w:rsidRPr="00ED0F51">
        <w:rPr>
          <w:sz w:val="24"/>
          <w:szCs w:val="24"/>
        </w:rPr>
        <w:t xml:space="preserve">filed </w:t>
      </w:r>
      <w:r w:rsidR="00CB7EF0" w:rsidRPr="00ED0F51">
        <w:rPr>
          <w:sz w:val="24"/>
          <w:szCs w:val="24"/>
        </w:rPr>
        <w:t>a formal complaint</w:t>
      </w:r>
      <w:r w:rsidR="001140BC" w:rsidRPr="00ED0F51">
        <w:rPr>
          <w:sz w:val="24"/>
          <w:szCs w:val="24"/>
        </w:rPr>
        <w:t xml:space="preserve"> </w:t>
      </w:r>
      <w:r w:rsidR="00ED0F51" w:rsidRPr="00ED0F51">
        <w:rPr>
          <w:sz w:val="24"/>
          <w:szCs w:val="24"/>
        </w:rPr>
        <w:t>alleging PGW won’t investigate h</w:t>
      </w:r>
      <w:r w:rsidR="00ED0F51" w:rsidRPr="00FA64E4">
        <w:rPr>
          <w:sz w:val="24"/>
          <w:szCs w:val="24"/>
        </w:rPr>
        <w:t>er high bills and threatens to terminate her service without allowing her an opportunity to have a payment agreement</w:t>
      </w:r>
      <w:r w:rsidR="005C715B" w:rsidRPr="00FA64E4">
        <w:rPr>
          <w:sz w:val="24"/>
          <w:szCs w:val="24"/>
        </w:rPr>
        <w:t xml:space="preserve">.  </w:t>
      </w:r>
      <w:r w:rsidR="00FC6F9E">
        <w:rPr>
          <w:sz w:val="24"/>
          <w:szCs w:val="24"/>
        </w:rPr>
        <w:t>At the initial hearing, Complainant admitted the bills were correct as rendered, acknowledged she is no longer a customer, and requested a payment arrangement to pay off the arrears.</w:t>
      </w:r>
    </w:p>
    <w:p w:rsidR="00AF192E" w:rsidRPr="00FA64E4" w:rsidRDefault="00AF192E" w:rsidP="00AF192E">
      <w:pPr>
        <w:pStyle w:val="BodyText"/>
        <w:jc w:val="left"/>
        <w:rPr>
          <w:sz w:val="24"/>
          <w:szCs w:val="24"/>
        </w:rPr>
      </w:pPr>
    </w:p>
    <w:p w:rsidR="00AF192E" w:rsidRPr="00FA64E4" w:rsidRDefault="00AF192E" w:rsidP="00AF192E">
      <w:pPr>
        <w:pStyle w:val="BodyText"/>
        <w:jc w:val="left"/>
        <w:rPr>
          <w:sz w:val="24"/>
          <w:szCs w:val="24"/>
        </w:rPr>
      </w:pPr>
      <w:r w:rsidRPr="00FA64E4">
        <w:rPr>
          <w:sz w:val="24"/>
          <w:szCs w:val="24"/>
        </w:rPr>
        <w:tab/>
      </w:r>
      <w:r w:rsidRPr="00FA64E4">
        <w:rPr>
          <w:sz w:val="24"/>
          <w:szCs w:val="24"/>
        </w:rPr>
        <w:tab/>
      </w:r>
      <w:r w:rsidR="003B40DA" w:rsidRPr="00FA64E4">
        <w:rPr>
          <w:sz w:val="24"/>
          <w:szCs w:val="24"/>
        </w:rPr>
        <w:t>Respondent, as a p</w:t>
      </w:r>
      <w:r w:rsidRPr="00FA64E4">
        <w:rPr>
          <w:sz w:val="24"/>
          <w:szCs w:val="24"/>
        </w:rPr>
        <w:t>ublic utility</w:t>
      </w:r>
      <w:r w:rsidR="003B40DA" w:rsidRPr="00FA64E4">
        <w:rPr>
          <w:sz w:val="24"/>
          <w:szCs w:val="24"/>
        </w:rPr>
        <w:t>, must “</w:t>
      </w:r>
      <w:r w:rsidRPr="00FA64E4">
        <w:rPr>
          <w:sz w:val="24"/>
          <w:szCs w:val="24"/>
        </w:rPr>
        <w:t>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3B40DA" w:rsidRPr="00FA64E4">
        <w:rPr>
          <w:sz w:val="24"/>
          <w:szCs w:val="24"/>
        </w:rPr>
        <w:t>”</w:t>
      </w:r>
      <w:r w:rsidR="003B40DA" w:rsidRPr="00FA64E4">
        <w:rPr>
          <w:rStyle w:val="FootnoteReference"/>
          <w:sz w:val="24"/>
          <w:szCs w:val="24"/>
        </w:rPr>
        <w:footnoteReference w:id="1"/>
      </w:r>
      <w:r w:rsidR="003B40DA" w:rsidRPr="00FA64E4">
        <w:rPr>
          <w:sz w:val="24"/>
          <w:szCs w:val="24"/>
        </w:rPr>
        <w:t xml:space="preserve">  </w:t>
      </w:r>
      <w:r w:rsidRPr="00FA64E4">
        <w:rPr>
          <w:sz w:val="24"/>
          <w:szCs w:val="24"/>
        </w:rPr>
        <w:t xml:space="preserve">    </w:t>
      </w:r>
    </w:p>
    <w:p w:rsidR="00AF192E" w:rsidRPr="00FA64E4" w:rsidRDefault="00AF192E" w:rsidP="00AF192E">
      <w:pPr>
        <w:pStyle w:val="BodyText"/>
        <w:jc w:val="left"/>
        <w:rPr>
          <w:sz w:val="24"/>
          <w:szCs w:val="24"/>
        </w:rPr>
      </w:pPr>
    </w:p>
    <w:p w:rsidR="00AF192E" w:rsidRPr="00FA64E4" w:rsidRDefault="00AF192E" w:rsidP="00AF192E">
      <w:pPr>
        <w:spacing w:line="360" w:lineRule="auto"/>
        <w:ind w:firstLine="1440"/>
      </w:pPr>
      <w:r w:rsidRPr="00FA64E4">
        <w:t xml:space="preserve">As the party seeking affirmative relief from the Commission, Complainant bears the burden of </w:t>
      </w:r>
      <w:r w:rsidR="00846FA1" w:rsidRPr="00FA64E4">
        <w:t>proving the necessary elements of the complaint</w:t>
      </w:r>
      <w:r w:rsidRPr="00FA64E4">
        <w:t xml:space="preserve"> by substantial evidence</w:t>
      </w:r>
      <w:r w:rsidR="00846FA1" w:rsidRPr="00FA64E4">
        <w:t>.</w:t>
      </w:r>
      <w:r w:rsidR="00846FA1" w:rsidRPr="00FA64E4">
        <w:rPr>
          <w:rStyle w:val="FootnoteReference"/>
        </w:rPr>
        <w:footnoteReference w:id="2"/>
      </w:r>
      <w:r w:rsidR="00846FA1" w:rsidRPr="00FA64E4">
        <w:t xml:space="preserve">  </w:t>
      </w:r>
      <w:r w:rsidRPr="00FA64E4">
        <w:t>Substantial evidence is defined as such evidence that a reasonable mind might accept as adequate to support a conclusion</w:t>
      </w:r>
      <w:r w:rsidR="00846FA1" w:rsidRPr="00FA64E4">
        <w:t>, but Complainant is required to present more</w:t>
      </w:r>
      <w:r w:rsidRPr="00FA64E4">
        <w:t xml:space="preserve"> than a mere trace of evidence or a suspicion of the existence of a fact sought to be established.</w:t>
      </w:r>
      <w:r w:rsidR="00846FA1" w:rsidRPr="00FA64E4">
        <w:rPr>
          <w:rStyle w:val="FootnoteReference"/>
        </w:rPr>
        <w:footnoteReference w:id="3"/>
      </w:r>
    </w:p>
    <w:p w:rsidR="00FA64E4" w:rsidRDefault="00FA64E4" w:rsidP="00FA64E4">
      <w:pPr>
        <w:spacing w:line="360" w:lineRule="auto"/>
      </w:pPr>
    </w:p>
    <w:p w:rsidR="00EF6649" w:rsidRDefault="00114E63" w:rsidP="00FA64E4">
      <w:pPr>
        <w:spacing w:line="360" w:lineRule="auto"/>
      </w:pPr>
      <w:r>
        <w:t xml:space="preserve"> </w:t>
      </w:r>
    </w:p>
    <w:p w:rsidR="00EF6649" w:rsidRDefault="00EF6649" w:rsidP="00FA64E4">
      <w:pPr>
        <w:spacing w:line="360" w:lineRule="auto"/>
      </w:pPr>
    </w:p>
    <w:p w:rsidR="00EF6649" w:rsidRDefault="00EF6649" w:rsidP="00FA64E4">
      <w:pPr>
        <w:spacing w:line="360" w:lineRule="auto"/>
      </w:pPr>
    </w:p>
    <w:p w:rsidR="00114E63" w:rsidRPr="00114E63" w:rsidRDefault="00114E63" w:rsidP="00FA64E4">
      <w:pPr>
        <w:spacing w:line="360" w:lineRule="auto"/>
        <w:rPr>
          <w:u w:val="single"/>
        </w:rPr>
      </w:pPr>
      <w:r w:rsidRPr="00114E63">
        <w:rPr>
          <w:u w:val="single"/>
        </w:rPr>
        <w:lastRenderedPageBreak/>
        <w:t>Complainant’s Position</w:t>
      </w:r>
    </w:p>
    <w:p w:rsidR="00114E63" w:rsidRPr="00FA64E4" w:rsidRDefault="00114E63" w:rsidP="00FA64E4">
      <w:pPr>
        <w:spacing w:line="360" w:lineRule="auto"/>
      </w:pPr>
    </w:p>
    <w:p w:rsidR="00AF192E" w:rsidRDefault="00FA64E4" w:rsidP="00AF192E">
      <w:pPr>
        <w:pStyle w:val="BodyText"/>
        <w:ind w:firstLine="1440"/>
        <w:jc w:val="left"/>
        <w:rPr>
          <w:sz w:val="24"/>
          <w:szCs w:val="24"/>
        </w:rPr>
      </w:pPr>
      <w:r w:rsidRPr="00FA64E4">
        <w:rPr>
          <w:sz w:val="24"/>
          <w:szCs w:val="24"/>
        </w:rPr>
        <w:t>In the instant case, Complainant</w:t>
      </w:r>
      <w:r w:rsidR="00114E63">
        <w:rPr>
          <w:sz w:val="24"/>
          <w:szCs w:val="24"/>
        </w:rPr>
        <w:t xml:space="preserve"> complained initially her electric bill was too high, however, at the initial hearing Complainant insisted she did not dispute the amount of the bills issued by Respondent for natural gas service at 1250 </w:t>
      </w:r>
      <w:proofErr w:type="spellStart"/>
      <w:r w:rsidR="00114E63">
        <w:rPr>
          <w:sz w:val="24"/>
          <w:szCs w:val="24"/>
        </w:rPr>
        <w:t>Stirling</w:t>
      </w:r>
      <w:proofErr w:type="spellEnd"/>
      <w:r w:rsidR="00114E63">
        <w:rPr>
          <w:sz w:val="24"/>
          <w:szCs w:val="24"/>
        </w:rPr>
        <w:t xml:space="preserve">.  </w:t>
      </w:r>
      <w:r w:rsidR="00AF192E" w:rsidRPr="00FA64E4">
        <w:rPr>
          <w:sz w:val="24"/>
          <w:szCs w:val="24"/>
        </w:rPr>
        <w:t>Complainant contend</w:t>
      </w:r>
      <w:r w:rsidR="00555724" w:rsidRPr="00FA64E4">
        <w:rPr>
          <w:sz w:val="24"/>
          <w:szCs w:val="24"/>
        </w:rPr>
        <w:t>s</w:t>
      </w:r>
      <w:r w:rsidR="006322C5">
        <w:rPr>
          <w:sz w:val="24"/>
          <w:szCs w:val="24"/>
        </w:rPr>
        <w:t xml:space="preserve"> all she wants is to have a payment arrangement so she can pay off the outstanding balance with Respondent.  </w:t>
      </w:r>
      <w:r w:rsidR="00935802">
        <w:rPr>
          <w:sz w:val="24"/>
          <w:szCs w:val="24"/>
        </w:rPr>
        <w:t xml:space="preserve">Complainant refuses to be listed as a joint customer of record with her son, Darnell Jenkins, </w:t>
      </w:r>
      <w:r w:rsidR="00F363B5">
        <w:rPr>
          <w:sz w:val="24"/>
          <w:szCs w:val="24"/>
        </w:rPr>
        <w:t xml:space="preserve">and enter into a payment arrangement with Respondent because such an arrangement would not be fair to her son.  </w:t>
      </w:r>
      <w:r w:rsidR="006322C5">
        <w:rPr>
          <w:sz w:val="24"/>
          <w:szCs w:val="24"/>
        </w:rPr>
        <w:t xml:space="preserve">Complainant further contends she should not have to tell Respondent where she currently resides because she is no longer a current customer of Respondent.  </w:t>
      </w:r>
    </w:p>
    <w:p w:rsidR="00935802" w:rsidRDefault="00935802" w:rsidP="00AF192E">
      <w:pPr>
        <w:pStyle w:val="BodyText"/>
        <w:jc w:val="left"/>
        <w:rPr>
          <w:sz w:val="24"/>
          <w:szCs w:val="24"/>
        </w:rPr>
      </w:pPr>
    </w:p>
    <w:p w:rsidR="00935802" w:rsidRPr="00935802" w:rsidRDefault="00935802" w:rsidP="00AF192E">
      <w:pPr>
        <w:pStyle w:val="BodyText"/>
        <w:jc w:val="left"/>
        <w:rPr>
          <w:sz w:val="24"/>
          <w:szCs w:val="24"/>
          <w:u w:val="single"/>
        </w:rPr>
      </w:pPr>
      <w:r w:rsidRPr="00935802">
        <w:rPr>
          <w:sz w:val="24"/>
          <w:szCs w:val="24"/>
          <w:u w:val="single"/>
        </w:rPr>
        <w:t>Respondent’s Position</w:t>
      </w:r>
    </w:p>
    <w:p w:rsidR="00AF192E" w:rsidRDefault="00AF192E" w:rsidP="00AF192E">
      <w:pPr>
        <w:pStyle w:val="BodyText"/>
        <w:jc w:val="left"/>
        <w:rPr>
          <w:sz w:val="24"/>
          <w:szCs w:val="24"/>
        </w:rPr>
      </w:pPr>
      <w:r>
        <w:rPr>
          <w:sz w:val="24"/>
          <w:szCs w:val="24"/>
        </w:rPr>
        <w:tab/>
      </w:r>
    </w:p>
    <w:p w:rsidR="000D5FCA" w:rsidRDefault="00AF192E" w:rsidP="00AF192E">
      <w:pPr>
        <w:pStyle w:val="BodyText"/>
        <w:jc w:val="left"/>
        <w:rPr>
          <w:sz w:val="24"/>
          <w:szCs w:val="24"/>
        </w:rPr>
      </w:pPr>
      <w:r w:rsidRPr="006E5FE7">
        <w:rPr>
          <w:sz w:val="24"/>
          <w:szCs w:val="24"/>
        </w:rPr>
        <w:tab/>
      </w:r>
      <w:r w:rsidRPr="006E5FE7">
        <w:rPr>
          <w:sz w:val="24"/>
          <w:szCs w:val="24"/>
        </w:rPr>
        <w:tab/>
      </w:r>
      <w:r w:rsidR="00935802">
        <w:rPr>
          <w:sz w:val="24"/>
          <w:szCs w:val="24"/>
        </w:rPr>
        <w:t xml:space="preserve">Respondent offered a payment arrangement to Complainant at the initial hearing, which arrangement Complainant refused to accept.  </w:t>
      </w:r>
      <w:r w:rsidR="000D5FCA">
        <w:rPr>
          <w:sz w:val="24"/>
          <w:szCs w:val="24"/>
        </w:rPr>
        <w:t xml:space="preserve">At the initial hearing, </w:t>
      </w:r>
      <w:r w:rsidR="00935802">
        <w:rPr>
          <w:sz w:val="24"/>
          <w:szCs w:val="24"/>
        </w:rPr>
        <w:t xml:space="preserve">Respondent offered to combine the current account listing Darnell Jenkins as the customer of record with the balance owed by Complainant, and create a new account with both individuals’ names listed as customers of record.  Then between Mr. Jenkins and Complainant, the current bill would have to be paid plus $149 each month, for sixty months, to pay off the arrearage which arose while Complainant was the customer of record for 1250 </w:t>
      </w:r>
      <w:proofErr w:type="spellStart"/>
      <w:r w:rsidR="00935802">
        <w:rPr>
          <w:sz w:val="24"/>
          <w:szCs w:val="24"/>
        </w:rPr>
        <w:t>Stirling</w:t>
      </w:r>
      <w:proofErr w:type="spellEnd"/>
      <w:r w:rsidR="00935802">
        <w:rPr>
          <w:sz w:val="24"/>
          <w:szCs w:val="24"/>
        </w:rPr>
        <w:t xml:space="preserve">.  </w:t>
      </w:r>
    </w:p>
    <w:p w:rsidR="000D5FCA" w:rsidRDefault="000D5FCA" w:rsidP="00AF192E">
      <w:pPr>
        <w:pStyle w:val="BodyText"/>
        <w:jc w:val="left"/>
        <w:rPr>
          <w:sz w:val="24"/>
          <w:szCs w:val="24"/>
        </w:rPr>
      </w:pPr>
    </w:p>
    <w:p w:rsidR="000D5FCA" w:rsidRDefault="00AF192E" w:rsidP="000D5FCA">
      <w:pPr>
        <w:pStyle w:val="BodyText"/>
        <w:ind w:firstLine="1440"/>
        <w:jc w:val="left"/>
        <w:rPr>
          <w:sz w:val="24"/>
          <w:szCs w:val="24"/>
        </w:rPr>
      </w:pPr>
      <w:r>
        <w:rPr>
          <w:sz w:val="24"/>
          <w:szCs w:val="24"/>
        </w:rPr>
        <w:t>Respondent</w:t>
      </w:r>
      <w:r w:rsidRPr="006E5FE7">
        <w:rPr>
          <w:sz w:val="24"/>
          <w:szCs w:val="24"/>
        </w:rPr>
        <w:t>’s witness testified</w:t>
      </w:r>
      <w:r>
        <w:rPr>
          <w:sz w:val="24"/>
          <w:szCs w:val="24"/>
        </w:rPr>
        <w:t xml:space="preserve"> </w:t>
      </w:r>
      <w:r w:rsidR="00764FCF">
        <w:rPr>
          <w:sz w:val="24"/>
          <w:szCs w:val="24"/>
        </w:rPr>
        <w:t>she made numerous attempts to ascertain where Complainant</w:t>
      </w:r>
      <w:r w:rsidR="00F014D2">
        <w:rPr>
          <w:sz w:val="24"/>
          <w:szCs w:val="24"/>
        </w:rPr>
        <w:t xml:space="preserve"> lived but Complainant insisted where she resides was none of the public utility’s business.  Respondent wanted the information </w:t>
      </w:r>
      <w:r w:rsidR="00764FCF">
        <w:rPr>
          <w:sz w:val="24"/>
          <w:szCs w:val="24"/>
        </w:rPr>
        <w:t>in order to determine whether Complainan</w:t>
      </w:r>
      <w:r w:rsidR="00F014D2">
        <w:rPr>
          <w:sz w:val="24"/>
          <w:szCs w:val="24"/>
        </w:rPr>
        <w:t xml:space="preserve">t qualified for the CRP program, which program offers discounted gas costs for customers but only in the service address where the customer resides.  Therefore, knowing where Complainant resides has been an important question for Respondent to get answered.  </w:t>
      </w:r>
    </w:p>
    <w:p w:rsidR="000D5FCA" w:rsidRDefault="000D5FCA" w:rsidP="000D5FCA">
      <w:pPr>
        <w:pStyle w:val="BodyText"/>
        <w:ind w:firstLine="1440"/>
        <w:jc w:val="left"/>
        <w:rPr>
          <w:sz w:val="24"/>
          <w:szCs w:val="24"/>
        </w:rPr>
      </w:pPr>
    </w:p>
    <w:p w:rsidR="00AF192E" w:rsidRPr="00E17088" w:rsidRDefault="00F014D2" w:rsidP="000D5FCA">
      <w:pPr>
        <w:pStyle w:val="BodyText"/>
        <w:ind w:firstLine="1440"/>
        <w:jc w:val="left"/>
        <w:rPr>
          <w:sz w:val="24"/>
          <w:szCs w:val="24"/>
        </w:rPr>
      </w:pPr>
      <w:r w:rsidRPr="00E17088">
        <w:rPr>
          <w:sz w:val="24"/>
          <w:szCs w:val="24"/>
        </w:rPr>
        <w:t xml:space="preserve">Respondent also wanted to know if Complainant’s son resided with Complainant while Complainant accumulated the large arrearage because, pursuant to 66 Pa. C.S.A. §1407(b), </w:t>
      </w:r>
      <w:r w:rsidRPr="00E17088">
        <w:rPr>
          <w:sz w:val="24"/>
          <w:szCs w:val="24"/>
        </w:rPr>
        <w:lastRenderedPageBreak/>
        <w:t>the son could be held responsible to repay the large arrearage.</w:t>
      </w:r>
      <w:r w:rsidRPr="00E17088">
        <w:rPr>
          <w:rStyle w:val="FootnoteReference"/>
          <w:sz w:val="24"/>
          <w:szCs w:val="24"/>
        </w:rPr>
        <w:footnoteReference w:id="4"/>
      </w:r>
      <w:r w:rsidRPr="00E17088">
        <w:rPr>
          <w:sz w:val="24"/>
          <w:szCs w:val="24"/>
        </w:rPr>
        <w:t xml:space="preserve">  Lastly, Respondent requested the Commission order the natural gas service account be placed in Complainant’s name along with her son, Darnell Jenkins, because 1250 </w:t>
      </w:r>
      <w:proofErr w:type="spellStart"/>
      <w:r w:rsidRPr="00E17088">
        <w:rPr>
          <w:sz w:val="24"/>
          <w:szCs w:val="24"/>
        </w:rPr>
        <w:t>Stirling</w:t>
      </w:r>
      <w:proofErr w:type="spellEnd"/>
      <w:r w:rsidRPr="00E17088">
        <w:rPr>
          <w:sz w:val="24"/>
          <w:szCs w:val="24"/>
        </w:rPr>
        <w:t xml:space="preserve"> is the place of residence for both individuals.  </w:t>
      </w:r>
    </w:p>
    <w:p w:rsidR="00FA64E4" w:rsidRPr="00E17088" w:rsidRDefault="00FA64E4" w:rsidP="00FA64E4">
      <w:pPr>
        <w:pStyle w:val="BodyText"/>
        <w:jc w:val="left"/>
        <w:rPr>
          <w:spacing w:val="-3"/>
          <w:sz w:val="24"/>
          <w:szCs w:val="24"/>
        </w:rPr>
      </w:pPr>
    </w:p>
    <w:p w:rsidR="00FA64E4" w:rsidRPr="00E17088" w:rsidRDefault="00FA64E4" w:rsidP="00FA64E4">
      <w:pPr>
        <w:pStyle w:val="BodyText"/>
        <w:jc w:val="left"/>
        <w:rPr>
          <w:spacing w:val="-3"/>
          <w:sz w:val="24"/>
          <w:szCs w:val="24"/>
        </w:rPr>
      </w:pPr>
      <w:r w:rsidRPr="00E17088">
        <w:rPr>
          <w:spacing w:val="-3"/>
          <w:sz w:val="24"/>
          <w:szCs w:val="24"/>
          <w:u w:val="single"/>
        </w:rPr>
        <w:t>Payment Arrangement</w:t>
      </w:r>
    </w:p>
    <w:p w:rsidR="00E17088" w:rsidRPr="00E17088" w:rsidRDefault="00E17088" w:rsidP="00E17088">
      <w:pPr>
        <w:pStyle w:val="BodyText"/>
        <w:jc w:val="left"/>
        <w:rPr>
          <w:sz w:val="24"/>
          <w:szCs w:val="24"/>
        </w:rPr>
      </w:pPr>
    </w:p>
    <w:p w:rsidR="00E17088" w:rsidRPr="00E17088" w:rsidRDefault="00E17088" w:rsidP="00E17088">
      <w:pPr>
        <w:pStyle w:val="BodyText"/>
        <w:ind w:firstLine="1440"/>
        <w:jc w:val="left"/>
        <w:rPr>
          <w:sz w:val="24"/>
          <w:szCs w:val="24"/>
        </w:rPr>
      </w:pPr>
      <w:r w:rsidRPr="00E17088">
        <w:rPr>
          <w:sz w:val="24"/>
          <w:szCs w:val="24"/>
        </w:rPr>
        <w:t>By law, a public utility is entitled to receive payment for the service it provides.</w:t>
      </w:r>
      <w:r w:rsidRPr="00E17088">
        <w:rPr>
          <w:rStyle w:val="FootnoteReference"/>
          <w:sz w:val="24"/>
          <w:szCs w:val="24"/>
        </w:rPr>
        <w:footnoteReference w:id="5"/>
      </w:r>
      <w:r w:rsidRPr="00E17088">
        <w:rPr>
          <w:sz w:val="24"/>
          <w:szCs w:val="24"/>
        </w:rPr>
        <w:t xml:space="preserve">  Otherwise, unpaid bills are included in the utility’s uncollectible expenses, which all of its remaining customers must pay.</w:t>
      </w:r>
      <w:r>
        <w:rPr>
          <w:rStyle w:val="FootnoteReference"/>
          <w:sz w:val="24"/>
          <w:szCs w:val="24"/>
        </w:rPr>
        <w:footnoteReference w:id="6"/>
      </w:r>
      <w:r w:rsidRPr="00E17088">
        <w:rPr>
          <w:sz w:val="24"/>
          <w:szCs w:val="24"/>
        </w:rPr>
        <w:t xml:space="preserve">  No public utility may receive a greater or lesser rate than the one set forth in its tariff on file with this Commission.</w:t>
      </w:r>
      <w:r>
        <w:rPr>
          <w:rStyle w:val="FootnoteReference"/>
          <w:sz w:val="24"/>
          <w:szCs w:val="24"/>
        </w:rPr>
        <w:footnoteReference w:id="7"/>
      </w:r>
      <w:r w:rsidRPr="00E17088">
        <w:rPr>
          <w:sz w:val="24"/>
          <w:szCs w:val="24"/>
        </w:rPr>
        <w:t xml:space="preserve">  Neither may a public utility unreasonably discriminate for or against a particular customer by establishing a special rate for them.</w:t>
      </w:r>
      <w:r>
        <w:rPr>
          <w:rStyle w:val="FootnoteReference"/>
          <w:sz w:val="24"/>
          <w:szCs w:val="24"/>
        </w:rPr>
        <w:footnoteReference w:id="8"/>
      </w:r>
      <w:r w:rsidRPr="00E17088">
        <w:rPr>
          <w:sz w:val="24"/>
          <w:szCs w:val="24"/>
        </w:rPr>
        <w:t xml:space="preserve">  </w:t>
      </w:r>
    </w:p>
    <w:p w:rsidR="00E17088" w:rsidRPr="00E17088" w:rsidRDefault="00E17088" w:rsidP="00E17088">
      <w:pPr>
        <w:spacing w:line="360" w:lineRule="auto"/>
      </w:pPr>
    </w:p>
    <w:p w:rsidR="00E17088" w:rsidRPr="00E17088" w:rsidRDefault="00E17088" w:rsidP="00E17088">
      <w:pPr>
        <w:spacing w:line="360" w:lineRule="auto"/>
      </w:pPr>
      <w:r w:rsidRPr="00E17088">
        <w:tab/>
      </w:r>
      <w:r w:rsidRPr="00E17088">
        <w:tab/>
        <w:t xml:space="preserve">Any decision in this proceeding must be consistent with the provisions of the </w:t>
      </w:r>
      <w:r w:rsidRPr="00E17088">
        <w:rPr>
          <w:i/>
        </w:rPr>
        <w:t>Responsible Utility Customer Protection Act</w:t>
      </w:r>
      <w:r w:rsidRPr="00E17088">
        <w:t xml:space="preserve"> (Act 201)</w:t>
      </w:r>
      <w:r w:rsidRPr="00E17088">
        <w:rPr>
          <w:rStyle w:val="FootnoteReference"/>
        </w:rPr>
        <w:footnoteReference w:id="9"/>
      </w:r>
      <w:r w:rsidRPr="00E17088">
        <w:t>, which directs how the Commission must establish any payment arrangement.  “Payment Agreement” is defined as:</w:t>
      </w:r>
    </w:p>
    <w:p w:rsidR="00E17088" w:rsidRPr="00E17088" w:rsidRDefault="00E17088" w:rsidP="00EF6649"/>
    <w:p w:rsidR="00E17088" w:rsidRPr="00E17088" w:rsidRDefault="00E17088" w:rsidP="00E17088">
      <w:pPr>
        <w:ind w:left="1440" w:right="1440"/>
      </w:pPr>
      <w:r w:rsidRPr="00E17088">
        <w:t>An agreement whereby a customer who admits liability for billed service is permitted to amortize or pay the unpaid balance of the account in one or more payments.</w:t>
      </w:r>
      <w:r w:rsidRPr="00E17088">
        <w:rPr>
          <w:rStyle w:val="FootnoteReference"/>
        </w:rPr>
        <w:footnoteReference w:id="10"/>
      </w:r>
    </w:p>
    <w:p w:rsidR="00E17088" w:rsidRDefault="00E17088" w:rsidP="00E17088">
      <w:pPr>
        <w:spacing w:line="360" w:lineRule="auto"/>
      </w:pPr>
      <w:r w:rsidRPr="00E17088">
        <w:tab/>
      </w:r>
      <w:r w:rsidRPr="00E17088">
        <w:tab/>
      </w:r>
    </w:p>
    <w:p w:rsidR="00746EC9" w:rsidRDefault="00E17088" w:rsidP="00E17088">
      <w:pPr>
        <w:spacing w:line="360" w:lineRule="auto"/>
      </w:pPr>
      <w:r>
        <w:tab/>
      </w:r>
      <w:r>
        <w:tab/>
        <w:t xml:space="preserve">Act 201 also defines a “customer” as a “natural person in whose name a residential service account </w:t>
      </w:r>
      <w:r w:rsidR="00FC6F9E">
        <w:t>is list</w:t>
      </w:r>
      <w:r>
        <w:t xml:space="preserve">ed and who is primarily responsible for payment of bills </w:t>
      </w:r>
      <w:r>
        <w:lastRenderedPageBreak/>
        <w:t>rendered for the service or any adult occupant who</w:t>
      </w:r>
      <w:r w:rsidR="00FC6F9E">
        <w:t>se name appears on the mortgage</w:t>
      </w:r>
      <w:r>
        <w:t>, deed or lease of the property for which the residential utility service is requested.”</w:t>
      </w:r>
      <w:r w:rsidR="00746EC9">
        <w:rPr>
          <w:rStyle w:val="FootnoteReference"/>
        </w:rPr>
        <w:footnoteReference w:id="11"/>
      </w:r>
    </w:p>
    <w:p w:rsidR="00746EC9" w:rsidRDefault="00746EC9" w:rsidP="00E17088">
      <w:pPr>
        <w:spacing w:line="360" w:lineRule="auto"/>
      </w:pPr>
    </w:p>
    <w:p w:rsidR="00E17088" w:rsidRDefault="00746EC9" w:rsidP="00746EC9">
      <w:pPr>
        <w:spacing w:line="360" w:lineRule="auto"/>
        <w:ind w:firstLine="1440"/>
      </w:pPr>
      <w:r>
        <w:t xml:space="preserve">A “customer assistance program” is defined as a “plan or program sponsored by a public utility for the purpose of providing universal service and energy conservation, …, in which customers make monthly payments based on household income and household size and under which </w:t>
      </w:r>
      <w:r w:rsidRPr="00746EC9">
        <w:rPr>
          <w:b/>
          <w:u w:val="single"/>
        </w:rPr>
        <w:t>customers</w:t>
      </w:r>
      <w:r>
        <w:t xml:space="preserve"> must comply with certain responsibilities and restrictions in order to remain eligible for the program.”  (Emphasis added.)</w:t>
      </w:r>
      <w:r>
        <w:rPr>
          <w:rStyle w:val="FootnoteReference"/>
        </w:rPr>
        <w:footnoteReference w:id="12"/>
      </w:r>
      <w:r>
        <w:t xml:space="preserve">  </w:t>
      </w:r>
    </w:p>
    <w:p w:rsidR="00E17088" w:rsidRDefault="00E17088" w:rsidP="00E17088">
      <w:pPr>
        <w:spacing w:line="360" w:lineRule="auto"/>
      </w:pPr>
    </w:p>
    <w:p w:rsidR="000436F0" w:rsidRDefault="000436F0" w:rsidP="000436F0">
      <w:pPr>
        <w:pStyle w:val="BodyText"/>
        <w:jc w:val="left"/>
        <w:rPr>
          <w:sz w:val="24"/>
          <w:szCs w:val="24"/>
        </w:rPr>
      </w:pPr>
      <w:r>
        <w:rPr>
          <w:sz w:val="24"/>
          <w:szCs w:val="24"/>
          <w:u w:val="single"/>
        </w:rPr>
        <w:t>Conclusion</w:t>
      </w:r>
    </w:p>
    <w:p w:rsidR="000436F0" w:rsidRDefault="000436F0" w:rsidP="00E17088">
      <w:pPr>
        <w:spacing w:line="360" w:lineRule="auto"/>
      </w:pPr>
    </w:p>
    <w:p w:rsidR="00746EC9" w:rsidRDefault="00E17088" w:rsidP="00E17088">
      <w:pPr>
        <w:spacing w:line="360" w:lineRule="auto"/>
        <w:ind w:firstLine="1440"/>
      </w:pPr>
      <w:r w:rsidRPr="00E17088">
        <w:t xml:space="preserve">Complainant does not dispute the amount </w:t>
      </w:r>
      <w:r w:rsidR="00FC6F9E">
        <w:t xml:space="preserve">she </w:t>
      </w:r>
      <w:r w:rsidRPr="00E17088">
        <w:t>owe</w:t>
      </w:r>
      <w:r w:rsidR="00FC6F9E">
        <w:t>s</w:t>
      </w:r>
      <w:r w:rsidRPr="00E17088">
        <w:t xml:space="preserve"> for the natural gas service provided prior to </w:t>
      </w:r>
      <w:r w:rsidR="00746EC9">
        <w:t>August</w:t>
      </w:r>
      <w:r w:rsidRPr="00E17088">
        <w:t xml:space="preserve"> 2010.  </w:t>
      </w:r>
      <w:r w:rsidR="00746EC9">
        <w:t xml:space="preserve">Complainant insists simply she wants a payment arrangement even though she is no longer a customer of record for any property, and she </w:t>
      </w:r>
      <w:r w:rsidR="00FC6F9E">
        <w:t>shouldn’t</w:t>
      </w:r>
      <w:r w:rsidR="00746EC9">
        <w:t xml:space="preserve"> have to indicate where she’s living.  </w:t>
      </w:r>
    </w:p>
    <w:p w:rsidR="00746EC9" w:rsidRDefault="00746EC9" w:rsidP="00E17088">
      <w:pPr>
        <w:spacing w:line="360" w:lineRule="auto"/>
        <w:ind w:firstLine="1440"/>
      </w:pPr>
    </w:p>
    <w:p w:rsidR="00E17088" w:rsidRPr="00E17088" w:rsidRDefault="00E17088" w:rsidP="00E17088">
      <w:pPr>
        <w:spacing w:line="360" w:lineRule="auto"/>
        <w:ind w:firstLine="1440"/>
      </w:pPr>
      <w:r w:rsidRPr="00E17088">
        <w:t xml:space="preserve">Respondent </w:t>
      </w:r>
      <w:r w:rsidR="00746EC9">
        <w:t xml:space="preserve">was willing </w:t>
      </w:r>
      <w:r w:rsidRPr="00E17088">
        <w:t xml:space="preserve">to assist Complainant with </w:t>
      </w:r>
      <w:r w:rsidR="00746EC9">
        <w:t xml:space="preserve">a payment arrangement for $149 per month plus the current billing if Complainant would agree to have her name added </w:t>
      </w:r>
      <w:r w:rsidR="00FC6F9E">
        <w:t xml:space="preserve">back </w:t>
      </w:r>
      <w:r w:rsidR="00746EC9">
        <w:t xml:space="preserve">to the service account for 1250 </w:t>
      </w:r>
      <w:proofErr w:type="spellStart"/>
      <w:r w:rsidR="00746EC9">
        <w:t>Stirling</w:t>
      </w:r>
      <w:proofErr w:type="spellEnd"/>
      <w:r w:rsidR="00746EC9">
        <w:t>, where she receives mail and which she lists as her legal address</w:t>
      </w:r>
      <w:r w:rsidRPr="00E17088">
        <w:t xml:space="preserve">.  </w:t>
      </w:r>
      <w:r w:rsidR="00746EC9">
        <w:t>Complainant refused to agree to have her name added along with her son’s because such an idea was unfair to her son.  Complainant acknowledges she is not a customer and payment arrangements are only available for customers.</w:t>
      </w:r>
    </w:p>
    <w:p w:rsidR="00E17088" w:rsidRPr="00E17088" w:rsidRDefault="00E17088" w:rsidP="00E17088">
      <w:pPr>
        <w:spacing w:line="360" w:lineRule="auto"/>
      </w:pPr>
    </w:p>
    <w:p w:rsidR="008236B5" w:rsidRDefault="008236B5" w:rsidP="00E17088">
      <w:pPr>
        <w:spacing w:line="360" w:lineRule="auto"/>
        <w:ind w:firstLine="1440"/>
      </w:pPr>
      <w:r>
        <w:t xml:space="preserve">Pursuant to 66 Pa. C.S.A. §1405(a), the “commission is authorized to investigate complaints regarding payment disputes between a public utility, applicants and customers.  The commission is authorized to establish payment agreements between a public utility, customers and applicants ….” </w:t>
      </w:r>
    </w:p>
    <w:p w:rsidR="008236B5" w:rsidRDefault="008236B5" w:rsidP="00E17088">
      <w:pPr>
        <w:spacing w:line="360" w:lineRule="auto"/>
        <w:ind w:firstLine="1440"/>
      </w:pPr>
    </w:p>
    <w:p w:rsidR="008236B5" w:rsidRDefault="008236B5" w:rsidP="00E17088">
      <w:pPr>
        <w:spacing w:line="360" w:lineRule="auto"/>
        <w:ind w:firstLine="1440"/>
      </w:pPr>
      <w:r>
        <w:lastRenderedPageBreak/>
        <w:t>Pursuant to 66 Pa. C.S.A. §1405(c), “customer assistance program rates shall be timely paid and shall not be the subject of payment agreements negotiated or approved by the commission.”</w:t>
      </w:r>
    </w:p>
    <w:p w:rsidR="00FC6F9E" w:rsidRDefault="00FC6F9E" w:rsidP="00FC6F9E">
      <w:pPr>
        <w:spacing w:line="360" w:lineRule="auto"/>
        <w:ind w:firstLine="1440"/>
      </w:pPr>
    </w:p>
    <w:p w:rsidR="00FC6F9E" w:rsidRDefault="00FC6F9E" w:rsidP="00FC6F9E">
      <w:pPr>
        <w:spacing w:line="360" w:lineRule="auto"/>
        <w:ind w:firstLine="1440"/>
      </w:pPr>
      <w:r w:rsidRPr="00E17088">
        <w:t xml:space="preserve">My review of the record evidence leads me to conclude </w:t>
      </w:r>
      <w:r>
        <w:t xml:space="preserve">Complainant does not reside at 1250 </w:t>
      </w:r>
      <w:proofErr w:type="spellStart"/>
      <w:r>
        <w:t>Stirling</w:t>
      </w:r>
      <w:proofErr w:type="spellEnd"/>
      <w:r>
        <w:t xml:space="preserve"> and is not a customer of Respondent.  Therefore, her complaint must be dismissed as failing to meet the burden of proof in this matter because she is not entitled to have a payment agreement as a non-customer.  </w:t>
      </w:r>
    </w:p>
    <w:p w:rsidR="00746EC9" w:rsidRDefault="00746EC9" w:rsidP="00E17088">
      <w:pPr>
        <w:spacing w:line="360" w:lineRule="auto"/>
        <w:ind w:firstLine="1440"/>
      </w:pPr>
    </w:p>
    <w:p w:rsidR="008236B5" w:rsidRDefault="008236B5" w:rsidP="00E17088">
      <w:pPr>
        <w:spacing w:line="360" w:lineRule="auto"/>
        <w:ind w:firstLine="1440"/>
      </w:pPr>
      <w:r>
        <w:t xml:space="preserve">Nothing prevents Complainant from making payments on the large arrearage she accumulated with Respondent for service provided at 1250 </w:t>
      </w:r>
      <w:proofErr w:type="spellStart"/>
      <w:r>
        <w:t>Stirling</w:t>
      </w:r>
      <w:proofErr w:type="spellEnd"/>
      <w:r>
        <w:t xml:space="preserve">.  In fact, any payment she makes while no longer a customer will be applied to reducing the arrearage, as will be reflected in periodic statements which Respondent will provide to her, if she makes payments.  Therefore, </w:t>
      </w:r>
      <w:r w:rsidR="00746EC9">
        <w:t xml:space="preserve">Complainant is encouraged to make payments on the large arrearage balance which she owes to Respondent for natural gas service provided to her prior to August 2010.  </w:t>
      </w:r>
    </w:p>
    <w:p w:rsidR="008236B5" w:rsidRDefault="008236B5" w:rsidP="00E17088">
      <w:pPr>
        <w:spacing w:line="360" w:lineRule="auto"/>
        <w:ind w:firstLine="1440"/>
      </w:pPr>
    </w:p>
    <w:p w:rsidR="00746EC9" w:rsidRDefault="008236B5" w:rsidP="00E17088">
      <w:pPr>
        <w:spacing w:line="360" w:lineRule="auto"/>
        <w:ind w:firstLine="1440"/>
      </w:pPr>
      <w:r>
        <w:t xml:space="preserve">Specifically, </w:t>
      </w:r>
      <w:r w:rsidR="000436F0">
        <w:t>Complainant is encouraged t</w:t>
      </w:r>
      <w:r>
        <w:t>o make these periodic payments</w:t>
      </w:r>
      <w:r w:rsidR="000436F0">
        <w:t xml:space="preserve"> in order to avoid a problem</w:t>
      </w:r>
      <w:r>
        <w:t xml:space="preserve"> with receiving natural gas service from PGW</w:t>
      </w:r>
      <w:r w:rsidR="000436F0">
        <w:t xml:space="preserve"> in the future.  If the arrearage is not paid by the time Complainant requests new service in her name, the public utility may require her to pay the entire balance prior to initiating service.  </w:t>
      </w:r>
      <w:r>
        <w:t>Therefore, the payments she makes now will reduce, or eliminate, the large sum she will be required to pay later.</w:t>
      </w:r>
    </w:p>
    <w:p w:rsidR="00FA64E4" w:rsidRPr="00FA64E4" w:rsidRDefault="00FA64E4" w:rsidP="00FA64E4">
      <w:pPr>
        <w:pStyle w:val="BodyText"/>
        <w:jc w:val="left"/>
        <w:rPr>
          <w:sz w:val="24"/>
          <w:szCs w:val="24"/>
        </w:rPr>
      </w:pPr>
    </w:p>
    <w:p w:rsidR="00AF192E" w:rsidRPr="006E5FE7" w:rsidRDefault="00AF192E" w:rsidP="00AF192E">
      <w:pPr>
        <w:pStyle w:val="BodyText"/>
        <w:ind w:firstLine="1440"/>
        <w:jc w:val="left"/>
        <w:outlineLvl w:val="0"/>
        <w:rPr>
          <w:sz w:val="24"/>
          <w:szCs w:val="24"/>
        </w:rPr>
      </w:pPr>
      <w:r w:rsidRPr="006E5FE7">
        <w:rPr>
          <w:sz w:val="24"/>
          <w:szCs w:val="24"/>
        </w:rPr>
        <w:t xml:space="preserve">Accordingly the complaint is dismissed in the ordering paragraph below. </w:t>
      </w:r>
    </w:p>
    <w:p w:rsidR="00205CC7" w:rsidRDefault="00205CC7" w:rsidP="00AF192E">
      <w:pPr>
        <w:spacing w:line="360" w:lineRule="auto"/>
        <w:jc w:val="center"/>
        <w:rPr>
          <w:u w:val="single"/>
        </w:rPr>
      </w:pPr>
    </w:p>
    <w:p w:rsidR="00AF192E" w:rsidRPr="00EA1625" w:rsidRDefault="00AF192E" w:rsidP="00AF192E">
      <w:pPr>
        <w:spacing w:line="360" w:lineRule="auto"/>
        <w:jc w:val="center"/>
        <w:rPr>
          <w:u w:val="single"/>
        </w:rPr>
      </w:pPr>
      <w:r w:rsidRPr="00EA1625">
        <w:rPr>
          <w:u w:val="single"/>
        </w:rPr>
        <w:t>CONCLUSIONS OF LAW</w:t>
      </w:r>
    </w:p>
    <w:p w:rsidR="00AF192E" w:rsidRPr="00EA1625" w:rsidRDefault="00AF192E" w:rsidP="00AF192E">
      <w:pPr>
        <w:spacing w:line="360" w:lineRule="auto"/>
        <w:ind w:firstLine="1440"/>
      </w:pPr>
    </w:p>
    <w:p w:rsidR="00AF192E" w:rsidRPr="00EA1625" w:rsidRDefault="00AF192E" w:rsidP="00AF192E">
      <w:pPr>
        <w:numPr>
          <w:ilvl w:val="0"/>
          <w:numId w:val="1"/>
        </w:numPr>
        <w:tabs>
          <w:tab w:val="clear" w:pos="900"/>
          <w:tab w:val="num" w:pos="2160"/>
        </w:tabs>
        <w:spacing w:line="360" w:lineRule="auto"/>
        <w:ind w:left="0" w:firstLine="1440"/>
      </w:pPr>
      <w:r w:rsidRPr="00EA1625">
        <w:t xml:space="preserve">The Commission has jurisdiction over the parties and the subject matter of this proceeding.  66 </w:t>
      </w:r>
      <w:smartTag w:uri="urn:schemas-microsoft-com:office:smarttags" w:element="place">
        <w:smartTag w:uri="urn:schemas-microsoft-com:office:smarttags" w:element="State">
          <w:r w:rsidRPr="00EA1625">
            <w:t>Pa.</w:t>
          </w:r>
        </w:smartTag>
      </w:smartTag>
      <w:r w:rsidRPr="00EA1625">
        <w:t xml:space="preserve"> C.S. §701.</w:t>
      </w:r>
    </w:p>
    <w:p w:rsidR="00AF192E" w:rsidRPr="00EA1625" w:rsidRDefault="00AF192E" w:rsidP="00AF192E">
      <w:pPr>
        <w:tabs>
          <w:tab w:val="num" w:pos="2160"/>
        </w:tabs>
        <w:spacing w:line="360" w:lineRule="auto"/>
        <w:ind w:firstLine="1260"/>
      </w:pPr>
    </w:p>
    <w:p w:rsidR="00AF192E" w:rsidRPr="00223A5B" w:rsidRDefault="00AF192E" w:rsidP="00AF192E">
      <w:pPr>
        <w:spacing w:line="360" w:lineRule="auto"/>
      </w:pPr>
      <w:r w:rsidRPr="00EA1625">
        <w:lastRenderedPageBreak/>
        <w:tab/>
      </w:r>
      <w:r w:rsidRPr="00EA1625">
        <w:tab/>
        <w:t>2.</w:t>
      </w:r>
      <w:r w:rsidRPr="00EA1625">
        <w:tab/>
      </w:r>
      <w:r>
        <w:t>Complainant</w:t>
      </w:r>
      <w:r w:rsidRPr="00EA1625">
        <w:t xml:space="preserve"> carries the burden of proving </w:t>
      </w:r>
      <w:r>
        <w:t xml:space="preserve">Respondent </w:t>
      </w:r>
      <w:r w:rsidR="00C40DDA">
        <w:t xml:space="preserve">failed to provide her with adequate and reasonable customer service or </w:t>
      </w:r>
      <w:r>
        <w:t>improperly charged Complainant for natural gas service which Complainant did not use</w:t>
      </w:r>
      <w:r w:rsidRPr="00EA1625">
        <w:t xml:space="preserve">.  </w:t>
      </w:r>
      <w:r w:rsidRPr="00223A5B">
        <w:t xml:space="preserve">66 </w:t>
      </w:r>
      <w:smartTag w:uri="urn:schemas-microsoft-com:office:smarttags" w:element="State">
        <w:smartTag w:uri="urn:schemas-microsoft-com:office:smarttags" w:element="place">
          <w:r w:rsidRPr="00223A5B">
            <w:t>Pa.</w:t>
          </w:r>
        </w:smartTag>
      </w:smartTag>
      <w:r>
        <w:t xml:space="preserve"> </w:t>
      </w:r>
      <w:r w:rsidRPr="00223A5B">
        <w:t>C.S.A. §332(a).</w:t>
      </w:r>
    </w:p>
    <w:p w:rsidR="00AF192E" w:rsidRPr="00EA1625" w:rsidRDefault="00AF192E" w:rsidP="00AF192E">
      <w:pPr>
        <w:spacing w:line="360" w:lineRule="auto"/>
      </w:pPr>
    </w:p>
    <w:p w:rsidR="000A0657" w:rsidRPr="000A0657" w:rsidRDefault="00AF192E" w:rsidP="000A0657">
      <w:pPr>
        <w:pStyle w:val="PlainText"/>
        <w:spacing w:line="360" w:lineRule="auto"/>
        <w:rPr>
          <w:rFonts w:ascii="Times New Roman" w:hAnsi="Times New Roman" w:cs="Times New Roman"/>
          <w:sz w:val="24"/>
          <w:szCs w:val="24"/>
        </w:rPr>
      </w:pPr>
      <w:r w:rsidRPr="00EA1625">
        <w:rPr>
          <w:sz w:val="24"/>
          <w:szCs w:val="24"/>
        </w:rPr>
        <w:tab/>
      </w:r>
      <w:r w:rsidRPr="00EA1625">
        <w:rPr>
          <w:sz w:val="24"/>
          <w:szCs w:val="24"/>
        </w:rPr>
        <w:tab/>
      </w:r>
      <w:r w:rsidR="000A0657" w:rsidRPr="000A0657">
        <w:rPr>
          <w:rFonts w:ascii="Times New Roman" w:hAnsi="Times New Roman" w:cs="Times New Roman"/>
          <w:sz w:val="24"/>
          <w:szCs w:val="24"/>
        </w:rPr>
        <w:t>3.</w:t>
      </w:r>
      <w:r w:rsidR="000A0657" w:rsidRPr="000A0657">
        <w:rPr>
          <w:rFonts w:ascii="Times New Roman" w:hAnsi="Times New Roman" w:cs="Times New Roman"/>
          <w:sz w:val="24"/>
          <w:szCs w:val="24"/>
        </w:rPr>
        <w:tab/>
        <w:t xml:space="preserve">Respondent appropriately charged Complainant for natural gas service used in Complainant’s residence at 1250 </w:t>
      </w:r>
      <w:proofErr w:type="spellStart"/>
      <w:r w:rsidR="000A0657" w:rsidRPr="000A0657">
        <w:rPr>
          <w:rFonts w:ascii="Times New Roman" w:hAnsi="Times New Roman" w:cs="Times New Roman"/>
          <w:sz w:val="24"/>
          <w:szCs w:val="24"/>
        </w:rPr>
        <w:t>Stirling</w:t>
      </w:r>
      <w:proofErr w:type="spellEnd"/>
      <w:r w:rsidR="000A0657" w:rsidRPr="000A0657">
        <w:rPr>
          <w:rFonts w:ascii="Times New Roman" w:hAnsi="Times New Roman" w:cs="Times New Roman"/>
          <w:sz w:val="24"/>
          <w:szCs w:val="24"/>
        </w:rPr>
        <w:t xml:space="preserve"> Street, Phi</w:t>
      </w:r>
      <w:bookmarkStart w:id="0" w:name="_GoBack"/>
      <w:bookmarkEnd w:id="0"/>
      <w:r w:rsidR="000A0657" w:rsidRPr="000A0657">
        <w:rPr>
          <w:rFonts w:ascii="Times New Roman" w:hAnsi="Times New Roman" w:cs="Times New Roman"/>
          <w:sz w:val="24"/>
          <w:szCs w:val="24"/>
        </w:rPr>
        <w:t xml:space="preserve">ladelphia, Pennsylvania, until August 2010 and charged Complainant in a manner consistent with Respondent’s approved tariff. </w:t>
      </w:r>
    </w:p>
    <w:p w:rsidR="008236B5" w:rsidRDefault="008236B5" w:rsidP="00AF192E">
      <w:pPr>
        <w:pStyle w:val="FootnoteText"/>
        <w:spacing w:line="360" w:lineRule="auto"/>
        <w:rPr>
          <w:sz w:val="24"/>
          <w:szCs w:val="24"/>
        </w:rPr>
      </w:pPr>
    </w:p>
    <w:p w:rsidR="00C40DDA" w:rsidRDefault="00C40DDA" w:rsidP="00AF192E">
      <w:pPr>
        <w:pStyle w:val="FootnoteText"/>
        <w:spacing w:line="360" w:lineRule="auto"/>
        <w:rPr>
          <w:sz w:val="24"/>
          <w:szCs w:val="24"/>
        </w:rPr>
      </w:pPr>
      <w:r>
        <w:rPr>
          <w:sz w:val="24"/>
          <w:szCs w:val="24"/>
        </w:rPr>
        <w:tab/>
      </w:r>
      <w:r>
        <w:rPr>
          <w:sz w:val="24"/>
          <w:szCs w:val="24"/>
        </w:rPr>
        <w:tab/>
        <w:t>4.</w:t>
      </w:r>
      <w:r>
        <w:rPr>
          <w:sz w:val="24"/>
          <w:szCs w:val="24"/>
        </w:rPr>
        <w:tab/>
        <w:t xml:space="preserve">Respondent provided Complainant with reasonable and appropriate customer service when it refused to </w:t>
      </w:r>
      <w:r w:rsidR="00DF4B0E">
        <w:rPr>
          <w:sz w:val="24"/>
          <w:szCs w:val="24"/>
        </w:rPr>
        <w:t xml:space="preserve">enter into a payment arrangement with Complainant after she ceased being a customer of record.  </w:t>
      </w:r>
    </w:p>
    <w:p w:rsidR="00AF192E" w:rsidRPr="00F10967" w:rsidRDefault="00AF192E" w:rsidP="00AF192E">
      <w:pPr>
        <w:pStyle w:val="FootnoteText"/>
        <w:spacing w:line="360" w:lineRule="auto"/>
        <w:rPr>
          <w:sz w:val="24"/>
          <w:szCs w:val="24"/>
        </w:rPr>
      </w:pPr>
    </w:p>
    <w:p w:rsidR="00AF192E" w:rsidRPr="00F10967" w:rsidRDefault="00DF4B0E" w:rsidP="00AF192E">
      <w:pPr>
        <w:pStyle w:val="FootnoteText"/>
        <w:spacing w:line="360" w:lineRule="auto"/>
        <w:rPr>
          <w:sz w:val="24"/>
          <w:szCs w:val="24"/>
        </w:rPr>
      </w:pPr>
      <w:r>
        <w:rPr>
          <w:sz w:val="24"/>
          <w:szCs w:val="24"/>
        </w:rPr>
        <w:tab/>
      </w:r>
      <w:r>
        <w:rPr>
          <w:sz w:val="24"/>
          <w:szCs w:val="24"/>
        </w:rPr>
        <w:tab/>
        <w:t>5</w:t>
      </w:r>
      <w:r w:rsidR="00AF192E" w:rsidRPr="00F10967">
        <w:rPr>
          <w:sz w:val="24"/>
          <w:szCs w:val="24"/>
        </w:rPr>
        <w:t>.</w:t>
      </w:r>
      <w:r w:rsidR="00AF192E" w:rsidRPr="00F10967">
        <w:rPr>
          <w:sz w:val="24"/>
          <w:szCs w:val="24"/>
        </w:rPr>
        <w:tab/>
        <w:t xml:space="preserve">Complainant failed to meet the burden of proving </w:t>
      </w:r>
      <w:r>
        <w:rPr>
          <w:sz w:val="24"/>
          <w:szCs w:val="24"/>
        </w:rPr>
        <w:t>she qualifies for a payment arrangement when she is no longer a cu</w:t>
      </w:r>
      <w:r w:rsidR="00FC6F9E">
        <w:rPr>
          <w:sz w:val="24"/>
          <w:szCs w:val="24"/>
        </w:rPr>
        <w:t>stomer of record of Respondent</w:t>
      </w:r>
      <w:r w:rsidR="00AF192E" w:rsidRPr="00F10967">
        <w:rPr>
          <w:sz w:val="24"/>
          <w:szCs w:val="24"/>
        </w:rPr>
        <w:t xml:space="preserve">.  </w:t>
      </w:r>
    </w:p>
    <w:p w:rsidR="00AF192E" w:rsidRPr="00F10967" w:rsidRDefault="00AF192E" w:rsidP="00AF192E">
      <w:pPr>
        <w:spacing w:line="360" w:lineRule="auto"/>
      </w:pPr>
      <w:r w:rsidRPr="00F10967">
        <w:tab/>
      </w:r>
    </w:p>
    <w:p w:rsidR="00AF192E" w:rsidRDefault="00AF192E" w:rsidP="00AF192E">
      <w:pPr>
        <w:spacing w:line="360" w:lineRule="auto"/>
        <w:jc w:val="center"/>
        <w:outlineLvl w:val="0"/>
        <w:rPr>
          <w:u w:val="single"/>
        </w:rPr>
      </w:pPr>
      <w:r w:rsidRPr="00EA1625">
        <w:rPr>
          <w:u w:val="single"/>
        </w:rPr>
        <w:t>ORDER</w:t>
      </w:r>
    </w:p>
    <w:p w:rsidR="00AF192E" w:rsidRPr="00EA1625" w:rsidRDefault="00AF192E" w:rsidP="00AF192E">
      <w:pPr>
        <w:spacing w:line="360" w:lineRule="auto"/>
        <w:jc w:val="center"/>
        <w:rPr>
          <w:u w:val="single"/>
        </w:rPr>
      </w:pPr>
    </w:p>
    <w:p w:rsidR="00AF192E" w:rsidRPr="00EA1625" w:rsidRDefault="00AF192E" w:rsidP="00AF192E">
      <w:pPr>
        <w:tabs>
          <w:tab w:val="num" w:pos="2160"/>
        </w:tabs>
        <w:spacing w:line="360" w:lineRule="auto"/>
        <w:rPr>
          <w:u w:val="single"/>
        </w:rPr>
      </w:pPr>
    </w:p>
    <w:p w:rsidR="00AF192E" w:rsidRPr="00EA1625" w:rsidRDefault="00AF192E" w:rsidP="00AF192E">
      <w:pPr>
        <w:tabs>
          <w:tab w:val="num" w:pos="2160"/>
        </w:tabs>
        <w:spacing w:line="360" w:lineRule="auto"/>
        <w:ind w:firstLine="1440"/>
      </w:pPr>
      <w:r w:rsidRPr="00EA1625">
        <w:t xml:space="preserve">THEREFORE, </w:t>
      </w:r>
    </w:p>
    <w:p w:rsidR="00AF192E" w:rsidRPr="00EA1625" w:rsidRDefault="00AF192E" w:rsidP="00AF192E">
      <w:pPr>
        <w:tabs>
          <w:tab w:val="num" w:pos="2160"/>
        </w:tabs>
        <w:spacing w:line="360" w:lineRule="auto"/>
      </w:pPr>
    </w:p>
    <w:p w:rsidR="00AF192E" w:rsidRPr="00EA1625" w:rsidRDefault="00AF192E" w:rsidP="00AF192E">
      <w:pPr>
        <w:tabs>
          <w:tab w:val="num" w:pos="2160"/>
        </w:tabs>
        <w:spacing w:line="360" w:lineRule="auto"/>
        <w:ind w:firstLine="1440"/>
        <w:outlineLvl w:val="0"/>
      </w:pPr>
      <w:r w:rsidRPr="00EA1625">
        <w:t>IT IS ORDERED:</w:t>
      </w:r>
    </w:p>
    <w:p w:rsidR="00AF192E" w:rsidRPr="00EA1625" w:rsidRDefault="00AF192E" w:rsidP="00AF192E">
      <w:pPr>
        <w:tabs>
          <w:tab w:val="num" w:pos="2160"/>
        </w:tabs>
        <w:spacing w:line="360" w:lineRule="auto"/>
      </w:pPr>
    </w:p>
    <w:p w:rsidR="00AF192E" w:rsidRDefault="00AF192E" w:rsidP="00AF192E">
      <w:pPr>
        <w:tabs>
          <w:tab w:val="num" w:pos="2160"/>
        </w:tabs>
        <w:spacing w:line="360" w:lineRule="auto"/>
        <w:ind w:firstLine="1440"/>
      </w:pPr>
      <w:r w:rsidRPr="00EA1625">
        <w:t>Th</w:t>
      </w:r>
      <w:r>
        <w:t>at th</w:t>
      </w:r>
      <w:r w:rsidRPr="00EA1625">
        <w:t xml:space="preserve">e </w:t>
      </w:r>
      <w:r>
        <w:t xml:space="preserve">complaint of </w:t>
      </w:r>
      <w:r w:rsidR="00FA64E4">
        <w:t>Mary A. Reynolds</w:t>
      </w:r>
      <w:r w:rsidRPr="000A4ECA">
        <w:t xml:space="preserve"> versus </w:t>
      </w:r>
      <w:r w:rsidR="00FA64E4">
        <w:t>Philadelphia Gas Works</w:t>
      </w:r>
      <w:r w:rsidR="00205CC7">
        <w:t xml:space="preserve"> </w:t>
      </w:r>
      <w:r>
        <w:t xml:space="preserve">at Docket No. </w:t>
      </w:r>
      <w:r w:rsidR="000C6105">
        <w:t>C</w:t>
      </w:r>
      <w:r w:rsidR="00205CC7">
        <w:t>-</w:t>
      </w:r>
      <w:r w:rsidR="00FA64E4">
        <w:t>2010-2195218</w:t>
      </w:r>
      <w:r>
        <w:t xml:space="preserve"> is hereby dismissed for the failure to satisfy the burden of proof.</w:t>
      </w:r>
    </w:p>
    <w:p w:rsidR="00AF192E" w:rsidRPr="00EA1625" w:rsidRDefault="00AF192E" w:rsidP="00AF192E">
      <w:pPr>
        <w:tabs>
          <w:tab w:val="num" w:pos="2160"/>
        </w:tabs>
        <w:spacing w:line="360" w:lineRule="auto"/>
        <w:ind w:firstLine="1440"/>
      </w:pPr>
    </w:p>
    <w:p w:rsidR="00AF192E" w:rsidRPr="00EA1625" w:rsidRDefault="00AF192E" w:rsidP="00AF192E">
      <w:pPr>
        <w:tabs>
          <w:tab w:val="num" w:pos="2160"/>
        </w:tabs>
        <w:spacing w:line="360" w:lineRule="auto"/>
        <w:ind w:firstLine="1440"/>
      </w:pPr>
      <w:r w:rsidRPr="00EA1625">
        <w:tab/>
        <w:t xml:space="preserve"> </w:t>
      </w:r>
    </w:p>
    <w:p w:rsidR="00AF192E" w:rsidRPr="00EA1625" w:rsidRDefault="00AF192E" w:rsidP="00AF192E">
      <w:pPr>
        <w:tabs>
          <w:tab w:val="num" w:pos="2160"/>
          <w:tab w:val="left" w:pos="5048"/>
        </w:tabs>
      </w:pPr>
      <w:r w:rsidRPr="00EA1625">
        <w:t>Date:</w:t>
      </w:r>
      <w:r>
        <w:t xml:space="preserve">  </w:t>
      </w:r>
      <w:r w:rsidR="00FC6F9E">
        <w:rPr>
          <w:u w:val="single"/>
        </w:rPr>
        <w:t>March 1</w:t>
      </w:r>
      <w:r w:rsidR="00FA64E4">
        <w:rPr>
          <w:u w:val="single"/>
        </w:rPr>
        <w:t>, 2012</w:t>
      </w:r>
      <w:r>
        <w:tab/>
      </w:r>
      <w:r w:rsidR="00FC6F9E">
        <w:tab/>
      </w:r>
      <w:r w:rsidRPr="00EA1625">
        <w:t>______________________________</w:t>
      </w:r>
    </w:p>
    <w:p w:rsidR="00AF192E" w:rsidRPr="00EA1625" w:rsidRDefault="00AF192E" w:rsidP="00AF192E">
      <w:pPr>
        <w:tabs>
          <w:tab w:val="num" w:pos="2160"/>
        </w:tabs>
      </w:pPr>
      <w:r w:rsidRPr="00EA1625">
        <w:tab/>
      </w:r>
      <w:r w:rsidRPr="00EA1625">
        <w:tab/>
      </w:r>
      <w:r w:rsidRPr="00EA1625">
        <w:tab/>
      </w:r>
      <w:r w:rsidRPr="00EA1625">
        <w:tab/>
      </w:r>
      <w:r w:rsidRPr="00EA1625">
        <w:tab/>
        <w:t>Katrina L. Dunderdale</w:t>
      </w:r>
    </w:p>
    <w:p w:rsidR="00AF192E" w:rsidRDefault="00AF192E" w:rsidP="00AF192E">
      <w:pPr>
        <w:tabs>
          <w:tab w:val="num" w:pos="2160"/>
        </w:tabs>
      </w:pPr>
      <w:r w:rsidRPr="00EA1625">
        <w:tab/>
      </w:r>
      <w:r w:rsidRPr="00EA1625">
        <w:tab/>
      </w:r>
      <w:r w:rsidRPr="00EA1625">
        <w:tab/>
      </w:r>
      <w:r w:rsidRPr="00EA1625">
        <w:tab/>
      </w:r>
      <w:r w:rsidRPr="00EA1625">
        <w:tab/>
        <w:t>Administrative Law Judge</w:t>
      </w:r>
    </w:p>
    <w:p w:rsidR="00AF192E" w:rsidRDefault="00AF192E" w:rsidP="00AF192E">
      <w:pPr>
        <w:tabs>
          <w:tab w:val="num" w:pos="2160"/>
        </w:tabs>
      </w:pPr>
    </w:p>
    <w:p w:rsidR="000E6AC8" w:rsidRPr="00EA1625" w:rsidRDefault="000E6AC8" w:rsidP="00B46DE5">
      <w:pPr>
        <w:ind w:right="115"/>
      </w:pPr>
    </w:p>
    <w:sectPr w:rsidR="000E6AC8" w:rsidRPr="00EA1625" w:rsidSect="00F6612B">
      <w:footerReference w:type="even" r:id="rId9"/>
      <w:footerReference w:type="default" r:id="rId10"/>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995" w:rsidRDefault="00506995">
      <w:r>
        <w:separator/>
      </w:r>
    </w:p>
  </w:endnote>
  <w:endnote w:type="continuationSeparator" w:id="0">
    <w:p w:rsidR="00506995" w:rsidRDefault="0050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EE" w:rsidRDefault="006909A4" w:rsidP="008E4FD6">
    <w:pPr>
      <w:pStyle w:val="Footer"/>
      <w:framePr w:wrap="around" w:vAnchor="text" w:hAnchor="margin" w:xAlign="center" w:y="1"/>
      <w:rPr>
        <w:rStyle w:val="PageNumber"/>
      </w:rPr>
    </w:pPr>
    <w:r>
      <w:rPr>
        <w:rStyle w:val="PageNumber"/>
      </w:rPr>
      <w:fldChar w:fldCharType="begin"/>
    </w:r>
    <w:r w:rsidR="002C71EE">
      <w:rPr>
        <w:rStyle w:val="PageNumber"/>
      </w:rPr>
      <w:instrText xml:space="preserve">PAGE  </w:instrText>
    </w:r>
    <w:r>
      <w:rPr>
        <w:rStyle w:val="PageNumber"/>
      </w:rPr>
      <w:fldChar w:fldCharType="separate"/>
    </w:r>
    <w:r w:rsidR="002379B2">
      <w:rPr>
        <w:rStyle w:val="PageNumber"/>
        <w:noProof/>
      </w:rPr>
      <w:t>4</w:t>
    </w:r>
    <w:r>
      <w:rPr>
        <w:rStyle w:val="PageNumber"/>
      </w:rPr>
      <w:fldChar w:fldCharType="end"/>
    </w:r>
  </w:p>
  <w:p w:rsidR="002C71EE" w:rsidRDefault="002C71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EE" w:rsidRPr="00857D1A" w:rsidRDefault="006909A4" w:rsidP="008E4FD6">
    <w:pPr>
      <w:pStyle w:val="Footer"/>
      <w:framePr w:wrap="around" w:vAnchor="text" w:hAnchor="margin" w:xAlign="center" w:y="1"/>
      <w:rPr>
        <w:rStyle w:val="PageNumber"/>
      </w:rPr>
    </w:pPr>
    <w:r w:rsidRPr="00857D1A">
      <w:rPr>
        <w:rStyle w:val="PageNumber"/>
      </w:rPr>
      <w:fldChar w:fldCharType="begin"/>
    </w:r>
    <w:r w:rsidR="002C71EE" w:rsidRPr="00857D1A">
      <w:rPr>
        <w:rStyle w:val="PageNumber"/>
      </w:rPr>
      <w:instrText xml:space="preserve">PAGE  </w:instrText>
    </w:r>
    <w:r w:rsidRPr="00857D1A">
      <w:rPr>
        <w:rStyle w:val="PageNumber"/>
      </w:rPr>
      <w:fldChar w:fldCharType="separate"/>
    </w:r>
    <w:r w:rsidR="000A0657">
      <w:rPr>
        <w:rStyle w:val="PageNumber"/>
        <w:noProof/>
      </w:rPr>
      <w:t>9</w:t>
    </w:r>
    <w:r w:rsidRPr="00857D1A">
      <w:rPr>
        <w:rStyle w:val="PageNumber"/>
      </w:rPr>
      <w:fldChar w:fldCharType="end"/>
    </w:r>
  </w:p>
  <w:p w:rsidR="002C71EE" w:rsidRDefault="002C7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995" w:rsidRDefault="00506995">
      <w:r>
        <w:separator/>
      </w:r>
    </w:p>
  </w:footnote>
  <w:footnote w:type="continuationSeparator" w:id="0">
    <w:p w:rsidR="00506995" w:rsidRDefault="00506995">
      <w:r>
        <w:continuationSeparator/>
      </w:r>
    </w:p>
  </w:footnote>
  <w:footnote w:id="1">
    <w:p w:rsidR="003B40DA" w:rsidRDefault="003B40DA" w:rsidP="005F0F52">
      <w:pPr>
        <w:pStyle w:val="FootnoteText"/>
        <w:ind w:firstLine="720"/>
      </w:pPr>
      <w:r>
        <w:rPr>
          <w:rStyle w:val="FootnoteReference"/>
        </w:rPr>
        <w:footnoteRef/>
      </w:r>
      <w:r>
        <w:t xml:space="preserve"> </w:t>
      </w:r>
      <w:r>
        <w:tab/>
      </w:r>
      <w:r w:rsidRPr="003B40DA">
        <w:t>See 66 Pa. C.S.A. §1501.</w:t>
      </w:r>
    </w:p>
    <w:p w:rsidR="005F0F52" w:rsidRPr="003B40DA" w:rsidRDefault="005F0F52" w:rsidP="005F0F52">
      <w:pPr>
        <w:pStyle w:val="FootnoteText"/>
        <w:ind w:firstLine="720"/>
      </w:pPr>
    </w:p>
  </w:footnote>
  <w:footnote w:id="2">
    <w:p w:rsidR="00846FA1" w:rsidRDefault="00846FA1" w:rsidP="005F0F52">
      <w:pPr>
        <w:pStyle w:val="FootnoteText"/>
        <w:ind w:firstLine="720"/>
      </w:pPr>
      <w:r>
        <w:rPr>
          <w:rStyle w:val="FootnoteReference"/>
        </w:rPr>
        <w:footnoteRef/>
      </w:r>
      <w:r>
        <w:t xml:space="preserve"> </w:t>
      </w:r>
      <w:r>
        <w:tab/>
        <w:t xml:space="preserve">See </w:t>
      </w:r>
      <w:r w:rsidRPr="004E7308">
        <w:t>66 Pa. C.S. §332(a).</w:t>
      </w:r>
    </w:p>
    <w:p w:rsidR="005F0F52" w:rsidRDefault="005F0F52" w:rsidP="005F0F52">
      <w:pPr>
        <w:pStyle w:val="FootnoteText"/>
        <w:ind w:firstLine="720"/>
      </w:pPr>
    </w:p>
  </w:footnote>
  <w:footnote w:id="3">
    <w:p w:rsidR="00846FA1" w:rsidRDefault="00846FA1" w:rsidP="005F0F52">
      <w:pPr>
        <w:pStyle w:val="FootnoteText"/>
        <w:ind w:firstLine="720"/>
      </w:pPr>
      <w:r>
        <w:rPr>
          <w:rStyle w:val="FootnoteReference"/>
        </w:rPr>
        <w:footnoteRef/>
      </w:r>
      <w:r>
        <w:t xml:space="preserve"> </w:t>
      </w:r>
      <w:r>
        <w:tab/>
      </w:r>
      <w:proofErr w:type="gramStart"/>
      <w:r>
        <w:t xml:space="preserve">See </w:t>
      </w:r>
      <w:r>
        <w:rPr>
          <w:u w:val="single"/>
        </w:rPr>
        <w:t xml:space="preserve">Norfolk </w:t>
      </w:r>
      <w:r w:rsidRPr="006E5FE7">
        <w:rPr>
          <w:u w:val="single"/>
        </w:rPr>
        <w:t>&amp; Western Ry. Company v. Pennsylvania Public Utility Commission</w:t>
      </w:r>
      <w:r w:rsidRPr="006E5FE7">
        <w:t xml:space="preserve">, 489 Pa. 109, 413 A.2d 1037 (1980); </w:t>
      </w:r>
      <w:r w:rsidRPr="006E5FE7">
        <w:rPr>
          <w:u w:val="single"/>
        </w:rPr>
        <w:t>Erie Resistor Corp. v. Unemployment Board of Review</w:t>
      </w:r>
      <w:r w:rsidRPr="006E5FE7">
        <w:t xml:space="preserve">, 194 Pa. Superior Ct. 278, 166 A.2d 96 (1961); </w:t>
      </w:r>
      <w:r w:rsidRPr="006E5FE7">
        <w:rPr>
          <w:u w:val="single"/>
        </w:rPr>
        <w:t>Murphy v. Department of Public Welfare</w:t>
      </w:r>
      <w:r w:rsidRPr="006E5FE7">
        <w:t xml:space="preserve">, 480 A.2d 382 (Pa. </w:t>
      </w:r>
      <w:proofErr w:type="spellStart"/>
      <w:r w:rsidRPr="006E5FE7">
        <w:t>Cmwlth</w:t>
      </w:r>
      <w:proofErr w:type="spellEnd"/>
      <w:r w:rsidRPr="006E5FE7">
        <w:t>. 1984).</w:t>
      </w:r>
      <w:proofErr w:type="gramEnd"/>
    </w:p>
    <w:p w:rsidR="00467327" w:rsidRDefault="00467327" w:rsidP="005F0F52">
      <w:pPr>
        <w:pStyle w:val="FootnoteText"/>
        <w:ind w:firstLine="720"/>
      </w:pPr>
    </w:p>
  </w:footnote>
  <w:footnote w:id="4">
    <w:p w:rsidR="00F014D2" w:rsidRDefault="00F014D2" w:rsidP="00F014D2">
      <w:pPr>
        <w:pStyle w:val="FootnoteText"/>
        <w:ind w:firstLine="720"/>
      </w:pPr>
      <w:r>
        <w:rPr>
          <w:rStyle w:val="FootnoteReference"/>
        </w:rPr>
        <w:footnoteRef/>
      </w:r>
      <w:r>
        <w:t xml:space="preserve"> </w:t>
      </w:r>
      <w:r>
        <w:tab/>
        <w:t>See transcript pages 108 to 111.</w:t>
      </w:r>
    </w:p>
  </w:footnote>
  <w:footnote w:id="5">
    <w:p w:rsidR="00E17088" w:rsidRDefault="00E17088" w:rsidP="00E17088">
      <w:pPr>
        <w:pStyle w:val="FootnoteText"/>
      </w:pPr>
    </w:p>
    <w:p w:rsidR="00E17088" w:rsidRDefault="00E17088" w:rsidP="00E17088">
      <w:pPr>
        <w:pStyle w:val="FootnoteText"/>
        <w:ind w:firstLine="720"/>
      </w:pPr>
      <w:r>
        <w:rPr>
          <w:rStyle w:val="FootnoteReference"/>
        </w:rPr>
        <w:footnoteRef/>
      </w:r>
      <w:r>
        <w:t xml:space="preserve"> </w:t>
      </w:r>
      <w:r>
        <w:tab/>
      </w:r>
      <w:proofErr w:type="spellStart"/>
      <w:proofErr w:type="gramStart"/>
      <w:r w:rsidRPr="004D1AA4">
        <w:rPr>
          <w:u w:val="single"/>
        </w:rPr>
        <w:t>Scaccia</w:t>
      </w:r>
      <w:proofErr w:type="spellEnd"/>
      <w:r w:rsidRPr="004D1AA4">
        <w:rPr>
          <w:u w:val="single"/>
        </w:rPr>
        <w:t xml:space="preserve"> v. West Penn Power Company</w:t>
      </w:r>
      <w:r w:rsidRPr="004D1AA4">
        <w:t>, 55 Pa. P.U.C. 637 (1982).</w:t>
      </w:r>
      <w:proofErr w:type="gramEnd"/>
      <w:r w:rsidRPr="004D1AA4">
        <w:rPr>
          <w:sz w:val="24"/>
          <w:szCs w:val="24"/>
        </w:rPr>
        <w:t xml:space="preserve">  </w:t>
      </w:r>
    </w:p>
  </w:footnote>
  <w:footnote w:id="6">
    <w:p w:rsidR="00E17088" w:rsidRDefault="00E17088">
      <w:pPr>
        <w:pStyle w:val="FootnoteText"/>
      </w:pPr>
    </w:p>
    <w:p w:rsidR="00E17088" w:rsidRPr="00E17088" w:rsidRDefault="00E17088" w:rsidP="00E17088">
      <w:pPr>
        <w:pStyle w:val="FootnoteText"/>
        <w:ind w:firstLine="720"/>
      </w:pPr>
      <w:r w:rsidRPr="00E17088">
        <w:rPr>
          <w:rStyle w:val="FootnoteReference"/>
        </w:rPr>
        <w:footnoteRef/>
      </w:r>
      <w:r w:rsidRPr="00E17088">
        <w:t xml:space="preserve"> </w:t>
      </w:r>
      <w:r w:rsidRPr="00E17088">
        <w:tab/>
      </w:r>
      <w:r w:rsidRPr="00E17088">
        <w:rPr>
          <w:u w:val="single"/>
        </w:rPr>
        <w:t>Bolt v. Duquesne Light Company</w:t>
      </w:r>
      <w:r w:rsidRPr="00E17088">
        <w:t>, Docket No. </w:t>
      </w:r>
      <w:proofErr w:type="gramStart"/>
      <w:r w:rsidRPr="00E17088">
        <w:t>Z</w:t>
      </w:r>
      <w:r w:rsidRPr="00E17088">
        <w:noBreakHyphen/>
        <w:t>8712758 (Order entered April 8, 1988).</w:t>
      </w:r>
      <w:proofErr w:type="gramEnd"/>
    </w:p>
  </w:footnote>
  <w:footnote w:id="7">
    <w:p w:rsidR="00E17088" w:rsidRPr="00E17088" w:rsidRDefault="00E17088">
      <w:pPr>
        <w:pStyle w:val="FootnoteText"/>
      </w:pPr>
    </w:p>
    <w:p w:rsidR="00E17088" w:rsidRPr="00E17088" w:rsidRDefault="00E17088" w:rsidP="00E17088">
      <w:pPr>
        <w:pStyle w:val="FootnoteText"/>
        <w:ind w:firstLine="720"/>
      </w:pPr>
      <w:r w:rsidRPr="00E17088">
        <w:rPr>
          <w:rStyle w:val="FootnoteReference"/>
        </w:rPr>
        <w:footnoteRef/>
      </w:r>
      <w:r w:rsidRPr="00E17088">
        <w:t xml:space="preserve"> </w:t>
      </w:r>
      <w:r w:rsidRPr="00E17088">
        <w:tab/>
        <w:t xml:space="preserve">See 66 Pa. C.S. §1303.  </w:t>
      </w:r>
    </w:p>
  </w:footnote>
  <w:footnote w:id="8">
    <w:p w:rsidR="00E17088" w:rsidRPr="00E17088" w:rsidRDefault="00E17088">
      <w:pPr>
        <w:pStyle w:val="FootnoteText"/>
      </w:pPr>
    </w:p>
    <w:p w:rsidR="00E17088" w:rsidRPr="00E17088" w:rsidRDefault="00E17088" w:rsidP="00E17088">
      <w:pPr>
        <w:pStyle w:val="FootnoteText"/>
        <w:ind w:firstLine="720"/>
      </w:pPr>
      <w:r w:rsidRPr="00E17088">
        <w:rPr>
          <w:rStyle w:val="FootnoteReference"/>
        </w:rPr>
        <w:footnoteRef/>
      </w:r>
      <w:r w:rsidRPr="00E17088">
        <w:t xml:space="preserve"> </w:t>
      </w:r>
      <w:r w:rsidRPr="00E17088">
        <w:tab/>
        <w:t>See 66 Pa. C.S. §1304.</w:t>
      </w:r>
    </w:p>
  </w:footnote>
  <w:footnote w:id="9">
    <w:p w:rsidR="00E17088" w:rsidRPr="00E17088" w:rsidRDefault="00E17088" w:rsidP="00E17088">
      <w:pPr>
        <w:pStyle w:val="FootnoteText"/>
        <w:ind w:firstLine="720"/>
      </w:pPr>
    </w:p>
    <w:p w:rsidR="00E17088" w:rsidRDefault="00E17088" w:rsidP="00E17088">
      <w:pPr>
        <w:pStyle w:val="FootnoteText"/>
        <w:ind w:firstLine="720"/>
      </w:pPr>
      <w:r w:rsidRPr="00E17088">
        <w:rPr>
          <w:rStyle w:val="FootnoteReference"/>
        </w:rPr>
        <w:footnoteRef/>
      </w:r>
      <w:r w:rsidRPr="00E17088">
        <w:t xml:space="preserve"> </w:t>
      </w:r>
      <w:r w:rsidRPr="00E17088">
        <w:tab/>
        <w:t xml:space="preserve">The </w:t>
      </w:r>
      <w:r w:rsidRPr="00E17088">
        <w:rPr>
          <w:i/>
        </w:rPr>
        <w:t>Responsible Utility Customer Protection Act</w:t>
      </w:r>
      <w:r w:rsidRPr="00E17088">
        <w:t xml:space="preserve"> (“Act 201”) became effective on December 14, 2004, and enacted Chapter 14 of the</w:t>
      </w:r>
      <w:r w:rsidRPr="004D1AA4">
        <w:t xml:space="preserve"> Public Utility Code, 66 Pa. C.S. §§1401, </w:t>
      </w:r>
      <w:r w:rsidRPr="004D1AA4">
        <w:rPr>
          <w:i/>
        </w:rPr>
        <w:t>et seq</w:t>
      </w:r>
      <w:r w:rsidRPr="004D1AA4">
        <w:t xml:space="preserve">.  </w:t>
      </w:r>
    </w:p>
    <w:p w:rsidR="00E17088" w:rsidRDefault="00E17088" w:rsidP="00E17088">
      <w:pPr>
        <w:pStyle w:val="FootnoteText"/>
        <w:ind w:firstLine="720"/>
      </w:pPr>
    </w:p>
  </w:footnote>
  <w:footnote w:id="10">
    <w:p w:rsidR="00E17088" w:rsidRDefault="00E17088" w:rsidP="00E17088">
      <w:pPr>
        <w:pStyle w:val="FootnoteText"/>
        <w:ind w:firstLine="720"/>
      </w:pPr>
      <w:r>
        <w:rPr>
          <w:rStyle w:val="FootnoteReference"/>
        </w:rPr>
        <w:footnoteRef/>
      </w:r>
      <w:r>
        <w:t xml:space="preserve"> </w:t>
      </w:r>
      <w:r>
        <w:tab/>
        <w:t>See 66 Pa. C.S. §1403.</w:t>
      </w:r>
    </w:p>
    <w:p w:rsidR="00E17088" w:rsidRDefault="00E17088" w:rsidP="00E17088">
      <w:pPr>
        <w:pStyle w:val="FootnoteText"/>
        <w:ind w:firstLine="720"/>
      </w:pPr>
    </w:p>
  </w:footnote>
  <w:footnote w:id="11">
    <w:p w:rsidR="00746EC9" w:rsidRDefault="00746EC9" w:rsidP="00746EC9">
      <w:pPr>
        <w:pStyle w:val="FootnoteText"/>
        <w:ind w:firstLine="720"/>
      </w:pPr>
      <w:r>
        <w:rPr>
          <w:rStyle w:val="FootnoteReference"/>
        </w:rPr>
        <w:footnoteRef/>
      </w:r>
      <w:r>
        <w:t xml:space="preserve"> </w:t>
      </w:r>
      <w:r>
        <w:tab/>
        <w:t>See 66 Pa. C.S.A. §1403.</w:t>
      </w:r>
    </w:p>
  </w:footnote>
  <w:footnote w:id="12">
    <w:p w:rsidR="00746EC9" w:rsidRDefault="00746EC9">
      <w:pPr>
        <w:pStyle w:val="FootnoteText"/>
      </w:pPr>
    </w:p>
    <w:p w:rsidR="00746EC9" w:rsidRDefault="00746EC9" w:rsidP="00746EC9">
      <w:pPr>
        <w:pStyle w:val="FootnoteText"/>
        <w:ind w:firstLine="720"/>
      </w:pPr>
      <w:r>
        <w:rPr>
          <w:rStyle w:val="FootnoteReference"/>
        </w:rPr>
        <w:footnoteRef/>
      </w:r>
      <w:r>
        <w:t xml:space="preserve"> </w:t>
      </w:r>
      <w:r>
        <w:tab/>
      </w:r>
      <w:r w:rsidRPr="00746EC9">
        <w:rPr>
          <w:i/>
        </w:rPr>
        <w:t>Id.</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A5348E4"/>
    <w:multiLevelType w:val="hybridMultilevel"/>
    <w:tmpl w:val="CFE079B6"/>
    <w:lvl w:ilvl="0" w:tplc="B686DB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2933"/>
    <w:rsid w:val="00005217"/>
    <w:rsid w:val="00014CD9"/>
    <w:rsid w:val="00015E77"/>
    <w:rsid w:val="000202E4"/>
    <w:rsid w:val="00020B78"/>
    <w:rsid w:val="000218E1"/>
    <w:rsid w:val="00023CF5"/>
    <w:rsid w:val="0002562B"/>
    <w:rsid w:val="00032447"/>
    <w:rsid w:val="0003254A"/>
    <w:rsid w:val="0003345F"/>
    <w:rsid w:val="00034D3C"/>
    <w:rsid w:val="0003581E"/>
    <w:rsid w:val="00036E7E"/>
    <w:rsid w:val="0003750C"/>
    <w:rsid w:val="0004246D"/>
    <w:rsid w:val="00042684"/>
    <w:rsid w:val="000436F0"/>
    <w:rsid w:val="00047CF1"/>
    <w:rsid w:val="00050D6D"/>
    <w:rsid w:val="00051FFD"/>
    <w:rsid w:val="000522FF"/>
    <w:rsid w:val="000539E5"/>
    <w:rsid w:val="0006370C"/>
    <w:rsid w:val="00064E1B"/>
    <w:rsid w:val="00065B67"/>
    <w:rsid w:val="00066099"/>
    <w:rsid w:val="00067DC6"/>
    <w:rsid w:val="00073A29"/>
    <w:rsid w:val="00081933"/>
    <w:rsid w:val="00082083"/>
    <w:rsid w:val="00086D0E"/>
    <w:rsid w:val="000876AA"/>
    <w:rsid w:val="00091434"/>
    <w:rsid w:val="000919E3"/>
    <w:rsid w:val="00092268"/>
    <w:rsid w:val="00094316"/>
    <w:rsid w:val="00094EC4"/>
    <w:rsid w:val="00095A48"/>
    <w:rsid w:val="000A0657"/>
    <w:rsid w:val="000A46F6"/>
    <w:rsid w:val="000A795C"/>
    <w:rsid w:val="000A7A7E"/>
    <w:rsid w:val="000A7B01"/>
    <w:rsid w:val="000A7DE2"/>
    <w:rsid w:val="000B0443"/>
    <w:rsid w:val="000B12EC"/>
    <w:rsid w:val="000B1450"/>
    <w:rsid w:val="000B2586"/>
    <w:rsid w:val="000B4044"/>
    <w:rsid w:val="000B575F"/>
    <w:rsid w:val="000B7480"/>
    <w:rsid w:val="000C0C94"/>
    <w:rsid w:val="000C22D0"/>
    <w:rsid w:val="000C4FB0"/>
    <w:rsid w:val="000C6105"/>
    <w:rsid w:val="000C639E"/>
    <w:rsid w:val="000C6633"/>
    <w:rsid w:val="000C736C"/>
    <w:rsid w:val="000D20FB"/>
    <w:rsid w:val="000D332F"/>
    <w:rsid w:val="000D4E83"/>
    <w:rsid w:val="000D5FCA"/>
    <w:rsid w:val="000D74CE"/>
    <w:rsid w:val="000D7D68"/>
    <w:rsid w:val="000E0DDA"/>
    <w:rsid w:val="000E33AA"/>
    <w:rsid w:val="000E4C15"/>
    <w:rsid w:val="000E4D29"/>
    <w:rsid w:val="000E52DA"/>
    <w:rsid w:val="000E6AC8"/>
    <w:rsid w:val="000F0F3C"/>
    <w:rsid w:val="000F45A3"/>
    <w:rsid w:val="000F4D6B"/>
    <w:rsid w:val="000F746C"/>
    <w:rsid w:val="0010040A"/>
    <w:rsid w:val="00103215"/>
    <w:rsid w:val="00103B9D"/>
    <w:rsid w:val="0010437D"/>
    <w:rsid w:val="00104453"/>
    <w:rsid w:val="001044D8"/>
    <w:rsid w:val="00106746"/>
    <w:rsid w:val="001130C8"/>
    <w:rsid w:val="001140BC"/>
    <w:rsid w:val="00114E63"/>
    <w:rsid w:val="001161AA"/>
    <w:rsid w:val="0011669D"/>
    <w:rsid w:val="0011788E"/>
    <w:rsid w:val="0012141F"/>
    <w:rsid w:val="00121AE5"/>
    <w:rsid w:val="0012397B"/>
    <w:rsid w:val="0012478B"/>
    <w:rsid w:val="00125933"/>
    <w:rsid w:val="00125CCD"/>
    <w:rsid w:val="00130536"/>
    <w:rsid w:val="00130E27"/>
    <w:rsid w:val="0013299A"/>
    <w:rsid w:val="001339E0"/>
    <w:rsid w:val="00133A47"/>
    <w:rsid w:val="00133B41"/>
    <w:rsid w:val="001354D6"/>
    <w:rsid w:val="00137307"/>
    <w:rsid w:val="001375AA"/>
    <w:rsid w:val="00142A80"/>
    <w:rsid w:val="00142C06"/>
    <w:rsid w:val="00143FA7"/>
    <w:rsid w:val="00144748"/>
    <w:rsid w:val="001513EC"/>
    <w:rsid w:val="00152853"/>
    <w:rsid w:val="00153358"/>
    <w:rsid w:val="00153E19"/>
    <w:rsid w:val="00156938"/>
    <w:rsid w:val="00156A90"/>
    <w:rsid w:val="001579F8"/>
    <w:rsid w:val="00161DD4"/>
    <w:rsid w:val="001651EC"/>
    <w:rsid w:val="00165400"/>
    <w:rsid w:val="0016541B"/>
    <w:rsid w:val="00166791"/>
    <w:rsid w:val="00166F22"/>
    <w:rsid w:val="00167534"/>
    <w:rsid w:val="00172F8D"/>
    <w:rsid w:val="001802CA"/>
    <w:rsid w:val="00182E52"/>
    <w:rsid w:val="00182EDA"/>
    <w:rsid w:val="00182F15"/>
    <w:rsid w:val="0018379D"/>
    <w:rsid w:val="00183AE1"/>
    <w:rsid w:val="00185EF9"/>
    <w:rsid w:val="00192495"/>
    <w:rsid w:val="00195561"/>
    <w:rsid w:val="001961FE"/>
    <w:rsid w:val="00196E40"/>
    <w:rsid w:val="001A10B8"/>
    <w:rsid w:val="001A5BC2"/>
    <w:rsid w:val="001A7B2A"/>
    <w:rsid w:val="001B02AE"/>
    <w:rsid w:val="001B3B0D"/>
    <w:rsid w:val="001B436F"/>
    <w:rsid w:val="001C3008"/>
    <w:rsid w:val="001C4EBC"/>
    <w:rsid w:val="001C5AD4"/>
    <w:rsid w:val="001C5F76"/>
    <w:rsid w:val="001C77BD"/>
    <w:rsid w:val="001D1DC6"/>
    <w:rsid w:val="001D5E87"/>
    <w:rsid w:val="001D67F3"/>
    <w:rsid w:val="001D6F49"/>
    <w:rsid w:val="001D7070"/>
    <w:rsid w:val="001D79FF"/>
    <w:rsid w:val="001E0B58"/>
    <w:rsid w:val="001E2C24"/>
    <w:rsid w:val="001E6E72"/>
    <w:rsid w:val="001F030C"/>
    <w:rsid w:val="001F20AC"/>
    <w:rsid w:val="001F2DB0"/>
    <w:rsid w:val="001F41BB"/>
    <w:rsid w:val="001F44B8"/>
    <w:rsid w:val="001F501B"/>
    <w:rsid w:val="001F78F1"/>
    <w:rsid w:val="00200ED0"/>
    <w:rsid w:val="00205CC7"/>
    <w:rsid w:val="00206B04"/>
    <w:rsid w:val="002075E6"/>
    <w:rsid w:val="00210334"/>
    <w:rsid w:val="00210460"/>
    <w:rsid w:val="00212D2D"/>
    <w:rsid w:val="00214A19"/>
    <w:rsid w:val="002154B5"/>
    <w:rsid w:val="00216A05"/>
    <w:rsid w:val="0022141F"/>
    <w:rsid w:val="00223A5B"/>
    <w:rsid w:val="00230C81"/>
    <w:rsid w:val="0023235E"/>
    <w:rsid w:val="00236778"/>
    <w:rsid w:val="002379B2"/>
    <w:rsid w:val="0024228E"/>
    <w:rsid w:val="00244AD1"/>
    <w:rsid w:val="00244F10"/>
    <w:rsid w:val="00251BBF"/>
    <w:rsid w:val="002520A5"/>
    <w:rsid w:val="00254BFC"/>
    <w:rsid w:val="00254FD1"/>
    <w:rsid w:val="0025557F"/>
    <w:rsid w:val="00255813"/>
    <w:rsid w:val="00257459"/>
    <w:rsid w:val="0026028F"/>
    <w:rsid w:val="0026064A"/>
    <w:rsid w:val="0026257D"/>
    <w:rsid w:val="00263EFE"/>
    <w:rsid w:val="00265108"/>
    <w:rsid w:val="0026526F"/>
    <w:rsid w:val="00271E72"/>
    <w:rsid w:val="00271FF1"/>
    <w:rsid w:val="002768A0"/>
    <w:rsid w:val="00277379"/>
    <w:rsid w:val="00280380"/>
    <w:rsid w:val="00280AF0"/>
    <w:rsid w:val="00283A3F"/>
    <w:rsid w:val="002867AD"/>
    <w:rsid w:val="0029002C"/>
    <w:rsid w:val="002904BB"/>
    <w:rsid w:val="00291636"/>
    <w:rsid w:val="00291917"/>
    <w:rsid w:val="00295403"/>
    <w:rsid w:val="00296B64"/>
    <w:rsid w:val="002A788C"/>
    <w:rsid w:val="002A78AC"/>
    <w:rsid w:val="002B433A"/>
    <w:rsid w:val="002B4996"/>
    <w:rsid w:val="002B4DFA"/>
    <w:rsid w:val="002C703F"/>
    <w:rsid w:val="002C71EE"/>
    <w:rsid w:val="002C7AB0"/>
    <w:rsid w:val="002D154F"/>
    <w:rsid w:val="002D29E7"/>
    <w:rsid w:val="002E0648"/>
    <w:rsid w:val="002E2B6E"/>
    <w:rsid w:val="002E49A8"/>
    <w:rsid w:val="002E597B"/>
    <w:rsid w:val="002E5A74"/>
    <w:rsid w:val="002E6B15"/>
    <w:rsid w:val="002F490A"/>
    <w:rsid w:val="002F4F6F"/>
    <w:rsid w:val="002F6CA8"/>
    <w:rsid w:val="002F6DFB"/>
    <w:rsid w:val="00302C62"/>
    <w:rsid w:val="00302D41"/>
    <w:rsid w:val="003057F2"/>
    <w:rsid w:val="00307FF8"/>
    <w:rsid w:val="00311588"/>
    <w:rsid w:val="003121E7"/>
    <w:rsid w:val="00324C80"/>
    <w:rsid w:val="00325F65"/>
    <w:rsid w:val="00326C73"/>
    <w:rsid w:val="00330B01"/>
    <w:rsid w:val="0033183D"/>
    <w:rsid w:val="003360F0"/>
    <w:rsid w:val="00337340"/>
    <w:rsid w:val="0034231B"/>
    <w:rsid w:val="00342B49"/>
    <w:rsid w:val="00343D42"/>
    <w:rsid w:val="0034410D"/>
    <w:rsid w:val="0034692A"/>
    <w:rsid w:val="00353602"/>
    <w:rsid w:val="003603C7"/>
    <w:rsid w:val="00360ACF"/>
    <w:rsid w:val="00360EB9"/>
    <w:rsid w:val="003648F3"/>
    <w:rsid w:val="003649AC"/>
    <w:rsid w:val="003678A1"/>
    <w:rsid w:val="00370128"/>
    <w:rsid w:val="00370B2D"/>
    <w:rsid w:val="00371933"/>
    <w:rsid w:val="00373245"/>
    <w:rsid w:val="00373AC6"/>
    <w:rsid w:val="0037694C"/>
    <w:rsid w:val="003776D7"/>
    <w:rsid w:val="00380103"/>
    <w:rsid w:val="00380F4B"/>
    <w:rsid w:val="00382CE0"/>
    <w:rsid w:val="00382EDB"/>
    <w:rsid w:val="00386C1C"/>
    <w:rsid w:val="00387E50"/>
    <w:rsid w:val="003908EE"/>
    <w:rsid w:val="00391096"/>
    <w:rsid w:val="00394A82"/>
    <w:rsid w:val="00394B1F"/>
    <w:rsid w:val="003A0D6B"/>
    <w:rsid w:val="003A551E"/>
    <w:rsid w:val="003A55A7"/>
    <w:rsid w:val="003A62C3"/>
    <w:rsid w:val="003B40DA"/>
    <w:rsid w:val="003B7783"/>
    <w:rsid w:val="003C13E7"/>
    <w:rsid w:val="003C181D"/>
    <w:rsid w:val="003C417D"/>
    <w:rsid w:val="003C7776"/>
    <w:rsid w:val="003D374F"/>
    <w:rsid w:val="003D3E20"/>
    <w:rsid w:val="003D500A"/>
    <w:rsid w:val="003D5173"/>
    <w:rsid w:val="003D54E7"/>
    <w:rsid w:val="003D67D8"/>
    <w:rsid w:val="003E20E4"/>
    <w:rsid w:val="003E2BB0"/>
    <w:rsid w:val="003E2D32"/>
    <w:rsid w:val="003E4EFE"/>
    <w:rsid w:val="003E60E7"/>
    <w:rsid w:val="003F1BC1"/>
    <w:rsid w:val="003F36D7"/>
    <w:rsid w:val="003F3929"/>
    <w:rsid w:val="003F5065"/>
    <w:rsid w:val="003F56DB"/>
    <w:rsid w:val="003F66F1"/>
    <w:rsid w:val="003F6E27"/>
    <w:rsid w:val="0040125C"/>
    <w:rsid w:val="0041637D"/>
    <w:rsid w:val="004201C6"/>
    <w:rsid w:val="00421585"/>
    <w:rsid w:val="004219BD"/>
    <w:rsid w:val="004221F3"/>
    <w:rsid w:val="004247B1"/>
    <w:rsid w:val="00424E02"/>
    <w:rsid w:val="00424E72"/>
    <w:rsid w:val="004267EE"/>
    <w:rsid w:val="00430437"/>
    <w:rsid w:val="004306FB"/>
    <w:rsid w:val="004322BD"/>
    <w:rsid w:val="004340E3"/>
    <w:rsid w:val="00436F72"/>
    <w:rsid w:val="00440B6B"/>
    <w:rsid w:val="004451B4"/>
    <w:rsid w:val="004455C4"/>
    <w:rsid w:val="004624EF"/>
    <w:rsid w:val="00462770"/>
    <w:rsid w:val="0046290B"/>
    <w:rsid w:val="004635FD"/>
    <w:rsid w:val="00465667"/>
    <w:rsid w:val="00465878"/>
    <w:rsid w:val="0046652F"/>
    <w:rsid w:val="0046716A"/>
    <w:rsid w:val="00467327"/>
    <w:rsid w:val="00470AFC"/>
    <w:rsid w:val="00471A85"/>
    <w:rsid w:val="0047283C"/>
    <w:rsid w:val="00474058"/>
    <w:rsid w:val="00474C53"/>
    <w:rsid w:val="00476080"/>
    <w:rsid w:val="00483A4C"/>
    <w:rsid w:val="00487AE0"/>
    <w:rsid w:val="004970DA"/>
    <w:rsid w:val="00497A4D"/>
    <w:rsid w:val="004A26B6"/>
    <w:rsid w:val="004A6673"/>
    <w:rsid w:val="004B34C6"/>
    <w:rsid w:val="004B422F"/>
    <w:rsid w:val="004B4267"/>
    <w:rsid w:val="004B4B53"/>
    <w:rsid w:val="004B4BF2"/>
    <w:rsid w:val="004B4C8B"/>
    <w:rsid w:val="004B6FAD"/>
    <w:rsid w:val="004B750E"/>
    <w:rsid w:val="004C2B63"/>
    <w:rsid w:val="004C5FA9"/>
    <w:rsid w:val="004C6202"/>
    <w:rsid w:val="004C68D2"/>
    <w:rsid w:val="004D3A14"/>
    <w:rsid w:val="004D454A"/>
    <w:rsid w:val="004D6DDC"/>
    <w:rsid w:val="004D75D5"/>
    <w:rsid w:val="004D7E2F"/>
    <w:rsid w:val="004E01BD"/>
    <w:rsid w:val="004E0BE2"/>
    <w:rsid w:val="004E3B20"/>
    <w:rsid w:val="004E3E03"/>
    <w:rsid w:val="004E4252"/>
    <w:rsid w:val="004E595C"/>
    <w:rsid w:val="004E605F"/>
    <w:rsid w:val="004F40E1"/>
    <w:rsid w:val="004F42F8"/>
    <w:rsid w:val="0050181E"/>
    <w:rsid w:val="0050497A"/>
    <w:rsid w:val="00504A1A"/>
    <w:rsid w:val="00506995"/>
    <w:rsid w:val="00507E5B"/>
    <w:rsid w:val="00507ECF"/>
    <w:rsid w:val="00510646"/>
    <w:rsid w:val="00517217"/>
    <w:rsid w:val="00522985"/>
    <w:rsid w:val="005243F8"/>
    <w:rsid w:val="00526435"/>
    <w:rsid w:val="005267BB"/>
    <w:rsid w:val="005317C7"/>
    <w:rsid w:val="005326CD"/>
    <w:rsid w:val="00532876"/>
    <w:rsid w:val="00532900"/>
    <w:rsid w:val="0053390E"/>
    <w:rsid w:val="0053772F"/>
    <w:rsid w:val="00540E3A"/>
    <w:rsid w:val="00541F79"/>
    <w:rsid w:val="00542BC1"/>
    <w:rsid w:val="00543B7C"/>
    <w:rsid w:val="00543F98"/>
    <w:rsid w:val="005447FE"/>
    <w:rsid w:val="00544F7E"/>
    <w:rsid w:val="00545043"/>
    <w:rsid w:val="005451B0"/>
    <w:rsid w:val="00547948"/>
    <w:rsid w:val="00552C73"/>
    <w:rsid w:val="005533A5"/>
    <w:rsid w:val="00553E91"/>
    <w:rsid w:val="00555724"/>
    <w:rsid w:val="00557326"/>
    <w:rsid w:val="00563142"/>
    <w:rsid w:val="005637DF"/>
    <w:rsid w:val="00563FC3"/>
    <w:rsid w:val="005641C8"/>
    <w:rsid w:val="00574344"/>
    <w:rsid w:val="005763CB"/>
    <w:rsid w:val="00577567"/>
    <w:rsid w:val="00580981"/>
    <w:rsid w:val="00580D5E"/>
    <w:rsid w:val="0058201B"/>
    <w:rsid w:val="005900D4"/>
    <w:rsid w:val="0059029B"/>
    <w:rsid w:val="00590669"/>
    <w:rsid w:val="0059631D"/>
    <w:rsid w:val="00597B28"/>
    <w:rsid w:val="005A3E08"/>
    <w:rsid w:val="005A49D6"/>
    <w:rsid w:val="005A6C63"/>
    <w:rsid w:val="005A77D0"/>
    <w:rsid w:val="005B0283"/>
    <w:rsid w:val="005B1AF7"/>
    <w:rsid w:val="005B64BD"/>
    <w:rsid w:val="005C146E"/>
    <w:rsid w:val="005C1BB9"/>
    <w:rsid w:val="005C3225"/>
    <w:rsid w:val="005C32F7"/>
    <w:rsid w:val="005C715B"/>
    <w:rsid w:val="005D03F4"/>
    <w:rsid w:val="005D376C"/>
    <w:rsid w:val="005D4345"/>
    <w:rsid w:val="005D673D"/>
    <w:rsid w:val="005D71F9"/>
    <w:rsid w:val="005D7228"/>
    <w:rsid w:val="005E1CC5"/>
    <w:rsid w:val="005E636D"/>
    <w:rsid w:val="005E6DB5"/>
    <w:rsid w:val="005F0F52"/>
    <w:rsid w:val="005F69FE"/>
    <w:rsid w:val="00600EE9"/>
    <w:rsid w:val="00602A48"/>
    <w:rsid w:val="0060359F"/>
    <w:rsid w:val="006056E2"/>
    <w:rsid w:val="00613AE9"/>
    <w:rsid w:val="00616E73"/>
    <w:rsid w:val="00616FE9"/>
    <w:rsid w:val="00617C29"/>
    <w:rsid w:val="006220FF"/>
    <w:rsid w:val="0062352E"/>
    <w:rsid w:val="00624D89"/>
    <w:rsid w:val="0062694F"/>
    <w:rsid w:val="006322C5"/>
    <w:rsid w:val="00633976"/>
    <w:rsid w:val="00633E89"/>
    <w:rsid w:val="0063487E"/>
    <w:rsid w:val="00634FE8"/>
    <w:rsid w:val="00636266"/>
    <w:rsid w:val="00641052"/>
    <w:rsid w:val="006413CC"/>
    <w:rsid w:val="00642EE9"/>
    <w:rsid w:val="00645FE8"/>
    <w:rsid w:val="006515DB"/>
    <w:rsid w:val="00651AB0"/>
    <w:rsid w:val="00653830"/>
    <w:rsid w:val="00653FDE"/>
    <w:rsid w:val="006552C8"/>
    <w:rsid w:val="00656D84"/>
    <w:rsid w:val="00664032"/>
    <w:rsid w:val="00664A51"/>
    <w:rsid w:val="006663CA"/>
    <w:rsid w:val="0066791C"/>
    <w:rsid w:val="00674B93"/>
    <w:rsid w:val="006771E3"/>
    <w:rsid w:val="006772A2"/>
    <w:rsid w:val="00680293"/>
    <w:rsid w:val="00682B76"/>
    <w:rsid w:val="00684461"/>
    <w:rsid w:val="00685256"/>
    <w:rsid w:val="006869B5"/>
    <w:rsid w:val="006909A4"/>
    <w:rsid w:val="00691778"/>
    <w:rsid w:val="00691FDA"/>
    <w:rsid w:val="00692E3E"/>
    <w:rsid w:val="00694153"/>
    <w:rsid w:val="006954BC"/>
    <w:rsid w:val="006A0714"/>
    <w:rsid w:val="006A3061"/>
    <w:rsid w:val="006B0612"/>
    <w:rsid w:val="006B25F1"/>
    <w:rsid w:val="006B2DFE"/>
    <w:rsid w:val="006B3C06"/>
    <w:rsid w:val="006B50E8"/>
    <w:rsid w:val="006B629F"/>
    <w:rsid w:val="006B7DE7"/>
    <w:rsid w:val="006C13BF"/>
    <w:rsid w:val="006C24C1"/>
    <w:rsid w:val="006C7D49"/>
    <w:rsid w:val="006D2C6C"/>
    <w:rsid w:val="006D2CFC"/>
    <w:rsid w:val="006D2E25"/>
    <w:rsid w:val="006D2F3E"/>
    <w:rsid w:val="006D3697"/>
    <w:rsid w:val="006D38B1"/>
    <w:rsid w:val="006D68C8"/>
    <w:rsid w:val="006E05AE"/>
    <w:rsid w:val="006E0E78"/>
    <w:rsid w:val="006E12A1"/>
    <w:rsid w:val="006E175B"/>
    <w:rsid w:val="006E5341"/>
    <w:rsid w:val="006E59A8"/>
    <w:rsid w:val="006E5FE7"/>
    <w:rsid w:val="006F2B28"/>
    <w:rsid w:val="006F2B77"/>
    <w:rsid w:val="006F44D4"/>
    <w:rsid w:val="006F55AC"/>
    <w:rsid w:val="006F5FE7"/>
    <w:rsid w:val="006F60DA"/>
    <w:rsid w:val="006F6154"/>
    <w:rsid w:val="006F6520"/>
    <w:rsid w:val="006F6FB4"/>
    <w:rsid w:val="006F7393"/>
    <w:rsid w:val="00700704"/>
    <w:rsid w:val="00700E85"/>
    <w:rsid w:val="00710B17"/>
    <w:rsid w:val="00710CE3"/>
    <w:rsid w:val="007116A1"/>
    <w:rsid w:val="0071171E"/>
    <w:rsid w:val="007121EF"/>
    <w:rsid w:val="00713E49"/>
    <w:rsid w:val="0071586C"/>
    <w:rsid w:val="007172D2"/>
    <w:rsid w:val="007177FF"/>
    <w:rsid w:val="00720288"/>
    <w:rsid w:val="00723E29"/>
    <w:rsid w:val="00724325"/>
    <w:rsid w:val="007272A7"/>
    <w:rsid w:val="00732CDD"/>
    <w:rsid w:val="00734AEF"/>
    <w:rsid w:val="00734BAB"/>
    <w:rsid w:val="00736DBA"/>
    <w:rsid w:val="0073725A"/>
    <w:rsid w:val="00740BC6"/>
    <w:rsid w:val="00741D6F"/>
    <w:rsid w:val="00744725"/>
    <w:rsid w:val="00746EC9"/>
    <w:rsid w:val="0074730A"/>
    <w:rsid w:val="00747D0A"/>
    <w:rsid w:val="007516D0"/>
    <w:rsid w:val="00751CE0"/>
    <w:rsid w:val="00752EAE"/>
    <w:rsid w:val="00753A3F"/>
    <w:rsid w:val="00754C84"/>
    <w:rsid w:val="00754EEB"/>
    <w:rsid w:val="00754FD3"/>
    <w:rsid w:val="00757A01"/>
    <w:rsid w:val="00762EB0"/>
    <w:rsid w:val="00764246"/>
    <w:rsid w:val="00764FCF"/>
    <w:rsid w:val="007669DB"/>
    <w:rsid w:val="00766B36"/>
    <w:rsid w:val="00766D86"/>
    <w:rsid w:val="0077037F"/>
    <w:rsid w:val="00772165"/>
    <w:rsid w:val="00772949"/>
    <w:rsid w:val="00772CFC"/>
    <w:rsid w:val="007751FB"/>
    <w:rsid w:val="007767D5"/>
    <w:rsid w:val="00776CD8"/>
    <w:rsid w:val="00777135"/>
    <w:rsid w:val="0078110D"/>
    <w:rsid w:val="00783095"/>
    <w:rsid w:val="00784F1D"/>
    <w:rsid w:val="00785AF3"/>
    <w:rsid w:val="0079328F"/>
    <w:rsid w:val="007939B6"/>
    <w:rsid w:val="00794F1B"/>
    <w:rsid w:val="007952E7"/>
    <w:rsid w:val="007A32D3"/>
    <w:rsid w:val="007A35F8"/>
    <w:rsid w:val="007A40D1"/>
    <w:rsid w:val="007A547D"/>
    <w:rsid w:val="007A5552"/>
    <w:rsid w:val="007B3113"/>
    <w:rsid w:val="007B4DE2"/>
    <w:rsid w:val="007B6775"/>
    <w:rsid w:val="007C1F39"/>
    <w:rsid w:val="007C404E"/>
    <w:rsid w:val="007D2958"/>
    <w:rsid w:val="007D2DA0"/>
    <w:rsid w:val="007D79D2"/>
    <w:rsid w:val="007D7F7F"/>
    <w:rsid w:val="007E5847"/>
    <w:rsid w:val="007E5EA0"/>
    <w:rsid w:val="007E78C1"/>
    <w:rsid w:val="007E7B4E"/>
    <w:rsid w:val="007F02A4"/>
    <w:rsid w:val="007F479E"/>
    <w:rsid w:val="007F4E21"/>
    <w:rsid w:val="00801B41"/>
    <w:rsid w:val="008037BB"/>
    <w:rsid w:val="00805B97"/>
    <w:rsid w:val="00806E0D"/>
    <w:rsid w:val="00816D2C"/>
    <w:rsid w:val="00817DF9"/>
    <w:rsid w:val="0082129E"/>
    <w:rsid w:val="00821749"/>
    <w:rsid w:val="0082186F"/>
    <w:rsid w:val="008236B5"/>
    <w:rsid w:val="00823FCA"/>
    <w:rsid w:val="00824890"/>
    <w:rsid w:val="00825D6C"/>
    <w:rsid w:val="00826CBC"/>
    <w:rsid w:val="00834060"/>
    <w:rsid w:val="0083502A"/>
    <w:rsid w:val="00840B18"/>
    <w:rsid w:val="008418FC"/>
    <w:rsid w:val="008433E3"/>
    <w:rsid w:val="0084410C"/>
    <w:rsid w:val="00846FA1"/>
    <w:rsid w:val="008502CE"/>
    <w:rsid w:val="0085780E"/>
    <w:rsid w:val="00857D1A"/>
    <w:rsid w:val="00861625"/>
    <w:rsid w:val="008618BE"/>
    <w:rsid w:val="00861DA4"/>
    <w:rsid w:val="00861DF9"/>
    <w:rsid w:val="00862D6B"/>
    <w:rsid w:val="00863CD4"/>
    <w:rsid w:val="00864EB7"/>
    <w:rsid w:val="0086657E"/>
    <w:rsid w:val="00867F55"/>
    <w:rsid w:val="00873D8A"/>
    <w:rsid w:val="00885088"/>
    <w:rsid w:val="008853DF"/>
    <w:rsid w:val="00891035"/>
    <w:rsid w:val="008918D9"/>
    <w:rsid w:val="008927B5"/>
    <w:rsid w:val="00892EA3"/>
    <w:rsid w:val="008A28F8"/>
    <w:rsid w:val="008A3A67"/>
    <w:rsid w:val="008A5950"/>
    <w:rsid w:val="008A63E2"/>
    <w:rsid w:val="008A65D3"/>
    <w:rsid w:val="008B11CF"/>
    <w:rsid w:val="008B2613"/>
    <w:rsid w:val="008B3142"/>
    <w:rsid w:val="008B361F"/>
    <w:rsid w:val="008B445B"/>
    <w:rsid w:val="008B58B2"/>
    <w:rsid w:val="008B6587"/>
    <w:rsid w:val="008C17E6"/>
    <w:rsid w:val="008C36F2"/>
    <w:rsid w:val="008D0326"/>
    <w:rsid w:val="008D0D31"/>
    <w:rsid w:val="008D6CA9"/>
    <w:rsid w:val="008D6E2C"/>
    <w:rsid w:val="008D7DC6"/>
    <w:rsid w:val="008E09C6"/>
    <w:rsid w:val="008E0E89"/>
    <w:rsid w:val="008E4FD6"/>
    <w:rsid w:val="008E5C99"/>
    <w:rsid w:val="008E78BA"/>
    <w:rsid w:val="008F0933"/>
    <w:rsid w:val="008F4EF2"/>
    <w:rsid w:val="008F54D4"/>
    <w:rsid w:val="008F7C99"/>
    <w:rsid w:val="009001C9"/>
    <w:rsid w:val="00906FD4"/>
    <w:rsid w:val="009101FF"/>
    <w:rsid w:val="00910A53"/>
    <w:rsid w:val="00917283"/>
    <w:rsid w:val="0092068A"/>
    <w:rsid w:val="00921285"/>
    <w:rsid w:val="0092359B"/>
    <w:rsid w:val="009239E5"/>
    <w:rsid w:val="009252B2"/>
    <w:rsid w:val="009268A6"/>
    <w:rsid w:val="009310EE"/>
    <w:rsid w:val="00933485"/>
    <w:rsid w:val="00935802"/>
    <w:rsid w:val="0094142D"/>
    <w:rsid w:val="00941C92"/>
    <w:rsid w:val="00943CC8"/>
    <w:rsid w:val="00943E53"/>
    <w:rsid w:val="009445CA"/>
    <w:rsid w:val="00962EE7"/>
    <w:rsid w:val="00966C36"/>
    <w:rsid w:val="00970027"/>
    <w:rsid w:val="00970B33"/>
    <w:rsid w:val="009737DF"/>
    <w:rsid w:val="00974D2B"/>
    <w:rsid w:val="00975F45"/>
    <w:rsid w:val="009760CB"/>
    <w:rsid w:val="009848F7"/>
    <w:rsid w:val="009863CF"/>
    <w:rsid w:val="0099770A"/>
    <w:rsid w:val="00997723"/>
    <w:rsid w:val="009A2999"/>
    <w:rsid w:val="009A5AF8"/>
    <w:rsid w:val="009A5F12"/>
    <w:rsid w:val="009B446B"/>
    <w:rsid w:val="009B4685"/>
    <w:rsid w:val="009B7062"/>
    <w:rsid w:val="009C01A4"/>
    <w:rsid w:val="009C05E9"/>
    <w:rsid w:val="009C27D2"/>
    <w:rsid w:val="009C3132"/>
    <w:rsid w:val="009C4526"/>
    <w:rsid w:val="009D11CA"/>
    <w:rsid w:val="009D227B"/>
    <w:rsid w:val="009D2B65"/>
    <w:rsid w:val="009D2B67"/>
    <w:rsid w:val="009D47A5"/>
    <w:rsid w:val="009D4C6D"/>
    <w:rsid w:val="009D4FFE"/>
    <w:rsid w:val="009D69B6"/>
    <w:rsid w:val="009D76EB"/>
    <w:rsid w:val="009E1F99"/>
    <w:rsid w:val="009E4C05"/>
    <w:rsid w:val="009E6876"/>
    <w:rsid w:val="009F0D6C"/>
    <w:rsid w:val="009F19AE"/>
    <w:rsid w:val="009F2B2E"/>
    <w:rsid w:val="009F38D7"/>
    <w:rsid w:val="009F6130"/>
    <w:rsid w:val="00A00793"/>
    <w:rsid w:val="00A03847"/>
    <w:rsid w:val="00A04076"/>
    <w:rsid w:val="00A10010"/>
    <w:rsid w:val="00A10E1F"/>
    <w:rsid w:val="00A112F1"/>
    <w:rsid w:val="00A15866"/>
    <w:rsid w:val="00A16D50"/>
    <w:rsid w:val="00A23CCA"/>
    <w:rsid w:val="00A24849"/>
    <w:rsid w:val="00A248FB"/>
    <w:rsid w:val="00A25147"/>
    <w:rsid w:val="00A26764"/>
    <w:rsid w:val="00A334E4"/>
    <w:rsid w:val="00A33DF5"/>
    <w:rsid w:val="00A36132"/>
    <w:rsid w:val="00A40462"/>
    <w:rsid w:val="00A4355E"/>
    <w:rsid w:val="00A469B4"/>
    <w:rsid w:val="00A46AA1"/>
    <w:rsid w:val="00A511AD"/>
    <w:rsid w:val="00A52673"/>
    <w:rsid w:val="00A55B86"/>
    <w:rsid w:val="00A55F7C"/>
    <w:rsid w:val="00A56C4D"/>
    <w:rsid w:val="00A656AE"/>
    <w:rsid w:val="00A66253"/>
    <w:rsid w:val="00A70C75"/>
    <w:rsid w:val="00A733A2"/>
    <w:rsid w:val="00A73F72"/>
    <w:rsid w:val="00A75D98"/>
    <w:rsid w:val="00A773D7"/>
    <w:rsid w:val="00A801E7"/>
    <w:rsid w:val="00A80D6E"/>
    <w:rsid w:val="00A80E4E"/>
    <w:rsid w:val="00A82474"/>
    <w:rsid w:val="00A831C5"/>
    <w:rsid w:val="00A83CBE"/>
    <w:rsid w:val="00A848BA"/>
    <w:rsid w:val="00A85958"/>
    <w:rsid w:val="00A86E3D"/>
    <w:rsid w:val="00A90945"/>
    <w:rsid w:val="00A914E9"/>
    <w:rsid w:val="00A93EC0"/>
    <w:rsid w:val="00A94A48"/>
    <w:rsid w:val="00A96702"/>
    <w:rsid w:val="00AA140D"/>
    <w:rsid w:val="00AA1929"/>
    <w:rsid w:val="00AA26D2"/>
    <w:rsid w:val="00AA30C4"/>
    <w:rsid w:val="00AA4167"/>
    <w:rsid w:val="00AA6F36"/>
    <w:rsid w:val="00AA70E2"/>
    <w:rsid w:val="00AB022F"/>
    <w:rsid w:val="00AB0EB4"/>
    <w:rsid w:val="00AB30CF"/>
    <w:rsid w:val="00AB40A9"/>
    <w:rsid w:val="00AC1113"/>
    <w:rsid w:val="00AC1E05"/>
    <w:rsid w:val="00AC1F4C"/>
    <w:rsid w:val="00AC2F0F"/>
    <w:rsid w:val="00AC51A1"/>
    <w:rsid w:val="00AC6067"/>
    <w:rsid w:val="00AC6745"/>
    <w:rsid w:val="00AD253F"/>
    <w:rsid w:val="00AD4AB8"/>
    <w:rsid w:val="00AD75C9"/>
    <w:rsid w:val="00AE290D"/>
    <w:rsid w:val="00AE3923"/>
    <w:rsid w:val="00AF192E"/>
    <w:rsid w:val="00AF4238"/>
    <w:rsid w:val="00AF5FC0"/>
    <w:rsid w:val="00AF63EA"/>
    <w:rsid w:val="00AF6A7C"/>
    <w:rsid w:val="00AF767F"/>
    <w:rsid w:val="00B00C4E"/>
    <w:rsid w:val="00B07286"/>
    <w:rsid w:val="00B16875"/>
    <w:rsid w:val="00B219F2"/>
    <w:rsid w:val="00B2307D"/>
    <w:rsid w:val="00B23445"/>
    <w:rsid w:val="00B27242"/>
    <w:rsid w:val="00B317B3"/>
    <w:rsid w:val="00B31A0D"/>
    <w:rsid w:val="00B36351"/>
    <w:rsid w:val="00B36C08"/>
    <w:rsid w:val="00B37F62"/>
    <w:rsid w:val="00B406E2"/>
    <w:rsid w:val="00B41D82"/>
    <w:rsid w:val="00B428F4"/>
    <w:rsid w:val="00B43D51"/>
    <w:rsid w:val="00B45022"/>
    <w:rsid w:val="00B46636"/>
    <w:rsid w:val="00B46DE5"/>
    <w:rsid w:val="00B50814"/>
    <w:rsid w:val="00B5162C"/>
    <w:rsid w:val="00B55C84"/>
    <w:rsid w:val="00B57081"/>
    <w:rsid w:val="00B57B60"/>
    <w:rsid w:val="00B609E7"/>
    <w:rsid w:val="00B613EB"/>
    <w:rsid w:val="00B61643"/>
    <w:rsid w:val="00B62A84"/>
    <w:rsid w:val="00B65D37"/>
    <w:rsid w:val="00B66DDD"/>
    <w:rsid w:val="00B67B97"/>
    <w:rsid w:val="00B7377B"/>
    <w:rsid w:val="00B81FED"/>
    <w:rsid w:val="00B845F6"/>
    <w:rsid w:val="00B90439"/>
    <w:rsid w:val="00B908BE"/>
    <w:rsid w:val="00B90DA8"/>
    <w:rsid w:val="00B93A4F"/>
    <w:rsid w:val="00B94A3E"/>
    <w:rsid w:val="00B94FFF"/>
    <w:rsid w:val="00B97985"/>
    <w:rsid w:val="00BA3DE1"/>
    <w:rsid w:val="00BA45E7"/>
    <w:rsid w:val="00BA4C2A"/>
    <w:rsid w:val="00BA5695"/>
    <w:rsid w:val="00BA5845"/>
    <w:rsid w:val="00BB036D"/>
    <w:rsid w:val="00BB13B5"/>
    <w:rsid w:val="00BB1FC4"/>
    <w:rsid w:val="00BB70B3"/>
    <w:rsid w:val="00BB7D46"/>
    <w:rsid w:val="00BC1B4F"/>
    <w:rsid w:val="00BC360E"/>
    <w:rsid w:val="00BC4327"/>
    <w:rsid w:val="00BC45EB"/>
    <w:rsid w:val="00BC6CA5"/>
    <w:rsid w:val="00BD24C2"/>
    <w:rsid w:val="00BD3085"/>
    <w:rsid w:val="00BD6511"/>
    <w:rsid w:val="00BD76C8"/>
    <w:rsid w:val="00BE0DAB"/>
    <w:rsid w:val="00BE4F3A"/>
    <w:rsid w:val="00BE55BE"/>
    <w:rsid w:val="00BE5FCB"/>
    <w:rsid w:val="00BE6E3A"/>
    <w:rsid w:val="00BE723C"/>
    <w:rsid w:val="00BF13F5"/>
    <w:rsid w:val="00BF2526"/>
    <w:rsid w:val="00BF28AB"/>
    <w:rsid w:val="00BF3F2C"/>
    <w:rsid w:val="00C03541"/>
    <w:rsid w:val="00C03561"/>
    <w:rsid w:val="00C0376D"/>
    <w:rsid w:val="00C03919"/>
    <w:rsid w:val="00C04FBB"/>
    <w:rsid w:val="00C0572F"/>
    <w:rsid w:val="00C06259"/>
    <w:rsid w:val="00C065C3"/>
    <w:rsid w:val="00C12C25"/>
    <w:rsid w:val="00C13DF0"/>
    <w:rsid w:val="00C14193"/>
    <w:rsid w:val="00C15A48"/>
    <w:rsid w:val="00C16FA3"/>
    <w:rsid w:val="00C17325"/>
    <w:rsid w:val="00C17738"/>
    <w:rsid w:val="00C2330B"/>
    <w:rsid w:val="00C235A9"/>
    <w:rsid w:val="00C23A79"/>
    <w:rsid w:val="00C23DE7"/>
    <w:rsid w:val="00C26323"/>
    <w:rsid w:val="00C30962"/>
    <w:rsid w:val="00C31A29"/>
    <w:rsid w:val="00C330CB"/>
    <w:rsid w:val="00C3358D"/>
    <w:rsid w:val="00C33F0E"/>
    <w:rsid w:val="00C36D97"/>
    <w:rsid w:val="00C378D0"/>
    <w:rsid w:val="00C37FDB"/>
    <w:rsid w:val="00C40364"/>
    <w:rsid w:val="00C40DDA"/>
    <w:rsid w:val="00C42477"/>
    <w:rsid w:val="00C450EE"/>
    <w:rsid w:val="00C45F56"/>
    <w:rsid w:val="00C4785F"/>
    <w:rsid w:val="00C54587"/>
    <w:rsid w:val="00C545A2"/>
    <w:rsid w:val="00C55A4F"/>
    <w:rsid w:val="00C61317"/>
    <w:rsid w:val="00C655E8"/>
    <w:rsid w:val="00C7117A"/>
    <w:rsid w:val="00C725F4"/>
    <w:rsid w:val="00C74183"/>
    <w:rsid w:val="00C77A59"/>
    <w:rsid w:val="00C800CB"/>
    <w:rsid w:val="00C803A5"/>
    <w:rsid w:val="00C80DF6"/>
    <w:rsid w:val="00C82C14"/>
    <w:rsid w:val="00C83FB9"/>
    <w:rsid w:val="00C85078"/>
    <w:rsid w:val="00C862F8"/>
    <w:rsid w:val="00C908DB"/>
    <w:rsid w:val="00C931B6"/>
    <w:rsid w:val="00C93B23"/>
    <w:rsid w:val="00CA0FA9"/>
    <w:rsid w:val="00CA13E9"/>
    <w:rsid w:val="00CA37B5"/>
    <w:rsid w:val="00CA4819"/>
    <w:rsid w:val="00CA57BA"/>
    <w:rsid w:val="00CA5F7A"/>
    <w:rsid w:val="00CB54CC"/>
    <w:rsid w:val="00CB6D43"/>
    <w:rsid w:val="00CB7EF0"/>
    <w:rsid w:val="00CC069F"/>
    <w:rsid w:val="00CD43F3"/>
    <w:rsid w:val="00CD4ED5"/>
    <w:rsid w:val="00CD53CA"/>
    <w:rsid w:val="00CD6092"/>
    <w:rsid w:val="00CE0915"/>
    <w:rsid w:val="00CE1628"/>
    <w:rsid w:val="00CE4399"/>
    <w:rsid w:val="00CE78B1"/>
    <w:rsid w:val="00CE7C12"/>
    <w:rsid w:val="00CF2E9A"/>
    <w:rsid w:val="00CF54D1"/>
    <w:rsid w:val="00CF7DA0"/>
    <w:rsid w:val="00CF7FD0"/>
    <w:rsid w:val="00D010F1"/>
    <w:rsid w:val="00D01109"/>
    <w:rsid w:val="00D06971"/>
    <w:rsid w:val="00D06B34"/>
    <w:rsid w:val="00D07B5C"/>
    <w:rsid w:val="00D07E03"/>
    <w:rsid w:val="00D11E0E"/>
    <w:rsid w:val="00D13BDB"/>
    <w:rsid w:val="00D16CD8"/>
    <w:rsid w:val="00D22A37"/>
    <w:rsid w:val="00D2354E"/>
    <w:rsid w:val="00D23617"/>
    <w:rsid w:val="00D27A8A"/>
    <w:rsid w:val="00D3288D"/>
    <w:rsid w:val="00D354FD"/>
    <w:rsid w:val="00D3570E"/>
    <w:rsid w:val="00D37974"/>
    <w:rsid w:val="00D41A38"/>
    <w:rsid w:val="00D422B1"/>
    <w:rsid w:val="00D45250"/>
    <w:rsid w:val="00D45488"/>
    <w:rsid w:val="00D467C6"/>
    <w:rsid w:val="00D54567"/>
    <w:rsid w:val="00D654B3"/>
    <w:rsid w:val="00D65923"/>
    <w:rsid w:val="00D65D16"/>
    <w:rsid w:val="00D66AFA"/>
    <w:rsid w:val="00D761B6"/>
    <w:rsid w:val="00D76D1C"/>
    <w:rsid w:val="00D838A7"/>
    <w:rsid w:val="00D85A3F"/>
    <w:rsid w:val="00D868FB"/>
    <w:rsid w:val="00D86C43"/>
    <w:rsid w:val="00D86FEA"/>
    <w:rsid w:val="00D93CB5"/>
    <w:rsid w:val="00D94038"/>
    <w:rsid w:val="00DA430D"/>
    <w:rsid w:val="00DA5163"/>
    <w:rsid w:val="00DA66D7"/>
    <w:rsid w:val="00DB192A"/>
    <w:rsid w:val="00DB1985"/>
    <w:rsid w:val="00DB40BF"/>
    <w:rsid w:val="00DB66FD"/>
    <w:rsid w:val="00DB7463"/>
    <w:rsid w:val="00DC297D"/>
    <w:rsid w:val="00DC30DD"/>
    <w:rsid w:val="00DC3243"/>
    <w:rsid w:val="00DC6EA0"/>
    <w:rsid w:val="00DD020B"/>
    <w:rsid w:val="00DD1CF3"/>
    <w:rsid w:val="00DD2547"/>
    <w:rsid w:val="00DD511F"/>
    <w:rsid w:val="00DD6739"/>
    <w:rsid w:val="00DD6D12"/>
    <w:rsid w:val="00DD7859"/>
    <w:rsid w:val="00DE608E"/>
    <w:rsid w:val="00DE7C99"/>
    <w:rsid w:val="00DF087F"/>
    <w:rsid w:val="00DF08BA"/>
    <w:rsid w:val="00DF0974"/>
    <w:rsid w:val="00DF2688"/>
    <w:rsid w:val="00DF26E1"/>
    <w:rsid w:val="00DF3972"/>
    <w:rsid w:val="00DF4B0E"/>
    <w:rsid w:val="00DF4B76"/>
    <w:rsid w:val="00E004AC"/>
    <w:rsid w:val="00E027A0"/>
    <w:rsid w:val="00E05C0F"/>
    <w:rsid w:val="00E05C97"/>
    <w:rsid w:val="00E109B6"/>
    <w:rsid w:val="00E11F39"/>
    <w:rsid w:val="00E13580"/>
    <w:rsid w:val="00E14394"/>
    <w:rsid w:val="00E14AE5"/>
    <w:rsid w:val="00E16E1F"/>
    <w:rsid w:val="00E16E9D"/>
    <w:rsid w:val="00E17088"/>
    <w:rsid w:val="00E237EC"/>
    <w:rsid w:val="00E31B73"/>
    <w:rsid w:val="00E34A6F"/>
    <w:rsid w:val="00E35514"/>
    <w:rsid w:val="00E36F96"/>
    <w:rsid w:val="00E41DD8"/>
    <w:rsid w:val="00E463D6"/>
    <w:rsid w:val="00E47DCC"/>
    <w:rsid w:val="00E52B61"/>
    <w:rsid w:val="00E52BA8"/>
    <w:rsid w:val="00E54AF1"/>
    <w:rsid w:val="00E55C1D"/>
    <w:rsid w:val="00E56F54"/>
    <w:rsid w:val="00E57675"/>
    <w:rsid w:val="00E645B5"/>
    <w:rsid w:val="00E669E9"/>
    <w:rsid w:val="00E6700A"/>
    <w:rsid w:val="00E729E2"/>
    <w:rsid w:val="00E75181"/>
    <w:rsid w:val="00E7573A"/>
    <w:rsid w:val="00E7797A"/>
    <w:rsid w:val="00E86BB6"/>
    <w:rsid w:val="00E87654"/>
    <w:rsid w:val="00E9039A"/>
    <w:rsid w:val="00E90BC9"/>
    <w:rsid w:val="00E91C57"/>
    <w:rsid w:val="00E95158"/>
    <w:rsid w:val="00E97661"/>
    <w:rsid w:val="00EA075C"/>
    <w:rsid w:val="00EA12C1"/>
    <w:rsid w:val="00EA1625"/>
    <w:rsid w:val="00EA1752"/>
    <w:rsid w:val="00EA1EDF"/>
    <w:rsid w:val="00EA7329"/>
    <w:rsid w:val="00EB2F3A"/>
    <w:rsid w:val="00EB4C89"/>
    <w:rsid w:val="00EB6518"/>
    <w:rsid w:val="00EB78AA"/>
    <w:rsid w:val="00EC1213"/>
    <w:rsid w:val="00EC121B"/>
    <w:rsid w:val="00EC1C81"/>
    <w:rsid w:val="00EC6DA3"/>
    <w:rsid w:val="00ED0A26"/>
    <w:rsid w:val="00ED0F51"/>
    <w:rsid w:val="00ED13BB"/>
    <w:rsid w:val="00ED5A1C"/>
    <w:rsid w:val="00ED6AF6"/>
    <w:rsid w:val="00ED7A75"/>
    <w:rsid w:val="00EE0E9D"/>
    <w:rsid w:val="00EE74BC"/>
    <w:rsid w:val="00EF0B42"/>
    <w:rsid w:val="00EF2B87"/>
    <w:rsid w:val="00EF49DF"/>
    <w:rsid w:val="00EF4E44"/>
    <w:rsid w:val="00EF5386"/>
    <w:rsid w:val="00EF6649"/>
    <w:rsid w:val="00EF6B54"/>
    <w:rsid w:val="00EF6D7D"/>
    <w:rsid w:val="00EF7458"/>
    <w:rsid w:val="00EF7BB1"/>
    <w:rsid w:val="00F0055D"/>
    <w:rsid w:val="00F014D2"/>
    <w:rsid w:val="00F06B97"/>
    <w:rsid w:val="00F10967"/>
    <w:rsid w:val="00F10EF2"/>
    <w:rsid w:val="00F12CBF"/>
    <w:rsid w:val="00F1611B"/>
    <w:rsid w:val="00F17004"/>
    <w:rsid w:val="00F17080"/>
    <w:rsid w:val="00F205AD"/>
    <w:rsid w:val="00F23AFD"/>
    <w:rsid w:val="00F2639D"/>
    <w:rsid w:val="00F2792A"/>
    <w:rsid w:val="00F27D7F"/>
    <w:rsid w:val="00F27E5E"/>
    <w:rsid w:val="00F31BDE"/>
    <w:rsid w:val="00F336B4"/>
    <w:rsid w:val="00F3411A"/>
    <w:rsid w:val="00F35726"/>
    <w:rsid w:val="00F35B71"/>
    <w:rsid w:val="00F363B5"/>
    <w:rsid w:val="00F42A12"/>
    <w:rsid w:val="00F4392A"/>
    <w:rsid w:val="00F4413D"/>
    <w:rsid w:val="00F533E6"/>
    <w:rsid w:val="00F55046"/>
    <w:rsid w:val="00F57008"/>
    <w:rsid w:val="00F606DA"/>
    <w:rsid w:val="00F60905"/>
    <w:rsid w:val="00F62C44"/>
    <w:rsid w:val="00F650AC"/>
    <w:rsid w:val="00F6612B"/>
    <w:rsid w:val="00F67901"/>
    <w:rsid w:val="00F705EF"/>
    <w:rsid w:val="00F747D3"/>
    <w:rsid w:val="00F7580A"/>
    <w:rsid w:val="00F768B3"/>
    <w:rsid w:val="00F810DC"/>
    <w:rsid w:val="00F866E9"/>
    <w:rsid w:val="00F872F3"/>
    <w:rsid w:val="00F93CE6"/>
    <w:rsid w:val="00F9451C"/>
    <w:rsid w:val="00F9542E"/>
    <w:rsid w:val="00F95F05"/>
    <w:rsid w:val="00F9732A"/>
    <w:rsid w:val="00F97469"/>
    <w:rsid w:val="00FA2D82"/>
    <w:rsid w:val="00FA64E4"/>
    <w:rsid w:val="00FA766D"/>
    <w:rsid w:val="00FA7693"/>
    <w:rsid w:val="00FB039A"/>
    <w:rsid w:val="00FB12D4"/>
    <w:rsid w:val="00FB13F3"/>
    <w:rsid w:val="00FB29E8"/>
    <w:rsid w:val="00FB579D"/>
    <w:rsid w:val="00FC0796"/>
    <w:rsid w:val="00FC23D6"/>
    <w:rsid w:val="00FC4468"/>
    <w:rsid w:val="00FC6F9E"/>
    <w:rsid w:val="00FD2BCC"/>
    <w:rsid w:val="00FD4410"/>
    <w:rsid w:val="00FD73AA"/>
    <w:rsid w:val="00FE052E"/>
    <w:rsid w:val="00FE49BA"/>
    <w:rsid w:val="00FF021A"/>
    <w:rsid w:val="00FF0E78"/>
    <w:rsid w:val="00FF31A7"/>
    <w:rsid w:val="00FF467D"/>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character" w:customStyle="1" w:styleId="FootnoteTextChar">
    <w:name w:val="Footnote Text Char"/>
    <w:basedOn w:val="DefaultParagraphFont"/>
    <w:link w:val="FootnoteText"/>
    <w:semiHidden/>
    <w:rsid w:val="007E5847"/>
  </w:style>
  <w:style w:type="paragraph" w:styleId="ListParagraph">
    <w:name w:val="List Paragraph"/>
    <w:basedOn w:val="Normal"/>
    <w:uiPriority w:val="34"/>
    <w:qFormat/>
    <w:rsid w:val="006322C5"/>
    <w:pPr>
      <w:ind w:left="720"/>
      <w:contextualSpacing/>
    </w:pPr>
  </w:style>
  <w:style w:type="paragraph" w:styleId="BalloonText">
    <w:name w:val="Balloon Text"/>
    <w:basedOn w:val="Normal"/>
    <w:link w:val="BalloonTextChar"/>
    <w:rsid w:val="009F2B2E"/>
    <w:rPr>
      <w:rFonts w:ascii="Tahoma" w:hAnsi="Tahoma" w:cs="Tahoma"/>
      <w:sz w:val="16"/>
      <w:szCs w:val="16"/>
    </w:rPr>
  </w:style>
  <w:style w:type="character" w:customStyle="1" w:styleId="BalloonTextChar">
    <w:name w:val="Balloon Text Char"/>
    <w:basedOn w:val="DefaultParagraphFont"/>
    <w:link w:val="BalloonText"/>
    <w:rsid w:val="009F2B2E"/>
    <w:rPr>
      <w:rFonts w:ascii="Tahoma" w:hAnsi="Tahoma" w:cs="Tahoma"/>
      <w:sz w:val="16"/>
      <w:szCs w:val="16"/>
    </w:rPr>
  </w:style>
  <w:style w:type="paragraph" w:styleId="Header">
    <w:name w:val="header"/>
    <w:basedOn w:val="Normal"/>
    <w:link w:val="HeaderChar"/>
    <w:rsid w:val="00857D1A"/>
    <w:pPr>
      <w:tabs>
        <w:tab w:val="center" w:pos="4680"/>
        <w:tab w:val="right" w:pos="9360"/>
      </w:tabs>
    </w:pPr>
  </w:style>
  <w:style w:type="character" w:customStyle="1" w:styleId="HeaderChar">
    <w:name w:val="Header Char"/>
    <w:basedOn w:val="DefaultParagraphFont"/>
    <w:link w:val="Header"/>
    <w:rsid w:val="00857D1A"/>
    <w:rPr>
      <w:sz w:val="24"/>
      <w:szCs w:val="24"/>
    </w:rPr>
  </w:style>
  <w:style w:type="paragraph" w:styleId="PlainText">
    <w:name w:val="Plain Text"/>
    <w:basedOn w:val="Normal"/>
    <w:link w:val="PlainTextChar"/>
    <w:uiPriority w:val="99"/>
    <w:unhideWhenUsed/>
    <w:rsid w:val="001F78F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F78F1"/>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character" w:customStyle="1" w:styleId="FootnoteTextChar">
    <w:name w:val="Footnote Text Char"/>
    <w:basedOn w:val="DefaultParagraphFont"/>
    <w:link w:val="FootnoteText"/>
    <w:semiHidden/>
    <w:rsid w:val="007E5847"/>
  </w:style>
  <w:style w:type="paragraph" w:styleId="ListParagraph">
    <w:name w:val="List Paragraph"/>
    <w:basedOn w:val="Normal"/>
    <w:uiPriority w:val="34"/>
    <w:qFormat/>
    <w:rsid w:val="006322C5"/>
    <w:pPr>
      <w:ind w:left="720"/>
      <w:contextualSpacing/>
    </w:pPr>
  </w:style>
  <w:style w:type="paragraph" w:styleId="BalloonText">
    <w:name w:val="Balloon Text"/>
    <w:basedOn w:val="Normal"/>
    <w:link w:val="BalloonTextChar"/>
    <w:rsid w:val="009F2B2E"/>
    <w:rPr>
      <w:rFonts w:ascii="Tahoma" w:hAnsi="Tahoma" w:cs="Tahoma"/>
      <w:sz w:val="16"/>
      <w:szCs w:val="16"/>
    </w:rPr>
  </w:style>
  <w:style w:type="character" w:customStyle="1" w:styleId="BalloonTextChar">
    <w:name w:val="Balloon Text Char"/>
    <w:basedOn w:val="DefaultParagraphFont"/>
    <w:link w:val="BalloonText"/>
    <w:rsid w:val="009F2B2E"/>
    <w:rPr>
      <w:rFonts w:ascii="Tahoma" w:hAnsi="Tahoma" w:cs="Tahoma"/>
      <w:sz w:val="16"/>
      <w:szCs w:val="16"/>
    </w:rPr>
  </w:style>
  <w:style w:type="paragraph" w:styleId="Header">
    <w:name w:val="header"/>
    <w:basedOn w:val="Normal"/>
    <w:link w:val="HeaderChar"/>
    <w:rsid w:val="00857D1A"/>
    <w:pPr>
      <w:tabs>
        <w:tab w:val="center" w:pos="4680"/>
        <w:tab w:val="right" w:pos="9360"/>
      </w:tabs>
    </w:pPr>
  </w:style>
  <w:style w:type="character" w:customStyle="1" w:styleId="HeaderChar">
    <w:name w:val="Header Char"/>
    <w:basedOn w:val="DefaultParagraphFont"/>
    <w:link w:val="Header"/>
    <w:rsid w:val="00857D1A"/>
    <w:rPr>
      <w:sz w:val="24"/>
      <w:szCs w:val="24"/>
    </w:rPr>
  </w:style>
  <w:style w:type="paragraph" w:styleId="PlainText">
    <w:name w:val="Plain Text"/>
    <w:basedOn w:val="Normal"/>
    <w:link w:val="PlainTextChar"/>
    <w:uiPriority w:val="99"/>
    <w:unhideWhenUsed/>
    <w:rsid w:val="001F78F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F78F1"/>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316084">
      <w:bodyDiv w:val="1"/>
      <w:marLeft w:val="0"/>
      <w:marRight w:val="0"/>
      <w:marTop w:val="0"/>
      <w:marBottom w:val="0"/>
      <w:divBdr>
        <w:top w:val="none" w:sz="0" w:space="0" w:color="auto"/>
        <w:left w:val="none" w:sz="0" w:space="0" w:color="auto"/>
        <w:bottom w:val="none" w:sz="0" w:space="0" w:color="auto"/>
        <w:right w:val="none" w:sz="0" w:space="0" w:color="auto"/>
      </w:divBdr>
    </w:div>
    <w:div w:id="1652173045">
      <w:bodyDiv w:val="1"/>
      <w:marLeft w:val="0"/>
      <w:marRight w:val="0"/>
      <w:marTop w:val="0"/>
      <w:marBottom w:val="0"/>
      <w:divBdr>
        <w:top w:val="none" w:sz="0" w:space="0" w:color="auto"/>
        <w:left w:val="none" w:sz="0" w:space="0" w:color="auto"/>
        <w:bottom w:val="none" w:sz="0" w:space="0" w:color="auto"/>
        <w:right w:val="none" w:sz="0" w:space="0" w:color="auto"/>
      </w:divBdr>
    </w:div>
    <w:div w:id="178241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0B14D-3B54-420F-8761-50F3FA0D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sandra elizabeth oldynski</cp:lastModifiedBy>
  <cp:revision>4</cp:revision>
  <cp:lastPrinted>2012-03-13T18:26:00Z</cp:lastPrinted>
  <dcterms:created xsi:type="dcterms:W3CDTF">2012-03-13T18:23:00Z</dcterms:created>
  <dcterms:modified xsi:type="dcterms:W3CDTF">2012-03-13T18:27:00Z</dcterms:modified>
</cp:coreProperties>
</file>