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BA2FBE" w:rsidRPr="00BA2FBE" w:rsidRDefault="00BA2FBE" w:rsidP="00BA2FBE">
      <w:pPr>
        <w:rPr>
          <w:sz w:val="24"/>
          <w:szCs w:val="24"/>
        </w:rPr>
      </w:pPr>
      <w:r w:rsidRPr="00BA2FBE">
        <w:rPr>
          <w:sz w:val="24"/>
          <w:szCs w:val="24"/>
        </w:rPr>
        <w:t>Kim Whitacre</w:t>
      </w:r>
      <w:r w:rsidRPr="00BA2FBE">
        <w:rPr>
          <w:sz w:val="24"/>
          <w:szCs w:val="24"/>
        </w:rPr>
        <w:tab/>
      </w:r>
      <w:r w:rsidRPr="00BA2FBE">
        <w:rPr>
          <w:sz w:val="24"/>
          <w:szCs w:val="24"/>
        </w:rPr>
        <w:tab/>
      </w:r>
      <w:r w:rsidRPr="00BA2FBE">
        <w:rPr>
          <w:sz w:val="24"/>
          <w:szCs w:val="24"/>
        </w:rPr>
        <w:tab/>
      </w:r>
      <w:r w:rsidRPr="00BA2FBE">
        <w:rPr>
          <w:sz w:val="24"/>
          <w:szCs w:val="24"/>
        </w:rPr>
        <w:tab/>
      </w:r>
      <w:r w:rsidRPr="00BA2FBE">
        <w:rPr>
          <w:sz w:val="24"/>
          <w:szCs w:val="24"/>
        </w:rPr>
        <w:tab/>
      </w:r>
      <w:r w:rsidRPr="00BA2FBE">
        <w:rPr>
          <w:sz w:val="24"/>
          <w:szCs w:val="24"/>
        </w:rPr>
        <w:tab/>
        <w:t>:</w:t>
      </w:r>
    </w:p>
    <w:p w:rsidR="00BA2FBE" w:rsidRPr="00BA2FBE" w:rsidRDefault="00BA2FBE" w:rsidP="00BA2FBE">
      <w:pPr>
        <w:rPr>
          <w:sz w:val="24"/>
          <w:szCs w:val="24"/>
        </w:rPr>
      </w:pPr>
      <w:r w:rsidRPr="00BA2FBE">
        <w:rPr>
          <w:sz w:val="24"/>
          <w:szCs w:val="24"/>
        </w:rPr>
        <w:tab/>
      </w:r>
      <w:r w:rsidRPr="00BA2FBE">
        <w:rPr>
          <w:sz w:val="24"/>
          <w:szCs w:val="24"/>
        </w:rPr>
        <w:tab/>
      </w:r>
      <w:r w:rsidRPr="00BA2FBE">
        <w:rPr>
          <w:sz w:val="24"/>
          <w:szCs w:val="24"/>
        </w:rPr>
        <w:tab/>
      </w:r>
      <w:r w:rsidRPr="00BA2FBE">
        <w:rPr>
          <w:sz w:val="24"/>
          <w:szCs w:val="24"/>
        </w:rPr>
        <w:tab/>
      </w:r>
      <w:r w:rsidRPr="00BA2FBE">
        <w:rPr>
          <w:sz w:val="24"/>
          <w:szCs w:val="24"/>
        </w:rPr>
        <w:tab/>
      </w:r>
      <w:r w:rsidRPr="00BA2FBE">
        <w:rPr>
          <w:sz w:val="24"/>
          <w:szCs w:val="24"/>
        </w:rPr>
        <w:tab/>
      </w:r>
      <w:r w:rsidRPr="00BA2FBE">
        <w:rPr>
          <w:sz w:val="24"/>
          <w:szCs w:val="24"/>
        </w:rPr>
        <w:tab/>
        <w:t>:</w:t>
      </w:r>
    </w:p>
    <w:p w:rsidR="00BA2FBE" w:rsidRPr="00BA2FBE" w:rsidRDefault="00BA2FBE" w:rsidP="00BA2FBE">
      <w:pPr>
        <w:rPr>
          <w:sz w:val="24"/>
          <w:szCs w:val="24"/>
        </w:rPr>
      </w:pPr>
      <w:r w:rsidRPr="00BA2FBE">
        <w:rPr>
          <w:sz w:val="24"/>
          <w:szCs w:val="24"/>
        </w:rPr>
        <w:tab/>
        <w:t>v.</w:t>
      </w:r>
      <w:r w:rsidRPr="00BA2FBE">
        <w:rPr>
          <w:sz w:val="24"/>
          <w:szCs w:val="24"/>
        </w:rPr>
        <w:tab/>
      </w:r>
      <w:r w:rsidRPr="00BA2FBE">
        <w:rPr>
          <w:sz w:val="24"/>
          <w:szCs w:val="24"/>
        </w:rPr>
        <w:tab/>
      </w:r>
      <w:r w:rsidRPr="00BA2FBE">
        <w:rPr>
          <w:sz w:val="24"/>
          <w:szCs w:val="24"/>
        </w:rPr>
        <w:tab/>
      </w:r>
      <w:r w:rsidRPr="00BA2FBE">
        <w:rPr>
          <w:sz w:val="24"/>
          <w:szCs w:val="24"/>
        </w:rPr>
        <w:tab/>
      </w:r>
      <w:r w:rsidRPr="00BA2FBE">
        <w:rPr>
          <w:sz w:val="24"/>
          <w:szCs w:val="24"/>
        </w:rPr>
        <w:tab/>
      </w:r>
      <w:r w:rsidRPr="00BA2FBE">
        <w:rPr>
          <w:sz w:val="24"/>
          <w:szCs w:val="24"/>
        </w:rPr>
        <w:tab/>
        <w:t>:</w:t>
      </w:r>
      <w:r w:rsidRPr="00BA2FBE">
        <w:rPr>
          <w:sz w:val="24"/>
          <w:szCs w:val="24"/>
        </w:rPr>
        <w:tab/>
      </w:r>
      <w:r w:rsidR="004B13BD">
        <w:rPr>
          <w:sz w:val="24"/>
          <w:szCs w:val="24"/>
        </w:rPr>
        <w:tab/>
      </w:r>
      <w:r w:rsidR="004B13BD">
        <w:rPr>
          <w:sz w:val="24"/>
          <w:szCs w:val="24"/>
        </w:rPr>
        <w:tab/>
      </w:r>
      <w:r w:rsidRPr="00BA2FBE">
        <w:rPr>
          <w:sz w:val="24"/>
          <w:szCs w:val="24"/>
        </w:rPr>
        <w:t>F-2011-2223971</w:t>
      </w:r>
    </w:p>
    <w:p w:rsidR="00BA2FBE" w:rsidRPr="00BA2FBE" w:rsidRDefault="00BA2FBE" w:rsidP="00BA2FBE">
      <w:pPr>
        <w:rPr>
          <w:sz w:val="24"/>
          <w:szCs w:val="24"/>
        </w:rPr>
      </w:pPr>
      <w:r w:rsidRPr="00BA2FBE">
        <w:rPr>
          <w:sz w:val="24"/>
          <w:szCs w:val="24"/>
        </w:rPr>
        <w:tab/>
      </w:r>
      <w:r w:rsidRPr="00BA2FBE">
        <w:rPr>
          <w:sz w:val="24"/>
          <w:szCs w:val="24"/>
        </w:rPr>
        <w:tab/>
      </w:r>
      <w:r w:rsidRPr="00BA2FBE">
        <w:rPr>
          <w:sz w:val="24"/>
          <w:szCs w:val="24"/>
        </w:rPr>
        <w:tab/>
      </w:r>
      <w:r w:rsidRPr="00BA2FBE">
        <w:rPr>
          <w:sz w:val="24"/>
          <w:szCs w:val="24"/>
        </w:rPr>
        <w:tab/>
      </w:r>
      <w:r w:rsidRPr="00BA2FBE">
        <w:rPr>
          <w:sz w:val="24"/>
          <w:szCs w:val="24"/>
        </w:rPr>
        <w:tab/>
      </w:r>
      <w:r w:rsidRPr="00BA2FBE">
        <w:rPr>
          <w:sz w:val="24"/>
          <w:szCs w:val="24"/>
        </w:rPr>
        <w:tab/>
      </w:r>
      <w:r w:rsidRPr="00BA2FBE">
        <w:rPr>
          <w:sz w:val="24"/>
          <w:szCs w:val="24"/>
        </w:rPr>
        <w:tab/>
        <w:t>:</w:t>
      </w:r>
    </w:p>
    <w:p w:rsidR="00BA2FBE" w:rsidRPr="00BA2FBE" w:rsidRDefault="00BA2FBE" w:rsidP="00BA2FBE">
      <w:pPr>
        <w:rPr>
          <w:sz w:val="24"/>
          <w:szCs w:val="24"/>
        </w:rPr>
      </w:pPr>
      <w:r w:rsidRPr="00BA2FBE">
        <w:rPr>
          <w:sz w:val="24"/>
          <w:szCs w:val="24"/>
        </w:rPr>
        <w:t>PPL Electric Utilities Corporation</w:t>
      </w:r>
      <w:r w:rsidRPr="00BA2FBE">
        <w:rPr>
          <w:sz w:val="24"/>
          <w:szCs w:val="24"/>
        </w:rPr>
        <w:tab/>
      </w:r>
      <w:r w:rsidRPr="00BA2FBE">
        <w:rPr>
          <w:sz w:val="24"/>
          <w:szCs w:val="24"/>
        </w:rPr>
        <w:tab/>
      </w:r>
      <w:r w:rsidRPr="00BA2FBE">
        <w:rPr>
          <w:sz w:val="24"/>
          <w:szCs w:val="24"/>
        </w:rPr>
        <w:tab/>
        <w:t>:</w:t>
      </w:r>
    </w:p>
    <w:p w:rsidR="00ED3EC8" w:rsidRPr="00FA6483" w:rsidRDefault="00ED3EC8" w:rsidP="00ED3EC8">
      <w:pPr>
        <w:rPr>
          <w:sz w:val="24"/>
          <w:szCs w:val="24"/>
        </w:rPr>
      </w:pPr>
      <w:r>
        <w:rPr>
          <w:sz w:val="24"/>
          <w:szCs w:val="24"/>
        </w:rPr>
        <w:tab/>
      </w:r>
      <w:r>
        <w:rPr>
          <w:sz w:val="24"/>
          <w:szCs w:val="24"/>
        </w:rPr>
        <w:tab/>
      </w:r>
    </w:p>
    <w:p w:rsidR="00ED3EC8" w:rsidRDefault="00ED3EC8" w:rsidP="00ED3EC8"/>
    <w:p w:rsidR="00ED3EC8" w:rsidRDefault="00ED3EC8" w:rsidP="00ED3EC8"/>
    <w:p w:rsidR="007E26B3" w:rsidRDefault="007E26B3" w:rsidP="00ED3EC8"/>
    <w:p w:rsidR="00D83768" w:rsidRPr="00BD2ED1" w:rsidRDefault="00D83768" w:rsidP="00D83768">
      <w:pPr>
        <w:pStyle w:val="Heading1"/>
        <w:rPr>
          <w:rFonts w:ascii="Times New Roman" w:hAnsi="Times New Roman"/>
          <w:b w:val="0"/>
          <w:szCs w:val="24"/>
        </w:rPr>
      </w:pPr>
      <w:r w:rsidRPr="00BD2ED1">
        <w:rPr>
          <w:rFonts w:ascii="Times New Roman" w:hAnsi="Times New Roman"/>
          <w:szCs w:val="24"/>
        </w:rPr>
        <w:t>INITIAL DECISION</w:t>
      </w:r>
    </w:p>
    <w:p w:rsidR="00D83768" w:rsidRPr="00BD2ED1" w:rsidRDefault="00D83768" w:rsidP="00D83768">
      <w:pPr>
        <w:jc w:val="center"/>
        <w:rPr>
          <w:b/>
          <w:sz w:val="24"/>
          <w:szCs w:val="24"/>
        </w:rPr>
      </w:pPr>
    </w:p>
    <w:p w:rsidR="00D83768" w:rsidRPr="00BD2ED1" w:rsidRDefault="00D83768" w:rsidP="00D83768">
      <w:pPr>
        <w:jc w:val="center"/>
        <w:rPr>
          <w:b/>
          <w:sz w:val="24"/>
          <w:szCs w:val="24"/>
        </w:rPr>
      </w:pPr>
    </w:p>
    <w:p w:rsidR="00D83768" w:rsidRPr="00BD2ED1" w:rsidRDefault="00D83768" w:rsidP="00D83768">
      <w:pPr>
        <w:pStyle w:val="Heading2"/>
        <w:rPr>
          <w:rFonts w:ascii="Times New Roman" w:hAnsi="Times New Roman"/>
          <w:b w:val="0"/>
          <w:szCs w:val="24"/>
        </w:rPr>
      </w:pPr>
      <w:r w:rsidRPr="00BD2ED1">
        <w:rPr>
          <w:rFonts w:ascii="Times New Roman" w:hAnsi="Times New Roman"/>
          <w:b w:val="0"/>
          <w:szCs w:val="24"/>
        </w:rPr>
        <w:t>Before</w:t>
      </w:r>
    </w:p>
    <w:p w:rsidR="00D83768" w:rsidRPr="00BD2ED1" w:rsidRDefault="00D83768" w:rsidP="00D83768">
      <w:pPr>
        <w:jc w:val="center"/>
        <w:rPr>
          <w:sz w:val="24"/>
          <w:szCs w:val="24"/>
        </w:rPr>
      </w:pPr>
      <w:r w:rsidRPr="00BD2ED1">
        <w:rPr>
          <w:sz w:val="24"/>
          <w:szCs w:val="24"/>
        </w:rPr>
        <w:t>Dennis J. Buckley</w:t>
      </w:r>
    </w:p>
    <w:p w:rsidR="00D83768" w:rsidRPr="00BD2ED1" w:rsidRDefault="00D83768" w:rsidP="00D83768">
      <w:pPr>
        <w:jc w:val="center"/>
        <w:rPr>
          <w:sz w:val="24"/>
          <w:szCs w:val="24"/>
        </w:rPr>
      </w:pPr>
      <w:r w:rsidRPr="00BD2ED1">
        <w:rPr>
          <w:sz w:val="24"/>
          <w:szCs w:val="24"/>
        </w:rPr>
        <w:t>Administrative Law Judge</w:t>
      </w:r>
    </w:p>
    <w:p w:rsidR="00D83768" w:rsidRPr="00BD2ED1" w:rsidRDefault="00D83768" w:rsidP="00D83768">
      <w:pPr>
        <w:jc w:val="center"/>
        <w:rPr>
          <w:b/>
          <w:sz w:val="24"/>
          <w:szCs w:val="24"/>
        </w:rPr>
      </w:pPr>
    </w:p>
    <w:p w:rsidR="00D83768" w:rsidRPr="00BD2ED1" w:rsidRDefault="00D83768" w:rsidP="00D83768">
      <w:pPr>
        <w:rPr>
          <w:b/>
          <w:sz w:val="24"/>
          <w:szCs w:val="24"/>
        </w:rPr>
      </w:pPr>
    </w:p>
    <w:p w:rsidR="00D83768" w:rsidRPr="00BD2ED1" w:rsidRDefault="00D83768" w:rsidP="00D83768">
      <w:pPr>
        <w:pStyle w:val="Heading1"/>
        <w:tabs>
          <w:tab w:val="left" w:pos="1980"/>
        </w:tabs>
        <w:rPr>
          <w:rFonts w:ascii="Times New Roman" w:hAnsi="Times New Roman"/>
          <w:b w:val="0"/>
          <w:szCs w:val="24"/>
        </w:rPr>
      </w:pPr>
      <w:r w:rsidRPr="00BD2ED1">
        <w:rPr>
          <w:rFonts w:ascii="Times New Roman" w:hAnsi="Times New Roman"/>
          <w:b w:val="0"/>
          <w:szCs w:val="24"/>
        </w:rPr>
        <w:t>HISTORY OF THE PROCEEDING</w:t>
      </w:r>
    </w:p>
    <w:p w:rsidR="00D83768" w:rsidRDefault="007E26B3" w:rsidP="007E26B3">
      <w:pPr>
        <w:spacing w:line="360" w:lineRule="auto"/>
        <w:rPr>
          <w:sz w:val="24"/>
          <w:szCs w:val="24"/>
        </w:rPr>
      </w:pPr>
      <w:r>
        <w:rPr>
          <w:sz w:val="24"/>
          <w:szCs w:val="24"/>
        </w:rPr>
        <w:tab/>
      </w:r>
      <w:r>
        <w:rPr>
          <w:sz w:val="24"/>
          <w:szCs w:val="24"/>
        </w:rPr>
        <w:tab/>
      </w:r>
    </w:p>
    <w:p w:rsidR="00376778" w:rsidRDefault="00D83768" w:rsidP="007E26B3">
      <w:pPr>
        <w:spacing w:line="360" w:lineRule="auto"/>
        <w:rPr>
          <w:sz w:val="24"/>
          <w:szCs w:val="24"/>
        </w:rPr>
      </w:pPr>
      <w:r>
        <w:rPr>
          <w:sz w:val="24"/>
          <w:szCs w:val="24"/>
        </w:rPr>
        <w:tab/>
      </w:r>
      <w:r>
        <w:rPr>
          <w:sz w:val="24"/>
          <w:szCs w:val="24"/>
        </w:rPr>
        <w:tab/>
        <w:t>On J</w:t>
      </w:r>
      <w:r w:rsidR="00BA2FBE">
        <w:rPr>
          <w:sz w:val="24"/>
          <w:szCs w:val="24"/>
        </w:rPr>
        <w:t xml:space="preserve">anuary </w:t>
      </w:r>
      <w:r>
        <w:rPr>
          <w:sz w:val="24"/>
          <w:szCs w:val="24"/>
        </w:rPr>
        <w:t>28, 201</w:t>
      </w:r>
      <w:r w:rsidR="00376778">
        <w:rPr>
          <w:sz w:val="24"/>
          <w:szCs w:val="24"/>
        </w:rPr>
        <w:t>1</w:t>
      </w:r>
      <w:r>
        <w:rPr>
          <w:sz w:val="24"/>
          <w:szCs w:val="24"/>
        </w:rPr>
        <w:t xml:space="preserve">, </w:t>
      </w:r>
      <w:r w:rsidR="00BA2FBE">
        <w:rPr>
          <w:sz w:val="24"/>
          <w:szCs w:val="24"/>
        </w:rPr>
        <w:t>Kim Whitacre</w:t>
      </w:r>
      <w:r>
        <w:rPr>
          <w:sz w:val="24"/>
          <w:szCs w:val="24"/>
        </w:rPr>
        <w:t xml:space="preserve"> (Complainant), filed a</w:t>
      </w:r>
      <w:r w:rsidR="00376778">
        <w:rPr>
          <w:sz w:val="24"/>
          <w:szCs w:val="24"/>
        </w:rPr>
        <w:t xml:space="preserve"> timely</w:t>
      </w:r>
      <w:r>
        <w:rPr>
          <w:sz w:val="24"/>
          <w:szCs w:val="24"/>
        </w:rPr>
        <w:t xml:space="preserve"> appeal </w:t>
      </w:r>
      <w:r w:rsidR="00376778">
        <w:rPr>
          <w:sz w:val="24"/>
          <w:szCs w:val="24"/>
        </w:rPr>
        <w:t>of</w:t>
      </w:r>
      <w:r>
        <w:rPr>
          <w:sz w:val="24"/>
          <w:szCs w:val="24"/>
        </w:rPr>
        <w:t xml:space="preserve"> the decision of the Commission’s Bureau of Consumer Services (BCS)</w:t>
      </w:r>
      <w:r w:rsidR="00855495">
        <w:rPr>
          <w:sz w:val="24"/>
          <w:szCs w:val="24"/>
        </w:rPr>
        <w:t xml:space="preserve"> dismissing her informal Complaint against </w:t>
      </w:r>
      <w:r w:rsidR="00BA2FBE" w:rsidRPr="00BA2FBE">
        <w:rPr>
          <w:sz w:val="24"/>
          <w:szCs w:val="24"/>
        </w:rPr>
        <w:t xml:space="preserve">PPL Electric Utilities Corporation </w:t>
      </w:r>
      <w:r w:rsidR="00855495">
        <w:rPr>
          <w:sz w:val="24"/>
          <w:szCs w:val="24"/>
        </w:rPr>
        <w:t>(</w:t>
      </w:r>
      <w:r w:rsidR="00BA2FBE">
        <w:rPr>
          <w:sz w:val="24"/>
          <w:szCs w:val="24"/>
        </w:rPr>
        <w:t>PPL</w:t>
      </w:r>
      <w:r w:rsidR="00855495">
        <w:rPr>
          <w:sz w:val="24"/>
          <w:szCs w:val="24"/>
        </w:rPr>
        <w:t xml:space="preserve"> or Respondent).</w:t>
      </w:r>
      <w:r w:rsidR="00722D1D" w:rsidRPr="00722D1D">
        <w:rPr>
          <w:sz w:val="24"/>
          <w:szCs w:val="24"/>
          <w:vertAlign w:val="superscript"/>
        </w:rPr>
        <w:t xml:space="preserve"> </w:t>
      </w:r>
      <w:r w:rsidR="00722D1D" w:rsidRPr="00722D1D">
        <w:rPr>
          <w:sz w:val="24"/>
          <w:szCs w:val="24"/>
          <w:vertAlign w:val="superscript"/>
        </w:rPr>
        <w:footnoteReference w:id="1"/>
      </w:r>
      <w:r w:rsidR="00376778">
        <w:rPr>
          <w:sz w:val="24"/>
          <w:szCs w:val="24"/>
        </w:rPr>
        <w:t xml:space="preserve">  The Complainant claimed that there were incorrect charges on her residential electric bill because she had been evicted from the service address in February, 2007, and so was not liable for electricity use at the address after her eviction.</w:t>
      </w:r>
    </w:p>
    <w:p w:rsidR="007C72AF" w:rsidRDefault="00855495" w:rsidP="007E26B3">
      <w:pPr>
        <w:spacing w:line="360" w:lineRule="auto"/>
        <w:rPr>
          <w:sz w:val="24"/>
          <w:szCs w:val="24"/>
        </w:rPr>
      </w:pPr>
      <w:r>
        <w:rPr>
          <w:sz w:val="24"/>
          <w:szCs w:val="24"/>
        </w:rPr>
        <w:t xml:space="preserve">  </w:t>
      </w:r>
    </w:p>
    <w:p w:rsidR="00BA2FBE" w:rsidRDefault="007C72AF" w:rsidP="007E26B3">
      <w:pPr>
        <w:spacing w:line="360" w:lineRule="auto"/>
        <w:rPr>
          <w:sz w:val="24"/>
          <w:szCs w:val="24"/>
        </w:rPr>
      </w:pPr>
      <w:r>
        <w:rPr>
          <w:sz w:val="24"/>
          <w:szCs w:val="24"/>
        </w:rPr>
        <w:tab/>
      </w:r>
      <w:r>
        <w:rPr>
          <w:sz w:val="24"/>
          <w:szCs w:val="24"/>
        </w:rPr>
        <w:tab/>
        <w:t xml:space="preserve">On </w:t>
      </w:r>
      <w:r w:rsidR="00BA2FBE">
        <w:rPr>
          <w:sz w:val="24"/>
          <w:szCs w:val="24"/>
        </w:rPr>
        <w:t>February 28</w:t>
      </w:r>
      <w:r>
        <w:rPr>
          <w:sz w:val="24"/>
          <w:szCs w:val="24"/>
        </w:rPr>
        <w:t xml:space="preserve">, 2011, </w:t>
      </w:r>
      <w:r w:rsidR="00BA2FBE">
        <w:rPr>
          <w:sz w:val="24"/>
          <w:szCs w:val="24"/>
        </w:rPr>
        <w:t>PPL</w:t>
      </w:r>
      <w:r>
        <w:rPr>
          <w:sz w:val="24"/>
          <w:szCs w:val="24"/>
        </w:rPr>
        <w:t xml:space="preserve"> filed an Answer to the Complaint denying the Complainant’s claim of incorrect charges and </w:t>
      </w:r>
      <w:r w:rsidR="00BA2FBE">
        <w:rPr>
          <w:sz w:val="24"/>
          <w:szCs w:val="24"/>
        </w:rPr>
        <w:t>agreeing with the resolution of the underlying BCS case.</w:t>
      </w:r>
    </w:p>
    <w:p w:rsidR="007C72AF" w:rsidRDefault="007C72AF" w:rsidP="007E26B3">
      <w:pPr>
        <w:spacing w:line="360" w:lineRule="auto"/>
        <w:rPr>
          <w:sz w:val="24"/>
          <w:szCs w:val="24"/>
        </w:rPr>
      </w:pPr>
    </w:p>
    <w:p w:rsidR="004F401F" w:rsidRDefault="007C72AF" w:rsidP="00BA2FBE">
      <w:pPr>
        <w:spacing w:line="360" w:lineRule="auto"/>
        <w:rPr>
          <w:sz w:val="24"/>
          <w:szCs w:val="24"/>
        </w:rPr>
      </w:pPr>
      <w:r>
        <w:rPr>
          <w:sz w:val="24"/>
          <w:szCs w:val="24"/>
        </w:rPr>
        <w:tab/>
      </w:r>
      <w:r>
        <w:rPr>
          <w:sz w:val="24"/>
          <w:szCs w:val="24"/>
        </w:rPr>
        <w:tab/>
      </w:r>
      <w:r w:rsidR="00BA1854">
        <w:rPr>
          <w:sz w:val="24"/>
          <w:szCs w:val="24"/>
        </w:rPr>
        <w:t>By hearing notice issued October 27, 2011, a</w:t>
      </w:r>
      <w:r w:rsidR="007E26B3">
        <w:rPr>
          <w:sz w:val="24"/>
          <w:szCs w:val="24"/>
        </w:rPr>
        <w:t xml:space="preserve">n evidentiary </w:t>
      </w:r>
      <w:r w:rsidR="007E26B3" w:rsidRPr="00E16C06">
        <w:rPr>
          <w:sz w:val="24"/>
          <w:szCs w:val="24"/>
        </w:rPr>
        <w:t xml:space="preserve">hearing in this </w:t>
      </w:r>
      <w:r>
        <w:rPr>
          <w:sz w:val="24"/>
          <w:szCs w:val="24"/>
        </w:rPr>
        <w:t>case was s</w:t>
      </w:r>
      <w:r w:rsidR="007E26B3" w:rsidRPr="00E16C06">
        <w:rPr>
          <w:sz w:val="24"/>
          <w:szCs w:val="24"/>
        </w:rPr>
        <w:t>cheduled for</w:t>
      </w:r>
      <w:r>
        <w:rPr>
          <w:sz w:val="24"/>
          <w:szCs w:val="24"/>
        </w:rPr>
        <w:t xml:space="preserve"> </w:t>
      </w:r>
      <w:r w:rsidR="00BA2FBE">
        <w:rPr>
          <w:sz w:val="24"/>
          <w:szCs w:val="24"/>
        </w:rPr>
        <w:t>December 14, 2011, a</w:t>
      </w:r>
      <w:r w:rsidR="007E26B3" w:rsidRPr="00E16C06">
        <w:rPr>
          <w:sz w:val="24"/>
          <w:szCs w:val="24"/>
        </w:rPr>
        <w:t xml:space="preserve">t </w:t>
      </w:r>
      <w:r w:rsidR="007E26B3">
        <w:rPr>
          <w:sz w:val="24"/>
          <w:szCs w:val="24"/>
        </w:rPr>
        <w:t>10</w:t>
      </w:r>
      <w:r w:rsidR="007E26B3" w:rsidRPr="00E16C06">
        <w:rPr>
          <w:sz w:val="24"/>
          <w:szCs w:val="24"/>
        </w:rPr>
        <w:t xml:space="preserve">:00 </w:t>
      </w:r>
      <w:r w:rsidR="007E26B3">
        <w:rPr>
          <w:sz w:val="24"/>
          <w:szCs w:val="24"/>
        </w:rPr>
        <w:t>a</w:t>
      </w:r>
      <w:r w:rsidR="007E26B3" w:rsidRPr="00E16C06">
        <w:rPr>
          <w:sz w:val="24"/>
          <w:szCs w:val="24"/>
        </w:rPr>
        <w:t>.m.</w:t>
      </w:r>
      <w:r w:rsidR="005F3EA8">
        <w:rPr>
          <w:sz w:val="24"/>
          <w:szCs w:val="24"/>
        </w:rPr>
        <w:t xml:space="preserve"> at the Commission’s office</w:t>
      </w:r>
      <w:r w:rsidR="007E26B3">
        <w:rPr>
          <w:sz w:val="24"/>
          <w:szCs w:val="24"/>
        </w:rPr>
        <w:t xml:space="preserve"> in Harrisburg Pennsylvania</w:t>
      </w:r>
      <w:r w:rsidR="00EF0922">
        <w:rPr>
          <w:sz w:val="24"/>
          <w:szCs w:val="24"/>
        </w:rPr>
        <w:t>, with the Parties participating telephonically</w:t>
      </w:r>
      <w:r w:rsidR="00BA1854">
        <w:rPr>
          <w:sz w:val="24"/>
          <w:szCs w:val="24"/>
        </w:rPr>
        <w:t>.</w:t>
      </w:r>
    </w:p>
    <w:p w:rsidR="00BA1854" w:rsidRDefault="00BA1854" w:rsidP="00BA2FBE">
      <w:pPr>
        <w:spacing w:line="360" w:lineRule="auto"/>
        <w:rPr>
          <w:sz w:val="24"/>
          <w:szCs w:val="24"/>
        </w:rPr>
      </w:pPr>
    </w:p>
    <w:p w:rsidR="00BA1854" w:rsidRDefault="00BA1854" w:rsidP="00BA2FBE">
      <w:pPr>
        <w:spacing w:line="360" w:lineRule="auto"/>
        <w:rPr>
          <w:sz w:val="24"/>
          <w:szCs w:val="24"/>
        </w:rPr>
      </w:pPr>
      <w:r>
        <w:rPr>
          <w:sz w:val="24"/>
          <w:szCs w:val="24"/>
        </w:rPr>
        <w:tab/>
      </w:r>
      <w:r>
        <w:rPr>
          <w:sz w:val="24"/>
          <w:szCs w:val="24"/>
        </w:rPr>
        <w:tab/>
        <w:t>On November 16, 2011, a standard form Prehearing Order was issued in this matter.</w:t>
      </w:r>
    </w:p>
    <w:p w:rsidR="00BA1854" w:rsidRDefault="00BA1854" w:rsidP="00BA2FBE">
      <w:pPr>
        <w:spacing w:line="360" w:lineRule="auto"/>
        <w:rPr>
          <w:sz w:val="24"/>
          <w:szCs w:val="24"/>
        </w:rPr>
      </w:pPr>
    </w:p>
    <w:p w:rsidR="00BA1854" w:rsidRDefault="00BA1854" w:rsidP="00BA2FBE">
      <w:pPr>
        <w:spacing w:line="360" w:lineRule="auto"/>
        <w:rPr>
          <w:sz w:val="24"/>
          <w:szCs w:val="24"/>
        </w:rPr>
      </w:pPr>
      <w:r>
        <w:rPr>
          <w:sz w:val="24"/>
          <w:szCs w:val="24"/>
        </w:rPr>
        <w:tab/>
      </w:r>
      <w:r>
        <w:rPr>
          <w:sz w:val="24"/>
          <w:szCs w:val="24"/>
        </w:rPr>
        <w:tab/>
        <w:t xml:space="preserve">On December 7, 2011, PPL </w:t>
      </w:r>
      <w:r w:rsidR="00722D1D">
        <w:rPr>
          <w:sz w:val="24"/>
          <w:szCs w:val="24"/>
        </w:rPr>
        <w:t>served</w:t>
      </w:r>
      <w:r>
        <w:rPr>
          <w:sz w:val="24"/>
          <w:szCs w:val="24"/>
        </w:rPr>
        <w:t xml:space="preserve"> proposed hearing exhibits marked as PPL Hearing Exhibit Nos. 1A through 4.  </w:t>
      </w:r>
    </w:p>
    <w:p w:rsidR="00F26BF1" w:rsidRDefault="00F26BF1" w:rsidP="007E26B3">
      <w:pPr>
        <w:spacing w:line="360" w:lineRule="auto"/>
        <w:rPr>
          <w:sz w:val="24"/>
          <w:szCs w:val="24"/>
        </w:rPr>
      </w:pPr>
    </w:p>
    <w:p w:rsidR="00F26BF1" w:rsidRDefault="00F26BF1" w:rsidP="007E26B3">
      <w:pPr>
        <w:spacing w:line="360" w:lineRule="auto"/>
        <w:rPr>
          <w:sz w:val="24"/>
          <w:szCs w:val="24"/>
        </w:rPr>
      </w:pPr>
      <w:r>
        <w:rPr>
          <w:sz w:val="24"/>
          <w:szCs w:val="24"/>
        </w:rPr>
        <w:tab/>
      </w:r>
      <w:r>
        <w:rPr>
          <w:sz w:val="24"/>
          <w:szCs w:val="24"/>
        </w:rPr>
        <w:tab/>
        <w:t xml:space="preserve">On </w:t>
      </w:r>
      <w:r w:rsidR="00BA1854">
        <w:rPr>
          <w:sz w:val="24"/>
          <w:szCs w:val="24"/>
        </w:rPr>
        <w:t>December 14, 2011</w:t>
      </w:r>
      <w:r>
        <w:rPr>
          <w:sz w:val="24"/>
          <w:szCs w:val="24"/>
        </w:rPr>
        <w:t>, a telephonic hearing in this matter duly convened, originating from the Harrisburg office of the Commission.</w:t>
      </w:r>
      <w:r w:rsidR="002C7658">
        <w:rPr>
          <w:sz w:val="24"/>
          <w:szCs w:val="24"/>
        </w:rPr>
        <w:t xml:space="preserve">  At that hearing, the Complainant </w:t>
      </w:r>
      <w:r w:rsidR="00BA1854">
        <w:rPr>
          <w:sz w:val="24"/>
          <w:szCs w:val="24"/>
        </w:rPr>
        <w:t xml:space="preserve">appeared and </w:t>
      </w:r>
      <w:r w:rsidR="002C7658">
        <w:rPr>
          <w:sz w:val="24"/>
          <w:szCs w:val="24"/>
        </w:rPr>
        <w:t xml:space="preserve">testified </w:t>
      </w:r>
      <w:r w:rsidR="00BA1854">
        <w:rPr>
          <w:sz w:val="24"/>
          <w:szCs w:val="24"/>
        </w:rPr>
        <w:t>on her own behalf.  PPL appeared by and through its counsel, Ms. Kimberly G. Krupka, Esquire, and presented the testimony of Ms. Kimberly Fickes, a PPL Customer Service Representative.  PPL introduced into evidence PPL Exhibit Nos. 1A and 1B consisting of Account Activity Statements, and PPL Exhibit Nos. 2A and 2B consisting of Customer Contact records.</w:t>
      </w:r>
      <w:r w:rsidR="002C7658">
        <w:rPr>
          <w:sz w:val="24"/>
          <w:szCs w:val="24"/>
        </w:rPr>
        <w:t xml:space="preserve"> </w:t>
      </w:r>
      <w:r w:rsidR="00BA1854">
        <w:rPr>
          <w:sz w:val="24"/>
          <w:szCs w:val="24"/>
        </w:rPr>
        <w:t xml:space="preserve"> </w:t>
      </w:r>
      <w:r w:rsidR="002C7658">
        <w:rPr>
          <w:sz w:val="24"/>
          <w:szCs w:val="24"/>
        </w:rPr>
        <w:t xml:space="preserve">The record in this matter consists of </w:t>
      </w:r>
      <w:r w:rsidR="00BA1854">
        <w:rPr>
          <w:sz w:val="24"/>
          <w:szCs w:val="24"/>
        </w:rPr>
        <w:t xml:space="preserve">the 25 page hearing </w:t>
      </w:r>
      <w:r w:rsidR="002C7658">
        <w:rPr>
          <w:sz w:val="24"/>
          <w:szCs w:val="24"/>
        </w:rPr>
        <w:t xml:space="preserve">transcript from </w:t>
      </w:r>
      <w:r w:rsidR="00BA1854">
        <w:rPr>
          <w:sz w:val="24"/>
          <w:szCs w:val="24"/>
        </w:rPr>
        <w:t xml:space="preserve">December 14, 2011, </w:t>
      </w:r>
      <w:r w:rsidR="00563B80">
        <w:rPr>
          <w:sz w:val="24"/>
          <w:szCs w:val="24"/>
        </w:rPr>
        <w:t>and PPL Exhibit No.</w:t>
      </w:r>
      <w:r w:rsidR="00BA1854">
        <w:rPr>
          <w:sz w:val="24"/>
          <w:szCs w:val="24"/>
        </w:rPr>
        <w:t xml:space="preserve"> 1A, 1B, 2A and 2B</w:t>
      </w:r>
      <w:r w:rsidR="002C7658">
        <w:rPr>
          <w:sz w:val="24"/>
          <w:szCs w:val="24"/>
        </w:rPr>
        <w:t>.</w:t>
      </w:r>
      <w:r w:rsidR="00BA1854">
        <w:rPr>
          <w:sz w:val="24"/>
          <w:szCs w:val="24"/>
        </w:rPr>
        <w:t xml:space="preserve">  The record closed on December 14, 2011, and no briefs were filed.</w:t>
      </w:r>
    </w:p>
    <w:p w:rsidR="00F26BF1" w:rsidRDefault="00F26BF1" w:rsidP="007E26B3">
      <w:pPr>
        <w:spacing w:line="360" w:lineRule="auto"/>
        <w:rPr>
          <w:sz w:val="24"/>
          <w:szCs w:val="24"/>
        </w:rPr>
      </w:pPr>
    </w:p>
    <w:p w:rsidR="00F26BF1" w:rsidRPr="00152350" w:rsidRDefault="00F26BF1" w:rsidP="00F26BF1">
      <w:pPr>
        <w:spacing w:line="360" w:lineRule="auto"/>
        <w:jc w:val="center"/>
        <w:rPr>
          <w:sz w:val="24"/>
          <w:szCs w:val="24"/>
          <w:u w:val="single"/>
        </w:rPr>
      </w:pPr>
      <w:r w:rsidRPr="00152350">
        <w:rPr>
          <w:sz w:val="24"/>
          <w:szCs w:val="24"/>
          <w:u w:val="single"/>
        </w:rPr>
        <w:t>FINDINGS OF FACT</w:t>
      </w:r>
    </w:p>
    <w:p w:rsidR="00F26BF1" w:rsidRPr="00152350" w:rsidRDefault="00F26BF1" w:rsidP="00F26BF1">
      <w:pPr>
        <w:spacing w:line="360" w:lineRule="auto"/>
        <w:jc w:val="center"/>
        <w:rPr>
          <w:sz w:val="24"/>
          <w:szCs w:val="24"/>
        </w:rPr>
      </w:pPr>
    </w:p>
    <w:p w:rsidR="00F26BF1" w:rsidRDefault="00F26BF1" w:rsidP="00F26BF1">
      <w:pPr>
        <w:spacing w:line="360" w:lineRule="auto"/>
        <w:rPr>
          <w:sz w:val="24"/>
          <w:szCs w:val="24"/>
        </w:rPr>
      </w:pPr>
      <w:r w:rsidRPr="00152350">
        <w:rPr>
          <w:sz w:val="24"/>
          <w:szCs w:val="24"/>
        </w:rPr>
        <w:tab/>
      </w:r>
      <w:r w:rsidRPr="00152350">
        <w:rPr>
          <w:sz w:val="24"/>
          <w:szCs w:val="24"/>
        </w:rPr>
        <w:tab/>
        <w:t>1.</w:t>
      </w:r>
      <w:r w:rsidRPr="00152350">
        <w:rPr>
          <w:sz w:val="24"/>
          <w:szCs w:val="24"/>
        </w:rPr>
        <w:tab/>
        <w:t xml:space="preserve">The Complainant </w:t>
      </w:r>
      <w:r>
        <w:rPr>
          <w:sz w:val="24"/>
          <w:szCs w:val="24"/>
        </w:rPr>
        <w:t xml:space="preserve">in this proceeding </w:t>
      </w:r>
      <w:r w:rsidRPr="00152350">
        <w:rPr>
          <w:sz w:val="24"/>
          <w:szCs w:val="24"/>
        </w:rPr>
        <w:t xml:space="preserve">is </w:t>
      </w:r>
      <w:r w:rsidR="004A640D">
        <w:rPr>
          <w:sz w:val="24"/>
          <w:szCs w:val="24"/>
        </w:rPr>
        <w:t>Kim Whitacre</w:t>
      </w:r>
      <w:r w:rsidR="005D2414">
        <w:rPr>
          <w:sz w:val="24"/>
          <w:szCs w:val="24"/>
        </w:rPr>
        <w:t>,</w:t>
      </w:r>
      <w:r>
        <w:rPr>
          <w:sz w:val="24"/>
          <w:szCs w:val="24"/>
        </w:rPr>
        <w:t xml:space="preserve"> </w:t>
      </w:r>
      <w:r w:rsidR="005D2414">
        <w:rPr>
          <w:sz w:val="24"/>
          <w:szCs w:val="24"/>
        </w:rPr>
        <w:t xml:space="preserve">previously </w:t>
      </w:r>
      <w:r>
        <w:rPr>
          <w:sz w:val="24"/>
          <w:szCs w:val="24"/>
        </w:rPr>
        <w:t xml:space="preserve">a resident at </w:t>
      </w:r>
      <w:r w:rsidR="004A640D">
        <w:rPr>
          <w:sz w:val="24"/>
          <w:szCs w:val="24"/>
        </w:rPr>
        <w:t>150 Fruitville Pike, 1</w:t>
      </w:r>
      <w:r w:rsidR="004A640D" w:rsidRPr="004A640D">
        <w:rPr>
          <w:sz w:val="24"/>
          <w:szCs w:val="24"/>
          <w:vertAlign w:val="superscript"/>
        </w:rPr>
        <w:t>st</w:t>
      </w:r>
      <w:r w:rsidR="004A640D">
        <w:rPr>
          <w:sz w:val="24"/>
          <w:szCs w:val="24"/>
        </w:rPr>
        <w:t xml:space="preserve"> Floor, </w:t>
      </w:r>
      <w:r w:rsidR="005D2414">
        <w:rPr>
          <w:sz w:val="24"/>
          <w:szCs w:val="24"/>
        </w:rPr>
        <w:t>M</w:t>
      </w:r>
      <w:r w:rsidR="004A640D">
        <w:rPr>
          <w:sz w:val="24"/>
          <w:szCs w:val="24"/>
        </w:rPr>
        <w:t>anheim,</w:t>
      </w:r>
      <w:r>
        <w:rPr>
          <w:sz w:val="24"/>
          <w:szCs w:val="24"/>
        </w:rPr>
        <w:t xml:space="preserve"> Pennsylvania</w:t>
      </w:r>
      <w:r w:rsidR="0058762F">
        <w:rPr>
          <w:sz w:val="24"/>
          <w:szCs w:val="24"/>
        </w:rPr>
        <w:t>, the service address in this case</w:t>
      </w:r>
      <w:r>
        <w:rPr>
          <w:sz w:val="24"/>
          <w:szCs w:val="24"/>
        </w:rPr>
        <w:t>.</w:t>
      </w:r>
    </w:p>
    <w:p w:rsidR="00F26BF1" w:rsidRDefault="00F26BF1" w:rsidP="00F26BF1">
      <w:pPr>
        <w:spacing w:line="360" w:lineRule="auto"/>
        <w:rPr>
          <w:sz w:val="24"/>
          <w:szCs w:val="24"/>
        </w:rPr>
      </w:pPr>
    </w:p>
    <w:p w:rsidR="00F26BF1" w:rsidRDefault="00F26BF1" w:rsidP="00F26BF1">
      <w:pPr>
        <w:spacing w:line="360" w:lineRule="auto"/>
        <w:rPr>
          <w:sz w:val="24"/>
          <w:szCs w:val="24"/>
        </w:rPr>
      </w:pPr>
      <w:r>
        <w:rPr>
          <w:sz w:val="24"/>
          <w:szCs w:val="24"/>
        </w:rPr>
        <w:tab/>
      </w:r>
      <w:r>
        <w:rPr>
          <w:sz w:val="24"/>
          <w:szCs w:val="24"/>
        </w:rPr>
        <w:tab/>
        <w:t>2.</w:t>
      </w:r>
      <w:r>
        <w:rPr>
          <w:sz w:val="24"/>
          <w:szCs w:val="24"/>
        </w:rPr>
        <w:tab/>
      </w:r>
      <w:r w:rsidRPr="00152350">
        <w:rPr>
          <w:sz w:val="24"/>
          <w:szCs w:val="24"/>
        </w:rPr>
        <w:t xml:space="preserve">The Respondent is </w:t>
      </w:r>
      <w:r w:rsidR="007B4E01">
        <w:rPr>
          <w:sz w:val="24"/>
          <w:szCs w:val="24"/>
        </w:rPr>
        <w:t>PPL Electric Utilities Corporation</w:t>
      </w:r>
      <w:r w:rsidR="005D2414">
        <w:rPr>
          <w:sz w:val="24"/>
          <w:szCs w:val="24"/>
        </w:rPr>
        <w:t xml:space="preserve">, a Commission jurisdictional </w:t>
      </w:r>
      <w:r w:rsidR="007B4E01">
        <w:rPr>
          <w:sz w:val="24"/>
          <w:szCs w:val="24"/>
        </w:rPr>
        <w:t xml:space="preserve">electric </w:t>
      </w:r>
      <w:r w:rsidR="005D2414">
        <w:rPr>
          <w:sz w:val="24"/>
          <w:szCs w:val="24"/>
        </w:rPr>
        <w:t>distribution company</w:t>
      </w:r>
      <w:r w:rsidR="0058762F">
        <w:rPr>
          <w:sz w:val="24"/>
          <w:szCs w:val="24"/>
        </w:rPr>
        <w:t xml:space="preserve">, which provided electric service to the Complainant at the service address at </w:t>
      </w:r>
      <w:r w:rsidR="0058762F" w:rsidRPr="0058762F">
        <w:rPr>
          <w:sz w:val="24"/>
          <w:szCs w:val="24"/>
        </w:rPr>
        <w:t>150 Fruitville Pike, 1</w:t>
      </w:r>
      <w:r w:rsidR="0058762F" w:rsidRPr="0058762F">
        <w:rPr>
          <w:sz w:val="24"/>
          <w:szCs w:val="24"/>
          <w:vertAlign w:val="superscript"/>
        </w:rPr>
        <w:t>st</w:t>
      </w:r>
      <w:r w:rsidR="0058762F" w:rsidRPr="0058762F">
        <w:rPr>
          <w:sz w:val="24"/>
          <w:szCs w:val="24"/>
        </w:rPr>
        <w:t xml:space="preserve"> Floor, Manheim, Pennsylvania</w:t>
      </w:r>
      <w:r w:rsidRPr="00152350">
        <w:rPr>
          <w:sz w:val="24"/>
          <w:szCs w:val="24"/>
        </w:rPr>
        <w:t>.</w:t>
      </w:r>
    </w:p>
    <w:p w:rsidR="00F26BF1" w:rsidRDefault="00F26BF1" w:rsidP="00F26BF1">
      <w:pPr>
        <w:spacing w:line="360" w:lineRule="auto"/>
        <w:rPr>
          <w:sz w:val="24"/>
          <w:szCs w:val="24"/>
        </w:rPr>
      </w:pPr>
    </w:p>
    <w:p w:rsidR="0058762F" w:rsidRDefault="00F26BF1" w:rsidP="005D2414">
      <w:pPr>
        <w:spacing w:line="360" w:lineRule="auto"/>
        <w:rPr>
          <w:sz w:val="24"/>
          <w:szCs w:val="24"/>
        </w:rPr>
      </w:pPr>
      <w:r>
        <w:rPr>
          <w:sz w:val="24"/>
          <w:szCs w:val="24"/>
        </w:rPr>
        <w:tab/>
      </w:r>
      <w:r>
        <w:rPr>
          <w:sz w:val="24"/>
          <w:szCs w:val="24"/>
        </w:rPr>
        <w:tab/>
        <w:t>3.</w:t>
      </w:r>
      <w:r>
        <w:rPr>
          <w:sz w:val="24"/>
          <w:szCs w:val="24"/>
        </w:rPr>
        <w:tab/>
      </w:r>
      <w:r w:rsidR="0058762F">
        <w:rPr>
          <w:sz w:val="24"/>
          <w:szCs w:val="24"/>
        </w:rPr>
        <w:t>On February 27, 2007, t</w:t>
      </w:r>
      <w:r w:rsidR="005D2414">
        <w:rPr>
          <w:sz w:val="24"/>
          <w:szCs w:val="24"/>
        </w:rPr>
        <w:t xml:space="preserve">he Complainant </w:t>
      </w:r>
      <w:r w:rsidR="0058762F">
        <w:rPr>
          <w:sz w:val="24"/>
          <w:szCs w:val="24"/>
        </w:rPr>
        <w:t xml:space="preserve">was evicted from the service address but failed to contact PPL to have her name removed from the bill for that address.  </w:t>
      </w:r>
      <w:r w:rsidR="00A072E9">
        <w:rPr>
          <w:sz w:val="24"/>
          <w:szCs w:val="24"/>
        </w:rPr>
        <w:t xml:space="preserve">N.T. at </w:t>
      </w:r>
      <w:r w:rsidR="0058762F">
        <w:rPr>
          <w:sz w:val="24"/>
          <w:szCs w:val="24"/>
        </w:rPr>
        <w:t>6-7</w:t>
      </w:r>
      <w:r w:rsidR="00231C94">
        <w:rPr>
          <w:sz w:val="24"/>
          <w:szCs w:val="24"/>
        </w:rPr>
        <w:t>, 17; PPL Exhibit No. 2-A.</w:t>
      </w:r>
    </w:p>
    <w:p w:rsidR="0058762F" w:rsidRDefault="0058762F" w:rsidP="005D2414">
      <w:pPr>
        <w:spacing w:line="360" w:lineRule="auto"/>
        <w:rPr>
          <w:sz w:val="24"/>
          <w:szCs w:val="24"/>
        </w:rPr>
      </w:pPr>
    </w:p>
    <w:p w:rsidR="00F26BF1" w:rsidRDefault="0058762F" w:rsidP="005D2414">
      <w:pPr>
        <w:spacing w:line="360" w:lineRule="auto"/>
        <w:rPr>
          <w:sz w:val="24"/>
          <w:szCs w:val="24"/>
        </w:rPr>
      </w:pPr>
      <w:r>
        <w:rPr>
          <w:sz w:val="24"/>
          <w:szCs w:val="24"/>
        </w:rPr>
        <w:tab/>
      </w:r>
      <w:r>
        <w:rPr>
          <w:sz w:val="24"/>
          <w:szCs w:val="24"/>
        </w:rPr>
        <w:tab/>
        <w:t>4.</w:t>
      </w:r>
      <w:r>
        <w:rPr>
          <w:sz w:val="24"/>
          <w:szCs w:val="24"/>
        </w:rPr>
        <w:tab/>
        <w:t xml:space="preserve">From July, 2006, until August 1, 2007, the electric service at </w:t>
      </w:r>
      <w:r w:rsidRPr="0058762F">
        <w:rPr>
          <w:sz w:val="24"/>
          <w:szCs w:val="24"/>
        </w:rPr>
        <w:t>150 Fruitville Pike, 1</w:t>
      </w:r>
      <w:r w:rsidRPr="0058762F">
        <w:rPr>
          <w:sz w:val="24"/>
          <w:szCs w:val="24"/>
          <w:vertAlign w:val="superscript"/>
        </w:rPr>
        <w:t>st</w:t>
      </w:r>
      <w:r w:rsidRPr="0058762F">
        <w:rPr>
          <w:sz w:val="24"/>
          <w:szCs w:val="24"/>
        </w:rPr>
        <w:t xml:space="preserve"> Floor, Manheim, Pennsylvania</w:t>
      </w:r>
      <w:r>
        <w:rPr>
          <w:sz w:val="24"/>
          <w:szCs w:val="24"/>
        </w:rPr>
        <w:t>, was listed in Complainant’s name</w:t>
      </w:r>
      <w:r w:rsidR="00A072E9">
        <w:rPr>
          <w:sz w:val="24"/>
          <w:szCs w:val="24"/>
        </w:rPr>
        <w:t>.</w:t>
      </w:r>
      <w:r>
        <w:rPr>
          <w:sz w:val="24"/>
          <w:szCs w:val="24"/>
        </w:rPr>
        <w:t xml:space="preserve">  N.T. at 14; PPL Exhibit No. 1A.</w:t>
      </w:r>
    </w:p>
    <w:p w:rsidR="00231C94" w:rsidRDefault="00231C94" w:rsidP="005D2414">
      <w:pPr>
        <w:spacing w:line="360" w:lineRule="auto"/>
        <w:rPr>
          <w:sz w:val="24"/>
          <w:szCs w:val="24"/>
        </w:rPr>
      </w:pPr>
    </w:p>
    <w:p w:rsidR="00231C94" w:rsidRDefault="00231C94" w:rsidP="005D2414">
      <w:pPr>
        <w:spacing w:line="360" w:lineRule="auto"/>
        <w:rPr>
          <w:sz w:val="24"/>
          <w:szCs w:val="24"/>
        </w:rPr>
      </w:pPr>
      <w:r>
        <w:rPr>
          <w:sz w:val="24"/>
          <w:szCs w:val="24"/>
        </w:rPr>
        <w:tab/>
      </w:r>
      <w:r>
        <w:rPr>
          <w:sz w:val="24"/>
          <w:szCs w:val="24"/>
        </w:rPr>
        <w:tab/>
        <w:t>5.</w:t>
      </w:r>
      <w:r>
        <w:rPr>
          <w:sz w:val="24"/>
          <w:szCs w:val="24"/>
        </w:rPr>
        <w:tab/>
        <w:t xml:space="preserve">On August 1, 2007, PPL removed the service at </w:t>
      </w:r>
      <w:r w:rsidRPr="00231C94">
        <w:rPr>
          <w:sz w:val="24"/>
          <w:szCs w:val="24"/>
        </w:rPr>
        <w:t>150 Fruitville Pike, 1</w:t>
      </w:r>
      <w:r w:rsidRPr="00231C94">
        <w:rPr>
          <w:sz w:val="24"/>
          <w:szCs w:val="24"/>
          <w:vertAlign w:val="superscript"/>
        </w:rPr>
        <w:t>st</w:t>
      </w:r>
      <w:r w:rsidRPr="00231C94">
        <w:rPr>
          <w:sz w:val="24"/>
          <w:szCs w:val="24"/>
        </w:rPr>
        <w:t xml:space="preserve"> Floor, Manheim, Pennsylvania</w:t>
      </w:r>
      <w:r>
        <w:rPr>
          <w:sz w:val="24"/>
          <w:szCs w:val="24"/>
        </w:rPr>
        <w:t>, from Complainant’s name.  N.T. at 18.</w:t>
      </w:r>
    </w:p>
    <w:p w:rsidR="0058762F" w:rsidRDefault="0058762F" w:rsidP="005D2414">
      <w:pPr>
        <w:spacing w:line="360" w:lineRule="auto"/>
        <w:rPr>
          <w:sz w:val="24"/>
          <w:szCs w:val="24"/>
        </w:rPr>
      </w:pPr>
    </w:p>
    <w:p w:rsidR="0058762F" w:rsidRDefault="0058762F" w:rsidP="005D2414">
      <w:pPr>
        <w:spacing w:line="360" w:lineRule="auto"/>
        <w:rPr>
          <w:sz w:val="24"/>
          <w:szCs w:val="24"/>
        </w:rPr>
      </w:pPr>
      <w:r>
        <w:rPr>
          <w:sz w:val="24"/>
          <w:szCs w:val="24"/>
        </w:rPr>
        <w:tab/>
      </w:r>
      <w:r>
        <w:rPr>
          <w:sz w:val="24"/>
          <w:szCs w:val="24"/>
        </w:rPr>
        <w:tab/>
      </w:r>
      <w:r w:rsidR="00231C94">
        <w:rPr>
          <w:sz w:val="24"/>
          <w:szCs w:val="24"/>
        </w:rPr>
        <w:t>6</w:t>
      </w:r>
      <w:r>
        <w:rPr>
          <w:sz w:val="24"/>
          <w:szCs w:val="24"/>
        </w:rPr>
        <w:t>.</w:t>
      </w:r>
      <w:r>
        <w:rPr>
          <w:sz w:val="24"/>
          <w:szCs w:val="24"/>
        </w:rPr>
        <w:tab/>
        <w:t>An outstanding account balance of $777.63 was</w:t>
      </w:r>
      <w:r w:rsidR="00231C94">
        <w:rPr>
          <w:sz w:val="24"/>
          <w:szCs w:val="24"/>
        </w:rPr>
        <w:t xml:space="preserve"> subsequently</w:t>
      </w:r>
      <w:r>
        <w:rPr>
          <w:sz w:val="24"/>
          <w:szCs w:val="24"/>
        </w:rPr>
        <w:t xml:space="preserve"> transferred from the account at </w:t>
      </w:r>
      <w:r w:rsidRPr="0058762F">
        <w:rPr>
          <w:sz w:val="24"/>
          <w:szCs w:val="24"/>
        </w:rPr>
        <w:t>150 Fruitville Pike, 1</w:t>
      </w:r>
      <w:r w:rsidRPr="0058762F">
        <w:rPr>
          <w:sz w:val="24"/>
          <w:szCs w:val="24"/>
          <w:vertAlign w:val="superscript"/>
        </w:rPr>
        <w:t>st</w:t>
      </w:r>
      <w:r w:rsidRPr="0058762F">
        <w:rPr>
          <w:sz w:val="24"/>
          <w:szCs w:val="24"/>
        </w:rPr>
        <w:t xml:space="preserve"> Floor, Manheim, Pennsylvania</w:t>
      </w:r>
      <w:r>
        <w:rPr>
          <w:sz w:val="24"/>
          <w:szCs w:val="24"/>
        </w:rPr>
        <w:t>, to the Complainant’s new account with PPL at 318 North Duke Street, Apartment 6, Lancaster, Pennsylvania.  N.T. at 15-16; PPL Exhibit No. 1A.</w:t>
      </w:r>
    </w:p>
    <w:p w:rsidR="00231C94" w:rsidRDefault="00231C94" w:rsidP="005D2414">
      <w:pPr>
        <w:spacing w:line="360" w:lineRule="auto"/>
        <w:rPr>
          <w:sz w:val="24"/>
          <w:szCs w:val="24"/>
        </w:rPr>
      </w:pPr>
    </w:p>
    <w:p w:rsidR="005F3EA8" w:rsidRPr="00152350" w:rsidRDefault="00231C94" w:rsidP="005D2414">
      <w:pPr>
        <w:spacing w:line="360" w:lineRule="auto"/>
        <w:rPr>
          <w:sz w:val="24"/>
          <w:szCs w:val="24"/>
        </w:rPr>
      </w:pPr>
      <w:r>
        <w:rPr>
          <w:sz w:val="24"/>
          <w:szCs w:val="24"/>
        </w:rPr>
        <w:tab/>
      </w:r>
      <w:r>
        <w:rPr>
          <w:sz w:val="24"/>
          <w:szCs w:val="24"/>
        </w:rPr>
        <w:tab/>
        <w:t>7.</w:t>
      </w:r>
      <w:r>
        <w:rPr>
          <w:sz w:val="24"/>
          <w:szCs w:val="24"/>
        </w:rPr>
        <w:tab/>
        <w:t xml:space="preserve">The outstanding </w:t>
      </w:r>
      <w:r w:rsidR="00563B80">
        <w:rPr>
          <w:sz w:val="24"/>
          <w:szCs w:val="24"/>
        </w:rPr>
        <w:t>arrearage</w:t>
      </w:r>
      <w:r>
        <w:rPr>
          <w:sz w:val="24"/>
          <w:szCs w:val="24"/>
        </w:rPr>
        <w:t xml:space="preserve"> in controversy in this case is currently the subject of a payment arrangement established as a result of </w:t>
      </w:r>
      <w:r w:rsidRPr="00231C94">
        <w:rPr>
          <w:sz w:val="24"/>
          <w:szCs w:val="24"/>
        </w:rPr>
        <w:t>BCS Case No. 2767283</w:t>
      </w:r>
      <w:r>
        <w:rPr>
          <w:sz w:val="24"/>
          <w:szCs w:val="24"/>
        </w:rPr>
        <w:t>.  N.T. at 19; PPL Exhibit No. 2B.</w:t>
      </w:r>
    </w:p>
    <w:p w:rsidR="00F26BF1" w:rsidRPr="00152350" w:rsidRDefault="00F26BF1" w:rsidP="00F26BF1">
      <w:pPr>
        <w:spacing w:line="360" w:lineRule="auto"/>
        <w:rPr>
          <w:sz w:val="24"/>
          <w:szCs w:val="24"/>
        </w:rPr>
      </w:pPr>
    </w:p>
    <w:p w:rsidR="00F26BF1" w:rsidRPr="00152350" w:rsidRDefault="00F26BF1" w:rsidP="00F26BF1">
      <w:pPr>
        <w:spacing w:line="360" w:lineRule="auto"/>
        <w:jc w:val="center"/>
        <w:rPr>
          <w:sz w:val="24"/>
          <w:szCs w:val="24"/>
          <w:u w:val="single"/>
        </w:rPr>
      </w:pPr>
      <w:r w:rsidRPr="00152350">
        <w:rPr>
          <w:sz w:val="24"/>
          <w:szCs w:val="24"/>
          <w:u w:val="single"/>
        </w:rPr>
        <w:t>DISCUSSION</w:t>
      </w:r>
    </w:p>
    <w:p w:rsidR="00F26BF1" w:rsidRPr="00152350" w:rsidRDefault="00F26BF1" w:rsidP="00F26BF1">
      <w:pPr>
        <w:spacing w:line="360" w:lineRule="auto"/>
        <w:rPr>
          <w:sz w:val="24"/>
          <w:szCs w:val="24"/>
        </w:rPr>
      </w:pPr>
    </w:p>
    <w:p w:rsidR="00F26BF1" w:rsidRPr="004935C4" w:rsidRDefault="00F26BF1" w:rsidP="00F26BF1">
      <w:pPr>
        <w:spacing w:line="360" w:lineRule="auto"/>
        <w:rPr>
          <w:spacing w:val="-3"/>
          <w:sz w:val="24"/>
          <w:szCs w:val="24"/>
        </w:rPr>
      </w:pPr>
      <w:r w:rsidRPr="00152350">
        <w:rPr>
          <w:sz w:val="24"/>
          <w:szCs w:val="24"/>
        </w:rPr>
        <w:tab/>
      </w:r>
      <w:r w:rsidRPr="00152350">
        <w:rPr>
          <w:sz w:val="24"/>
          <w:szCs w:val="24"/>
        </w:rPr>
        <w:tab/>
      </w:r>
      <w:r>
        <w:rPr>
          <w:sz w:val="24"/>
          <w:szCs w:val="24"/>
        </w:rPr>
        <w:t>T</w:t>
      </w:r>
      <w:r w:rsidRPr="004935C4">
        <w:rPr>
          <w:sz w:val="24"/>
          <w:szCs w:val="24"/>
        </w:rPr>
        <w:t>he Complainant bears the burden of proving her entitlement to the requested relief</w:t>
      </w:r>
      <w:r w:rsidR="00A072E9">
        <w:rPr>
          <w:sz w:val="24"/>
          <w:szCs w:val="24"/>
        </w:rPr>
        <w:t xml:space="preserve">.  </w:t>
      </w:r>
      <w:r w:rsidRPr="004935C4">
        <w:rPr>
          <w:sz w:val="24"/>
          <w:szCs w:val="24"/>
        </w:rPr>
        <w:t>66 Pa. C.S. § 332(a).</w:t>
      </w:r>
      <w:r w:rsidRPr="004935C4">
        <w:rPr>
          <w:spacing w:val="-3"/>
          <w:sz w:val="24"/>
          <w:szCs w:val="24"/>
        </w:rPr>
        <w:t xml:space="preserve">  This must be shown by a preponderance of the evidence, which means that the party with the burden of proof has presented evidence that is more convincing than that presented by the other party.  </w:t>
      </w:r>
      <w:r w:rsidRPr="004935C4">
        <w:rPr>
          <w:i/>
          <w:spacing w:val="-3"/>
          <w:sz w:val="24"/>
          <w:szCs w:val="24"/>
        </w:rPr>
        <w:t>Samuel J. Lansberry, Inc. v. Pa. P.U.C</w:t>
      </w:r>
      <w:r w:rsidRPr="00336E2F">
        <w:rPr>
          <w:spacing w:val="-3"/>
          <w:sz w:val="24"/>
          <w:szCs w:val="24"/>
        </w:rPr>
        <w:t>.</w:t>
      </w:r>
      <w:r w:rsidRPr="004935C4">
        <w:rPr>
          <w:spacing w:val="-3"/>
          <w:sz w:val="24"/>
          <w:szCs w:val="24"/>
        </w:rPr>
        <w:t xml:space="preserve">, 578 A.2d 600 (1990), </w:t>
      </w:r>
      <w:r w:rsidRPr="004935C4">
        <w:rPr>
          <w:i/>
          <w:spacing w:val="-3"/>
          <w:sz w:val="24"/>
          <w:szCs w:val="24"/>
        </w:rPr>
        <w:t>alloc. den</w:t>
      </w:r>
      <w:r w:rsidRPr="004935C4">
        <w:rPr>
          <w:spacing w:val="-3"/>
          <w:sz w:val="24"/>
          <w:szCs w:val="24"/>
        </w:rPr>
        <w:t xml:space="preserve">., 602 A.2d 863 (1992).  Additionally, any finding of fact necessary to support the Commission’s adjudication must be based upon substantial evidence.  </w:t>
      </w:r>
      <w:r w:rsidRPr="004935C4">
        <w:rPr>
          <w:i/>
          <w:spacing w:val="-3"/>
          <w:sz w:val="24"/>
          <w:szCs w:val="24"/>
        </w:rPr>
        <w:t>Edan Transportation Corp. v. Pa. P.U.C.,</w:t>
      </w:r>
      <w:r w:rsidRPr="004935C4">
        <w:rPr>
          <w:spacing w:val="-3"/>
          <w:sz w:val="24"/>
          <w:szCs w:val="24"/>
        </w:rPr>
        <w:t xml:space="preserve"> 154 Pa. Commw. 21, 623 A.2d 6 (1993); </w:t>
      </w:r>
      <w:r w:rsidRPr="004935C4">
        <w:rPr>
          <w:i/>
          <w:spacing w:val="-3"/>
          <w:sz w:val="24"/>
          <w:szCs w:val="24"/>
        </w:rPr>
        <w:t>Mill v. Pa. P.U.C.</w:t>
      </w:r>
      <w:r w:rsidRPr="004935C4">
        <w:rPr>
          <w:spacing w:val="-3"/>
          <w:sz w:val="24"/>
          <w:szCs w:val="24"/>
        </w:rPr>
        <w:t xml:space="preserve">, 67 Pa. Commw. 597, 447 A.2d 1100 (1982); 2 Pa. C.S. §704.  More is required than a mere trace of evidence or a suspicion of the existence of a fact sought to be established.  </w:t>
      </w:r>
      <w:r w:rsidRPr="004935C4">
        <w:rPr>
          <w:i/>
          <w:spacing w:val="-3"/>
          <w:sz w:val="24"/>
          <w:szCs w:val="24"/>
        </w:rPr>
        <w:t>Murphy v. Department of Public Welfare, White Haven Center</w:t>
      </w:r>
      <w:r w:rsidRPr="004935C4">
        <w:rPr>
          <w:spacing w:val="-3"/>
          <w:sz w:val="24"/>
          <w:szCs w:val="24"/>
        </w:rPr>
        <w:t>, 85 Pa. Commw. 23, 480 A.2d 382 (1984).</w:t>
      </w:r>
    </w:p>
    <w:p w:rsidR="00F26BF1" w:rsidRPr="004935C4" w:rsidRDefault="00F26BF1" w:rsidP="00F26BF1">
      <w:pPr>
        <w:spacing w:line="360" w:lineRule="auto"/>
        <w:rPr>
          <w:spacing w:val="-3"/>
          <w:sz w:val="24"/>
          <w:szCs w:val="24"/>
        </w:rPr>
      </w:pPr>
    </w:p>
    <w:p w:rsidR="00231C94" w:rsidRDefault="00F26BF1" w:rsidP="00F26BF1">
      <w:pPr>
        <w:spacing w:line="360" w:lineRule="auto"/>
        <w:rPr>
          <w:iCs/>
          <w:spacing w:val="-3"/>
          <w:sz w:val="24"/>
          <w:szCs w:val="24"/>
        </w:rPr>
      </w:pPr>
      <w:r w:rsidRPr="004935C4">
        <w:rPr>
          <w:spacing w:val="-3"/>
          <w:sz w:val="24"/>
          <w:szCs w:val="24"/>
        </w:rPr>
        <w:tab/>
      </w:r>
      <w:r w:rsidRPr="004935C4">
        <w:rPr>
          <w:spacing w:val="-3"/>
          <w:sz w:val="24"/>
          <w:szCs w:val="24"/>
        </w:rPr>
        <w:tab/>
      </w:r>
      <w:r w:rsidR="00376778">
        <w:rPr>
          <w:iCs/>
          <w:spacing w:val="-3"/>
          <w:sz w:val="24"/>
          <w:szCs w:val="24"/>
        </w:rPr>
        <w:t xml:space="preserve">It is not disputed that the Complainant was evicted from </w:t>
      </w:r>
      <w:r w:rsidR="00376778" w:rsidRPr="00376778">
        <w:rPr>
          <w:iCs/>
          <w:spacing w:val="-3"/>
          <w:sz w:val="24"/>
          <w:szCs w:val="24"/>
        </w:rPr>
        <w:t>150 Fruitville Pike, 1</w:t>
      </w:r>
      <w:r w:rsidR="00376778" w:rsidRPr="00376778">
        <w:rPr>
          <w:iCs/>
          <w:spacing w:val="-3"/>
          <w:sz w:val="24"/>
          <w:szCs w:val="24"/>
          <w:vertAlign w:val="superscript"/>
        </w:rPr>
        <w:t>st</w:t>
      </w:r>
      <w:r w:rsidR="00376778" w:rsidRPr="00376778">
        <w:rPr>
          <w:iCs/>
          <w:spacing w:val="-3"/>
          <w:sz w:val="24"/>
          <w:szCs w:val="24"/>
        </w:rPr>
        <w:t xml:space="preserve"> Floor, Manheim, Pennsylvania, on February 27, 2007</w:t>
      </w:r>
      <w:r w:rsidR="00376778">
        <w:rPr>
          <w:iCs/>
          <w:spacing w:val="-3"/>
          <w:sz w:val="24"/>
          <w:szCs w:val="24"/>
        </w:rPr>
        <w:t>.  However, a</w:t>
      </w:r>
      <w:r w:rsidR="00EC0AB8">
        <w:rPr>
          <w:iCs/>
          <w:spacing w:val="-3"/>
          <w:sz w:val="24"/>
          <w:szCs w:val="24"/>
        </w:rPr>
        <w:t xml:space="preserve">t the </w:t>
      </w:r>
      <w:r w:rsidR="00231C94">
        <w:rPr>
          <w:iCs/>
          <w:spacing w:val="-3"/>
          <w:sz w:val="24"/>
          <w:szCs w:val="24"/>
        </w:rPr>
        <w:t>December 14, 2011</w:t>
      </w:r>
      <w:r w:rsidR="00EC0AB8">
        <w:rPr>
          <w:iCs/>
          <w:spacing w:val="-3"/>
          <w:sz w:val="24"/>
          <w:szCs w:val="24"/>
        </w:rPr>
        <w:t xml:space="preserve">, hearing in this matter, the Complainant </w:t>
      </w:r>
      <w:r w:rsidR="00231C94">
        <w:rPr>
          <w:iCs/>
          <w:spacing w:val="-3"/>
          <w:sz w:val="24"/>
          <w:szCs w:val="24"/>
        </w:rPr>
        <w:t>failed to produce any evidence that she had notified PPL of her eviction from the service address</w:t>
      </w:r>
      <w:r w:rsidR="005A03D1">
        <w:rPr>
          <w:iCs/>
          <w:spacing w:val="-3"/>
          <w:sz w:val="24"/>
          <w:szCs w:val="24"/>
        </w:rPr>
        <w:t>, or that she requested that responsibility for electric service at that address be transferred out of her name</w:t>
      </w:r>
      <w:r w:rsidR="00376778">
        <w:rPr>
          <w:iCs/>
          <w:spacing w:val="-3"/>
          <w:sz w:val="24"/>
          <w:szCs w:val="24"/>
        </w:rPr>
        <w:t xml:space="preserve"> prior to July 31, 2007</w:t>
      </w:r>
      <w:r w:rsidR="00231C94">
        <w:rPr>
          <w:iCs/>
          <w:spacing w:val="-3"/>
          <w:sz w:val="24"/>
          <w:szCs w:val="24"/>
        </w:rPr>
        <w:t>.  Consequently, the service remained in her name</w:t>
      </w:r>
      <w:r w:rsidR="005A03D1">
        <w:rPr>
          <w:iCs/>
          <w:spacing w:val="-3"/>
          <w:sz w:val="24"/>
          <w:szCs w:val="24"/>
        </w:rPr>
        <w:t>,</w:t>
      </w:r>
      <w:r w:rsidR="00231C94">
        <w:rPr>
          <w:iCs/>
          <w:spacing w:val="-3"/>
          <w:sz w:val="24"/>
          <w:szCs w:val="24"/>
        </w:rPr>
        <w:t xml:space="preserve"> and she is responsible for the arrearage created </w:t>
      </w:r>
      <w:r w:rsidR="007A78AE">
        <w:rPr>
          <w:iCs/>
          <w:spacing w:val="-3"/>
          <w:sz w:val="24"/>
          <w:szCs w:val="24"/>
        </w:rPr>
        <w:t xml:space="preserve">up to August 1, 2007, </w:t>
      </w:r>
      <w:r w:rsidR="00231C94">
        <w:rPr>
          <w:iCs/>
          <w:spacing w:val="-3"/>
          <w:sz w:val="24"/>
          <w:szCs w:val="24"/>
        </w:rPr>
        <w:t xml:space="preserve">which was subsequently rebilled to her at her current service address in Lancaster, Pennsylvania.  The Complainant did not offer </w:t>
      </w:r>
      <w:r w:rsidR="007A78AE">
        <w:rPr>
          <w:iCs/>
          <w:spacing w:val="-3"/>
          <w:sz w:val="24"/>
          <w:szCs w:val="24"/>
        </w:rPr>
        <w:t xml:space="preserve">any </w:t>
      </w:r>
      <w:r w:rsidR="00231C94">
        <w:rPr>
          <w:iCs/>
          <w:spacing w:val="-3"/>
          <w:sz w:val="24"/>
          <w:szCs w:val="24"/>
        </w:rPr>
        <w:t>evidence</w:t>
      </w:r>
      <w:r w:rsidR="005A03D1">
        <w:rPr>
          <w:iCs/>
          <w:spacing w:val="-3"/>
          <w:sz w:val="24"/>
          <w:szCs w:val="24"/>
        </w:rPr>
        <w:t>,</w:t>
      </w:r>
      <w:r w:rsidR="00231C94">
        <w:rPr>
          <w:iCs/>
          <w:spacing w:val="-3"/>
          <w:sz w:val="24"/>
          <w:szCs w:val="24"/>
        </w:rPr>
        <w:t xml:space="preserve"> or any argument based on the law</w:t>
      </w:r>
      <w:r w:rsidR="005A03D1">
        <w:rPr>
          <w:iCs/>
          <w:spacing w:val="-3"/>
          <w:sz w:val="24"/>
          <w:szCs w:val="24"/>
        </w:rPr>
        <w:t>,</w:t>
      </w:r>
      <w:r w:rsidR="00231C94">
        <w:rPr>
          <w:iCs/>
          <w:spacing w:val="-3"/>
          <w:sz w:val="24"/>
          <w:szCs w:val="24"/>
        </w:rPr>
        <w:t xml:space="preserve"> to demonstrate that she is not liable for the arrearage except to state that </w:t>
      </w:r>
      <w:r w:rsidR="007A78AE">
        <w:rPr>
          <w:iCs/>
          <w:spacing w:val="-3"/>
          <w:sz w:val="24"/>
          <w:szCs w:val="24"/>
        </w:rPr>
        <w:t xml:space="preserve">because </w:t>
      </w:r>
      <w:r w:rsidR="00231C94">
        <w:rPr>
          <w:iCs/>
          <w:spacing w:val="-3"/>
          <w:sz w:val="24"/>
          <w:szCs w:val="24"/>
        </w:rPr>
        <w:t>she</w:t>
      </w:r>
      <w:r w:rsidR="005A03D1">
        <w:rPr>
          <w:iCs/>
          <w:spacing w:val="-3"/>
          <w:sz w:val="24"/>
          <w:szCs w:val="24"/>
        </w:rPr>
        <w:t xml:space="preserve"> did not live at and</w:t>
      </w:r>
      <w:r w:rsidR="00231C94">
        <w:rPr>
          <w:iCs/>
          <w:spacing w:val="-3"/>
          <w:sz w:val="24"/>
          <w:szCs w:val="24"/>
        </w:rPr>
        <w:t xml:space="preserve"> had not used the </w:t>
      </w:r>
      <w:r w:rsidR="005A03D1">
        <w:rPr>
          <w:iCs/>
          <w:spacing w:val="-3"/>
          <w:sz w:val="24"/>
          <w:szCs w:val="24"/>
        </w:rPr>
        <w:t xml:space="preserve">electric </w:t>
      </w:r>
      <w:r w:rsidR="00231C94">
        <w:rPr>
          <w:iCs/>
          <w:spacing w:val="-3"/>
          <w:sz w:val="24"/>
          <w:szCs w:val="24"/>
        </w:rPr>
        <w:t xml:space="preserve">service </w:t>
      </w:r>
      <w:r w:rsidR="005E7EFE" w:rsidRPr="005E7EFE">
        <w:rPr>
          <w:iCs/>
          <w:spacing w:val="-3"/>
          <w:sz w:val="24"/>
          <w:szCs w:val="24"/>
        </w:rPr>
        <w:t>at 150 Fruitville Pike, 1</w:t>
      </w:r>
      <w:r w:rsidR="005E7EFE" w:rsidRPr="005E7EFE">
        <w:rPr>
          <w:iCs/>
          <w:spacing w:val="-3"/>
          <w:sz w:val="24"/>
          <w:szCs w:val="24"/>
          <w:vertAlign w:val="superscript"/>
        </w:rPr>
        <w:t>st</w:t>
      </w:r>
      <w:r w:rsidR="005E7EFE" w:rsidRPr="005E7EFE">
        <w:rPr>
          <w:iCs/>
          <w:spacing w:val="-3"/>
          <w:sz w:val="24"/>
          <w:szCs w:val="24"/>
        </w:rPr>
        <w:t xml:space="preserve"> Floor, Manheim, Pennsylvania</w:t>
      </w:r>
      <w:r w:rsidR="005E7EFE">
        <w:rPr>
          <w:iCs/>
          <w:spacing w:val="-3"/>
          <w:sz w:val="24"/>
          <w:szCs w:val="24"/>
        </w:rPr>
        <w:t>,</w:t>
      </w:r>
      <w:r w:rsidR="005E7EFE" w:rsidRPr="005E7EFE">
        <w:rPr>
          <w:iCs/>
          <w:spacing w:val="-3"/>
          <w:sz w:val="24"/>
          <w:szCs w:val="24"/>
        </w:rPr>
        <w:t xml:space="preserve"> </w:t>
      </w:r>
      <w:r w:rsidR="00231C94">
        <w:rPr>
          <w:iCs/>
          <w:spacing w:val="-3"/>
          <w:sz w:val="24"/>
          <w:szCs w:val="24"/>
        </w:rPr>
        <w:t>after February 27, 2007, she should not be responsible for paying for that service.</w:t>
      </w:r>
    </w:p>
    <w:p w:rsidR="005E7EFE" w:rsidRDefault="005E7EFE" w:rsidP="00F26BF1">
      <w:pPr>
        <w:spacing w:line="360" w:lineRule="auto"/>
        <w:rPr>
          <w:iCs/>
          <w:spacing w:val="-3"/>
          <w:sz w:val="24"/>
          <w:szCs w:val="24"/>
        </w:rPr>
      </w:pPr>
    </w:p>
    <w:p w:rsidR="005E7EFE" w:rsidRPr="005E7EFE" w:rsidRDefault="005E7EFE" w:rsidP="005E7EFE">
      <w:pPr>
        <w:spacing w:line="360" w:lineRule="auto"/>
        <w:rPr>
          <w:iCs/>
          <w:spacing w:val="-3"/>
          <w:sz w:val="24"/>
          <w:szCs w:val="24"/>
        </w:rPr>
      </w:pPr>
      <w:r>
        <w:rPr>
          <w:iCs/>
          <w:spacing w:val="-3"/>
          <w:sz w:val="24"/>
          <w:szCs w:val="24"/>
        </w:rPr>
        <w:tab/>
      </w:r>
      <w:r>
        <w:rPr>
          <w:iCs/>
          <w:spacing w:val="-3"/>
          <w:sz w:val="24"/>
          <w:szCs w:val="24"/>
        </w:rPr>
        <w:tab/>
      </w:r>
      <w:r w:rsidRPr="005E7EFE">
        <w:rPr>
          <w:iCs/>
          <w:spacing w:val="-3"/>
          <w:sz w:val="24"/>
          <w:szCs w:val="24"/>
        </w:rPr>
        <w:t xml:space="preserve">A jurisdictional public utility, such as </w:t>
      </w:r>
      <w:r>
        <w:rPr>
          <w:iCs/>
          <w:spacing w:val="-3"/>
          <w:sz w:val="24"/>
          <w:szCs w:val="24"/>
        </w:rPr>
        <w:t>PPL</w:t>
      </w:r>
      <w:r w:rsidRPr="005E7EFE">
        <w:rPr>
          <w:iCs/>
          <w:spacing w:val="-3"/>
          <w:sz w:val="24"/>
          <w:szCs w:val="24"/>
        </w:rPr>
        <w:t xml:space="preserve">, has a duty to provide reasonable, adequate, efficient, and safe utility service. 66 Pa. C.S. § 1501. </w:t>
      </w:r>
      <w:r>
        <w:rPr>
          <w:iCs/>
          <w:spacing w:val="-3"/>
          <w:sz w:val="24"/>
          <w:szCs w:val="24"/>
        </w:rPr>
        <w:t xml:space="preserve"> </w:t>
      </w:r>
      <w:r w:rsidRPr="005E7EFE">
        <w:rPr>
          <w:iCs/>
          <w:spacing w:val="-3"/>
          <w:sz w:val="24"/>
          <w:szCs w:val="24"/>
        </w:rPr>
        <w:t>A utility's practices, including billing, collections, and service termination or denial practices, are part of utility service and must, therefore, be reasonable, adequate, efficient, and safe or promote such service.</w:t>
      </w:r>
    </w:p>
    <w:p w:rsidR="005E7EFE" w:rsidRPr="005E7EFE" w:rsidRDefault="005E7EFE" w:rsidP="005E7EFE">
      <w:pPr>
        <w:spacing w:line="360" w:lineRule="auto"/>
        <w:rPr>
          <w:iCs/>
          <w:spacing w:val="-3"/>
          <w:sz w:val="24"/>
          <w:szCs w:val="24"/>
        </w:rPr>
      </w:pPr>
    </w:p>
    <w:p w:rsidR="005E7EFE" w:rsidRPr="005E7EFE" w:rsidRDefault="005E7EFE" w:rsidP="005E7EFE">
      <w:pPr>
        <w:spacing w:line="360" w:lineRule="auto"/>
        <w:rPr>
          <w:iCs/>
          <w:spacing w:val="-3"/>
          <w:sz w:val="24"/>
          <w:szCs w:val="24"/>
        </w:rPr>
      </w:pPr>
      <w:r>
        <w:rPr>
          <w:iCs/>
          <w:spacing w:val="-3"/>
          <w:sz w:val="24"/>
          <w:szCs w:val="24"/>
        </w:rPr>
        <w:tab/>
      </w:r>
      <w:r>
        <w:rPr>
          <w:iCs/>
          <w:spacing w:val="-3"/>
          <w:sz w:val="24"/>
          <w:szCs w:val="24"/>
        </w:rPr>
        <w:tab/>
      </w:r>
      <w:r w:rsidRPr="005E7EFE">
        <w:rPr>
          <w:iCs/>
          <w:spacing w:val="-3"/>
          <w:sz w:val="24"/>
          <w:szCs w:val="24"/>
        </w:rPr>
        <w:t xml:space="preserve">A complainant who alleges that a utility has failed to provide reasonable, adequate, safe, and efficient service, pursuant to Section 701 of the Public Utility Code, incurs the burden of proving by a preponderance of </w:t>
      </w:r>
      <w:r w:rsidR="007A78AE">
        <w:rPr>
          <w:iCs/>
          <w:spacing w:val="-3"/>
          <w:sz w:val="24"/>
          <w:szCs w:val="24"/>
        </w:rPr>
        <w:t>the</w:t>
      </w:r>
      <w:r w:rsidRPr="005E7EFE">
        <w:rPr>
          <w:iCs/>
          <w:spacing w:val="-3"/>
          <w:sz w:val="24"/>
          <w:szCs w:val="24"/>
        </w:rPr>
        <w:t xml:space="preserve"> evidence adduced at hearing that the utility has failed to discharge its statutory duties. </w:t>
      </w:r>
      <w:r>
        <w:rPr>
          <w:iCs/>
          <w:spacing w:val="-3"/>
          <w:sz w:val="24"/>
          <w:szCs w:val="24"/>
        </w:rPr>
        <w:t xml:space="preserve"> </w:t>
      </w:r>
      <w:r w:rsidRPr="005E7EFE">
        <w:rPr>
          <w:iCs/>
          <w:spacing w:val="-3"/>
          <w:sz w:val="24"/>
          <w:szCs w:val="24"/>
        </w:rPr>
        <w:t xml:space="preserve">66 Pa. C.S. § 332(a). </w:t>
      </w:r>
      <w:r>
        <w:rPr>
          <w:iCs/>
          <w:spacing w:val="-3"/>
          <w:sz w:val="24"/>
          <w:szCs w:val="24"/>
        </w:rPr>
        <w:t xml:space="preserve"> </w:t>
      </w:r>
      <w:r w:rsidRPr="005E7EFE">
        <w:rPr>
          <w:i/>
          <w:iCs/>
          <w:spacing w:val="-3"/>
          <w:sz w:val="24"/>
          <w:szCs w:val="24"/>
        </w:rPr>
        <w:t>National Retail Transportation, Inc. v. Pennsylvania Public Utility Commission</w:t>
      </w:r>
      <w:r w:rsidRPr="005E7EFE">
        <w:rPr>
          <w:iCs/>
          <w:spacing w:val="-3"/>
          <w:sz w:val="24"/>
          <w:szCs w:val="24"/>
        </w:rPr>
        <w:t xml:space="preserve">, 109 Pa. Commonwealth Ct. 72, 530 A.2d 987 (1987); </w:t>
      </w:r>
      <w:r w:rsidRPr="005E7EFE">
        <w:rPr>
          <w:i/>
          <w:iCs/>
          <w:spacing w:val="-3"/>
          <w:sz w:val="24"/>
          <w:szCs w:val="24"/>
        </w:rPr>
        <w:t>Norfolk &amp; Western Railway Co. v. Pennsylvania Public Utility Commission</w:t>
      </w:r>
      <w:r w:rsidRPr="005E7EFE">
        <w:rPr>
          <w:iCs/>
          <w:spacing w:val="-3"/>
          <w:sz w:val="24"/>
          <w:szCs w:val="24"/>
        </w:rPr>
        <w:t xml:space="preserve">, 489 Pa. 109, 413 A.2d 1037 (1980); </w:t>
      </w:r>
      <w:r w:rsidRPr="005E7EFE">
        <w:rPr>
          <w:i/>
          <w:iCs/>
          <w:spacing w:val="-3"/>
          <w:sz w:val="24"/>
          <w:szCs w:val="24"/>
        </w:rPr>
        <w:t>Erie Resistor Corp. v. Unemployment Comp. Bd. of Review</w:t>
      </w:r>
      <w:r w:rsidRPr="005E7EFE">
        <w:rPr>
          <w:iCs/>
          <w:spacing w:val="-3"/>
          <w:sz w:val="24"/>
          <w:szCs w:val="24"/>
        </w:rPr>
        <w:t xml:space="preserve">, 194 Pa. Superior Ct. 278, 166 A.2d 96 (1961); </w:t>
      </w:r>
      <w:r w:rsidRPr="005E7EFE">
        <w:rPr>
          <w:i/>
          <w:iCs/>
          <w:spacing w:val="-3"/>
          <w:sz w:val="24"/>
          <w:szCs w:val="24"/>
        </w:rPr>
        <w:t>Murphy v. Comm., Dept. of Public Welfare, White Haven Center</w:t>
      </w:r>
      <w:r w:rsidRPr="005E7EFE">
        <w:rPr>
          <w:iCs/>
          <w:spacing w:val="-3"/>
          <w:sz w:val="24"/>
          <w:szCs w:val="24"/>
        </w:rPr>
        <w:t xml:space="preserve">, 85 Pa. Commonwealth Ct. 23, 480 A.2d 382 (1984); </w:t>
      </w:r>
      <w:r w:rsidRPr="005E7EFE">
        <w:rPr>
          <w:i/>
          <w:iCs/>
          <w:spacing w:val="-3"/>
          <w:sz w:val="24"/>
          <w:szCs w:val="24"/>
        </w:rPr>
        <w:t>Pa. P.U.C. v. Equitable-Gas Energy Company</w:t>
      </w:r>
      <w:r w:rsidRPr="005E7EFE">
        <w:rPr>
          <w:iCs/>
          <w:spacing w:val="-3"/>
          <w:sz w:val="24"/>
          <w:szCs w:val="24"/>
        </w:rPr>
        <w:t xml:space="preserve">, 68 Pa. P.U.C. 438 (1988); </w:t>
      </w:r>
      <w:r w:rsidRPr="005E7EFE">
        <w:rPr>
          <w:i/>
          <w:iCs/>
          <w:spacing w:val="-3"/>
          <w:sz w:val="24"/>
          <w:szCs w:val="24"/>
        </w:rPr>
        <w:t>North American Coal Corp. v. Commonwealth</w:t>
      </w:r>
      <w:r w:rsidRPr="005E7EFE">
        <w:rPr>
          <w:iCs/>
          <w:spacing w:val="-3"/>
          <w:sz w:val="24"/>
          <w:szCs w:val="24"/>
        </w:rPr>
        <w:t xml:space="preserve">, 2 Pa. Commonwealth Ct. 469, 279 A.2d 356 (1971); </w:t>
      </w:r>
      <w:r w:rsidRPr="005E7EFE">
        <w:rPr>
          <w:i/>
          <w:iCs/>
          <w:spacing w:val="-3"/>
          <w:sz w:val="24"/>
          <w:szCs w:val="24"/>
        </w:rPr>
        <w:t>Se-Ling Hosiery v. Margulies</w:t>
      </w:r>
      <w:r w:rsidRPr="005E7EFE">
        <w:rPr>
          <w:iCs/>
          <w:spacing w:val="-3"/>
          <w:sz w:val="24"/>
          <w:szCs w:val="24"/>
        </w:rPr>
        <w:t>, 364 Pa. 45, 70 A.2d 854 (1950).</w:t>
      </w:r>
    </w:p>
    <w:p w:rsidR="005E7EFE" w:rsidRPr="005E7EFE" w:rsidRDefault="005E7EFE" w:rsidP="005E7EFE">
      <w:pPr>
        <w:spacing w:line="360" w:lineRule="auto"/>
        <w:rPr>
          <w:iCs/>
          <w:spacing w:val="-3"/>
          <w:sz w:val="24"/>
          <w:szCs w:val="24"/>
        </w:rPr>
      </w:pPr>
    </w:p>
    <w:p w:rsidR="005E7EFE" w:rsidRDefault="005E7EFE" w:rsidP="005E7EFE">
      <w:pPr>
        <w:spacing w:line="360" w:lineRule="auto"/>
        <w:rPr>
          <w:iCs/>
          <w:spacing w:val="-3"/>
          <w:sz w:val="24"/>
          <w:szCs w:val="24"/>
        </w:rPr>
      </w:pPr>
      <w:r>
        <w:rPr>
          <w:iCs/>
          <w:spacing w:val="-3"/>
          <w:sz w:val="24"/>
          <w:szCs w:val="24"/>
        </w:rPr>
        <w:tab/>
      </w:r>
      <w:r>
        <w:rPr>
          <w:iCs/>
          <w:spacing w:val="-3"/>
          <w:sz w:val="24"/>
          <w:szCs w:val="24"/>
        </w:rPr>
        <w:tab/>
      </w:r>
      <w:r w:rsidRPr="005E7EFE">
        <w:rPr>
          <w:iCs/>
          <w:spacing w:val="-3"/>
          <w:sz w:val="24"/>
          <w:szCs w:val="24"/>
        </w:rPr>
        <w:t xml:space="preserve">In general, in order to prevail on a complaint, an interested person, such as the Complainant herein, must demonstrate, according to statutory law and case law criteria, that the respondent utility has violated a "law which the commission has jurisdiction to administer" or violated a "regulation or order of the commission." 66 Pa. C.S. § 701. </w:t>
      </w:r>
      <w:r>
        <w:rPr>
          <w:iCs/>
          <w:spacing w:val="-3"/>
          <w:sz w:val="24"/>
          <w:szCs w:val="24"/>
        </w:rPr>
        <w:t xml:space="preserve"> </w:t>
      </w:r>
      <w:r w:rsidR="005A03D1">
        <w:rPr>
          <w:iCs/>
          <w:spacing w:val="-3"/>
          <w:sz w:val="24"/>
          <w:szCs w:val="24"/>
        </w:rPr>
        <w:t>Again, t</w:t>
      </w:r>
      <w:r w:rsidRPr="005E7EFE">
        <w:rPr>
          <w:iCs/>
          <w:spacing w:val="-3"/>
          <w:sz w:val="24"/>
          <w:szCs w:val="24"/>
        </w:rPr>
        <w:t xml:space="preserve">he Public Utility Code, at 66 Pa. C.S. § 332(a), places the burden of proof upon any proponent of a rule or, otherwise, as here relevant, upon the person seeking affirmative relief from the Commission. </w:t>
      </w:r>
      <w:r>
        <w:rPr>
          <w:iCs/>
          <w:spacing w:val="-3"/>
          <w:sz w:val="24"/>
          <w:szCs w:val="24"/>
        </w:rPr>
        <w:t xml:space="preserve"> </w:t>
      </w:r>
      <w:r w:rsidRPr="005E7EFE">
        <w:rPr>
          <w:iCs/>
          <w:spacing w:val="-3"/>
          <w:sz w:val="24"/>
          <w:szCs w:val="24"/>
        </w:rPr>
        <w:t xml:space="preserve">As a party seeking relief from the Commission, the Complainant bears the burden of proof regarding issues raised by the </w:t>
      </w:r>
      <w:r>
        <w:rPr>
          <w:iCs/>
          <w:spacing w:val="-3"/>
          <w:sz w:val="24"/>
          <w:szCs w:val="24"/>
        </w:rPr>
        <w:t>C</w:t>
      </w:r>
      <w:r w:rsidRPr="005E7EFE">
        <w:rPr>
          <w:iCs/>
          <w:spacing w:val="-3"/>
          <w:sz w:val="24"/>
          <w:szCs w:val="24"/>
        </w:rPr>
        <w:t xml:space="preserve">omplaint, that is, whether the Complainant should be held responsible for the </w:t>
      </w:r>
      <w:r w:rsidR="005A03D1">
        <w:rPr>
          <w:iCs/>
          <w:spacing w:val="-3"/>
          <w:sz w:val="24"/>
          <w:szCs w:val="24"/>
        </w:rPr>
        <w:t xml:space="preserve">transferred arrearage </w:t>
      </w:r>
      <w:r>
        <w:rPr>
          <w:iCs/>
          <w:spacing w:val="-3"/>
          <w:sz w:val="24"/>
          <w:szCs w:val="24"/>
        </w:rPr>
        <w:t>for electric service</w:t>
      </w:r>
      <w:r w:rsidRPr="005E7EFE">
        <w:rPr>
          <w:iCs/>
          <w:spacing w:val="-3"/>
          <w:sz w:val="24"/>
          <w:szCs w:val="24"/>
        </w:rPr>
        <w:t xml:space="preserve"> at</w:t>
      </w:r>
      <w:r>
        <w:rPr>
          <w:iCs/>
          <w:spacing w:val="-3"/>
          <w:sz w:val="24"/>
          <w:szCs w:val="24"/>
        </w:rPr>
        <w:t xml:space="preserve"> </w:t>
      </w:r>
      <w:r w:rsidRPr="005E7EFE">
        <w:rPr>
          <w:iCs/>
          <w:spacing w:val="-3"/>
          <w:sz w:val="24"/>
          <w:szCs w:val="24"/>
        </w:rPr>
        <w:t>150 Fruitville Pike, 1</w:t>
      </w:r>
      <w:r w:rsidRPr="005E7EFE">
        <w:rPr>
          <w:iCs/>
          <w:spacing w:val="-3"/>
          <w:sz w:val="24"/>
          <w:szCs w:val="24"/>
          <w:vertAlign w:val="superscript"/>
        </w:rPr>
        <w:t>st</w:t>
      </w:r>
      <w:r w:rsidRPr="005E7EFE">
        <w:rPr>
          <w:iCs/>
          <w:spacing w:val="-3"/>
          <w:sz w:val="24"/>
          <w:szCs w:val="24"/>
        </w:rPr>
        <w:t xml:space="preserve"> Floor, Manheim, Pennsylvania</w:t>
      </w:r>
      <w:r w:rsidR="005A03D1">
        <w:rPr>
          <w:iCs/>
          <w:spacing w:val="-3"/>
          <w:sz w:val="24"/>
          <w:szCs w:val="24"/>
        </w:rPr>
        <w:t>, up to August 1, 2007</w:t>
      </w:r>
      <w:r>
        <w:rPr>
          <w:iCs/>
          <w:spacing w:val="-3"/>
          <w:sz w:val="24"/>
          <w:szCs w:val="24"/>
        </w:rPr>
        <w:t>.</w:t>
      </w:r>
      <w:r w:rsidR="005A03D1">
        <w:rPr>
          <w:iCs/>
          <w:spacing w:val="-3"/>
          <w:sz w:val="24"/>
          <w:szCs w:val="24"/>
        </w:rPr>
        <w:t xml:space="preserve">  The Complainant has not met that burden.</w:t>
      </w:r>
    </w:p>
    <w:p w:rsidR="005E7EFE" w:rsidRDefault="005E7EFE" w:rsidP="00F26BF1">
      <w:pPr>
        <w:spacing w:line="360" w:lineRule="auto"/>
        <w:rPr>
          <w:iCs/>
          <w:spacing w:val="-3"/>
          <w:sz w:val="24"/>
          <w:szCs w:val="24"/>
        </w:rPr>
      </w:pPr>
    </w:p>
    <w:p w:rsidR="00A84424" w:rsidRDefault="007A78AE" w:rsidP="00F26BF1">
      <w:pPr>
        <w:spacing w:line="360" w:lineRule="auto"/>
        <w:rPr>
          <w:iCs/>
          <w:spacing w:val="-3"/>
          <w:sz w:val="24"/>
          <w:szCs w:val="24"/>
        </w:rPr>
      </w:pPr>
      <w:r>
        <w:rPr>
          <w:iCs/>
          <w:spacing w:val="-3"/>
          <w:sz w:val="24"/>
          <w:szCs w:val="24"/>
        </w:rPr>
        <w:tab/>
      </w:r>
      <w:r>
        <w:rPr>
          <w:iCs/>
          <w:spacing w:val="-3"/>
          <w:sz w:val="24"/>
          <w:szCs w:val="24"/>
        </w:rPr>
        <w:tab/>
      </w:r>
      <w:r w:rsidR="005A03D1">
        <w:rPr>
          <w:iCs/>
          <w:spacing w:val="-3"/>
          <w:sz w:val="24"/>
          <w:szCs w:val="24"/>
        </w:rPr>
        <w:t>Further, u</w:t>
      </w:r>
      <w:r w:rsidR="00A84424">
        <w:rPr>
          <w:iCs/>
          <w:spacing w:val="-3"/>
          <w:sz w:val="24"/>
          <w:szCs w:val="24"/>
        </w:rPr>
        <w:t xml:space="preserve">nder the Commission’s regulations in Chapter 56 of the Pennsylvania Code, PPL acted properly in this matter in transferring the outstanding balance for service </w:t>
      </w:r>
      <w:r w:rsidR="00A84424" w:rsidRPr="00A84424">
        <w:rPr>
          <w:iCs/>
          <w:spacing w:val="-3"/>
          <w:sz w:val="24"/>
          <w:szCs w:val="24"/>
        </w:rPr>
        <w:t>at 150 Fruitville Pike, 1</w:t>
      </w:r>
      <w:r w:rsidR="00A84424">
        <w:rPr>
          <w:iCs/>
          <w:spacing w:val="-3"/>
          <w:sz w:val="24"/>
          <w:szCs w:val="24"/>
        </w:rPr>
        <w:t xml:space="preserve">st Floor, Manheim, Pennsylvania, to Complainant’s new account at </w:t>
      </w:r>
      <w:r w:rsidR="00A84424" w:rsidRPr="00A84424">
        <w:rPr>
          <w:iCs/>
          <w:spacing w:val="-3"/>
          <w:sz w:val="24"/>
          <w:szCs w:val="24"/>
        </w:rPr>
        <w:t>318 North Duke Street, Apartment 6, Lancaster, Pennsylvania</w:t>
      </w:r>
      <w:r w:rsidR="00A84424">
        <w:rPr>
          <w:iCs/>
          <w:spacing w:val="-3"/>
          <w:sz w:val="24"/>
          <w:szCs w:val="24"/>
        </w:rPr>
        <w:t xml:space="preserve">.  Specifically, the Commission’s regulation at 52 Pa. Code </w:t>
      </w:r>
    </w:p>
    <w:p w:rsidR="00A84424" w:rsidRDefault="00A84424" w:rsidP="00F26BF1">
      <w:pPr>
        <w:spacing w:line="360" w:lineRule="auto"/>
        <w:rPr>
          <w:iCs/>
          <w:spacing w:val="-3"/>
          <w:sz w:val="24"/>
          <w:szCs w:val="24"/>
        </w:rPr>
      </w:pPr>
      <w:r>
        <w:rPr>
          <w:iCs/>
          <w:spacing w:val="-3"/>
          <w:sz w:val="24"/>
          <w:szCs w:val="24"/>
        </w:rPr>
        <w:t>§ 56.16 is applicable to this case and states, in pertinent part:</w:t>
      </w:r>
    </w:p>
    <w:p w:rsidR="00A84424" w:rsidRDefault="00A84424" w:rsidP="00F26BF1">
      <w:pPr>
        <w:spacing w:line="360" w:lineRule="auto"/>
        <w:rPr>
          <w:iCs/>
          <w:spacing w:val="-3"/>
          <w:sz w:val="24"/>
          <w:szCs w:val="24"/>
        </w:rPr>
      </w:pPr>
    </w:p>
    <w:p w:rsidR="00A84424" w:rsidRPr="00A84424" w:rsidRDefault="00A84424" w:rsidP="00A84424">
      <w:pPr>
        <w:spacing w:beforeAutospacing="1" w:after="100" w:afterAutospacing="1"/>
        <w:outlineLvl w:val="3"/>
        <w:rPr>
          <w:b/>
          <w:bCs/>
          <w:sz w:val="24"/>
          <w:szCs w:val="24"/>
        </w:rPr>
      </w:pPr>
      <w:bookmarkStart w:id="0" w:name="56.16."/>
      <w:r>
        <w:rPr>
          <w:b/>
          <w:bCs/>
          <w:sz w:val="27"/>
          <w:szCs w:val="27"/>
        </w:rPr>
        <w:tab/>
      </w:r>
      <w:r>
        <w:rPr>
          <w:b/>
          <w:bCs/>
          <w:sz w:val="27"/>
          <w:szCs w:val="27"/>
        </w:rPr>
        <w:tab/>
      </w:r>
      <w:r w:rsidRPr="00A84424">
        <w:rPr>
          <w:b/>
          <w:bCs/>
          <w:sz w:val="27"/>
          <w:szCs w:val="27"/>
        </w:rPr>
        <w:t>§ 56.16. </w:t>
      </w:r>
      <w:r w:rsidRPr="00A84424">
        <w:rPr>
          <w:b/>
          <w:bCs/>
          <w:sz w:val="24"/>
          <w:szCs w:val="24"/>
        </w:rPr>
        <w:t>Tran</w:t>
      </w:r>
      <w:r>
        <w:rPr>
          <w:b/>
          <w:bCs/>
          <w:sz w:val="24"/>
          <w:szCs w:val="24"/>
        </w:rPr>
        <w:t>s</w:t>
      </w:r>
      <w:r w:rsidRPr="00A84424">
        <w:rPr>
          <w:b/>
          <w:bCs/>
          <w:sz w:val="24"/>
          <w:szCs w:val="24"/>
        </w:rPr>
        <w:t>fer of accounts.</w:t>
      </w:r>
    </w:p>
    <w:p w:rsidR="00A84424" w:rsidRDefault="00A84424" w:rsidP="00A84424">
      <w:pPr>
        <w:spacing w:before="100" w:beforeAutospacing="1" w:after="100" w:afterAutospacing="1"/>
        <w:ind w:left="1440" w:right="1188"/>
        <w:rPr>
          <w:sz w:val="24"/>
          <w:szCs w:val="24"/>
        </w:rPr>
      </w:pPr>
      <w:r w:rsidRPr="00A84424">
        <w:rPr>
          <w:sz w:val="24"/>
          <w:szCs w:val="24"/>
        </w:rPr>
        <w:t xml:space="preserve"> (a)  A customer who is about to vacate premises supplied with public utility service or who wishes to have service discontinued shall give at least 7 days notice to the public utility and a noncustomer occupant, specifying the date on which it is desired that service be discontinued. In the absence of a notice, the customer shall be responsible for services rendered. </w:t>
      </w:r>
    </w:p>
    <w:p w:rsidR="00A84424" w:rsidRPr="00A84424" w:rsidRDefault="00A84424" w:rsidP="00A84424">
      <w:pPr>
        <w:spacing w:before="100" w:beforeAutospacing="1" w:after="100" w:afterAutospacing="1"/>
        <w:ind w:left="1440" w:right="1188"/>
        <w:jc w:val="center"/>
        <w:rPr>
          <w:sz w:val="24"/>
          <w:szCs w:val="24"/>
        </w:rPr>
      </w:pPr>
      <w:r>
        <w:rPr>
          <w:sz w:val="24"/>
          <w:szCs w:val="24"/>
        </w:rPr>
        <w:t>*</w:t>
      </w:r>
      <w:r>
        <w:rPr>
          <w:sz w:val="24"/>
          <w:szCs w:val="24"/>
        </w:rPr>
        <w:tab/>
        <w:t>*</w:t>
      </w:r>
      <w:r>
        <w:rPr>
          <w:sz w:val="24"/>
          <w:szCs w:val="24"/>
        </w:rPr>
        <w:tab/>
        <w:t>*</w:t>
      </w:r>
    </w:p>
    <w:p w:rsidR="00A84424" w:rsidRPr="00A84424" w:rsidRDefault="00A84424" w:rsidP="00A84424">
      <w:pPr>
        <w:spacing w:before="100" w:beforeAutospacing="1" w:afterAutospacing="1"/>
        <w:ind w:left="1440" w:right="1188"/>
        <w:rPr>
          <w:sz w:val="24"/>
          <w:szCs w:val="24"/>
        </w:rPr>
      </w:pPr>
      <w:r w:rsidRPr="00A84424">
        <w:rPr>
          <w:sz w:val="24"/>
          <w:szCs w:val="24"/>
        </w:rPr>
        <w:t xml:space="preserve"> (b)  In the event of discontinuance or termination of service at a residence or dwelling in accordance with this chapter, a public utility may transfer an unpaid balance to a new residential service account of the same customer. </w:t>
      </w:r>
    </w:p>
    <w:bookmarkEnd w:id="0"/>
    <w:p w:rsidR="00A84424" w:rsidRDefault="00A84424" w:rsidP="00F26BF1">
      <w:pPr>
        <w:spacing w:line="360" w:lineRule="auto"/>
        <w:rPr>
          <w:iCs/>
          <w:spacing w:val="-3"/>
          <w:sz w:val="24"/>
          <w:szCs w:val="24"/>
        </w:rPr>
      </w:pPr>
    </w:p>
    <w:p w:rsidR="00A84424" w:rsidRDefault="00A84424" w:rsidP="00A84424">
      <w:pPr>
        <w:spacing w:line="360" w:lineRule="auto"/>
        <w:rPr>
          <w:iCs/>
          <w:spacing w:val="-3"/>
          <w:sz w:val="24"/>
          <w:szCs w:val="24"/>
        </w:rPr>
      </w:pPr>
      <w:r>
        <w:rPr>
          <w:iCs/>
          <w:spacing w:val="-3"/>
          <w:sz w:val="24"/>
          <w:szCs w:val="24"/>
        </w:rPr>
        <w:tab/>
      </w:r>
      <w:r>
        <w:rPr>
          <w:iCs/>
          <w:spacing w:val="-3"/>
          <w:sz w:val="24"/>
          <w:szCs w:val="24"/>
        </w:rPr>
        <w:tab/>
      </w:r>
      <w:r w:rsidR="005A03D1">
        <w:rPr>
          <w:iCs/>
          <w:spacing w:val="-3"/>
          <w:sz w:val="24"/>
          <w:szCs w:val="24"/>
        </w:rPr>
        <w:t>In sum, t</w:t>
      </w:r>
      <w:r w:rsidRPr="007A78AE">
        <w:rPr>
          <w:iCs/>
          <w:spacing w:val="-3"/>
          <w:sz w:val="24"/>
          <w:szCs w:val="24"/>
        </w:rPr>
        <w:t xml:space="preserve">he Complainant </w:t>
      </w:r>
      <w:r>
        <w:rPr>
          <w:iCs/>
          <w:spacing w:val="-3"/>
          <w:sz w:val="24"/>
          <w:szCs w:val="24"/>
        </w:rPr>
        <w:t>failed to contact PPL on or after February 27, 2007, and to notify PPL of her eviction and did not ask that billing at the service address</w:t>
      </w:r>
      <w:r w:rsidR="005A03D1">
        <w:rPr>
          <w:iCs/>
          <w:spacing w:val="-3"/>
          <w:sz w:val="24"/>
          <w:szCs w:val="24"/>
        </w:rPr>
        <w:t xml:space="preserve"> in her name</w:t>
      </w:r>
      <w:r>
        <w:rPr>
          <w:iCs/>
          <w:spacing w:val="-3"/>
          <w:sz w:val="24"/>
          <w:szCs w:val="24"/>
        </w:rPr>
        <w:t xml:space="preserve"> be discontinued</w:t>
      </w:r>
      <w:r w:rsidR="00231D99">
        <w:rPr>
          <w:iCs/>
          <w:spacing w:val="-3"/>
          <w:sz w:val="24"/>
          <w:szCs w:val="24"/>
        </w:rPr>
        <w:t>,</w:t>
      </w:r>
      <w:r w:rsidR="00C83AD1">
        <w:rPr>
          <w:iCs/>
          <w:spacing w:val="-3"/>
          <w:sz w:val="24"/>
          <w:szCs w:val="24"/>
        </w:rPr>
        <w:t xml:space="preserve"> until July 31, 2007</w:t>
      </w:r>
      <w:r>
        <w:rPr>
          <w:iCs/>
          <w:spacing w:val="-3"/>
          <w:sz w:val="24"/>
          <w:szCs w:val="24"/>
        </w:rPr>
        <w:t xml:space="preserve">.  The Complainant </w:t>
      </w:r>
      <w:r w:rsidRPr="007A78AE">
        <w:rPr>
          <w:iCs/>
          <w:spacing w:val="-3"/>
          <w:sz w:val="24"/>
          <w:szCs w:val="24"/>
        </w:rPr>
        <w:t xml:space="preserve">has failed to demonstrate by a preponderance of </w:t>
      </w:r>
      <w:r>
        <w:rPr>
          <w:iCs/>
          <w:spacing w:val="-3"/>
          <w:sz w:val="24"/>
          <w:szCs w:val="24"/>
        </w:rPr>
        <w:t>the</w:t>
      </w:r>
      <w:r w:rsidRPr="007A78AE">
        <w:rPr>
          <w:iCs/>
          <w:spacing w:val="-3"/>
          <w:sz w:val="24"/>
          <w:szCs w:val="24"/>
        </w:rPr>
        <w:t xml:space="preserve"> evidence that she should not be held financially responsible for the final bill relating to</w:t>
      </w:r>
      <w:r w:rsidRPr="007A78AE">
        <w:t xml:space="preserve"> </w:t>
      </w:r>
      <w:r w:rsidRPr="007A78AE">
        <w:rPr>
          <w:iCs/>
          <w:spacing w:val="-3"/>
          <w:sz w:val="24"/>
          <w:szCs w:val="24"/>
        </w:rPr>
        <w:t>electric service at 150 Fruitville Pike, 1st Floor, Manheim, Pennsylvania</w:t>
      </w:r>
      <w:r w:rsidR="005A03D1">
        <w:rPr>
          <w:iCs/>
          <w:spacing w:val="-3"/>
          <w:sz w:val="24"/>
          <w:szCs w:val="24"/>
        </w:rPr>
        <w:t>, up to August 1, 2007</w:t>
      </w:r>
      <w:r w:rsidRPr="007A78AE">
        <w:rPr>
          <w:iCs/>
          <w:spacing w:val="-3"/>
          <w:sz w:val="24"/>
          <w:szCs w:val="24"/>
        </w:rPr>
        <w:t>.</w:t>
      </w:r>
      <w:r>
        <w:rPr>
          <w:iCs/>
          <w:spacing w:val="-3"/>
          <w:sz w:val="24"/>
          <w:szCs w:val="24"/>
        </w:rPr>
        <w:t xml:space="preserve">  PPL acted properly in transferring the outstanding balance of the Complainant’s prior account to her new account.  Therefore, the Complaint must be dismissed.</w:t>
      </w:r>
    </w:p>
    <w:p w:rsidR="00A84424" w:rsidRDefault="00A84424" w:rsidP="00F26BF1">
      <w:pPr>
        <w:spacing w:line="360" w:lineRule="auto"/>
        <w:rPr>
          <w:iCs/>
          <w:spacing w:val="-3"/>
          <w:sz w:val="24"/>
          <w:szCs w:val="24"/>
        </w:rPr>
      </w:pPr>
    </w:p>
    <w:p w:rsidR="00F26BF1" w:rsidRPr="00A17EA5" w:rsidRDefault="00F26BF1" w:rsidP="00F26BF1">
      <w:pPr>
        <w:pStyle w:val="NoSpacing"/>
        <w:spacing w:line="360" w:lineRule="auto"/>
        <w:jc w:val="center"/>
        <w:rPr>
          <w:sz w:val="24"/>
          <w:szCs w:val="24"/>
          <w:u w:val="single"/>
        </w:rPr>
      </w:pPr>
      <w:r>
        <w:rPr>
          <w:sz w:val="24"/>
          <w:szCs w:val="24"/>
          <w:u w:val="single"/>
        </w:rPr>
        <w:t>CONCLUSIONS OF LAW</w:t>
      </w:r>
    </w:p>
    <w:p w:rsidR="00F26BF1" w:rsidRDefault="00F26BF1" w:rsidP="00F26BF1">
      <w:pPr>
        <w:pStyle w:val="NoSpacing"/>
        <w:spacing w:line="360" w:lineRule="auto"/>
        <w:rPr>
          <w:sz w:val="24"/>
          <w:szCs w:val="24"/>
        </w:rPr>
      </w:pPr>
    </w:p>
    <w:p w:rsidR="00F26BF1" w:rsidRDefault="00F26BF1" w:rsidP="00F26BF1">
      <w:pPr>
        <w:pStyle w:val="NoSpacing"/>
        <w:spacing w:line="360" w:lineRule="auto"/>
        <w:rPr>
          <w:sz w:val="24"/>
          <w:szCs w:val="24"/>
        </w:rPr>
      </w:pPr>
      <w:r>
        <w:rPr>
          <w:sz w:val="24"/>
          <w:szCs w:val="24"/>
        </w:rPr>
        <w:tab/>
      </w:r>
      <w:r>
        <w:rPr>
          <w:sz w:val="24"/>
          <w:szCs w:val="24"/>
        </w:rPr>
        <w:tab/>
      </w:r>
      <w:r w:rsidRPr="00942235">
        <w:rPr>
          <w:sz w:val="24"/>
          <w:szCs w:val="24"/>
        </w:rPr>
        <w:t>1.</w:t>
      </w:r>
      <w:r>
        <w:rPr>
          <w:sz w:val="24"/>
          <w:szCs w:val="24"/>
        </w:rPr>
        <w:tab/>
      </w:r>
      <w:r w:rsidRPr="00942235">
        <w:rPr>
          <w:sz w:val="24"/>
          <w:szCs w:val="24"/>
        </w:rPr>
        <w:t xml:space="preserve"> The Commission has jurisdiction over the parties and subject matter in this proceeding.</w:t>
      </w:r>
      <w:r>
        <w:rPr>
          <w:sz w:val="24"/>
          <w:szCs w:val="24"/>
        </w:rPr>
        <w:t xml:space="preserve"> </w:t>
      </w:r>
      <w:r w:rsidRPr="00942235">
        <w:rPr>
          <w:sz w:val="24"/>
          <w:szCs w:val="24"/>
        </w:rPr>
        <w:t xml:space="preserve"> </w:t>
      </w:r>
      <w:r w:rsidRPr="00A17EA5">
        <w:rPr>
          <w:sz w:val="24"/>
          <w:szCs w:val="24"/>
        </w:rPr>
        <w:t>66 Pa.C.S. § 701</w:t>
      </w:r>
      <w:r w:rsidRPr="00942235">
        <w:rPr>
          <w:sz w:val="24"/>
          <w:szCs w:val="24"/>
        </w:rPr>
        <w:t>.</w:t>
      </w:r>
    </w:p>
    <w:p w:rsidR="00F26BF1" w:rsidRDefault="00F26BF1" w:rsidP="00F26BF1">
      <w:pPr>
        <w:pStyle w:val="NoSpacing"/>
        <w:spacing w:line="360" w:lineRule="auto"/>
        <w:rPr>
          <w:sz w:val="24"/>
          <w:szCs w:val="24"/>
        </w:rPr>
      </w:pPr>
    </w:p>
    <w:p w:rsidR="007A78AE" w:rsidRDefault="00F26BF1" w:rsidP="00F26BF1">
      <w:pPr>
        <w:pStyle w:val="NoSpacing"/>
        <w:spacing w:line="360" w:lineRule="auto"/>
        <w:rPr>
          <w:sz w:val="24"/>
          <w:szCs w:val="24"/>
        </w:rPr>
      </w:pPr>
      <w:r>
        <w:rPr>
          <w:sz w:val="24"/>
          <w:szCs w:val="24"/>
        </w:rPr>
        <w:tab/>
      </w:r>
      <w:r>
        <w:rPr>
          <w:sz w:val="24"/>
          <w:szCs w:val="24"/>
        </w:rPr>
        <w:tab/>
        <w:t>2.</w:t>
      </w:r>
      <w:r>
        <w:rPr>
          <w:sz w:val="24"/>
          <w:szCs w:val="24"/>
        </w:rPr>
        <w:tab/>
      </w:r>
      <w:r w:rsidRPr="00114E3A">
        <w:rPr>
          <w:sz w:val="24"/>
          <w:szCs w:val="24"/>
        </w:rPr>
        <w:t xml:space="preserve">The due process rights of Complainant have been fully protected in this proceeding.  </w:t>
      </w:r>
      <w:r w:rsidRPr="00114E3A">
        <w:rPr>
          <w:i/>
          <w:sz w:val="24"/>
          <w:szCs w:val="24"/>
        </w:rPr>
        <w:t>Sentner v. Bell Telephone Company of Pennsylvania</w:t>
      </w:r>
      <w:r w:rsidRPr="00114E3A">
        <w:rPr>
          <w:sz w:val="24"/>
          <w:szCs w:val="24"/>
        </w:rPr>
        <w:t>, Docket No. F-00161106 (Order entered October 25, 1993); and 52 Pa. Code § 5.245(a).</w:t>
      </w:r>
      <w:r w:rsidRPr="00114E3A">
        <w:rPr>
          <w:sz w:val="24"/>
          <w:szCs w:val="24"/>
        </w:rPr>
        <w:br/>
      </w:r>
      <w:r w:rsidRPr="00114E3A">
        <w:rPr>
          <w:sz w:val="24"/>
          <w:szCs w:val="24"/>
        </w:rPr>
        <w:br/>
      </w:r>
      <w:r w:rsidRPr="00114E3A">
        <w:rPr>
          <w:sz w:val="24"/>
          <w:szCs w:val="24"/>
        </w:rPr>
        <w:tab/>
      </w:r>
      <w:r w:rsidRPr="00114E3A">
        <w:rPr>
          <w:sz w:val="24"/>
          <w:szCs w:val="24"/>
        </w:rPr>
        <w:tab/>
      </w:r>
      <w:r>
        <w:rPr>
          <w:sz w:val="24"/>
          <w:szCs w:val="24"/>
        </w:rPr>
        <w:t>3</w:t>
      </w:r>
      <w:r w:rsidRPr="00114E3A">
        <w:rPr>
          <w:sz w:val="24"/>
          <w:szCs w:val="24"/>
        </w:rPr>
        <w:t>.</w:t>
      </w:r>
      <w:r w:rsidRPr="00114E3A">
        <w:rPr>
          <w:sz w:val="24"/>
          <w:szCs w:val="24"/>
        </w:rPr>
        <w:tab/>
        <w:t>Complainant has failed to meet her burden of proving that she is entitled to relief.  66 Pa. C.S. § 332(a).</w:t>
      </w:r>
    </w:p>
    <w:p w:rsidR="00A84424" w:rsidRDefault="00A84424" w:rsidP="00F26BF1">
      <w:pPr>
        <w:pStyle w:val="NoSpacing"/>
        <w:spacing w:line="360" w:lineRule="auto"/>
        <w:rPr>
          <w:sz w:val="24"/>
          <w:szCs w:val="24"/>
        </w:rPr>
      </w:pPr>
    </w:p>
    <w:p w:rsidR="00A84424" w:rsidRDefault="00A84424" w:rsidP="00F26BF1">
      <w:pPr>
        <w:pStyle w:val="NoSpacing"/>
        <w:spacing w:line="360" w:lineRule="auto"/>
        <w:rPr>
          <w:sz w:val="24"/>
          <w:szCs w:val="24"/>
        </w:rPr>
      </w:pPr>
      <w:r>
        <w:rPr>
          <w:sz w:val="24"/>
          <w:szCs w:val="24"/>
        </w:rPr>
        <w:tab/>
      </w:r>
      <w:r>
        <w:rPr>
          <w:sz w:val="24"/>
          <w:szCs w:val="24"/>
        </w:rPr>
        <w:tab/>
        <w:t>4.</w:t>
      </w:r>
      <w:r>
        <w:rPr>
          <w:sz w:val="24"/>
          <w:szCs w:val="24"/>
        </w:rPr>
        <w:tab/>
      </w:r>
      <w:r w:rsidRPr="00A84424">
        <w:rPr>
          <w:iCs/>
          <w:sz w:val="24"/>
          <w:szCs w:val="24"/>
        </w:rPr>
        <w:t>PPL acted properly in transferring the outstanding balance of the Complainant’s prior account to her new account.  52 Pa. Code § 56.16</w:t>
      </w:r>
      <w:r>
        <w:rPr>
          <w:iCs/>
          <w:sz w:val="24"/>
          <w:szCs w:val="24"/>
        </w:rPr>
        <w:t>.</w:t>
      </w:r>
    </w:p>
    <w:p w:rsidR="007A78AE" w:rsidRDefault="007A78AE" w:rsidP="00F26BF1">
      <w:pPr>
        <w:pStyle w:val="NoSpacing"/>
        <w:spacing w:line="360" w:lineRule="auto"/>
        <w:rPr>
          <w:sz w:val="24"/>
          <w:szCs w:val="24"/>
        </w:rPr>
      </w:pPr>
    </w:p>
    <w:p w:rsidR="007A78AE" w:rsidRDefault="007A78AE" w:rsidP="00F26BF1">
      <w:pPr>
        <w:pStyle w:val="NoSpacing"/>
        <w:spacing w:line="360" w:lineRule="auto"/>
        <w:rPr>
          <w:sz w:val="24"/>
          <w:szCs w:val="24"/>
        </w:rPr>
      </w:pPr>
      <w:r>
        <w:rPr>
          <w:sz w:val="24"/>
          <w:szCs w:val="24"/>
        </w:rPr>
        <w:tab/>
      </w:r>
      <w:r>
        <w:rPr>
          <w:sz w:val="24"/>
          <w:szCs w:val="24"/>
        </w:rPr>
        <w:tab/>
      </w:r>
      <w:r w:rsidR="00A84424">
        <w:rPr>
          <w:sz w:val="24"/>
          <w:szCs w:val="24"/>
        </w:rPr>
        <w:t>5</w:t>
      </w:r>
      <w:r>
        <w:rPr>
          <w:sz w:val="24"/>
          <w:szCs w:val="24"/>
        </w:rPr>
        <w:t>.</w:t>
      </w:r>
      <w:r>
        <w:rPr>
          <w:sz w:val="24"/>
          <w:szCs w:val="24"/>
        </w:rPr>
        <w:tab/>
      </w:r>
      <w:r w:rsidRPr="007A78AE">
        <w:rPr>
          <w:sz w:val="24"/>
          <w:szCs w:val="24"/>
        </w:rPr>
        <w:t xml:space="preserve">The payment arrangement prescribed in the </w:t>
      </w:r>
      <w:r>
        <w:rPr>
          <w:sz w:val="24"/>
          <w:szCs w:val="24"/>
        </w:rPr>
        <w:t xml:space="preserve">BCS decision in Case No. 2767283, </w:t>
      </w:r>
      <w:r w:rsidRPr="007A78AE">
        <w:rPr>
          <w:sz w:val="24"/>
          <w:szCs w:val="24"/>
        </w:rPr>
        <w:t xml:space="preserve">requiring the Complainant to pay the current </w:t>
      </w:r>
      <w:r w:rsidRPr="007A78AE">
        <w:rPr>
          <w:bCs/>
          <w:sz w:val="24"/>
          <w:szCs w:val="24"/>
        </w:rPr>
        <w:t>bills</w:t>
      </w:r>
      <w:r w:rsidRPr="007A78AE">
        <w:rPr>
          <w:sz w:val="24"/>
          <w:szCs w:val="24"/>
        </w:rPr>
        <w:t xml:space="preserve"> for basic service as they may come due and to pay the past balances due </w:t>
      </w:r>
      <w:r>
        <w:rPr>
          <w:sz w:val="24"/>
          <w:szCs w:val="24"/>
        </w:rPr>
        <w:t xml:space="preserve">for </w:t>
      </w:r>
      <w:r w:rsidRPr="007A78AE">
        <w:rPr>
          <w:iCs/>
          <w:sz w:val="24"/>
          <w:szCs w:val="24"/>
        </w:rPr>
        <w:t>electric service at 150 Fruitville Pike, 1st Floor, Manheim, Pennsylvania</w:t>
      </w:r>
      <w:r w:rsidR="005A03D1">
        <w:rPr>
          <w:iCs/>
          <w:sz w:val="24"/>
          <w:szCs w:val="24"/>
        </w:rPr>
        <w:t xml:space="preserve">, incurred </w:t>
      </w:r>
      <w:r>
        <w:rPr>
          <w:sz w:val="24"/>
          <w:szCs w:val="24"/>
        </w:rPr>
        <w:t xml:space="preserve">until August 1, 2007, </w:t>
      </w:r>
      <w:r w:rsidRPr="007A78AE">
        <w:rPr>
          <w:sz w:val="24"/>
          <w:szCs w:val="24"/>
        </w:rPr>
        <w:t>conforms with applicable provisions of the Public Utility Code and the regulations and policy of the Commission.</w:t>
      </w:r>
    </w:p>
    <w:p w:rsidR="005A03D1" w:rsidRDefault="005A03D1" w:rsidP="00F26BF1">
      <w:pPr>
        <w:pStyle w:val="NoSpacing"/>
        <w:spacing w:line="360" w:lineRule="auto"/>
        <w:rPr>
          <w:sz w:val="24"/>
          <w:szCs w:val="24"/>
        </w:rPr>
      </w:pPr>
    </w:p>
    <w:p w:rsidR="00F26BF1" w:rsidRPr="009353EC" w:rsidRDefault="00F26BF1" w:rsidP="00DE0210">
      <w:pPr>
        <w:pStyle w:val="NoSpacing"/>
        <w:spacing w:line="360" w:lineRule="auto"/>
        <w:jc w:val="center"/>
        <w:rPr>
          <w:b/>
          <w:sz w:val="24"/>
          <w:szCs w:val="24"/>
          <w:u w:val="single"/>
        </w:rPr>
      </w:pPr>
      <w:r w:rsidRPr="00942235">
        <w:rPr>
          <w:sz w:val="24"/>
          <w:szCs w:val="24"/>
        </w:rPr>
        <w:br/>
      </w:r>
      <w:r w:rsidRPr="009353EC">
        <w:rPr>
          <w:sz w:val="24"/>
          <w:szCs w:val="24"/>
          <w:u w:val="single"/>
        </w:rPr>
        <w:t>ORDER</w:t>
      </w:r>
    </w:p>
    <w:p w:rsidR="00F26BF1" w:rsidRDefault="00F26BF1" w:rsidP="00F26BF1">
      <w:pPr>
        <w:spacing w:line="360" w:lineRule="auto"/>
        <w:rPr>
          <w:sz w:val="24"/>
          <w:szCs w:val="24"/>
        </w:rPr>
      </w:pPr>
    </w:p>
    <w:p w:rsidR="00F26BF1" w:rsidRPr="008A05AF" w:rsidRDefault="00F26BF1" w:rsidP="00F26BF1">
      <w:pPr>
        <w:spacing w:line="360" w:lineRule="auto"/>
        <w:rPr>
          <w:sz w:val="24"/>
          <w:szCs w:val="24"/>
        </w:rPr>
      </w:pPr>
      <w:r w:rsidRPr="008A05AF">
        <w:rPr>
          <w:sz w:val="24"/>
          <w:szCs w:val="24"/>
        </w:rPr>
        <w:tab/>
      </w:r>
      <w:r w:rsidRPr="008A05AF">
        <w:rPr>
          <w:sz w:val="24"/>
          <w:szCs w:val="24"/>
        </w:rPr>
        <w:tab/>
        <w:t>THEREFORE,</w:t>
      </w:r>
    </w:p>
    <w:p w:rsidR="00F26BF1" w:rsidRPr="008A05AF" w:rsidRDefault="00F26BF1" w:rsidP="00F26BF1">
      <w:pPr>
        <w:spacing w:line="360" w:lineRule="auto"/>
        <w:rPr>
          <w:sz w:val="24"/>
          <w:szCs w:val="24"/>
        </w:rPr>
      </w:pPr>
    </w:p>
    <w:p w:rsidR="00F26BF1" w:rsidRPr="008A05AF" w:rsidRDefault="00F26BF1" w:rsidP="00F26BF1">
      <w:pPr>
        <w:spacing w:line="360" w:lineRule="auto"/>
        <w:rPr>
          <w:sz w:val="24"/>
          <w:szCs w:val="24"/>
        </w:rPr>
      </w:pPr>
      <w:r w:rsidRPr="008A05AF">
        <w:rPr>
          <w:sz w:val="24"/>
          <w:szCs w:val="24"/>
        </w:rPr>
        <w:tab/>
      </w:r>
      <w:r w:rsidRPr="008A05AF">
        <w:rPr>
          <w:sz w:val="24"/>
          <w:szCs w:val="24"/>
        </w:rPr>
        <w:tab/>
        <w:t>IT IS ORDERED:</w:t>
      </w:r>
    </w:p>
    <w:p w:rsidR="00F26BF1" w:rsidRPr="008A05AF" w:rsidRDefault="00F26BF1" w:rsidP="00F26BF1">
      <w:pPr>
        <w:spacing w:line="360" w:lineRule="auto"/>
        <w:rPr>
          <w:sz w:val="24"/>
          <w:szCs w:val="24"/>
        </w:rPr>
      </w:pPr>
    </w:p>
    <w:p w:rsidR="00F26BF1" w:rsidRDefault="00F26BF1" w:rsidP="00F26BF1">
      <w:pPr>
        <w:spacing w:line="360" w:lineRule="auto"/>
        <w:rPr>
          <w:sz w:val="24"/>
          <w:szCs w:val="24"/>
        </w:rPr>
      </w:pPr>
      <w:r w:rsidRPr="008A05AF">
        <w:rPr>
          <w:sz w:val="24"/>
          <w:szCs w:val="24"/>
        </w:rPr>
        <w:tab/>
      </w:r>
      <w:r w:rsidRPr="008A05AF">
        <w:rPr>
          <w:sz w:val="24"/>
          <w:szCs w:val="24"/>
        </w:rPr>
        <w:tab/>
        <w:t>1.</w:t>
      </w:r>
      <w:r w:rsidRPr="008A05AF">
        <w:rPr>
          <w:sz w:val="24"/>
          <w:szCs w:val="24"/>
        </w:rPr>
        <w:tab/>
        <w:t xml:space="preserve">That the Complaint filed by </w:t>
      </w:r>
      <w:r w:rsidR="007A78AE">
        <w:rPr>
          <w:sz w:val="24"/>
          <w:szCs w:val="24"/>
        </w:rPr>
        <w:t>Kim Whitacre ag</w:t>
      </w:r>
      <w:r w:rsidR="00FE294F">
        <w:rPr>
          <w:sz w:val="24"/>
          <w:szCs w:val="24"/>
        </w:rPr>
        <w:t xml:space="preserve">ainst </w:t>
      </w:r>
      <w:r w:rsidR="007A78AE">
        <w:rPr>
          <w:sz w:val="24"/>
          <w:szCs w:val="24"/>
        </w:rPr>
        <w:t xml:space="preserve">PPL Electric Utilities Corporation </w:t>
      </w:r>
      <w:r w:rsidR="00FE294F">
        <w:rPr>
          <w:sz w:val="24"/>
          <w:szCs w:val="24"/>
        </w:rPr>
        <w:t xml:space="preserve">at </w:t>
      </w:r>
      <w:r w:rsidRPr="008A05AF">
        <w:rPr>
          <w:sz w:val="24"/>
          <w:szCs w:val="24"/>
        </w:rPr>
        <w:t xml:space="preserve">Docket No. </w:t>
      </w:r>
      <w:r>
        <w:rPr>
          <w:sz w:val="24"/>
          <w:szCs w:val="24"/>
        </w:rPr>
        <w:t>F-201</w:t>
      </w:r>
      <w:r w:rsidR="007A78AE">
        <w:rPr>
          <w:sz w:val="24"/>
          <w:szCs w:val="24"/>
        </w:rPr>
        <w:t>1</w:t>
      </w:r>
      <w:r>
        <w:rPr>
          <w:sz w:val="24"/>
          <w:szCs w:val="24"/>
        </w:rPr>
        <w:t>-</w:t>
      </w:r>
      <w:r w:rsidR="007A78AE">
        <w:rPr>
          <w:sz w:val="24"/>
          <w:szCs w:val="24"/>
        </w:rPr>
        <w:t>2223971</w:t>
      </w:r>
      <w:r w:rsidRPr="008A05AF">
        <w:rPr>
          <w:sz w:val="24"/>
          <w:szCs w:val="24"/>
        </w:rPr>
        <w:t xml:space="preserve"> is hereby dismissed.</w:t>
      </w:r>
    </w:p>
    <w:p w:rsidR="00F26BF1" w:rsidRPr="008A05AF" w:rsidRDefault="00F26BF1" w:rsidP="00F26BF1">
      <w:pPr>
        <w:spacing w:line="360" w:lineRule="auto"/>
        <w:rPr>
          <w:sz w:val="24"/>
          <w:szCs w:val="24"/>
        </w:rPr>
      </w:pPr>
    </w:p>
    <w:p w:rsidR="00F26BF1" w:rsidRPr="008A05AF" w:rsidRDefault="00F26BF1" w:rsidP="00F26BF1">
      <w:pPr>
        <w:spacing w:line="360" w:lineRule="auto"/>
        <w:rPr>
          <w:sz w:val="24"/>
          <w:szCs w:val="24"/>
        </w:rPr>
      </w:pPr>
      <w:r w:rsidRPr="008A05AF">
        <w:rPr>
          <w:sz w:val="24"/>
          <w:szCs w:val="24"/>
        </w:rPr>
        <w:tab/>
      </w:r>
      <w:r w:rsidRPr="008A05AF">
        <w:rPr>
          <w:sz w:val="24"/>
          <w:szCs w:val="24"/>
        </w:rPr>
        <w:tab/>
      </w:r>
      <w:r w:rsidR="00FE294F">
        <w:rPr>
          <w:sz w:val="24"/>
          <w:szCs w:val="24"/>
        </w:rPr>
        <w:t>2</w:t>
      </w:r>
      <w:r w:rsidRPr="008A05AF">
        <w:rPr>
          <w:sz w:val="24"/>
          <w:szCs w:val="24"/>
        </w:rPr>
        <w:t>.</w:t>
      </w:r>
      <w:r w:rsidRPr="008A05AF">
        <w:rPr>
          <w:sz w:val="24"/>
          <w:szCs w:val="24"/>
        </w:rPr>
        <w:tab/>
        <w:t xml:space="preserve"> That this matter be marked closed.</w:t>
      </w:r>
    </w:p>
    <w:p w:rsidR="00F26BF1" w:rsidRPr="008A05AF" w:rsidRDefault="00F26BF1" w:rsidP="00F26BF1">
      <w:pPr>
        <w:spacing w:line="360" w:lineRule="auto"/>
        <w:rPr>
          <w:sz w:val="24"/>
          <w:szCs w:val="24"/>
        </w:rPr>
      </w:pPr>
      <w:r w:rsidRPr="008A05AF">
        <w:rPr>
          <w:sz w:val="24"/>
          <w:szCs w:val="24"/>
        </w:rPr>
        <w:br/>
      </w:r>
    </w:p>
    <w:p w:rsidR="00F26BF1" w:rsidRPr="008A05AF" w:rsidRDefault="00F26BF1" w:rsidP="00F26BF1">
      <w:pPr>
        <w:rPr>
          <w:sz w:val="24"/>
          <w:szCs w:val="24"/>
        </w:rPr>
      </w:pPr>
      <w:r w:rsidRPr="008A05AF">
        <w:rPr>
          <w:sz w:val="24"/>
          <w:szCs w:val="24"/>
        </w:rPr>
        <w:t>Date:</w:t>
      </w:r>
      <w:r w:rsidRPr="008A05AF">
        <w:rPr>
          <w:sz w:val="24"/>
          <w:szCs w:val="24"/>
        </w:rPr>
        <w:tab/>
      </w:r>
      <w:r w:rsidR="007A78AE">
        <w:rPr>
          <w:sz w:val="24"/>
          <w:szCs w:val="24"/>
          <w:u w:val="single"/>
        </w:rPr>
        <w:t>March 12</w:t>
      </w:r>
      <w:r w:rsidRPr="008A05AF">
        <w:rPr>
          <w:sz w:val="24"/>
          <w:szCs w:val="24"/>
          <w:u w:val="single"/>
        </w:rPr>
        <w:t>, 201</w:t>
      </w:r>
      <w:r w:rsidR="007A78AE">
        <w:rPr>
          <w:sz w:val="24"/>
          <w:szCs w:val="24"/>
          <w:u w:val="single"/>
        </w:rPr>
        <w:t>2</w:t>
      </w:r>
      <w:r w:rsidRPr="008A05AF">
        <w:rPr>
          <w:sz w:val="24"/>
          <w:szCs w:val="24"/>
        </w:rPr>
        <w:tab/>
      </w:r>
      <w:r w:rsidRPr="008A05AF">
        <w:rPr>
          <w:sz w:val="24"/>
          <w:szCs w:val="24"/>
        </w:rPr>
        <w:tab/>
      </w:r>
      <w:r w:rsidRPr="008A05AF">
        <w:rPr>
          <w:sz w:val="24"/>
          <w:szCs w:val="24"/>
        </w:rPr>
        <w:tab/>
      </w:r>
      <w:r w:rsidRPr="008A05AF">
        <w:rPr>
          <w:sz w:val="24"/>
          <w:szCs w:val="24"/>
        </w:rPr>
        <w:tab/>
        <w:t>___________________________</w:t>
      </w:r>
    </w:p>
    <w:p w:rsidR="00F26BF1" w:rsidRPr="008A05AF" w:rsidRDefault="00F26BF1" w:rsidP="00F26BF1">
      <w:pPr>
        <w:rPr>
          <w:sz w:val="24"/>
          <w:szCs w:val="24"/>
        </w:rPr>
      </w:pPr>
      <w:r w:rsidRPr="008A05AF">
        <w:rPr>
          <w:sz w:val="24"/>
          <w:szCs w:val="24"/>
        </w:rPr>
        <w:tab/>
      </w:r>
      <w:r w:rsidRPr="008A05AF">
        <w:rPr>
          <w:sz w:val="24"/>
          <w:szCs w:val="24"/>
        </w:rPr>
        <w:tab/>
      </w:r>
      <w:r w:rsidRPr="008A05AF">
        <w:rPr>
          <w:sz w:val="24"/>
          <w:szCs w:val="24"/>
        </w:rPr>
        <w:tab/>
      </w:r>
      <w:r w:rsidRPr="008A05AF">
        <w:rPr>
          <w:sz w:val="24"/>
          <w:szCs w:val="24"/>
        </w:rPr>
        <w:tab/>
      </w:r>
      <w:r w:rsidRPr="008A05AF">
        <w:rPr>
          <w:sz w:val="24"/>
          <w:szCs w:val="24"/>
        </w:rPr>
        <w:tab/>
      </w:r>
      <w:r w:rsidRPr="008A05AF">
        <w:rPr>
          <w:sz w:val="24"/>
          <w:szCs w:val="24"/>
        </w:rPr>
        <w:tab/>
      </w:r>
      <w:r w:rsidRPr="008A05AF">
        <w:rPr>
          <w:sz w:val="24"/>
          <w:szCs w:val="24"/>
        </w:rPr>
        <w:tab/>
        <w:t>Dennis J. Buckley</w:t>
      </w:r>
    </w:p>
    <w:p w:rsidR="00F26BF1" w:rsidRPr="00F26BF1" w:rsidRDefault="00F26BF1" w:rsidP="00DE0210">
      <w:pPr>
        <w:ind w:hanging="720"/>
        <w:rPr>
          <w:sz w:val="24"/>
          <w:szCs w:val="24"/>
        </w:rPr>
      </w:pPr>
      <w:r w:rsidRPr="008A05AF">
        <w:rPr>
          <w:sz w:val="24"/>
          <w:szCs w:val="24"/>
        </w:rPr>
        <w:tab/>
      </w:r>
      <w:r w:rsidRPr="008A05AF">
        <w:rPr>
          <w:sz w:val="24"/>
          <w:szCs w:val="24"/>
        </w:rPr>
        <w:tab/>
      </w:r>
      <w:r w:rsidRPr="008A05AF">
        <w:rPr>
          <w:sz w:val="24"/>
          <w:szCs w:val="24"/>
        </w:rPr>
        <w:tab/>
      </w:r>
      <w:r w:rsidRPr="008A05AF">
        <w:rPr>
          <w:sz w:val="24"/>
          <w:szCs w:val="24"/>
        </w:rPr>
        <w:tab/>
      </w:r>
      <w:r w:rsidRPr="008A05AF">
        <w:rPr>
          <w:sz w:val="24"/>
          <w:szCs w:val="24"/>
        </w:rPr>
        <w:tab/>
      </w:r>
      <w:r w:rsidRPr="008A05AF">
        <w:rPr>
          <w:sz w:val="24"/>
          <w:szCs w:val="24"/>
        </w:rPr>
        <w:tab/>
      </w:r>
      <w:r w:rsidRPr="008A05AF">
        <w:rPr>
          <w:sz w:val="24"/>
          <w:szCs w:val="24"/>
        </w:rPr>
        <w:tab/>
      </w:r>
      <w:r>
        <w:rPr>
          <w:sz w:val="24"/>
          <w:szCs w:val="24"/>
        </w:rPr>
        <w:tab/>
      </w:r>
      <w:r w:rsidRPr="008A05AF">
        <w:rPr>
          <w:sz w:val="24"/>
          <w:szCs w:val="24"/>
        </w:rPr>
        <w:t>Administrative Law Judge</w:t>
      </w:r>
    </w:p>
    <w:sectPr w:rsidR="00F26BF1" w:rsidRPr="00F26BF1" w:rsidSect="00ED3EC8">
      <w:headerReference w:type="even" r:id="rId8"/>
      <w:headerReference w:type="default" r:id="rId9"/>
      <w:footerReference w:type="even" r:id="rId10"/>
      <w:footerReference w:type="default" r:id="rId11"/>
      <w:headerReference w:type="first" r:id="rId12"/>
      <w:footerReference w:type="first" r:id="rId13"/>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581" w:rsidRDefault="00E50581">
      <w:r>
        <w:separator/>
      </w:r>
    </w:p>
  </w:endnote>
  <w:endnote w:type="continuationSeparator" w:id="0">
    <w:p w:rsidR="00E50581" w:rsidRDefault="00E5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691445"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GoBack"/>
  <w:p w:rsidR="00ED3EC8" w:rsidRPr="001905D8" w:rsidRDefault="00691445" w:rsidP="00ED3EC8">
    <w:pPr>
      <w:pStyle w:val="Footer"/>
      <w:framePr w:wrap="around" w:vAnchor="text" w:hAnchor="margin" w:xAlign="center" w:y="1"/>
      <w:rPr>
        <w:rStyle w:val="PageNumber"/>
        <w:sz w:val="20"/>
        <w:szCs w:val="20"/>
      </w:rPr>
    </w:pPr>
    <w:r w:rsidRPr="001905D8">
      <w:rPr>
        <w:rStyle w:val="PageNumber"/>
        <w:sz w:val="20"/>
        <w:szCs w:val="20"/>
      </w:rPr>
      <w:fldChar w:fldCharType="begin"/>
    </w:r>
    <w:r w:rsidR="00ED3EC8" w:rsidRPr="001905D8">
      <w:rPr>
        <w:rStyle w:val="PageNumber"/>
        <w:sz w:val="20"/>
        <w:szCs w:val="20"/>
      </w:rPr>
      <w:instrText xml:space="preserve">PAGE  </w:instrText>
    </w:r>
    <w:r w:rsidRPr="001905D8">
      <w:rPr>
        <w:rStyle w:val="PageNumber"/>
        <w:sz w:val="20"/>
        <w:szCs w:val="20"/>
      </w:rPr>
      <w:fldChar w:fldCharType="separate"/>
    </w:r>
    <w:r w:rsidR="001905D8">
      <w:rPr>
        <w:rStyle w:val="PageNumber"/>
        <w:noProof/>
        <w:sz w:val="20"/>
        <w:szCs w:val="20"/>
      </w:rPr>
      <w:t>2</w:t>
    </w:r>
    <w:r w:rsidRPr="001905D8">
      <w:rPr>
        <w:rStyle w:val="PageNumber"/>
        <w:sz w:val="20"/>
        <w:szCs w:val="20"/>
      </w:rPr>
      <w:fldChar w:fldCharType="end"/>
    </w:r>
  </w:p>
  <w:bookmarkEnd w:id="1"/>
  <w:p w:rsidR="00ED3EC8" w:rsidRDefault="00ED3E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5D8" w:rsidRDefault="00190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581" w:rsidRDefault="00E50581">
      <w:r>
        <w:separator/>
      </w:r>
    </w:p>
  </w:footnote>
  <w:footnote w:type="continuationSeparator" w:id="0">
    <w:p w:rsidR="00E50581" w:rsidRDefault="00E50581">
      <w:r>
        <w:continuationSeparator/>
      </w:r>
    </w:p>
  </w:footnote>
  <w:footnote w:id="1">
    <w:p w:rsidR="00722D1D" w:rsidRDefault="00722D1D" w:rsidP="00722D1D">
      <w:pPr>
        <w:pStyle w:val="FootnoteText"/>
      </w:pPr>
      <w:r>
        <w:tab/>
      </w:r>
      <w:r>
        <w:rPr>
          <w:rStyle w:val="FootnoteReference"/>
        </w:rPr>
        <w:footnoteRef/>
      </w:r>
      <w:r>
        <w:tab/>
        <w:t xml:space="preserve">BCS Case No. 2767283.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5D8" w:rsidRDefault="001905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5D8" w:rsidRDefault="001905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5D8" w:rsidRDefault="001905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4AA9"/>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0E5A"/>
    <w:rsid w:val="0009220F"/>
    <w:rsid w:val="00092B4E"/>
    <w:rsid w:val="00092E44"/>
    <w:rsid w:val="00093562"/>
    <w:rsid w:val="000A770B"/>
    <w:rsid w:val="000B339A"/>
    <w:rsid w:val="000B6B4A"/>
    <w:rsid w:val="000C2A2B"/>
    <w:rsid w:val="000C34F3"/>
    <w:rsid w:val="000C6B6E"/>
    <w:rsid w:val="000C6EF0"/>
    <w:rsid w:val="000D1B6A"/>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05D8"/>
    <w:rsid w:val="00191522"/>
    <w:rsid w:val="00192EB5"/>
    <w:rsid w:val="001966CB"/>
    <w:rsid w:val="001A103D"/>
    <w:rsid w:val="001A216A"/>
    <w:rsid w:val="001B1B1D"/>
    <w:rsid w:val="001B3D6F"/>
    <w:rsid w:val="001C38C2"/>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1C94"/>
    <w:rsid w:val="00231D99"/>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C7658"/>
    <w:rsid w:val="002E7DDB"/>
    <w:rsid w:val="002F42FC"/>
    <w:rsid w:val="00304AA1"/>
    <w:rsid w:val="00306C33"/>
    <w:rsid w:val="00314940"/>
    <w:rsid w:val="00321DB1"/>
    <w:rsid w:val="00330A67"/>
    <w:rsid w:val="00334F62"/>
    <w:rsid w:val="003364EB"/>
    <w:rsid w:val="00336E2F"/>
    <w:rsid w:val="00344C34"/>
    <w:rsid w:val="00354574"/>
    <w:rsid w:val="00360F5F"/>
    <w:rsid w:val="0036124A"/>
    <w:rsid w:val="00365459"/>
    <w:rsid w:val="0036754C"/>
    <w:rsid w:val="00376778"/>
    <w:rsid w:val="00376FEB"/>
    <w:rsid w:val="00381B05"/>
    <w:rsid w:val="00386626"/>
    <w:rsid w:val="00390929"/>
    <w:rsid w:val="003A0B9C"/>
    <w:rsid w:val="003A0E5A"/>
    <w:rsid w:val="003A7581"/>
    <w:rsid w:val="003B4D40"/>
    <w:rsid w:val="003B5D19"/>
    <w:rsid w:val="003B610B"/>
    <w:rsid w:val="003C26A1"/>
    <w:rsid w:val="003C47E8"/>
    <w:rsid w:val="003E2B14"/>
    <w:rsid w:val="003F01A7"/>
    <w:rsid w:val="003F4123"/>
    <w:rsid w:val="004047B1"/>
    <w:rsid w:val="00407C2F"/>
    <w:rsid w:val="00411425"/>
    <w:rsid w:val="00413BA5"/>
    <w:rsid w:val="00414797"/>
    <w:rsid w:val="00426277"/>
    <w:rsid w:val="004262B3"/>
    <w:rsid w:val="00431130"/>
    <w:rsid w:val="00442254"/>
    <w:rsid w:val="00446B02"/>
    <w:rsid w:val="0045300F"/>
    <w:rsid w:val="00454158"/>
    <w:rsid w:val="00454723"/>
    <w:rsid w:val="00460140"/>
    <w:rsid w:val="0046238B"/>
    <w:rsid w:val="004858A2"/>
    <w:rsid w:val="00491F39"/>
    <w:rsid w:val="0049575D"/>
    <w:rsid w:val="004A5318"/>
    <w:rsid w:val="004A640D"/>
    <w:rsid w:val="004A741E"/>
    <w:rsid w:val="004B13BD"/>
    <w:rsid w:val="004B1ADE"/>
    <w:rsid w:val="004B570B"/>
    <w:rsid w:val="004B652A"/>
    <w:rsid w:val="004C30D2"/>
    <w:rsid w:val="004D0BE0"/>
    <w:rsid w:val="004D14F0"/>
    <w:rsid w:val="004D2333"/>
    <w:rsid w:val="004D4A68"/>
    <w:rsid w:val="004E429F"/>
    <w:rsid w:val="004F25E0"/>
    <w:rsid w:val="004F37CB"/>
    <w:rsid w:val="004F401F"/>
    <w:rsid w:val="004F45CA"/>
    <w:rsid w:val="00504F92"/>
    <w:rsid w:val="00505224"/>
    <w:rsid w:val="005078B3"/>
    <w:rsid w:val="00521B57"/>
    <w:rsid w:val="00522DE9"/>
    <w:rsid w:val="00523FBA"/>
    <w:rsid w:val="00524079"/>
    <w:rsid w:val="005255C0"/>
    <w:rsid w:val="0053001A"/>
    <w:rsid w:val="005328F4"/>
    <w:rsid w:val="005534BD"/>
    <w:rsid w:val="00563B80"/>
    <w:rsid w:val="00564A3A"/>
    <w:rsid w:val="005674EF"/>
    <w:rsid w:val="00570C2E"/>
    <w:rsid w:val="00575D4F"/>
    <w:rsid w:val="00575F27"/>
    <w:rsid w:val="0058036C"/>
    <w:rsid w:val="00585BD9"/>
    <w:rsid w:val="0058762F"/>
    <w:rsid w:val="005A03D1"/>
    <w:rsid w:val="005A1839"/>
    <w:rsid w:val="005A3759"/>
    <w:rsid w:val="005C373B"/>
    <w:rsid w:val="005C4AAA"/>
    <w:rsid w:val="005D1442"/>
    <w:rsid w:val="005D2414"/>
    <w:rsid w:val="005E7EFE"/>
    <w:rsid w:val="005F064D"/>
    <w:rsid w:val="005F3EA8"/>
    <w:rsid w:val="005F5A21"/>
    <w:rsid w:val="00600458"/>
    <w:rsid w:val="00603824"/>
    <w:rsid w:val="00620850"/>
    <w:rsid w:val="0062316C"/>
    <w:rsid w:val="00624D32"/>
    <w:rsid w:val="006273ED"/>
    <w:rsid w:val="0064750C"/>
    <w:rsid w:val="006621E9"/>
    <w:rsid w:val="00664C73"/>
    <w:rsid w:val="006856E2"/>
    <w:rsid w:val="00691445"/>
    <w:rsid w:val="00695397"/>
    <w:rsid w:val="0069562F"/>
    <w:rsid w:val="006B2FA8"/>
    <w:rsid w:val="006B3E08"/>
    <w:rsid w:val="006C4536"/>
    <w:rsid w:val="006C51E2"/>
    <w:rsid w:val="006C71BB"/>
    <w:rsid w:val="006D1276"/>
    <w:rsid w:val="006D6580"/>
    <w:rsid w:val="006E670A"/>
    <w:rsid w:val="006F27FC"/>
    <w:rsid w:val="006F3153"/>
    <w:rsid w:val="006F4F6D"/>
    <w:rsid w:val="007038D2"/>
    <w:rsid w:val="00705262"/>
    <w:rsid w:val="00705CA5"/>
    <w:rsid w:val="00716D0A"/>
    <w:rsid w:val="00721ECF"/>
    <w:rsid w:val="00722D1D"/>
    <w:rsid w:val="00725BEA"/>
    <w:rsid w:val="007306D1"/>
    <w:rsid w:val="00742CE1"/>
    <w:rsid w:val="0074372C"/>
    <w:rsid w:val="00744C7C"/>
    <w:rsid w:val="00747C4D"/>
    <w:rsid w:val="0075585E"/>
    <w:rsid w:val="00775161"/>
    <w:rsid w:val="0078470A"/>
    <w:rsid w:val="00787AF1"/>
    <w:rsid w:val="007A78AE"/>
    <w:rsid w:val="007B1039"/>
    <w:rsid w:val="007B4E01"/>
    <w:rsid w:val="007C72AF"/>
    <w:rsid w:val="007D5B1C"/>
    <w:rsid w:val="007E0ADA"/>
    <w:rsid w:val="007E26B3"/>
    <w:rsid w:val="007E2E79"/>
    <w:rsid w:val="007E5866"/>
    <w:rsid w:val="00804065"/>
    <w:rsid w:val="00811B07"/>
    <w:rsid w:val="00840A53"/>
    <w:rsid w:val="008427B3"/>
    <w:rsid w:val="0085047D"/>
    <w:rsid w:val="008524EA"/>
    <w:rsid w:val="00855495"/>
    <w:rsid w:val="00857642"/>
    <w:rsid w:val="00857F8E"/>
    <w:rsid w:val="0086268A"/>
    <w:rsid w:val="00862D65"/>
    <w:rsid w:val="00864B15"/>
    <w:rsid w:val="00865C18"/>
    <w:rsid w:val="0086621E"/>
    <w:rsid w:val="00882CB8"/>
    <w:rsid w:val="00884650"/>
    <w:rsid w:val="00893901"/>
    <w:rsid w:val="008A41C8"/>
    <w:rsid w:val="008B269C"/>
    <w:rsid w:val="008B2982"/>
    <w:rsid w:val="008B451C"/>
    <w:rsid w:val="008C03AD"/>
    <w:rsid w:val="008C1485"/>
    <w:rsid w:val="008D2DBA"/>
    <w:rsid w:val="008D638B"/>
    <w:rsid w:val="008E19D7"/>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277B6"/>
    <w:rsid w:val="00930EBA"/>
    <w:rsid w:val="00934635"/>
    <w:rsid w:val="009352CF"/>
    <w:rsid w:val="00935580"/>
    <w:rsid w:val="009412D9"/>
    <w:rsid w:val="00944730"/>
    <w:rsid w:val="009471B5"/>
    <w:rsid w:val="00952928"/>
    <w:rsid w:val="00953CFD"/>
    <w:rsid w:val="009669E3"/>
    <w:rsid w:val="009671DB"/>
    <w:rsid w:val="00972738"/>
    <w:rsid w:val="00980958"/>
    <w:rsid w:val="00987014"/>
    <w:rsid w:val="00997443"/>
    <w:rsid w:val="009A08AA"/>
    <w:rsid w:val="009A68E7"/>
    <w:rsid w:val="009B66C0"/>
    <w:rsid w:val="009C24F9"/>
    <w:rsid w:val="009D3AAC"/>
    <w:rsid w:val="009D5B63"/>
    <w:rsid w:val="009E1679"/>
    <w:rsid w:val="009E239E"/>
    <w:rsid w:val="009E271D"/>
    <w:rsid w:val="009F768D"/>
    <w:rsid w:val="00A072E9"/>
    <w:rsid w:val="00A07D8F"/>
    <w:rsid w:val="00A13C95"/>
    <w:rsid w:val="00A249F6"/>
    <w:rsid w:val="00A35AFD"/>
    <w:rsid w:val="00A40731"/>
    <w:rsid w:val="00A448EF"/>
    <w:rsid w:val="00A52A4E"/>
    <w:rsid w:val="00A5343C"/>
    <w:rsid w:val="00A61612"/>
    <w:rsid w:val="00A7538D"/>
    <w:rsid w:val="00A8008F"/>
    <w:rsid w:val="00A80E74"/>
    <w:rsid w:val="00A84424"/>
    <w:rsid w:val="00A851A4"/>
    <w:rsid w:val="00A86BD8"/>
    <w:rsid w:val="00A87EDF"/>
    <w:rsid w:val="00AA1496"/>
    <w:rsid w:val="00AA3D06"/>
    <w:rsid w:val="00AA4899"/>
    <w:rsid w:val="00AA639F"/>
    <w:rsid w:val="00AC0D42"/>
    <w:rsid w:val="00AC7DAD"/>
    <w:rsid w:val="00AD344D"/>
    <w:rsid w:val="00AD5E7B"/>
    <w:rsid w:val="00AE7E8A"/>
    <w:rsid w:val="00AF32D8"/>
    <w:rsid w:val="00AF4C64"/>
    <w:rsid w:val="00B01BE5"/>
    <w:rsid w:val="00B02C92"/>
    <w:rsid w:val="00B06DDF"/>
    <w:rsid w:val="00B079A5"/>
    <w:rsid w:val="00B16D92"/>
    <w:rsid w:val="00B20FAA"/>
    <w:rsid w:val="00B21FBA"/>
    <w:rsid w:val="00B2793E"/>
    <w:rsid w:val="00B42826"/>
    <w:rsid w:val="00B55869"/>
    <w:rsid w:val="00B567F1"/>
    <w:rsid w:val="00B569FA"/>
    <w:rsid w:val="00B571D3"/>
    <w:rsid w:val="00B759EC"/>
    <w:rsid w:val="00B75F96"/>
    <w:rsid w:val="00B76483"/>
    <w:rsid w:val="00B824F8"/>
    <w:rsid w:val="00B86F52"/>
    <w:rsid w:val="00B91893"/>
    <w:rsid w:val="00B926BD"/>
    <w:rsid w:val="00BA1854"/>
    <w:rsid w:val="00BA2FBE"/>
    <w:rsid w:val="00BB1D36"/>
    <w:rsid w:val="00BB5630"/>
    <w:rsid w:val="00BD00D9"/>
    <w:rsid w:val="00BE5D1C"/>
    <w:rsid w:val="00BE7640"/>
    <w:rsid w:val="00BF0242"/>
    <w:rsid w:val="00C02723"/>
    <w:rsid w:val="00C02A91"/>
    <w:rsid w:val="00C04960"/>
    <w:rsid w:val="00C11391"/>
    <w:rsid w:val="00C138A5"/>
    <w:rsid w:val="00C211F9"/>
    <w:rsid w:val="00C22964"/>
    <w:rsid w:val="00C25927"/>
    <w:rsid w:val="00C27126"/>
    <w:rsid w:val="00C310B8"/>
    <w:rsid w:val="00C31DBD"/>
    <w:rsid w:val="00C3343C"/>
    <w:rsid w:val="00C36C29"/>
    <w:rsid w:val="00C65047"/>
    <w:rsid w:val="00C833D6"/>
    <w:rsid w:val="00C83AD1"/>
    <w:rsid w:val="00C95318"/>
    <w:rsid w:val="00C95A99"/>
    <w:rsid w:val="00C96F6B"/>
    <w:rsid w:val="00C9728B"/>
    <w:rsid w:val="00CA27F9"/>
    <w:rsid w:val="00CA306D"/>
    <w:rsid w:val="00CB2C94"/>
    <w:rsid w:val="00CC1659"/>
    <w:rsid w:val="00CC30C3"/>
    <w:rsid w:val="00CE047D"/>
    <w:rsid w:val="00CE67B6"/>
    <w:rsid w:val="00CE7731"/>
    <w:rsid w:val="00CF6A79"/>
    <w:rsid w:val="00D003E8"/>
    <w:rsid w:val="00D019B0"/>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83768"/>
    <w:rsid w:val="00D9690A"/>
    <w:rsid w:val="00DA0625"/>
    <w:rsid w:val="00DA155B"/>
    <w:rsid w:val="00DA396C"/>
    <w:rsid w:val="00DA671A"/>
    <w:rsid w:val="00DA7E6E"/>
    <w:rsid w:val="00DB07B8"/>
    <w:rsid w:val="00DB4F49"/>
    <w:rsid w:val="00DC4772"/>
    <w:rsid w:val="00DC6711"/>
    <w:rsid w:val="00DD5F86"/>
    <w:rsid w:val="00DD6047"/>
    <w:rsid w:val="00DD71E7"/>
    <w:rsid w:val="00DD771A"/>
    <w:rsid w:val="00DE0210"/>
    <w:rsid w:val="00DE2759"/>
    <w:rsid w:val="00DE4037"/>
    <w:rsid w:val="00DF63EB"/>
    <w:rsid w:val="00E04EFF"/>
    <w:rsid w:val="00E101A9"/>
    <w:rsid w:val="00E13468"/>
    <w:rsid w:val="00E257AB"/>
    <w:rsid w:val="00E3212A"/>
    <w:rsid w:val="00E333C7"/>
    <w:rsid w:val="00E41293"/>
    <w:rsid w:val="00E44479"/>
    <w:rsid w:val="00E475F0"/>
    <w:rsid w:val="00E50581"/>
    <w:rsid w:val="00E50CA8"/>
    <w:rsid w:val="00E553E9"/>
    <w:rsid w:val="00E62177"/>
    <w:rsid w:val="00E6494D"/>
    <w:rsid w:val="00E703C3"/>
    <w:rsid w:val="00E80333"/>
    <w:rsid w:val="00E8107B"/>
    <w:rsid w:val="00E9310C"/>
    <w:rsid w:val="00E93476"/>
    <w:rsid w:val="00E9501F"/>
    <w:rsid w:val="00E9676A"/>
    <w:rsid w:val="00EB7A35"/>
    <w:rsid w:val="00EC05B4"/>
    <w:rsid w:val="00EC074E"/>
    <w:rsid w:val="00EC0AB8"/>
    <w:rsid w:val="00EC33EA"/>
    <w:rsid w:val="00EC6526"/>
    <w:rsid w:val="00EC68D7"/>
    <w:rsid w:val="00ED2F8A"/>
    <w:rsid w:val="00ED3EC8"/>
    <w:rsid w:val="00ED7543"/>
    <w:rsid w:val="00EE1EE5"/>
    <w:rsid w:val="00EF0922"/>
    <w:rsid w:val="00EF7235"/>
    <w:rsid w:val="00F04C8C"/>
    <w:rsid w:val="00F054DA"/>
    <w:rsid w:val="00F07BCF"/>
    <w:rsid w:val="00F16FAB"/>
    <w:rsid w:val="00F227A9"/>
    <w:rsid w:val="00F26BF1"/>
    <w:rsid w:val="00F31625"/>
    <w:rsid w:val="00F36E39"/>
    <w:rsid w:val="00F5046F"/>
    <w:rsid w:val="00F5088C"/>
    <w:rsid w:val="00F510AC"/>
    <w:rsid w:val="00F62D04"/>
    <w:rsid w:val="00F70887"/>
    <w:rsid w:val="00F86EF9"/>
    <w:rsid w:val="00F86FB1"/>
    <w:rsid w:val="00F908E0"/>
    <w:rsid w:val="00F9335A"/>
    <w:rsid w:val="00FB4C6F"/>
    <w:rsid w:val="00FB64A1"/>
    <w:rsid w:val="00FC110D"/>
    <w:rsid w:val="00FC3800"/>
    <w:rsid w:val="00FD36CA"/>
    <w:rsid w:val="00FD3B41"/>
    <w:rsid w:val="00FD6C73"/>
    <w:rsid w:val="00FE294F"/>
    <w:rsid w:val="00FF0BE2"/>
    <w:rsid w:val="00FF2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paragraph" w:styleId="Heading1">
    <w:name w:val="heading 1"/>
    <w:basedOn w:val="Normal"/>
    <w:next w:val="Normal"/>
    <w:link w:val="Heading1Char"/>
    <w:qFormat/>
    <w:rsid w:val="00D83768"/>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D83768"/>
    <w:pPr>
      <w:keepNext/>
      <w:jc w:val="center"/>
      <w:outlineLvl w:val="1"/>
    </w:pPr>
    <w:rPr>
      <w:rFonts w:ascii="Courier" w:hAnsi="Courier"/>
      <w:b/>
      <w:sz w:val="24"/>
      <w:szCs w:val="20"/>
    </w:rPr>
  </w:style>
  <w:style w:type="paragraph" w:styleId="Heading4">
    <w:name w:val="heading 4"/>
    <w:basedOn w:val="Normal"/>
    <w:next w:val="Normal"/>
    <w:link w:val="Heading4Char"/>
    <w:uiPriority w:val="9"/>
    <w:semiHidden/>
    <w:unhideWhenUsed/>
    <w:qFormat/>
    <w:rsid w:val="00A844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FootnoteText">
    <w:name w:val="footnote text"/>
    <w:basedOn w:val="Normal"/>
    <w:link w:val="FootnoteTextChar"/>
    <w:uiPriority w:val="99"/>
    <w:semiHidden/>
    <w:unhideWhenUsed/>
    <w:rsid w:val="003F4123"/>
    <w:rPr>
      <w:sz w:val="20"/>
      <w:szCs w:val="20"/>
    </w:rPr>
  </w:style>
  <w:style w:type="character" w:customStyle="1" w:styleId="FootnoteTextChar">
    <w:name w:val="Footnote Text Char"/>
    <w:basedOn w:val="DefaultParagraphFont"/>
    <w:link w:val="FootnoteText"/>
    <w:uiPriority w:val="99"/>
    <w:semiHidden/>
    <w:rsid w:val="003F4123"/>
    <w:rPr>
      <w:rFonts w:eastAsia="Times New Roman"/>
    </w:rPr>
  </w:style>
  <w:style w:type="character" w:styleId="FootnoteReference">
    <w:name w:val="footnote reference"/>
    <w:basedOn w:val="DefaultParagraphFont"/>
    <w:uiPriority w:val="99"/>
    <w:semiHidden/>
    <w:unhideWhenUsed/>
    <w:rsid w:val="003F4123"/>
    <w:rPr>
      <w:vertAlign w:val="superscript"/>
    </w:rPr>
  </w:style>
  <w:style w:type="character" w:customStyle="1" w:styleId="Heading1Char">
    <w:name w:val="Heading 1 Char"/>
    <w:basedOn w:val="DefaultParagraphFont"/>
    <w:link w:val="Heading1"/>
    <w:rsid w:val="00D83768"/>
    <w:rPr>
      <w:rFonts w:ascii="Courier" w:eastAsia="Times New Roman" w:hAnsi="Courier"/>
      <w:b/>
      <w:sz w:val="24"/>
      <w:u w:val="single"/>
    </w:rPr>
  </w:style>
  <w:style w:type="character" w:customStyle="1" w:styleId="Heading2Char">
    <w:name w:val="Heading 2 Char"/>
    <w:basedOn w:val="DefaultParagraphFont"/>
    <w:link w:val="Heading2"/>
    <w:rsid w:val="00D83768"/>
    <w:rPr>
      <w:rFonts w:ascii="Courier" w:eastAsia="Times New Roman" w:hAnsi="Courier"/>
      <w:b/>
      <w:sz w:val="24"/>
    </w:rPr>
  </w:style>
  <w:style w:type="character" w:customStyle="1" w:styleId="Heading4Char">
    <w:name w:val="Heading 4 Char"/>
    <w:basedOn w:val="DefaultParagraphFont"/>
    <w:link w:val="Heading4"/>
    <w:uiPriority w:val="9"/>
    <w:semiHidden/>
    <w:rsid w:val="00A84424"/>
    <w:rPr>
      <w:rFonts w:asciiTheme="majorHAnsi" w:eastAsiaTheme="majorEastAsia" w:hAnsiTheme="majorHAnsi" w:cstheme="majorBidi"/>
      <w:b/>
      <w:bCs/>
      <w:i/>
      <w:iCs/>
      <w:color w:val="4F81BD" w:themeColor="accent1"/>
      <w:sz w:val="26"/>
      <w:szCs w:val="26"/>
    </w:rPr>
  </w:style>
  <w:style w:type="paragraph" w:styleId="BalloonText">
    <w:name w:val="Balloon Text"/>
    <w:basedOn w:val="Normal"/>
    <w:link w:val="BalloonTextChar"/>
    <w:uiPriority w:val="99"/>
    <w:semiHidden/>
    <w:unhideWhenUsed/>
    <w:rsid w:val="004B13BD"/>
    <w:rPr>
      <w:rFonts w:ascii="Tahoma" w:hAnsi="Tahoma" w:cs="Tahoma"/>
      <w:sz w:val="16"/>
      <w:szCs w:val="16"/>
    </w:rPr>
  </w:style>
  <w:style w:type="character" w:customStyle="1" w:styleId="BalloonTextChar">
    <w:name w:val="Balloon Text Char"/>
    <w:basedOn w:val="DefaultParagraphFont"/>
    <w:link w:val="BalloonText"/>
    <w:uiPriority w:val="99"/>
    <w:semiHidden/>
    <w:rsid w:val="004B13BD"/>
    <w:rPr>
      <w:rFonts w:ascii="Tahoma" w:eastAsia="Times New Roman" w:hAnsi="Tahoma" w:cs="Tahoma"/>
      <w:sz w:val="16"/>
      <w:szCs w:val="16"/>
    </w:rPr>
  </w:style>
  <w:style w:type="paragraph" w:styleId="Header">
    <w:name w:val="header"/>
    <w:basedOn w:val="Normal"/>
    <w:link w:val="HeaderChar"/>
    <w:uiPriority w:val="99"/>
    <w:unhideWhenUsed/>
    <w:rsid w:val="001905D8"/>
    <w:pPr>
      <w:tabs>
        <w:tab w:val="center" w:pos="4680"/>
        <w:tab w:val="right" w:pos="9360"/>
      </w:tabs>
    </w:pPr>
  </w:style>
  <w:style w:type="character" w:customStyle="1" w:styleId="HeaderChar">
    <w:name w:val="Header Char"/>
    <w:basedOn w:val="DefaultParagraphFont"/>
    <w:link w:val="Header"/>
    <w:uiPriority w:val="99"/>
    <w:rsid w:val="001905D8"/>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paragraph" w:styleId="Heading1">
    <w:name w:val="heading 1"/>
    <w:basedOn w:val="Normal"/>
    <w:next w:val="Normal"/>
    <w:link w:val="Heading1Char"/>
    <w:qFormat/>
    <w:rsid w:val="00D83768"/>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D83768"/>
    <w:pPr>
      <w:keepNext/>
      <w:jc w:val="center"/>
      <w:outlineLvl w:val="1"/>
    </w:pPr>
    <w:rPr>
      <w:rFonts w:ascii="Courier" w:hAnsi="Courier"/>
      <w:b/>
      <w:sz w:val="24"/>
      <w:szCs w:val="20"/>
    </w:rPr>
  </w:style>
  <w:style w:type="paragraph" w:styleId="Heading4">
    <w:name w:val="heading 4"/>
    <w:basedOn w:val="Normal"/>
    <w:next w:val="Normal"/>
    <w:link w:val="Heading4Char"/>
    <w:uiPriority w:val="9"/>
    <w:semiHidden/>
    <w:unhideWhenUsed/>
    <w:qFormat/>
    <w:rsid w:val="00A844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FootnoteText">
    <w:name w:val="footnote text"/>
    <w:basedOn w:val="Normal"/>
    <w:link w:val="FootnoteTextChar"/>
    <w:uiPriority w:val="99"/>
    <w:semiHidden/>
    <w:unhideWhenUsed/>
    <w:rsid w:val="003F4123"/>
    <w:rPr>
      <w:sz w:val="20"/>
      <w:szCs w:val="20"/>
    </w:rPr>
  </w:style>
  <w:style w:type="character" w:customStyle="1" w:styleId="FootnoteTextChar">
    <w:name w:val="Footnote Text Char"/>
    <w:basedOn w:val="DefaultParagraphFont"/>
    <w:link w:val="FootnoteText"/>
    <w:uiPriority w:val="99"/>
    <w:semiHidden/>
    <w:rsid w:val="003F4123"/>
    <w:rPr>
      <w:rFonts w:eastAsia="Times New Roman"/>
    </w:rPr>
  </w:style>
  <w:style w:type="character" w:styleId="FootnoteReference">
    <w:name w:val="footnote reference"/>
    <w:basedOn w:val="DefaultParagraphFont"/>
    <w:uiPriority w:val="99"/>
    <w:semiHidden/>
    <w:unhideWhenUsed/>
    <w:rsid w:val="003F4123"/>
    <w:rPr>
      <w:vertAlign w:val="superscript"/>
    </w:rPr>
  </w:style>
  <w:style w:type="character" w:customStyle="1" w:styleId="Heading1Char">
    <w:name w:val="Heading 1 Char"/>
    <w:basedOn w:val="DefaultParagraphFont"/>
    <w:link w:val="Heading1"/>
    <w:rsid w:val="00D83768"/>
    <w:rPr>
      <w:rFonts w:ascii="Courier" w:eastAsia="Times New Roman" w:hAnsi="Courier"/>
      <w:b/>
      <w:sz w:val="24"/>
      <w:u w:val="single"/>
    </w:rPr>
  </w:style>
  <w:style w:type="character" w:customStyle="1" w:styleId="Heading2Char">
    <w:name w:val="Heading 2 Char"/>
    <w:basedOn w:val="DefaultParagraphFont"/>
    <w:link w:val="Heading2"/>
    <w:rsid w:val="00D83768"/>
    <w:rPr>
      <w:rFonts w:ascii="Courier" w:eastAsia="Times New Roman" w:hAnsi="Courier"/>
      <w:b/>
      <w:sz w:val="24"/>
    </w:rPr>
  </w:style>
  <w:style w:type="character" w:customStyle="1" w:styleId="Heading4Char">
    <w:name w:val="Heading 4 Char"/>
    <w:basedOn w:val="DefaultParagraphFont"/>
    <w:link w:val="Heading4"/>
    <w:uiPriority w:val="9"/>
    <w:semiHidden/>
    <w:rsid w:val="00A84424"/>
    <w:rPr>
      <w:rFonts w:asciiTheme="majorHAnsi" w:eastAsiaTheme="majorEastAsia" w:hAnsiTheme="majorHAnsi" w:cstheme="majorBidi"/>
      <w:b/>
      <w:bCs/>
      <w:i/>
      <w:iCs/>
      <w:color w:val="4F81BD" w:themeColor="accent1"/>
      <w:sz w:val="26"/>
      <w:szCs w:val="26"/>
    </w:rPr>
  </w:style>
  <w:style w:type="paragraph" w:styleId="BalloonText">
    <w:name w:val="Balloon Text"/>
    <w:basedOn w:val="Normal"/>
    <w:link w:val="BalloonTextChar"/>
    <w:uiPriority w:val="99"/>
    <w:semiHidden/>
    <w:unhideWhenUsed/>
    <w:rsid w:val="004B13BD"/>
    <w:rPr>
      <w:rFonts w:ascii="Tahoma" w:hAnsi="Tahoma" w:cs="Tahoma"/>
      <w:sz w:val="16"/>
      <w:szCs w:val="16"/>
    </w:rPr>
  </w:style>
  <w:style w:type="character" w:customStyle="1" w:styleId="BalloonTextChar">
    <w:name w:val="Balloon Text Char"/>
    <w:basedOn w:val="DefaultParagraphFont"/>
    <w:link w:val="BalloonText"/>
    <w:uiPriority w:val="99"/>
    <w:semiHidden/>
    <w:rsid w:val="004B13BD"/>
    <w:rPr>
      <w:rFonts w:ascii="Tahoma" w:eastAsia="Times New Roman" w:hAnsi="Tahoma" w:cs="Tahoma"/>
      <w:sz w:val="16"/>
      <w:szCs w:val="16"/>
    </w:rPr>
  </w:style>
  <w:style w:type="paragraph" w:styleId="Header">
    <w:name w:val="header"/>
    <w:basedOn w:val="Normal"/>
    <w:link w:val="HeaderChar"/>
    <w:uiPriority w:val="99"/>
    <w:unhideWhenUsed/>
    <w:rsid w:val="001905D8"/>
    <w:pPr>
      <w:tabs>
        <w:tab w:val="center" w:pos="4680"/>
        <w:tab w:val="right" w:pos="9360"/>
      </w:tabs>
    </w:pPr>
  </w:style>
  <w:style w:type="character" w:customStyle="1" w:styleId="HeaderChar">
    <w:name w:val="Header Char"/>
    <w:basedOn w:val="DefaultParagraphFont"/>
    <w:link w:val="Header"/>
    <w:uiPriority w:val="99"/>
    <w:rsid w:val="001905D8"/>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923622">
      <w:bodyDiv w:val="1"/>
      <w:marLeft w:val="0"/>
      <w:marRight w:val="0"/>
      <w:marTop w:val="0"/>
      <w:marBottom w:val="0"/>
      <w:divBdr>
        <w:top w:val="none" w:sz="0" w:space="0" w:color="auto"/>
        <w:left w:val="none" w:sz="0" w:space="0" w:color="auto"/>
        <w:bottom w:val="none" w:sz="0" w:space="0" w:color="auto"/>
        <w:right w:val="none" w:sz="0" w:space="0" w:color="auto"/>
      </w:divBdr>
      <w:divsChild>
        <w:div w:id="39474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930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60825-DAAC-41DC-AEDE-194550DB6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8</cp:revision>
  <cp:lastPrinted>2012-03-27T14:18:00Z</cp:lastPrinted>
  <dcterms:created xsi:type="dcterms:W3CDTF">2012-03-27T14:17:00Z</dcterms:created>
  <dcterms:modified xsi:type="dcterms:W3CDTF">2012-03-27T14:19:00Z</dcterms:modified>
</cp:coreProperties>
</file>