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r w:rsidRPr="00267FA7">
              <w:rPr>
                <w:b/>
                <w:color w:val="auto"/>
                <w:sz w:val="26"/>
                <w:szCs w:val="26"/>
              </w:rPr>
              <w:t>PENNSYLVANIA</w:t>
            </w:r>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r w:rsidRPr="00267FA7">
              <w:rPr>
                <w:b/>
                <w:color w:val="auto"/>
                <w:sz w:val="26"/>
                <w:szCs w:val="26"/>
              </w:rPr>
              <w:t>Harrisburg, PA  17105-3265</w:t>
            </w:r>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422FD5">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045169">
              <w:rPr>
                <w:color w:val="auto"/>
                <w:sz w:val="26"/>
                <w:szCs w:val="26"/>
              </w:rPr>
              <w:t>March 29</w:t>
            </w:r>
            <w:r w:rsidR="00A6440C">
              <w:rPr>
                <w:color w:val="auto"/>
                <w:sz w:val="26"/>
                <w:szCs w:val="26"/>
              </w:rPr>
              <w:t>, 201</w:t>
            </w:r>
            <w:r w:rsidR="00045169">
              <w:rPr>
                <w:color w:val="auto"/>
                <w:sz w:val="26"/>
                <w:szCs w:val="26"/>
              </w:rPr>
              <w:t>2</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327F6C" w:rsidRPr="00267FA7">
        <w:tc>
          <w:tcPr>
            <w:tcW w:w="9558" w:type="dxa"/>
          </w:tcPr>
          <w:p w:rsidR="00327F6C" w:rsidRPr="00267FA7" w:rsidRDefault="00536337" w:rsidP="005A415C">
            <w:pPr>
              <w:rPr>
                <w:color w:val="auto"/>
                <w:sz w:val="26"/>
                <w:szCs w:val="26"/>
              </w:rPr>
            </w:pPr>
            <w:r w:rsidRPr="00267FA7">
              <w:rPr>
                <w:color w:val="auto"/>
                <w:sz w:val="26"/>
                <w:szCs w:val="26"/>
              </w:rPr>
              <w:tab/>
            </w:r>
            <w:r w:rsidR="005A415C" w:rsidRPr="00267FA7">
              <w:rPr>
                <w:color w:val="auto"/>
                <w:sz w:val="26"/>
                <w:szCs w:val="26"/>
              </w:rPr>
              <w:t>Robert F. Powelson</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5A415C">
              <w:rPr>
                <w:color w:val="auto"/>
                <w:sz w:val="26"/>
                <w:szCs w:val="26"/>
              </w:rPr>
              <w:t>John F. Coleman, Jr.</w:t>
            </w:r>
            <w:r w:rsidRPr="00267FA7">
              <w:rPr>
                <w:color w:val="auto"/>
                <w:sz w:val="26"/>
                <w:szCs w:val="26"/>
              </w:rPr>
              <w:t>, Vice Chairman</w:t>
            </w:r>
          </w:p>
          <w:p w:rsidR="00A750F1" w:rsidRPr="00267FA7" w:rsidRDefault="00A750F1">
            <w:pPr>
              <w:rPr>
                <w:color w:val="auto"/>
                <w:sz w:val="26"/>
                <w:szCs w:val="26"/>
              </w:rPr>
            </w:pPr>
            <w:r>
              <w:rPr>
                <w:color w:val="auto"/>
                <w:sz w:val="26"/>
                <w:szCs w:val="26"/>
              </w:rPr>
              <w:tab/>
            </w:r>
            <w:r w:rsidR="00045169" w:rsidRPr="00267FA7">
              <w:rPr>
                <w:color w:val="auto"/>
                <w:sz w:val="26"/>
                <w:szCs w:val="26"/>
              </w:rPr>
              <w:t>Wayne E. Gardner</w:t>
            </w:r>
          </w:p>
        </w:tc>
      </w:tr>
      <w:tr w:rsidR="00327F6C" w:rsidRPr="00267FA7">
        <w:tc>
          <w:tcPr>
            <w:tcW w:w="9558" w:type="dxa"/>
          </w:tcPr>
          <w:p w:rsidR="00806A00" w:rsidRPr="00267FA7" w:rsidRDefault="00A750F1" w:rsidP="00422FD5">
            <w:pPr>
              <w:rPr>
                <w:color w:val="auto"/>
                <w:sz w:val="26"/>
                <w:szCs w:val="26"/>
              </w:rPr>
            </w:pPr>
            <w:r>
              <w:rPr>
                <w:color w:val="auto"/>
                <w:sz w:val="26"/>
                <w:szCs w:val="26"/>
              </w:rPr>
              <w:tab/>
            </w:r>
            <w:r w:rsidR="00045169" w:rsidRPr="00267FA7">
              <w:rPr>
                <w:color w:val="auto"/>
                <w:sz w:val="26"/>
                <w:szCs w:val="26"/>
              </w:rPr>
              <w:t>James H. Cawley</w:t>
            </w:r>
          </w:p>
        </w:tc>
      </w:tr>
      <w:tr w:rsidR="00327F6C" w:rsidRPr="00267FA7">
        <w:tc>
          <w:tcPr>
            <w:tcW w:w="9558" w:type="dxa"/>
          </w:tcPr>
          <w:p w:rsidR="00327F6C" w:rsidRPr="00267FA7" w:rsidRDefault="00422FD5" w:rsidP="00045169">
            <w:pPr>
              <w:rPr>
                <w:color w:val="auto"/>
                <w:sz w:val="26"/>
                <w:szCs w:val="26"/>
              </w:rPr>
            </w:pPr>
            <w:r>
              <w:rPr>
                <w:color w:val="auto"/>
                <w:sz w:val="26"/>
                <w:szCs w:val="26"/>
              </w:rPr>
              <w:tab/>
            </w:r>
            <w:r w:rsidR="00045169">
              <w:rPr>
                <w:color w:val="auto"/>
                <w:sz w:val="26"/>
                <w:szCs w:val="26"/>
              </w:rPr>
              <w:t>Pamela A. Witmer</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92102E">
            <w:pPr>
              <w:rPr>
                <w:color w:val="auto"/>
                <w:sz w:val="26"/>
                <w:szCs w:val="26"/>
              </w:rPr>
            </w:pPr>
            <w:r w:rsidRPr="00267FA7">
              <w:rPr>
                <w:color w:val="auto"/>
                <w:sz w:val="26"/>
                <w:szCs w:val="26"/>
              </w:rPr>
              <w:t>License Ap</w:t>
            </w:r>
            <w:r w:rsidR="00536337" w:rsidRPr="00267FA7">
              <w:rPr>
                <w:color w:val="auto"/>
                <w:sz w:val="26"/>
                <w:szCs w:val="26"/>
              </w:rPr>
              <w:t>plication of</w:t>
            </w:r>
            <w:r w:rsidR="00045169">
              <w:rPr>
                <w:color w:val="auto"/>
                <w:sz w:val="26"/>
                <w:szCs w:val="26"/>
              </w:rPr>
              <w:t xml:space="preserve"> </w:t>
            </w:r>
            <w:r w:rsidR="0092102E">
              <w:rPr>
                <w:color w:val="auto"/>
                <w:sz w:val="26"/>
                <w:szCs w:val="26"/>
              </w:rPr>
              <w:t>Kinetic Energy Associates, LLC.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235AF5">
              <w:rPr>
                <w:color w:val="auto"/>
                <w:sz w:val="26"/>
                <w:szCs w:val="26"/>
              </w:rPr>
              <w:t>Broker</w:t>
            </w:r>
            <w:r w:rsidR="00D35356" w:rsidRPr="00235AF5">
              <w:rPr>
                <w:color w:val="auto"/>
                <w:sz w:val="26"/>
                <w:szCs w:val="26"/>
              </w:rPr>
              <w:t>/Marketer</w:t>
            </w:r>
          </w:p>
        </w:tc>
        <w:tc>
          <w:tcPr>
            <w:tcW w:w="3780" w:type="dxa"/>
          </w:tcPr>
          <w:p w:rsidR="00327F6C" w:rsidRPr="00267FA7" w:rsidRDefault="00327F6C" w:rsidP="00536337">
            <w:pPr>
              <w:rPr>
                <w:color w:val="auto"/>
                <w:sz w:val="26"/>
                <w:szCs w:val="26"/>
              </w:rPr>
            </w:pPr>
          </w:p>
          <w:p w:rsidR="00327F6C" w:rsidRPr="00235AF5" w:rsidRDefault="00327F6C" w:rsidP="0092102E">
            <w:pPr>
              <w:pStyle w:val="BodyTextIndent2"/>
              <w:ind w:left="1440"/>
              <w:jc w:val="left"/>
              <w:rPr>
                <w:color w:val="auto"/>
                <w:szCs w:val="26"/>
              </w:rPr>
            </w:pPr>
            <w:r w:rsidRPr="00267FA7">
              <w:rPr>
                <w:color w:val="auto"/>
              </w:rPr>
              <w:t>Docket No</w:t>
            </w:r>
            <w:r w:rsidR="00422FD5">
              <w:rPr>
                <w:color w:val="auto"/>
              </w:rPr>
              <w:br/>
            </w:r>
            <w:r w:rsidR="005A415C">
              <w:rPr>
                <w:color w:val="auto"/>
              </w:rPr>
              <w:t>A-201</w:t>
            </w:r>
            <w:r w:rsidR="0092102E">
              <w:rPr>
                <w:color w:val="auto"/>
              </w:rPr>
              <w:t>2</w:t>
            </w:r>
            <w:r w:rsidR="00235AF5">
              <w:rPr>
                <w:color w:val="auto"/>
              </w:rPr>
              <w:t>-2</w:t>
            </w:r>
            <w:r w:rsidR="005A415C">
              <w:rPr>
                <w:color w:val="auto"/>
              </w:rPr>
              <w:t>2</w:t>
            </w:r>
            <w:r w:rsidR="007509DB">
              <w:rPr>
                <w:color w:val="auto"/>
              </w:rPr>
              <w:t>89988</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E24DBA" w:rsidRPr="00267FA7" w:rsidRDefault="00E24DBA">
      <w:pPr>
        <w:spacing w:line="360" w:lineRule="auto"/>
        <w:rPr>
          <w:color w:val="auto"/>
          <w:sz w:val="26"/>
          <w:szCs w:val="26"/>
        </w:rPr>
      </w:pP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92102E">
        <w:rPr>
          <w:color w:val="auto"/>
          <w:sz w:val="26"/>
          <w:szCs w:val="26"/>
        </w:rPr>
        <w:t>February 22</w:t>
      </w:r>
      <w:r w:rsidR="00235AF5">
        <w:rPr>
          <w:color w:val="auto"/>
          <w:sz w:val="26"/>
          <w:szCs w:val="26"/>
        </w:rPr>
        <w:t xml:space="preserve">, </w:t>
      </w:r>
      <w:r w:rsidR="0092102E">
        <w:rPr>
          <w:color w:val="auto"/>
          <w:sz w:val="26"/>
          <w:szCs w:val="26"/>
        </w:rPr>
        <w:t>2012</w:t>
      </w:r>
      <w:r w:rsidRPr="00267FA7">
        <w:rPr>
          <w:color w:val="auto"/>
          <w:sz w:val="26"/>
          <w:szCs w:val="26"/>
        </w:rPr>
        <w:t>,</w:t>
      </w:r>
      <w:r w:rsidR="00A750F1">
        <w:rPr>
          <w:color w:val="auto"/>
          <w:sz w:val="26"/>
          <w:szCs w:val="26"/>
        </w:rPr>
        <w:t xml:space="preserve"> </w:t>
      </w:r>
      <w:r w:rsidR="0092102E">
        <w:rPr>
          <w:color w:val="auto"/>
          <w:sz w:val="26"/>
          <w:szCs w:val="26"/>
        </w:rPr>
        <w:t>Kinetic Energy Associates, LLC.</w:t>
      </w:r>
      <w:r w:rsidR="00B22A09" w:rsidRPr="00267FA7">
        <w:rPr>
          <w:color w:val="auto"/>
          <w:sz w:val="26"/>
          <w:szCs w:val="26"/>
        </w:rPr>
        <w:t xml:space="preserve"> </w:t>
      </w:r>
      <w:r w:rsidR="00A128CF">
        <w:rPr>
          <w:color w:val="auto"/>
          <w:sz w:val="26"/>
          <w:szCs w:val="26"/>
        </w:rPr>
        <w:t>(</w:t>
      </w:r>
      <w:r w:rsidR="0092102E">
        <w:rPr>
          <w:color w:val="auto"/>
          <w:sz w:val="26"/>
          <w:szCs w:val="26"/>
        </w:rPr>
        <w:t>“KEA</w:t>
      </w:r>
      <w:r w:rsidR="00B22A09">
        <w:rPr>
          <w:color w:val="auto"/>
          <w:sz w:val="26"/>
          <w:szCs w:val="26"/>
        </w:rPr>
        <w:t>”</w:t>
      </w:r>
      <w:r w:rsidR="00235AF5">
        <w:rPr>
          <w:color w:val="auto"/>
          <w:sz w:val="26"/>
          <w:szCs w:val="26"/>
        </w:rPr>
        <w:t>) f</w:t>
      </w:r>
      <w:r w:rsidRPr="00267FA7">
        <w:rPr>
          <w:color w:val="auto"/>
          <w:sz w:val="26"/>
          <w:szCs w:val="26"/>
        </w:rPr>
        <w:t>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w:t>
      </w:r>
      <w:r w:rsidR="00610D40">
        <w:rPr>
          <w:color w:val="auto"/>
          <w:sz w:val="26"/>
          <w:szCs w:val="26"/>
        </w:rPr>
        <w:t xml:space="preserve">all of </w:t>
      </w:r>
      <w:r w:rsidRPr="00267FA7">
        <w:rPr>
          <w:color w:val="auto"/>
          <w:sz w:val="26"/>
          <w:szCs w:val="26"/>
        </w:rPr>
        <w:t>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 xml:space="preserve">service territories </w:t>
      </w:r>
      <w:r w:rsidR="00610D40">
        <w:rPr>
          <w:color w:val="auto"/>
          <w:sz w:val="26"/>
          <w:szCs w:val="26"/>
        </w:rPr>
        <w:t xml:space="preserve">throughout </w:t>
      </w:r>
      <w:r w:rsidR="00F64821" w:rsidRPr="00267FA7">
        <w:rPr>
          <w:color w:val="auto"/>
          <w:sz w:val="26"/>
          <w:szCs w:val="26"/>
        </w:rPr>
        <w:t>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w:t>
      </w:r>
      <w:r w:rsidR="00E24DBA">
        <w:rPr>
          <w:color w:val="auto"/>
          <w:sz w:val="26"/>
          <w:szCs w:val="26"/>
        </w:rPr>
        <w:t xml:space="preserve"> Commission’s regulations at 52 </w:t>
      </w:r>
      <w:r w:rsidRPr="00267FA7">
        <w:rPr>
          <w:color w:val="auto"/>
          <w:sz w:val="26"/>
          <w:szCs w:val="26"/>
        </w:rPr>
        <w:t>Pa.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ection 2809 of the Public Utility Code, 66 Pa. C.S. §</w:t>
      </w:r>
      <w:r w:rsidR="00DC30AE">
        <w:rPr>
          <w:color w:val="auto"/>
          <w:sz w:val="26"/>
          <w:szCs w:val="26"/>
        </w:rPr>
        <w:t xml:space="preserve"> </w:t>
      </w:r>
      <w:r w:rsidRPr="00267FA7">
        <w:rPr>
          <w:color w:val="auto"/>
          <w:sz w:val="26"/>
          <w:szCs w:val="26"/>
        </w:rPr>
        <w:t>2809.</w:t>
      </w:r>
    </w:p>
    <w:p w:rsidR="00327F6C" w:rsidRPr="00267FA7" w:rsidRDefault="00327F6C">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w:t>
      </w:r>
      <w:r w:rsidRPr="00267FA7">
        <w:rPr>
          <w:color w:val="auto"/>
          <w:szCs w:val="26"/>
        </w:rPr>
        <w:lastRenderedPageBreak/>
        <w:t>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772FFF" w:rsidRDefault="00772FFF" w:rsidP="00DE7122">
      <w:pPr>
        <w:tabs>
          <w:tab w:val="left" w:pos="0"/>
        </w:tabs>
        <w:suppressAutoHyphens/>
        <w:spacing w:line="360" w:lineRule="auto"/>
        <w:ind w:firstLine="1440"/>
        <w:rPr>
          <w:b/>
          <w:color w:val="0070C0"/>
          <w:spacing w:val="-3"/>
          <w:kern w:val="1"/>
          <w:sz w:val="26"/>
          <w:szCs w:val="26"/>
        </w:rPr>
      </w:pPr>
    </w:p>
    <w:p w:rsidR="006064B1" w:rsidRDefault="009A059E" w:rsidP="006064B1">
      <w:pPr>
        <w:tabs>
          <w:tab w:val="left" w:pos="0"/>
        </w:tabs>
        <w:suppressAutoHyphens/>
        <w:spacing w:line="360" w:lineRule="auto"/>
        <w:ind w:firstLine="1440"/>
        <w:rPr>
          <w:color w:val="auto"/>
          <w:sz w:val="26"/>
          <w:szCs w:val="26"/>
        </w:rPr>
      </w:pPr>
      <w:r>
        <w:rPr>
          <w:color w:val="auto"/>
          <w:sz w:val="26"/>
          <w:szCs w:val="26"/>
        </w:rPr>
        <w:t xml:space="preserve">KEA </w:t>
      </w:r>
      <w:r w:rsidR="0061373D">
        <w:rPr>
          <w:color w:val="auto"/>
          <w:sz w:val="26"/>
          <w:szCs w:val="26"/>
        </w:rPr>
        <w:t xml:space="preserve">received its </w:t>
      </w:r>
      <w:r>
        <w:rPr>
          <w:color w:val="auto"/>
          <w:sz w:val="26"/>
          <w:szCs w:val="26"/>
        </w:rPr>
        <w:t>Certificate</w:t>
      </w:r>
      <w:r w:rsidR="0061373D">
        <w:rPr>
          <w:color w:val="auto"/>
          <w:sz w:val="26"/>
          <w:szCs w:val="26"/>
        </w:rPr>
        <w:t xml:space="preserve"> of Org</w:t>
      </w:r>
      <w:r w:rsidR="0004664D">
        <w:rPr>
          <w:color w:val="auto"/>
          <w:sz w:val="26"/>
          <w:szCs w:val="26"/>
        </w:rPr>
        <w:t xml:space="preserve">anization </w:t>
      </w:r>
      <w:r>
        <w:rPr>
          <w:color w:val="auto"/>
          <w:sz w:val="26"/>
          <w:szCs w:val="26"/>
        </w:rPr>
        <w:t xml:space="preserve">as a Domestic Limited Liability Company </w:t>
      </w:r>
      <w:r w:rsidR="0004664D">
        <w:rPr>
          <w:color w:val="auto"/>
          <w:sz w:val="26"/>
          <w:szCs w:val="26"/>
        </w:rPr>
        <w:t xml:space="preserve">from the State of </w:t>
      </w:r>
      <w:r>
        <w:rPr>
          <w:color w:val="auto"/>
          <w:sz w:val="26"/>
          <w:szCs w:val="26"/>
        </w:rPr>
        <w:t>Pennsylvania on October 17</w:t>
      </w:r>
      <w:r w:rsidR="00414718">
        <w:rPr>
          <w:color w:val="auto"/>
          <w:sz w:val="26"/>
          <w:szCs w:val="26"/>
        </w:rPr>
        <w:t>,</w:t>
      </w:r>
      <w:r>
        <w:rPr>
          <w:color w:val="auto"/>
          <w:sz w:val="26"/>
          <w:szCs w:val="26"/>
        </w:rPr>
        <w:t xml:space="preserve"> 2011.</w:t>
      </w:r>
      <w:r w:rsidR="00CC0FFA" w:rsidRPr="00A600ED">
        <w:rPr>
          <w:color w:val="auto"/>
          <w:sz w:val="26"/>
          <w:szCs w:val="26"/>
        </w:rPr>
        <w:t xml:space="preserve">  </w:t>
      </w:r>
      <w:r>
        <w:rPr>
          <w:color w:val="auto"/>
          <w:sz w:val="26"/>
          <w:szCs w:val="26"/>
        </w:rPr>
        <w:t>KEA</w:t>
      </w:r>
      <w:r w:rsidR="00414718">
        <w:rPr>
          <w:color w:val="auto"/>
          <w:sz w:val="26"/>
          <w:szCs w:val="26"/>
        </w:rPr>
        <w:t xml:space="preserve"> will take no title to electricity or make or process utility payments on behalf of their customers. </w:t>
      </w:r>
      <w:r>
        <w:rPr>
          <w:color w:val="auto"/>
          <w:sz w:val="26"/>
          <w:szCs w:val="26"/>
        </w:rPr>
        <w:t>KEA</w:t>
      </w:r>
      <w:r w:rsidR="00414718">
        <w:rPr>
          <w:color w:val="auto"/>
          <w:sz w:val="26"/>
          <w:szCs w:val="26"/>
        </w:rPr>
        <w:t xml:space="preserve"> </w:t>
      </w:r>
      <w:r w:rsidR="00414718" w:rsidRPr="00A600ED">
        <w:rPr>
          <w:color w:val="auto"/>
          <w:sz w:val="26"/>
          <w:szCs w:val="26"/>
        </w:rPr>
        <w:t>proposes</w:t>
      </w:r>
      <w:r w:rsidR="00AC3E9D" w:rsidRPr="00A600ED">
        <w:rPr>
          <w:color w:val="auto"/>
          <w:sz w:val="26"/>
          <w:szCs w:val="26"/>
        </w:rPr>
        <w:t xml:space="preserve"> to </w:t>
      </w:r>
      <w:r w:rsidR="00B03F6B" w:rsidRPr="00A600ED">
        <w:rPr>
          <w:color w:val="auto"/>
          <w:sz w:val="26"/>
          <w:szCs w:val="26"/>
        </w:rPr>
        <w:t xml:space="preserve">offer, render, furnish or supply electricity or electric generation services as a broker/marketer </w:t>
      </w:r>
      <w:r w:rsidR="00914A75" w:rsidRPr="00A600ED">
        <w:rPr>
          <w:color w:val="auto"/>
          <w:sz w:val="26"/>
          <w:szCs w:val="26"/>
        </w:rPr>
        <w:t>for</w:t>
      </w:r>
      <w:r w:rsidR="00E27B13">
        <w:rPr>
          <w:color w:val="auto"/>
          <w:sz w:val="26"/>
          <w:szCs w:val="26"/>
        </w:rPr>
        <w:t xml:space="preserve"> </w:t>
      </w:r>
      <w:r w:rsidR="008D3C49">
        <w:rPr>
          <w:color w:val="auto"/>
          <w:sz w:val="26"/>
          <w:szCs w:val="26"/>
        </w:rPr>
        <w:t>residential, small c</w:t>
      </w:r>
      <w:r w:rsidR="00D23386">
        <w:rPr>
          <w:color w:val="auto"/>
          <w:sz w:val="26"/>
          <w:szCs w:val="26"/>
        </w:rPr>
        <w:t>ommercial (25 kW and under</w:t>
      </w:r>
      <w:r w:rsidR="008D3C49">
        <w:rPr>
          <w:color w:val="auto"/>
          <w:sz w:val="26"/>
          <w:szCs w:val="26"/>
        </w:rPr>
        <w:t xml:space="preserve"> demand</w:t>
      </w:r>
      <w:r w:rsidR="00D23386">
        <w:rPr>
          <w:color w:val="auto"/>
          <w:sz w:val="26"/>
          <w:szCs w:val="26"/>
        </w:rPr>
        <w:t xml:space="preserve">), </w:t>
      </w:r>
      <w:r w:rsidR="008D3C49">
        <w:rPr>
          <w:color w:val="auto"/>
          <w:sz w:val="26"/>
          <w:szCs w:val="26"/>
        </w:rPr>
        <w:t>l</w:t>
      </w:r>
      <w:r w:rsidR="00D23386">
        <w:rPr>
          <w:color w:val="auto"/>
          <w:sz w:val="26"/>
          <w:szCs w:val="26"/>
        </w:rPr>
        <w:t xml:space="preserve">arge </w:t>
      </w:r>
      <w:r w:rsidR="008D3C49">
        <w:rPr>
          <w:color w:val="auto"/>
          <w:sz w:val="26"/>
          <w:szCs w:val="26"/>
        </w:rPr>
        <w:t>c</w:t>
      </w:r>
      <w:r w:rsidR="00D23386">
        <w:rPr>
          <w:color w:val="auto"/>
          <w:sz w:val="26"/>
          <w:szCs w:val="26"/>
        </w:rPr>
        <w:t>ommercial (</w:t>
      </w:r>
      <w:r w:rsidR="008D3C49">
        <w:rPr>
          <w:color w:val="auto"/>
          <w:sz w:val="26"/>
          <w:szCs w:val="26"/>
        </w:rPr>
        <w:t>o</w:t>
      </w:r>
      <w:r w:rsidR="00D23386">
        <w:rPr>
          <w:color w:val="auto"/>
          <w:sz w:val="26"/>
          <w:szCs w:val="26"/>
        </w:rPr>
        <w:t>ver 25 kW),</w:t>
      </w:r>
      <w:r w:rsidR="008D3C49">
        <w:rPr>
          <w:color w:val="auto"/>
          <w:sz w:val="26"/>
          <w:szCs w:val="26"/>
        </w:rPr>
        <w:t xml:space="preserve"> i</w:t>
      </w:r>
      <w:r w:rsidR="00E27B13">
        <w:rPr>
          <w:color w:val="auto"/>
          <w:sz w:val="26"/>
          <w:szCs w:val="26"/>
        </w:rPr>
        <w:t>ndustrial</w:t>
      </w:r>
      <w:r w:rsidR="008D3C49">
        <w:rPr>
          <w:color w:val="auto"/>
          <w:sz w:val="26"/>
          <w:szCs w:val="26"/>
        </w:rPr>
        <w:t xml:space="preserve"> and g</w:t>
      </w:r>
      <w:r w:rsidR="00D23386">
        <w:rPr>
          <w:color w:val="auto"/>
          <w:sz w:val="26"/>
          <w:szCs w:val="26"/>
        </w:rPr>
        <w:t>overnmental</w:t>
      </w:r>
      <w:r w:rsidR="00E27B13">
        <w:rPr>
          <w:color w:val="auto"/>
          <w:sz w:val="26"/>
          <w:szCs w:val="26"/>
        </w:rPr>
        <w:t xml:space="preserve"> customers</w:t>
      </w:r>
      <w:r w:rsidR="008D3C49">
        <w:rPr>
          <w:color w:val="auto"/>
          <w:sz w:val="26"/>
          <w:szCs w:val="26"/>
        </w:rPr>
        <w:t xml:space="preserve"> in all the electric distribution company service territories throughout the Commonwealth of Pennsylvania</w:t>
      </w:r>
      <w:r w:rsidR="00B03F6B" w:rsidRPr="00A600ED">
        <w:rPr>
          <w:color w:val="auto"/>
          <w:sz w:val="26"/>
          <w:szCs w:val="26"/>
        </w:rPr>
        <w:t>.</w:t>
      </w:r>
      <w:r w:rsidR="00DE7122" w:rsidRPr="00A600ED">
        <w:rPr>
          <w:color w:val="auto"/>
          <w:sz w:val="26"/>
          <w:szCs w:val="26"/>
        </w:rPr>
        <w:t xml:space="preserve">  </w:t>
      </w:r>
    </w:p>
    <w:p w:rsidR="00414718" w:rsidRDefault="00414718" w:rsidP="006064B1">
      <w:pPr>
        <w:tabs>
          <w:tab w:val="left" w:pos="0"/>
        </w:tabs>
        <w:suppressAutoHyphens/>
        <w:spacing w:line="360" w:lineRule="auto"/>
        <w:ind w:firstLine="1440"/>
        <w:rPr>
          <w:color w:val="auto"/>
          <w:sz w:val="26"/>
          <w:szCs w:val="26"/>
        </w:rPr>
      </w:pPr>
    </w:p>
    <w:p w:rsidR="00D23386" w:rsidRPr="00187C75" w:rsidRDefault="00D23386" w:rsidP="00D23386">
      <w:pPr>
        <w:tabs>
          <w:tab w:val="left" w:pos="0"/>
        </w:tabs>
        <w:suppressAutoHyphens/>
        <w:spacing w:line="360" w:lineRule="auto"/>
        <w:ind w:right="90"/>
        <w:rPr>
          <w:color w:val="auto"/>
          <w:spacing w:val="-3"/>
          <w:kern w:val="2"/>
          <w:sz w:val="26"/>
        </w:rPr>
      </w:pPr>
      <w:r>
        <w:rPr>
          <w:color w:val="auto"/>
          <w:sz w:val="26"/>
          <w:szCs w:val="26"/>
        </w:rPr>
        <w:tab/>
      </w:r>
      <w:r>
        <w:rPr>
          <w:color w:val="auto"/>
          <w:sz w:val="26"/>
          <w:szCs w:val="26"/>
        </w:rPr>
        <w:tab/>
        <w:t xml:space="preserve">KEA </w:t>
      </w:r>
      <w:r>
        <w:rPr>
          <w:color w:val="auto"/>
          <w:spacing w:val="-3"/>
          <w:kern w:val="2"/>
          <w:sz w:val="26"/>
        </w:rPr>
        <w:t xml:space="preserve">is </w:t>
      </w:r>
      <w:r w:rsidRPr="00267FA7">
        <w:rPr>
          <w:color w:val="auto"/>
          <w:spacing w:val="-3"/>
          <w:kern w:val="2"/>
          <w:sz w:val="26"/>
        </w:rPr>
        <w:t>required to comply with, and be governed by, applicable Chapter</w:t>
      </w:r>
      <w:r>
        <w:rPr>
          <w:color w:val="auto"/>
          <w:spacing w:val="-3"/>
          <w:kern w:val="2"/>
          <w:sz w:val="26"/>
        </w:rPr>
        <w:t> </w:t>
      </w:r>
      <w:r w:rsidRPr="00267FA7">
        <w:rPr>
          <w:color w:val="auto"/>
          <w:spacing w:val="-3"/>
          <w:kern w:val="2"/>
          <w:sz w:val="26"/>
        </w:rPr>
        <w:t xml:space="preserve">56 residential service regulations as set forth in the Commission Order </w:t>
      </w:r>
      <w:r w:rsidRPr="00267FA7">
        <w:rPr>
          <w:i/>
          <w:color w:val="auto"/>
          <w:spacing w:val="-3"/>
          <w:kern w:val="2"/>
          <w:sz w:val="26"/>
        </w:rPr>
        <w:t>Guidelines for Maintaining Customer Service at the Same Level of Quality Pursuant to 66 Pa. C.S.</w:t>
      </w:r>
      <w:r>
        <w:rPr>
          <w:i/>
          <w:color w:val="auto"/>
          <w:spacing w:val="-3"/>
          <w:kern w:val="2"/>
          <w:sz w:val="26"/>
        </w:rPr>
        <w:t> </w:t>
      </w:r>
      <w:r w:rsidRPr="00267FA7">
        <w:rPr>
          <w:i/>
          <w:color w:val="auto"/>
          <w:spacing w:val="-3"/>
          <w:kern w:val="2"/>
          <w:sz w:val="26"/>
        </w:rPr>
        <w:t>§</w:t>
      </w:r>
      <w:r>
        <w:rPr>
          <w:i/>
          <w:color w:val="auto"/>
          <w:spacing w:val="-3"/>
          <w:kern w:val="2"/>
          <w:sz w:val="26"/>
        </w:rPr>
        <w:t> </w:t>
      </w:r>
      <w:r w:rsidRPr="00267FA7">
        <w:rPr>
          <w:i/>
          <w:color w:val="auto"/>
          <w:spacing w:val="-3"/>
          <w:kern w:val="2"/>
          <w:sz w:val="26"/>
        </w:rPr>
        <w:t>2807(d),</w:t>
      </w:r>
      <w:r>
        <w:rPr>
          <w:i/>
          <w:color w:val="auto"/>
          <w:spacing w:val="-3"/>
          <w:kern w:val="2"/>
          <w:sz w:val="26"/>
        </w:rPr>
        <w:t xml:space="preserve"> and</w:t>
      </w:r>
      <w:r w:rsidRPr="00267FA7">
        <w:rPr>
          <w:i/>
          <w:color w:val="auto"/>
          <w:spacing w:val="-3"/>
          <w:kern w:val="2"/>
          <w:sz w:val="26"/>
        </w:rPr>
        <w:t xml:space="preserve"> Assuring Conformance with 52 Pa. Code Chapter 56 Pursuant to 66 </w:t>
      </w:r>
      <w:r>
        <w:rPr>
          <w:i/>
          <w:color w:val="auto"/>
          <w:spacing w:val="-3"/>
          <w:kern w:val="2"/>
          <w:sz w:val="26"/>
        </w:rPr>
        <w:t xml:space="preserve">Pa. C.S. </w:t>
      </w:r>
      <w:r w:rsidRPr="00267FA7">
        <w:rPr>
          <w:i/>
          <w:color w:val="auto"/>
          <w:spacing w:val="-3"/>
          <w:kern w:val="2"/>
          <w:sz w:val="26"/>
        </w:rPr>
        <w:t>§</w:t>
      </w:r>
      <w:r>
        <w:rPr>
          <w:i/>
          <w:color w:val="auto"/>
          <w:spacing w:val="-3"/>
          <w:kern w:val="2"/>
          <w:sz w:val="26"/>
        </w:rPr>
        <w:t xml:space="preserve"> </w:t>
      </w:r>
      <w:r w:rsidRPr="00267FA7">
        <w:rPr>
          <w:i/>
          <w:color w:val="auto"/>
          <w:spacing w:val="-3"/>
          <w:kern w:val="2"/>
          <w:sz w:val="26"/>
        </w:rPr>
        <w:t>2809(e) and (f)</w:t>
      </w:r>
      <w:r>
        <w:rPr>
          <w:color w:val="auto"/>
          <w:spacing w:val="-3"/>
          <w:kern w:val="2"/>
          <w:sz w:val="26"/>
        </w:rPr>
        <w:t xml:space="preserve"> at Docket No. </w:t>
      </w:r>
      <w:r w:rsidRPr="00C650CA">
        <w:rPr>
          <w:color w:val="auto"/>
          <w:spacing w:val="-3"/>
          <w:kern w:val="2"/>
          <w:sz w:val="26"/>
        </w:rPr>
        <w:t>M-00960890 F0011</w:t>
      </w:r>
      <w:r>
        <w:rPr>
          <w:color w:val="auto"/>
          <w:spacing w:val="-3"/>
          <w:kern w:val="2"/>
          <w:sz w:val="26"/>
        </w:rPr>
        <w:t>, Order entered July 11, 1997</w:t>
      </w:r>
      <w:r w:rsidRPr="00C650CA">
        <w:rPr>
          <w:color w:val="auto"/>
          <w:spacing w:val="-3"/>
          <w:kern w:val="2"/>
          <w:sz w:val="26"/>
        </w:rPr>
        <w:t xml:space="preserve">.  </w:t>
      </w:r>
      <w:r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Pr="00267FA7">
            <w:rPr>
              <w:color w:val="auto"/>
              <w:spacing w:val="-3"/>
              <w:kern w:val="2"/>
              <w:sz w:val="26"/>
            </w:rPr>
            <w:t>Pa</w:t>
          </w:r>
          <w:r>
            <w:rPr>
              <w:color w:val="auto"/>
              <w:spacing w:val="-3"/>
              <w:kern w:val="2"/>
              <w:sz w:val="26"/>
            </w:rPr>
            <w:t>.</w:t>
          </w:r>
        </w:smartTag>
      </w:smartTag>
      <w:r w:rsidRPr="00267FA7">
        <w:rPr>
          <w:color w:val="auto"/>
          <w:spacing w:val="-3"/>
          <w:kern w:val="2"/>
          <w:sz w:val="26"/>
        </w:rPr>
        <w:t xml:space="preserve"> Code Chapter 56) is applicable to residential accounts.  An </w:t>
      </w:r>
      <w:r>
        <w:rPr>
          <w:color w:val="auto"/>
          <w:spacing w:val="-3"/>
          <w:kern w:val="2"/>
          <w:sz w:val="26"/>
        </w:rPr>
        <w:t>EGS</w:t>
      </w:r>
      <w:r w:rsidRPr="00267FA7">
        <w:rPr>
          <w:color w:val="auto"/>
          <w:spacing w:val="-3"/>
          <w:kern w:val="2"/>
          <w:sz w:val="26"/>
        </w:rPr>
        <w:t xml:space="preserve"> cannot physically disconnect a residential customer from the electricity grid; therefore, the rules relating to residential service termination are not applicable to </w:t>
      </w:r>
      <w:r>
        <w:rPr>
          <w:color w:val="auto"/>
          <w:spacing w:val="-3"/>
          <w:kern w:val="2"/>
          <w:sz w:val="26"/>
        </w:rPr>
        <w:t>EGS</w:t>
      </w:r>
      <w:r w:rsidRPr="00267FA7">
        <w:rPr>
          <w:color w:val="auto"/>
          <w:spacing w:val="-3"/>
          <w:kern w:val="2"/>
          <w:sz w:val="26"/>
        </w:rPr>
        <w:t xml:space="preserve">s.  </w:t>
      </w:r>
      <w:r w:rsidRPr="00267FA7">
        <w:rPr>
          <w:color w:val="auto"/>
          <w:spacing w:val="-3"/>
          <w:kern w:val="2"/>
          <w:sz w:val="26"/>
        </w:rPr>
        <w:lastRenderedPageBreak/>
        <w:t xml:space="preserve">An </w:t>
      </w:r>
      <w:r>
        <w:rPr>
          <w:color w:val="auto"/>
          <w:spacing w:val="-3"/>
          <w:kern w:val="2"/>
          <w:sz w:val="26"/>
        </w:rPr>
        <w:t>EGS</w:t>
      </w:r>
      <w:r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w:t>
      </w:r>
      <w:r>
        <w:rPr>
          <w:color w:val="auto"/>
          <w:spacing w:val="-3"/>
          <w:kern w:val="2"/>
          <w:sz w:val="26"/>
        </w:rPr>
        <w:t xml:space="preserve"> seek a new supplier, or return</w:t>
      </w:r>
      <w:r w:rsidRPr="00267FA7">
        <w:rPr>
          <w:color w:val="auto"/>
          <w:spacing w:val="-3"/>
          <w:kern w:val="2"/>
          <w:sz w:val="26"/>
        </w:rPr>
        <w:t xml:space="preserve"> to utility service at </w:t>
      </w:r>
      <w:r>
        <w:rPr>
          <w:color w:val="auto"/>
          <w:spacing w:val="-3"/>
          <w:kern w:val="2"/>
          <w:sz w:val="26"/>
        </w:rPr>
        <w:t>default service</w:t>
      </w:r>
      <w:r w:rsidRPr="00267FA7">
        <w:rPr>
          <w:color w:val="auto"/>
          <w:spacing w:val="-3"/>
          <w:kern w:val="2"/>
          <w:sz w:val="26"/>
        </w:rPr>
        <w:t xml:space="preserve"> rates in accordance with the utility's obligations under </w:t>
      </w:r>
      <w:r>
        <w:rPr>
          <w:color w:val="auto"/>
          <w:spacing w:val="-3"/>
          <w:kern w:val="2"/>
          <w:sz w:val="26"/>
        </w:rPr>
        <w:t>section 2807(e), 66 </w:t>
      </w:r>
      <w:r w:rsidRPr="00267FA7">
        <w:rPr>
          <w:color w:val="auto"/>
          <w:spacing w:val="-3"/>
          <w:kern w:val="2"/>
          <w:sz w:val="26"/>
        </w:rPr>
        <w:t>Pa. C.S. §</w:t>
      </w:r>
      <w:r>
        <w:rPr>
          <w:color w:val="auto"/>
          <w:spacing w:val="-3"/>
          <w:kern w:val="2"/>
          <w:sz w:val="26"/>
        </w:rPr>
        <w:t xml:space="preserve"> </w:t>
      </w:r>
      <w:r w:rsidRPr="00267FA7">
        <w:rPr>
          <w:color w:val="auto"/>
          <w:spacing w:val="-3"/>
          <w:kern w:val="2"/>
          <w:sz w:val="26"/>
        </w:rPr>
        <w:t xml:space="preserve">2807(e).  The customer would only be disconnected from the electricity grid pursuant to appropriate regulations if the customer failed to meet its obligations to the utility or the </w:t>
      </w:r>
      <w:r>
        <w:rPr>
          <w:color w:val="auto"/>
          <w:spacing w:val="-3"/>
          <w:kern w:val="2"/>
          <w:sz w:val="26"/>
        </w:rPr>
        <w:t>EGS</w:t>
      </w:r>
      <w:r w:rsidRPr="00267FA7">
        <w:rPr>
          <w:color w:val="auto"/>
          <w:spacing w:val="-3"/>
          <w:kern w:val="2"/>
          <w:sz w:val="26"/>
        </w:rPr>
        <w:t xml:space="preserve"> that has been designated by the Commission as the provider of last resort.</w:t>
      </w:r>
    </w:p>
    <w:p w:rsidR="00327F6C" w:rsidRDefault="00D23386">
      <w:pPr>
        <w:tabs>
          <w:tab w:val="left" w:pos="0"/>
        </w:tabs>
        <w:suppressAutoHyphens/>
        <w:spacing w:line="360" w:lineRule="auto"/>
        <w:rPr>
          <w:color w:val="auto"/>
          <w:spacing w:val="-3"/>
          <w:kern w:val="1"/>
          <w:sz w:val="26"/>
          <w:szCs w:val="26"/>
        </w:rPr>
      </w:pPr>
      <w:r>
        <w:rPr>
          <w:color w:val="auto"/>
          <w:spacing w:val="-3"/>
          <w:kern w:val="1"/>
          <w:sz w:val="26"/>
          <w:szCs w:val="26"/>
        </w:rPr>
        <w:tab/>
      </w:r>
    </w:p>
    <w:p w:rsidR="00FA1AA3" w:rsidRPr="00267FA7" w:rsidRDefault="00FA1AA3">
      <w:pPr>
        <w:tabs>
          <w:tab w:val="left" w:pos="0"/>
        </w:tabs>
        <w:suppressAutoHyphens/>
        <w:spacing w:line="360" w:lineRule="auto"/>
        <w:rPr>
          <w:color w:val="auto"/>
          <w:spacing w:val="-3"/>
          <w:kern w:val="1"/>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267FA7" w:rsidRDefault="00327F6C">
      <w:pPr>
        <w:tabs>
          <w:tab w:val="left" w:pos="0"/>
        </w:tabs>
        <w:suppressAutoHyphens/>
        <w:spacing w:line="360" w:lineRule="auto"/>
        <w:rPr>
          <w:color w:val="auto"/>
          <w:spacing w:val="-3"/>
          <w:kern w:val="1"/>
          <w:sz w:val="26"/>
          <w:szCs w:val="26"/>
        </w:rPr>
      </w:pPr>
    </w:p>
    <w:p w:rsidR="00327F6C" w:rsidRDefault="00D23386" w:rsidP="00D44084">
      <w:pPr>
        <w:tabs>
          <w:tab w:val="left" w:pos="0"/>
        </w:tabs>
        <w:suppressAutoHyphens/>
        <w:spacing w:line="360" w:lineRule="auto"/>
        <w:ind w:firstLine="1440"/>
        <w:rPr>
          <w:color w:val="auto"/>
          <w:kern w:val="1"/>
          <w:sz w:val="26"/>
          <w:szCs w:val="26"/>
        </w:rPr>
      </w:pPr>
      <w:r>
        <w:rPr>
          <w:color w:val="auto"/>
          <w:sz w:val="26"/>
          <w:szCs w:val="26"/>
        </w:rPr>
        <w:t>KEA</w:t>
      </w:r>
      <w:r w:rsidR="00C24861" w:rsidRPr="00267FA7">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p>
    <w:p w:rsidR="00B6411D" w:rsidRPr="00267FA7" w:rsidRDefault="00B6411D"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Regarding the financial and technical requirements of the license application</w:t>
      </w:r>
      <w:r w:rsidR="00CB18BE" w:rsidRPr="00267FA7">
        <w:rPr>
          <w:color w:val="auto"/>
          <w:kern w:val="1"/>
          <w:sz w:val="26"/>
          <w:szCs w:val="26"/>
        </w:rPr>
        <w:t xml:space="preserve">, </w:t>
      </w:r>
      <w:r w:rsidR="00D23386">
        <w:rPr>
          <w:color w:val="auto"/>
          <w:sz w:val="26"/>
          <w:szCs w:val="26"/>
        </w:rPr>
        <w:t>KEA</w:t>
      </w:r>
      <w:r w:rsidR="009653EF" w:rsidRPr="00267FA7">
        <w:rPr>
          <w:color w:val="auto"/>
          <w:sz w:val="26"/>
          <w:szCs w:val="26"/>
        </w:rPr>
        <w:t xml:space="preserve"> </w:t>
      </w:r>
      <w:r w:rsidR="00117D2E">
        <w:rPr>
          <w:color w:val="auto"/>
          <w:kern w:val="1"/>
          <w:sz w:val="26"/>
          <w:szCs w:val="26"/>
        </w:rPr>
        <w:t>has</w:t>
      </w:r>
      <w:r w:rsidR="00115BC6" w:rsidRPr="00267FA7">
        <w:rPr>
          <w:color w:val="auto"/>
          <w:kern w:val="1"/>
          <w:sz w:val="26"/>
          <w:szCs w:val="26"/>
        </w:rPr>
        <w:t xml:space="preserve"> </w:t>
      </w:r>
      <w:r w:rsidR="00117D2E" w:rsidRPr="00267FA7">
        <w:rPr>
          <w:color w:val="auto"/>
          <w:kern w:val="1"/>
          <w:sz w:val="26"/>
          <w:szCs w:val="26"/>
        </w:rPr>
        <w:t xml:space="preserve">supplied </w:t>
      </w:r>
      <w:r w:rsidR="00117D2E">
        <w:rPr>
          <w:color w:val="auto"/>
          <w:kern w:val="1"/>
          <w:sz w:val="26"/>
          <w:szCs w:val="26"/>
        </w:rPr>
        <w:t>Federal and State Tax filings for 2011.</w:t>
      </w:r>
      <w:r w:rsidR="00BC554E">
        <w:rPr>
          <w:color w:val="auto"/>
          <w:kern w:val="1"/>
          <w:sz w:val="26"/>
          <w:szCs w:val="26"/>
        </w:rPr>
        <w:t xml:space="preserve"> </w:t>
      </w:r>
      <w:r w:rsidR="00E24DBA">
        <w:rPr>
          <w:color w:val="auto"/>
          <w:kern w:val="1"/>
          <w:sz w:val="26"/>
          <w:szCs w:val="26"/>
        </w:rPr>
        <w:t xml:space="preserve"> </w:t>
      </w:r>
      <w:r w:rsidR="00117D2E">
        <w:rPr>
          <w:color w:val="auto"/>
          <w:sz w:val="26"/>
          <w:szCs w:val="26"/>
        </w:rPr>
        <w:t>KEA</w:t>
      </w:r>
      <w:r w:rsidR="009678AA" w:rsidRPr="00267FA7">
        <w:rPr>
          <w:color w:val="auto"/>
          <w:kern w:val="1"/>
          <w:sz w:val="26"/>
          <w:szCs w:val="26"/>
        </w:rPr>
        <w:t xml:space="preserve"> </w:t>
      </w:r>
      <w:r w:rsidR="00B21A44" w:rsidRPr="00267FA7">
        <w:rPr>
          <w:color w:val="auto"/>
          <w:kern w:val="1"/>
          <w:sz w:val="26"/>
          <w:szCs w:val="26"/>
        </w:rPr>
        <w:t xml:space="preserve">has also provided </w:t>
      </w:r>
      <w:r w:rsidR="00B568C4" w:rsidRPr="00267FA7">
        <w:rPr>
          <w:color w:val="auto"/>
          <w:kern w:val="1"/>
          <w:sz w:val="26"/>
          <w:szCs w:val="26"/>
        </w:rPr>
        <w:t xml:space="preserve">historical </w:t>
      </w:r>
      <w:r w:rsidR="00661BEC" w:rsidRPr="00267FA7">
        <w:rPr>
          <w:color w:val="auto"/>
          <w:kern w:val="1"/>
          <w:sz w:val="26"/>
          <w:szCs w:val="26"/>
        </w:rPr>
        <w:t xml:space="preserve">employment </w:t>
      </w:r>
      <w:r w:rsidR="00B21A44" w:rsidRPr="00267FA7">
        <w:rPr>
          <w:color w:val="auto"/>
          <w:kern w:val="1"/>
          <w:sz w:val="26"/>
          <w:szCs w:val="26"/>
        </w:rPr>
        <w:t xml:space="preserve">information </w:t>
      </w:r>
      <w:r w:rsidR="00661BEC" w:rsidRPr="00267FA7">
        <w:rPr>
          <w:color w:val="auto"/>
          <w:kern w:val="1"/>
          <w:sz w:val="26"/>
          <w:szCs w:val="26"/>
        </w:rPr>
        <w:t xml:space="preserve">for </w:t>
      </w:r>
      <w:r w:rsidR="008E5C0A">
        <w:rPr>
          <w:color w:val="auto"/>
          <w:kern w:val="1"/>
          <w:sz w:val="26"/>
          <w:szCs w:val="26"/>
        </w:rPr>
        <w:t xml:space="preserve">its </w:t>
      </w:r>
      <w:r w:rsidR="00117D2E">
        <w:rPr>
          <w:color w:val="auto"/>
          <w:kern w:val="1"/>
          <w:sz w:val="26"/>
          <w:szCs w:val="26"/>
        </w:rPr>
        <w:t xml:space="preserve">key </w:t>
      </w:r>
      <w:r w:rsidR="00661BEC" w:rsidRPr="00267FA7">
        <w:rPr>
          <w:color w:val="auto"/>
          <w:kern w:val="1"/>
          <w:sz w:val="26"/>
          <w:szCs w:val="26"/>
        </w:rPr>
        <w:t>personnel</w:t>
      </w:r>
      <w:r w:rsidR="00B568C4" w:rsidRPr="00267FA7">
        <w:rPr>
          <w:color w:val="auto"/>
          <w:kern w:val="1"/>
          <w:sz w:val="26"/>
          <w:szCs w:val="26"/>
        </w:rPr>
        <w:t xml:space="preserve"> indicating that they </w:t>
      </w:r>
      <w:r w:rsidR="00B568C4" w:rsidRPr="00267FA7">
        <w:rPr>
          <w:color w:val="auto"/>
          <w:kern w:val="1"/>
          <w:sz w:val="26"/>
          <w:szCs w:val="26"/>
        </w:rPr>
        <w:lastRenderedPageBreak/>
        <w:t>have</w:t>
      </w:r>
      <w:r w:rsidR="00B21A44" w:rsidRPr="00267FA7">
        <w:rPr>
          <w:color w:val="auto"/>
          <w:kern w:val="1"/>
          <w:sz w:val="26"/>
          <w:szCs w:val="26"/>
        </w:rPr>
        <w:t xml:space="preserve"> </w:t>
      </w:r>
      <w:r w:rsidR="009F2483" w:rsidRPr="00267FA7">
        <w:rPr>
          <w:color w:val="auto"/>
          <w:kern w:val="1"/>
          <w:sz w:val="26"/>
          <w:szCs w:val="26"/>
        </w:rPr>
        <w:t>the necessary</w:t>
      </w:r>
      <w:r w:rsidR="00B21A44" w:rsidRPr="00267FA7">
        <w:rPr>
          <w:color w:val="auto"/>
          <w:kern w:val="1"/>
          <w:sz w:val="26"/>
          <w:szCs w:val="26"/>
        </w:rPr>
        <w:t xml:space="preserve"> consulting, utility</w:t>
      </w:r>
      <w:r w:rsidR="00DA770E" w:rsidRPr="00267FA7">
        <w:rPr>
          <w:color w:val="auto"/>
          <w:kern w:val="1"/>
          <w:sz w:val="26"/>
          <w:szCs w:val="26"/>
        </w:rPr>
        <w:t xml:space="preserve"> and/or regulatory experience.</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117D2E">
        <w:rPr>
          <w:color w:val="auto"/>
          <w:sz w:val="26"/>
          <w:szCs w:val="26"/>
        </w:rPr>
        <w:t>KEA</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0F0C10" w:rsidRDefault="00117D2E" w:rsidP="009678AA">
      <w:pPr>
        <w:tabs>
          <w:tab w:val="left" w:pos="0"/>
        </w:tabs>
        <w:suppressAutoHyphens/>
        <w:spacing w:line="360" w:lineRule="auto"/>
        <w:ind w:firstLine="1440"/>
        <w:rPr>
          <w:color w:val="auto"/>
          <w:sz w:val="26"/>
          <w:szCs w:val="26"/>
        </w:rPr>
      </w:pPr>
      <w:r>
        <w:rPr>
          <w:color w:val="auto"/>
          <w:sz w:val="26"/>
          <w:szCs w:val="26"/>
        </w:rPr>
        <w:t>KEA</w:t>
      </w:r>
      <w:r w:rsidR="009678AA"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 xml:space="preserve">, </w:t>
      </w:r>
      <w:r>
        <w:rPr>
          <w:color w:val="auto"/>
          <w:sz w:val="26"/>
          <w:szCs w:val="26"/>
        </w:rPr>
        <w:t>KEA</w:t>
      </w:r>
      <w:r w:rsidR="009678AA" w:rsidRPr="00267FA7">
        <w:rPr>
          <w:color w:val="auto"/>
          <w:sz w:val="26"/>
          <w:szCs w:val="26"/>
        </w:rPr>
        <w:t xml:space="preserve"> </w:t>
      </w:r>
      <w:r w:rsidR="00D44084" w:rsidRPr="00267FA7">
        <w:rPr>
          <w:color w:val="auto"/>
          <w:sz w:val="26"/>
          <w:szCs w:val="26"/>
        </w:rPr>
        <w:t xml:space="preserve">explains that </w:t>
      </w:r>
      <w:r w:rsidR="004D3BB5" w:rsidRPr="00267FA7">
        <w:rPr>
          <w:color w:val="auto"/>
          <w:sz w:val="26"/>
          <w:szCs w:val="26"/>
        </w:rPr>
        <w:t xml:space="preserve">it </w:t>
      </w:r>
      <w:r w:rsidR="00C74F35" w:rsidRPr="00267FA7">
        <w:rPr>
          <w:color w:val="auto"/>
          <w:sz w:val="26"/>
          <w:szCs w:val="26"/>
        </w:rPr>
        <w:t xml:space="preserve">will not </w:t>
      </w:r>
      <w:r w:rsidR="002B285A" w:rsidRPr="00267FA7">
        <w:rPr>
          <w:color w:val="auto"/>
          <w:sz w:val="26"/>
          <w:szCs w:val="26"/>
        </w:rPr>
        <w:t>be collecting any gross receipts from its customers</w:t>
      </w:r>
      <w:r w:rsidR="005B6BFE">
        <w:rPr>
          <w:color w:val="auto"/>
          <w:sz w:val="26"/>
          <w:szCs w:val="26"/>
        </w:rPr>
        <w:t xml:space="preserve">, </w:t>
      </w:r>
      <w:r w:rsidR="002B285A" w:rsidRPr="00267FA7">
        <w:rPr>
          <w:color w:val="auto"/>
          <w:sz w:val="26"/>
          <w:szCs w:val="26"/>
        </w:rPr>
        <w:t>generating electricity</w:t>
      </w:r>
      <w:r w:rsidR="005B6BFE">
        <w:rPr>
          <w:color w:val="auto"/>
          <w:sz w:val="26"/>
          <w:szCs w:val="26"/>
        </w:rPr>
        <w:t>, or taking title to power.</w:t>
      </w:r>
    </w:p>
    <w:p w:rsidR="009678AA" w:rsidRPr="00267FA7" w:rsidRDefault="009678AA" w:rsidP="009678AA">
      <w:pPr>
        <w:tabs>
          <w:tab w:val="left" w:pos="0"/>
        </w:tabs>
        <w:suppressAutoHyphens/>
        <w:spacing w:line="360" w:lineRule="auto"/>
        <w:ind w:firstLine="1440"/>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on which </w:t>
      </w:r>
      <w:r w:rsidR="007509DB">
        <w:rPr>
          <w:color w:val="auto"/>
          <w:szCs w:val="26"/>
        </w:rPr>
        <w:t>KEA</w:t>
      </w:r>
      <w:r w:rsidR="009678AA"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w:t>
      </w:r>
      <w:r w:rsidR="00E24DBA">
        <w:rPr>
          <w:color w:val="auto"/>
          <w:szCs w:val="26"/>
        </w:rPr>
        <w:t xml:space="preserve">            </w:t>
      </w:r>
      <w:r w:rsidR="00332F41" w:rsidRPr="00267FA7">
        <w:rPr>
          <w:color w:val="auto"/>
          <w:szCs w:val="26"/>
        </w:rPr>
        <w:t>No.</w:t>
      </w:r>
      <w:r w:rsidR="00E24DBA">
        <w:rPr>
          <w:color w:val="auto"/>
          <w:szCs w:val="26"/>
        </w:rPr>
        <w:t>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7509DB">
        <w:rPr>
          <w:color w:val="auto"/>
          <w:szCs w:val="26"/>
        </w:rPr>
        <w:t>KEA</w:t>
      </w:r>
      <w:r w:rsidRPr="00267FA7">
        <w:rPr>
          <w:color w:val="auto"/>
          <w:szCs w:val="26"/>
        </w:rPr>
        <w:t xml:space="preserve"> </w:t>
      </w:r>
      <w:r w:rsidR="0086665D">
        <w:rPr>
          <w:color w:val="auto"/>
          <w:szCs w:val="26"/>
        </w:rPr>
        <w:t>proposes to operate</w:t>
      </w:r>
      <w:r w:rsidRPr="00267FA7">
        <w:rPr>
          <w:color w:val="auto"/>
          <w:szCs w:val="26"/>
        </w:rPr>
        <w:t xml:space="preserve">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7509DB">
        <w:rPr>
          <w:color w:val="auto"/>
          <w:szCs w:val="26"/>
        </w:rPr>
        <w:t>KEA</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7509DB">
        <w:rPr>
          <w:color w:val="auto"/>
          <w:szCs w:val="26"/>
        </w:rPr>
        <w:t>KEA</w:t>
      </w:r>
      <w:r w:rsidR="007F5B7E" w:rsidRPr="00267FA7">
        <w:rPr>
          <w:color w:val="auto"/>
          <w:szCs w:val="26"/>
        </w:rPr>
        <w:t xml:space="preserve"> takes title to generation supply for its customers, and/or charges customers directly for that </w:t>
      </w:r>
      <w:r w:rsidR="007F5B7E" w:rsidRPr="00267FA7">
        <w:rPr>
          <w:color w:val="auto"/>
          <w:szCs w:val="26"/>
        </w:rPr>
        <w:lastRenderedPageBreak/>
        <w:t>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7509DB">
        <w:rPr>
          <w:color w:val="auto"/>
          <w:szCs w:val="26"/>
        </w:rPr>
        <w:t>KEA</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7509DB">
        <w:rPr>
          <w:color w:val="auto"/>
          <w:szCs w:val="26"/>
        </w:rPr>
        <w:t>KEA</w:t>
      </w:r>
      <w:r w:rsidR="00A600ED" w:rsidRPr="00267FA7">
        <w:rPr>
          <w:color w:val="auto"/>
          <w:szCs w:val="26"/>
        </w:rPr>
        <w:t xml:space="preserve"> </w:t>
      </w:r>
      <w:r w:rsidR="007F5B7E" w:rsidRPr="00267FA7">
        <w:rPr>
          <w:color w:val="auto"/>
          <w:szCs w:val="26"/>
        </w:rPr>
        <w:t>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7509DB">
        <w:rPr>
          <w:color w:val="auto"/>
          <w:szCs w:val="26"/>
        </w:rPr>
        <w:t>KEA</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7509DB">
        <w:rPr>
          <w:color w:val="auto"/>
          <w:szCs w:val="26"/>
        </w:rPr>
        <w:t>KEA</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As of</w:t>
      </w:r>
      <w:r w:rsidR="005B6BFE">
        <w:rPr>
          <w:color w:val="auto"/>
          <w:sz w:val="26"/>
          <w:szCs w:val="26"/>
        </w:rPr>
        <w:t xml:space="preserve"> March 20</w:t>
      </w:r>
      <w:r w:rsidR="008E5C0A">
        <w:rPr>
          <w:color w:val="auto"/>
          <w:sz w:val="26"/>
          <w:szCs w:val="26"/>
        </w:rPr>
        <w:t>, 2012</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doing business in Pennsylvania.</w:t>
      </w:r>
    </w:p>
    <w:p w:rsidR="00A63D74" w:rsidRPr="00267FA7" w:rsidRDefault="00A63D74" w:rsidP="00793F53">
      <w:pPr>
        <w:spacing w:line="360" w:lineRule="auto"/>
        <w:rPr>
          <w:color w:val="auto"/>
          <w:spacing w:val="-3"/>
          <w:kern w:val="1"/>
          <w:sz w:val="26"/>
          <w:szCs w:val="26"/>
        </w:rPr>
      </w:pPr>
    </w:p>
    <w:p w:rsidR="00327F6C" w:rsidRPr="00267FA7" w:rsidRDefault="003141F9" w:rsidP="00304B9D">
      <w:pPr>
        <w:spacing w:line="360" w:lineRule="auto"/>
        <w:rPr>
          <w:color w:val="auto"/>
          <w:sz w:val="26"/>
          <w:szCs w:val="26"/>
        </w:rPr>
      </w:pPr>
      <w:r>
        <w:rPr>
          <w:color w:val="auto"/>
          <w:sz w:val="26"/>
          <w:szCs w:val="26"/>
        </w:rPr>
        <w:tab/>
      </w:r>
      <w:r>
        <w:rPr>
          <w:color w:val="auto"/>
          <w:sz w:val="26"/>
          <w:szCs w:val="26"/>
        </w:rPr>
        <w:tab/>
      </w:r>
      <w:r w:rsidR="00304B9D">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lastRenderedPageBreak/>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7509DB">
        <w:rPr>
          <w:color w:val="auto"/>
          <w:szCs w:val="26"/>
        </w:rPr>
        <w:t>Kinetic Energy Associates, LLC</w:t>
      </w:r>
      <w:r w:rsidR="008E5C0A"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7509DB">
        <w:rPr>
          <w:color w:val="auto"/>
          <w:sz w:val="26"/>
          <w:szCs w:val="26"/>
        </w:rPr>
        <w:t>Kinetic Energy Associates, LLC</w:t>
      </w:r>
      <w:r w:rsidR="000832A0">
        <w:rPr>
          <w:color w:val="auto"/>
          <w:sz w:val="26"/>
          <w:szCs w:val="26"/>
        </w:rPr>
        <w:t>’s request</w:t>
      </w:r>
      <w:r w:rsidR="00E51E1D" w:rsidRPr="00267FA7">
        <w:rPr>
          <w:color w:val="auto"/>
          <w:sz w:val="26"/>
          <w:szCs w:val="26"/>
        </w:rPr>
        <w:t xml:space="preserve">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7509DB">
        <w:rPr>
          <w:color w:val="auto"/>
          <w:sz w:val="26"/>
          <w:szCs w:val="26"/>
        </w:rPr>
        <w:t>Kinetic Energy Associates, LLC</w:t>
      </w:r>
      <w:r w:rsidR="00FC530D">
        <w:rPr>
          <w:color w:val="auto"/>
          <w:sz w:val="26"/>
          <w:szCs w:val="26"/>
        </w:rPr>
        <w:t xml:space="preserve"> </w:t>
      </w:r>
      <w:r w:rsidRPr="00267FA7">
        <w:rPr>
          <w:color w:val="auto"/>
          <w:sz w:val="26"/>
          <w:szCs w:val="26"/>
        </w:rPr>
        <w:t xml:space="preserve">as long as </w:t>
      </w:r>
      <w:r w:rsidR="007509DB">
        <w:rPr>
          <w:color w:val="auto"/>
          <w:sz w:val="26"/>
          <w:szCs w:val="26"/>
        </w:rPr>
        <w:t>Kinetic Energy Associates, LLC</w:t>
      </w:r>
      <w:r w:rsidR="005F4B2E">
        <w:rPr>
          <w:color w:val="auto"/>
          <w:sz w:val="26"/>
          <w:szCs w:val="26"/>
        </w:rPr>
        <w:t xml:space="preserve"> </w:t>
      </w:r>
      <w:r w:rsidR="006C19AE" w:rsidRPr="00267FA7">
        <w:rPr>
          <w:color w:val="auto"/>
          <w:sz w:val="26"/>
          <w:szCs w:val="26"/>
        </w:rPr>
        <w:t>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E185E" w:rsidRPr="00267FA7" w:rsidRDefault="009E185E" w:rsidP="00793F53">
      <w:pPr>
        <w:suppressAutoHyphens/>
        <w:spacing w:line="360" w:lineRule="auto"/>
        <w:rPr>
          <w:color w:val="auto"/>
          <w:sz w:val="26"/>
          <w:szCs w:val="26"/>
        </w:rPr>
      </w:pPr>
    </w:p>
    <w:p w:rsidR="009B15A3" w:rsidRPr="00267FA7" w:rsidRDefault="009E185E" w:rsidP="00096F00">
      <w:pPr>
        <w:suppressAutoHyphens/>
        <w:spacing w:line="360" w:lineRule="auto"/>
        <w:rPr>
          <w:color w:val="auto"/>
          <w:sz w:val="26"/>
          <w:szCs w:val="26"/>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7509DB">
        <w:rPr>
          <w:color w:val="auto"/>
          <w:sz w:val="26"/>
          <w:szCs w:val="26"/>
        </w:rPr>
        <w:t>Kinetic Energy Associates, LLC</w:t>
      </w:r>
      <w:r w:rsidR="00FC530D">
        <w:rPr>
          <w:color w:val="auto"/>
          <w:sz w:val="26"/>
          <w:szCs w:val="26"/>
        </w:rPr>
        <w:t xml:space="preserve"> </w:t>
      </w:r>
      <w:r w:rsidR="009B15A3" w:rsidRPr="00267FA7">
        <w:rPr>
          <w:color w:val="auto"/>
          <w:sz w:val="26"/>
          <w:szCs w:val="26"/>
        </w:rPr>
        <w:t>to begin to offer, render, furnish or supply electric gene</w:t>
      </w:r>
      <w:r w:rsidR="00BF08FD">
        <w:rPr>
          <w:color w:val="auto"/>
          <w:sz w:val="26"/>
          <w:szCs w:val="26"/>
        </w:rPr>
        <w:t>ration supplier services</w:t>
      </w:r>
      <w:r w:rsidR="000832A0">
        <w:rPr>
          <w:color w:val="auto"/>
          <w:sz w:val="26"/>
          <w:szCs w:val="26"/>
        </w:rPr>
        <w:t xml:space="preserve"> </w:t>
      </w:r>
      <w:r w:rsidR="00FC530D">
        <w:rPr>
          <w:color w:val="auto"/>
          <w:sz w:val="26"/>
          <w:szCs w:val="26"/>
        </w:rPr>
        <w:t>as a broker/marketer</w:t>
      </w:r>
      <w:r w:rsidR="007509DB">
        <w:rPr>
          <w:color w:val="auto"/>
          <w:sz w:val="26"/>
          <w:szCs w:val="26"/>
        </w:rPr>
        <w:t xml:space="preserve"> for</w:t>
      </w:r>
      <w:r w:rsidR="00BF08FD">
        <w:rPr>
          <w:color w:val="auto"/>
          <w:sz w:val="26"/>
          <w:szCs w:val="26"/>
        </w:rPr>
        <w:t xml:space="preserve"> </w:t>
      </w:r>
      <w:r w:rsidR="005B6BFE">
        <w:rPr>
          <w:color w:val="auto"/>
          <w:sz w:val="26"/>
          <w:szCs w:val="26"/>
        </w:rPr>
        <w:t>residential, s</w:t>
      </w:r>
      <w:r w:rsidR="007509DB">
        <w:rPr>
          <w:color w:val="auto"/>
          <w:sz w:val="26"/>
          <w:szCs w:val="26"/>
        </w:rPr>
        <w:t xml:space="preserve">mall </w:t>
      </w:r>
      <w:r w:rsidR="005B6BFE">
        <w:rPr>
          <w:color w:val="auto"/>
          <w:sz w:val="26"/>
          <w:szCs w:val="26"/>
        </w:rPr>
        <w:t>c</w:t>
      </w:r>
      <w:r w:rsidR="007509DB">
        <w:rPr>
          <w:color w:val="auto"/>
          <w:sz w:val="26"/>
          <w:szCs w:val="26"/>
        </w:rPr>
        <w:t>ommercial (25kW and under</w:t>
      </w:r>
      <w:r w:rsidR="005B6BFE">
        <w:rPr>
          <w:color w:val="auto"/>
          <w:sz w:val="26"/>
          <w:szCs w:val="26"/>
        </w:rPr>
        <w:t xml:space="preserve"> demand</w:t>
      </w:r>
      <w:r w:rsidR="007509DB">
        <w:rPr>
          <w:color w:val="auto"/>
          <w:sz w:val="26"/>
          <w:szCs w:val="26"/>
        </w:rPr>
        <w:t>),</w:t>
      </w:r>
      <w:r w:rsidR="008E5C0A">
        <w:rPr>
          <w:color w:val="auto"/>
          <w:sz w:val="26"/>
          <w:szCs w:val="26"/>
        </w:rPr>
        <w:t xml:space="preserve"> </w:t>
      </w:r>
      <w:r w:rsidR="005B6BFE">
        <w:rPr>
          <w:color w:val="auto"/>
          <w:sz w:val="26"/>
          <w:szCs w:val="26"/>
        </w:rPr>
        <w:t>l</w:t>
      </w:r>
      <w:r w:rsidR="008E5C0A">
        <w:rPr>
          <w:color w:val="auto"/>
          <w:sz w:val="26"/>
          <w:szCs w:val="26"/>
        </w:rPr>
        <w:t xml:space="preserve">arge </w:t>
      </w:r>
      <w:r w:rsidR="005B6BFE">
        <w:rPr>
          <w:color w:val="auto"/>
          <w:sz w:val="26"/>
          <w:szCs w:val="26"/>
        </w:rPr>
        <w:t>c</w:t>
      </w:r>
      <w:r w:rsidR="008E5C0A">
        <w:rPr>
          <w:color w:val="auto"/>
          <w:sz w:val="26"/>
          <w:szCs w:val="26"/>
        </w:rPr>
        <w:t>ommercial</w:t>
      </w:r>
      <w:r w:rsidR="007509DB">
        <w:rPr>
          <w:color w:val="auto"/>
          <w:sz w:val="26"/>
          <w:szCs w:val="26"/>
        </w:rPr>
        <w:t xml:space="preserve"> (</w:t>
      </w:r>
      <w:r w:rsidR="005B6BFE">
        <w:rPr>
          <w:color w:val="auto"/>
          <w:sz w:val="26"/>
          <w:szCs w:val="26"/>
        </w:rPr>
        <w:t>o</w:t>
      </w:r>
      <w:r w:rsidR="007509DB">
        <w:rPr>
          <w:color w:val="auto"/>
          <w:sz w:val="26"/>
          <w:szCs w:val="26"/>
        </w:rPr>
        <w:t xml:space="preserve">ver 25 kW), </w:t>
      </w:r>
      <w:r w:rsidR="005B6BFE">
        <w:rPr>
          <w:color w:val="auto"/>
          <w:sz w:val="26"/>
          <w:szCs w:val="26"/>
        </w:rPr>
        <w:t>i</w:t>
      </w:r>
      <w:r w:rsidR="008E5C0A">
        <w:rPr>
          <w:color w:val="auto"/>
          <w:sz w:val="26"/>
          <w:szCs w:val="26"/>
        </w:rPr>
        <w:t>ndustrial</w:t>
      </w:r>
      <w:r w:rsidR="005B6BFE">
        <w:rPr>
          <w:color w:val="auto"/>
          <w:sz w:val="26"/>
          <w:szCs w:val="26"/>
        </w:rPr>
        <w:t xml:space="preserve"> and g</w:t>
      </w:r>
      <w:r w:rsidR="007509DB">
        <w:rPr>
          <w:color w:val="auto"/>
          <w:sz w:val="26"/>
          <w:szCs w:val="26"/>
        </w:rPr>
        <w:t>overnmental</w:t>
      </w:r>
      <w:r w:rsidR="008E5C0A">
        <w:rPr>
          <w:color w:val="auto"/>
          <w:sz w:val="26"/>
          <w:szCs w:val="26"/>
        </w:rPr>
        <w:t xml:space="preserve"> customers</w:t>
      </w:r>
      <w:r w:rsidR="005B6BFE">
        <w:rPr>
          <w:color w:val="auto"/>
          <w:sz w:val="26"/>
          <w:szCs w:val="26"/>
        </w:rPr>
        <w:t xml:space="preserve"> in all the electric distribution company service territories</w:t>
      </w:r>
      <w:r w:rsidR="008E5C0A">
        <w:rPr>
          <w:color w:val="auto"/>
          <w:sz w:val="26"/>
          <w:szCs w:val="26"/>
        </w:rPr>
        <w:t xml:space="preserve"> </w:t>
      </w:r>
      <w:r w:rsidR="003141F9">
        <w:rPr>
          <w:color w:val="auto"/>
          <w:sz w:val="26"/>
          <w:szCs w:val="26"/>
        </w:rPr>
        <w:t>throughout</w:t>
      </w:r>
      <w:r w:rsidR="009B15A3" w:rsidRPr="00267FA7">
        <w:rPr>
          <w:color w:val="auto"/>
          <w:sz w:val="26"/>
          <w:szCs w:val="26"/>
        </w:rPr>
        <w:t xml:space="preserve"> the Commonwealth of Pennsylvania</w:t>
      </w:r>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r>
      <w:r w:rsidR="001E43CF">
        <w:rPr>
          <w:color w:val="auto"/>
          <w:sz w:val="26"/>
          <w:szCs w:val="26"/>
        </w:rPr>
        <w:t xml:space="preserve">That if </w:t>
      </w:r>
      <w:r w:rsidR="007509DB">
        <w:rPr>
          <w:color w:val="auto"/>
          <w:sz w:val="26"/>
          <w:szCs w:val="26"/>
        </w:rPr>
        <w:t>Kinetic Energy Associates, LLC</w:t>
      </w:r>
      <w:r w:rsidR="005F4B2E">
        <w:rPr>
          <w:color w:val="auto"/>
          <w:sz w:val="26"/>
          <w:szCs w:val="26"/>
        </w:rPr>
        <w:t xml:space="preserve"> </w:t>
      </w:r>
      <w:r w:rsidRPr="00267FA7">
        <w:rPr>
          <w:color w:val="auto"/>
          <w:sz w:val="26"/>
          <w:szCs w:val="26"/>
        </w:rPr>
        <w:t xml:space="preserve">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With the notice, the Company must provide an update to the nature and scope of business information that was required by Pa. Code</w:t>
      </w:r>
      <w:r w:rsidR="00E24DBA">
        <w:rPr>
          <w:color w:val="auto"/>
          <w:sz w:val="26"/>
          <w:szCs w:val="26"/>
        </w:rPr>
        <w:t> </w:t>
      </w:r>
      <w:r w:rsidR="001B73E3" w:rsidRPr="00267FA7">
        <w:rPr>
          <w:color w:val="auto"/>
          <w:sz w:val="26"/>
          <w:szCs w:val="26"/>
        </w:rPr>
        <w:t>§</w:t>
      </w:r>
      <w:r w:rsidR="00E24DBA">
        <w:rPr>
          <w:color w:val="auto"/>
          <w:sz w:val="26"/>
          <w:szCs w:val="26"/>
        </w:rPr>
        <w:t> </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CD5A41">
        <w:rPr>
          <w:color w:val="auto"/>
          <w:sz w:val="26"/>
          <w:szCs w:val="26"/>
        </w:rPr>
        <w:t>Kinetic Energy Associates, LLC</w:t>
      </w:r>
      <w:r w:rsidR="003141F9">
        <w:rPr>
          <w:color w:val="auto"/>
          <w:sz w:val="26"/>
          <w:szCs w:val="26"/>
        </w:rPr>
        <w:t xml:space="preserve">’s </w:t>
      </w:r>
      <w:r w:rsidR="005E276D" w:rsidRPr="00267FA7">
        <w:rPr>
          <w:color w:val="auto"/>
          <w:sz w:val="26"/>
          <w:szCs w:val="26"/>
        </w:rPr>
        <w:t>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CD5A41">
        <w:rPr>
          <w:color w:val="auto"/>
          <w:sz w:val="26"/>
          <w:szCs w:val="26"/>
        </w:rPr>
        <w:t>Kinetic Energy Associates, LLC</w:t>
      </w:r>
      <w:r w:rsidR="005F4B2E">
        <w:rPr>
          <w:color w:val="auto"/>
          <w:sz w:val="26"/>
          <w:szCs w:val="26"/>
        </w:rPr>
        <w:t xml:space="preserve"> </w:t>
      </w:r>
      <w:r w:rsidR="005E276D" w:rsidRPr="00267FA7">
        <w:rPr>
          <w:color w:val="auto"/>
          <w:sz w:val="26"/>
          <w:szCs w:val="26"/>
        </w:rPr>
        <w:t xml:space="preserve">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Default="00620D80" w:rsidP="00096F00">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t>6.</w:t>
      </w:r>
      <w:r w:rsidRPr="00267FA7">
        <w:rPr>
          <w:color w:val="auto"/>
          <w:sz w:val="26"/>
          <w:szCs w:val="26"/>
        </w:rPr>
        <w:tab/>
        <w:t xml:space="preserve">That if </w:t>
      </w:r>
      <w:r w:rsidR="00CD5A41">
        <w:rPr>
          <w:color w:val="auto"/>
          <w:sz w:val="26"/>
          <w:szCs w:val="26"/>
        </w:rPr>
        <w:t xml:space="preserve">Kinetic Energy Associates, LLC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Pa. Code</w:t>
      </w:r>
      <w:r w:rsidR="00E24DBA">
        <w:rPr>
          <w:color w:val="auto"/>
          <w:sz w:val="26"/>
          <w:szCs w:val="26"/>
        </w:rPr>
        <w:t> </w:t>
      </w:r>
      <w:r w:rsidRPr="00267FA7">
        <w:rPr>
          <w:color w:val="auto"/>
          <w:sz w:val="26"/>
          <w:szCs w:val="26"/>
        </w:rPr>
        <w:t>§</w:t>
      </w:r>
      <w:r w:rsidR="00E24DBA">
        <w:rPr>
          <w:color w:val="auto"/>
          <w:sz w:val="26"/>
          <w:szCs w:val="26"/>
        </w:rPr>
        <w:t> </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FD2AC8" w:rsidRDefault="00FD2AC8" w:rsidP="00096F00">
      <w:pPr>
        <w:suppressAutoHyphens/>
        <w:spacing w:line="360" w:lineRule="auto"/>
        <w:rPr>
          <w:color w:val="auto"/>
          <w:sz w:val="26"/>
          <w:szCs w:val="26"/>
        </w:rPr>
      </w:pPr>
    </w:p>
    <w:p w:rsidR="009B15A3" w:rsidRPr="00267FA7" w:rsidRDefault="00EA73B5" w:rsidP="0079313A">
      <w:pPr>
        <w:suppressAutoHyphens/>
        <w:spacing w:line="360" w:lineRule="auto"/>
        <w:rPr>
          <w:color w:val="auto"/>
          <w:sz w:val="26"/>
          <w:szCs w:val="26"/>
        </w:rPr>
      </w:pPr>
      <w:r w:rsidRPr="00267FA7">
        <w:rPr>
          <w:color w:val="auto"/>
          <w:sz w:val="26"/>
          <w:szCs w:val="26"/>
        </w:rPr>
        <w:tab/>
      </w:r>
      <w:r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w:t>
      </w:r>
      <w:r w:rsidR="005D7E6C">
        <w:rPr>
          <w:color w:val="auto"/>
          <w:sz w:val="26"/>
          <w:szCs w:val="26"/>
        </w:rPr>
        <w:t xml:space="preserve"> </w:t>
      </w:r>
      <w:r w:rsidR="00CD5A41" w:rsidRPr="00CD5A41">
        <w:rPr>
          <w:color w:val="auto"/>
          <w:sz w:val="26"/>
          <w:szCs w:val="26"/>
        </w:rPr>
        <w:t>A-2012-2289988</w:t>
      </w:r>
      <w:r w:rsidR="00CD5A41">
        <w:rPr>
          <w:color w:val="auto"/>
        </w:rPr>
        <w:t xml:space="preserve"> </w:t>
      </w:r>
      <w:r w:rsidR="005E6AE9" w:rsidRPr="00267FA7">
        <w:rPr>
          <w:color w:val="auto"/>
          <w:sz w:val="26"/>
          <w:szCs w:val="26"/>
        </w:rPr>
        <w:t>be closed.</w:t>
      </w:r>
    </w:p>
    <w:p w:rsidR="009B15A3" w:rsidRPr="00267FA7" w:rsidRDefault="009B15A3">
      <w:pPr>
        <w:tabs>
          <w:tab w:val="left" w:pos="0"/>
        </w:tabs>
        <w:suppressAutoHyphens/>
        <w:spacing w:line="360" w:lineRule="auto"/>
        <w:jc w:val="both"/>
        <w:rPr>
          <w:color w:val="auto"/>
          <w:spacing w:val="-3"/>
          <w:sz w:val="26"/>
          <w:szCs w:val="26"/>
        </w:rPr>
      </w:pPr>
    </w:p>
    <w:p w:rsidR="00327F6C" w:rsidRPr="00267FA7" w:rsidRDefault="000713F7" w:rsidP="00C02706">
      <w:pPr>
        <w:tabs>
          <w:tab w:val="left" w:pos="5040"/>
        </w:tabs>
        <w:rPr>
          <w:color w:val="auto"/>
          <w:sz w:val="26"/>
          <w:szCs w:val="26"/>
        </w:rPr>
      </w:pPr>
      <w:r>
        <w:rPr>
          <w:noProof/>
        </w:rPr>
        <w:drawing>
          <wp:anchor distT="0" distB="0" distL="114300" distR="114300" simplePos="0" relativeHeight="251658240" behindDoc="1" locked="0" layoutInCell="1" allowOverlap="1" wp14:anchorId="244ECD0B" wp14:editId="7E1CD624">
            <wp:simplePos x="0" y="0"/>
            <wp:positionH relativeFrom="column">
              <wp:posOffset>2652395</wp:posOffset>
            </wp:positionH>
            <wp:positionV relativeFrom="paragraph">
              <wp:posOffset>41910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267FA7">
        <w:rPr>
          <w:color w:val="auto"/>
          <w:sz w:val="26"/>
          <w:szCs w:val="26"/>
        </w:rPr>
        <w:tab/>
      </w:r>
      <w:r w:rsidR="00327F6C"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9D7ABC">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CD5A41" w:rsidRDefault="00CD5A41" w:rsidP="00C02706">
      <w:pPr>
        <w:tabs>
          <w:tab w:val="left" w:pos="4320"/>
        </w:tabs>
        <w:spacing w:line="360" w:lineRule="auto"/>
        <w:rPr>
          <w:color w:val="auto"/>
          <w:sz w:val="26"/>
          <w:szCs w:val="26"/>
        </w:rPr>
      </w:pP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CD5A41" w:rsidRDefault="00CD5A41" w:rsidP="00C02706">
      <w:pPr>
        <w:tabs>
          <w:tab w:val="left" w:pos="4320"/>
        </w:tabs>
        <w:spacing w:line="360" w:lineRule="auto"/>
        <w:rPr>
          <w:color w:val="auto"/>
          <w:sz w:val="26"/>
          <w:szCs w:val="26"/>
        </w:rPr>
      </w:pPr>
    </w:p>
    <w:p w:rsidR="00327F6C" w:rsidRPr="00FD73EA"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FB6577">
        <w:rPr>
          <w:color w:val="auto"/>
          <w:sz w:val="26"/>
          <w:szCs w:val="26"/>
        </w:rPr>
        <w:t>March 29, 2012</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0713F7">
        <w:rPr>
          <w:color w:val="auto"/>
          <w:sz w:val="26"/>
          <w:szCs w:val="26"/>
        </w:rPr>
        <w:t>MARCH 29, 2012</w:t>
      </w:r>
      <w:bookmarkStart w:id="0" w:name="_GoBack"/>
      <w:bookmarkEnd w:id="0"/>
    </w:p>
    <w:sectPr w:rsidR="00327F6C" w:rsidRPr="00267FA7" w:rsidSect="00FB6577">
      <w:footerReference w:type="even" r:id="rId10"/>
      <w:footerReference w:type="default" r:id="rId11"/>
      <w:pgSz w:w="12240" w:h="15840"/>
      <w:pgMar w:top="108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B1" w:rsidRDefault="002607B1">
      <w:r>
        <w:separator/>
      </w:r>
    </w:p>
  </w:endnote>
  <w:endnote w:type="continuationSeparator" w:id="0">
    <w:p w:rsidR="002607B1" w:rsidRDefault="0026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DB" w:rsidRDefault="00750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09DB" w:rsidRDefault="00750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9DB" w:rsidRPr="00E536A9" w:rsidRDefault="007509DB">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0713F7">
      <w:rPr>
        <w:rStyle w:val="PageNumber"/>
        <w:noProof/>
        <w:color w:val="auto"/>
      </w:rPr>
      <w:t>7</w:t>
    </w:r>
    <w:r w:rsidRPr="00E536A9">
      <w:rPr>
        <w:rStyle w:val="PageNumber"/>
        <w:color w:val="auto"/>
      </w:rPr>
      <w:fldChar w:fldCharType="end"/>
    </w:r>
  </w:p>
  <w:p w:rsidR="007509DB" w:rsidRDefault="007509DB">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B1" w:rsidRDefault="002607B1">
      <w:r>
        <w:separator/>
      </w:r>
    </w:p>
  </w:footnote>
  <w:footnote w:type="continuationSeparator" w:id="0">
    <w:p w:rsidR="002607B1" w:rsidRDefault="00260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32C28"/>
    <w:rsid w:val="00045169"/>
    <w:rsid w:val="0004664D"/>
    <w:rsid w:val="00063778"/>
    <w:rsid w:val="00067FBE"/>
    <w:rsid w:val="000713F7"/>
    <w:rsid w:val="000832A0"/>
    <w:rsid w:val="000836B0"/>
    <w:rsid w:val="00084614"/>
    <w:rsid w:val="000924F5"/>
    <w:rsid w:val="00096F00"/>
    <w:rsid w:val="000A7AA5"/>
    <w:rsid w:val="000F0C10"/>
    <w:rsid w:val="00110639"/>
    <w:rsid w:val="00115BC6"/>
    <w:rsid w:val="00117D2E"/>
    <w:rsid w:val="00127B78"/>
    <w:rsid w:val="001359DA"/>
    <w:rsid w:val="00137CB3"/>
    <w:rsid w:val="00141046"/>
    <w:rsid w:val="00141541"/>
    <w:rsid w:val="00156097"/>
    <w:rsid w:val="001566D8"/>
    <w:rsid w:val="00161320"/>
    <w:rsid w:val="00173671"/>
    <w:rsid w:val="00183ED3"/>
    <w:rsid w:val="001968D9"/>
    <w:rsid w:val="001A6909"/>
    <w:rsid w:val="001A799A"/>
    <w:rsid w:val="001A7DA3"/>
    <w:rsid w:val="001B73E3"/>
    <w:rsid w:val="001C6C30"/>
    <w:rsid w:val="001C768B"/>
    <w:rsid w:val="001E02D2"/>
    <w:rsid w:val="001E400B"/>
    <w:rsid w:val="001E43CF"/>
    <w:rsid w:val="00202483"/>
    <w:rsid w:val="00220196"/>
    <w:rsid w:val="00221321"/>
    <w:rsid w:val="00224D08"/>
    <w:rsid w:val="00235AF5"/>
    <w:rsid w:val="00247280"/>
    <w:rsid w:val="0025656B"/>
    <w:rsid w:val="00256F24"/>
    <w:rsid w:val="002607B1"/>
    <w:rsid w:val="00267FA7"/>
    <w:rsid w:val="0029029F"/>
    <w:rsid w:val="00297F79"/>
    <w:rsid w:val="002B188D"/>
    <w:rsid w:val="002B285A"/>
    <w:rsid w:val="002C2425"/>
    <w:rsid w:val="002D06E1"/>
    <w:rsid w:val="002D1EB9"/>
    <w:rsid w:val="002E5A99"/>
    <w:rsid w:val="00302313"/>
    <w:rsid w:val="003038DA"/>
    <w:rsid w:val="00304B9D"/>
    <w:rsid w:val="003141F9"/>
    <w:rsid w:val="00325A83"/>
    <w:rsid w:val="00327F6C"/>
    <w:rsid w:val="00332F41"/>
    <w:rsid w:val="003330D0"/>
    <w:rsid w:val="00337549"/>
    <w:rsid w:val="00365204"/>
    <w:rsid w:val="00367166"/>
    <w:rsid w:val="003709B2"/>
    <w:rsid w:val="00393A91"/>
    <w:rsid w:val="003A6EC9"/>
    <w:rsid w:val="003B59B4"/>
    <w:rsid w:val="003C6DA9"/>
    <w:rsid w:val="004133FD"/>
    <w:rsid w:val="00414718"/>
    <w:rsid w:val="00422D81"/>
    <w:rsid w:val="00422E18"/>
    <w:rsid w:val="00422FD5"/>
    <w:rsid w:val="004268A4"/>
    <w:rsid w:val="00450DDC"/>
    <w:rsid w:val="00455DB0"/>
    <w:rsid w:val="00461CA9"/>
    <w:rsid w:val="004622D5"/>
    <w:rsid w:val="00467AE4"/>
    <w:rsid w:val="00483AC5"/>
    <w:rsid w:val="00496E55"/>
    <w:rsid w:val="004A010D"/>
    <w:rsid w:val="004A136C"/>
    <w:rsid w:val="004A3285"/>
    <w:rsid w:val="004A498D"/>
    <w:rsid w:val="004B515C"/>
    <w:rsid w:val="004C08D3"/>
    <w:rsid w:val="004D3BB5"/>
    <w:rsid w:val="005160C8"/>
    <w:rsid w:val="0051789A"/>
    <w:rsid w:val="00536337"/>
    <w:rsid w:val="00583778"/>
    <w:rsid w:val="005A415C"/>
    <w:rsid w:val="005A456F"/>
    <w:rsid w:val="005A7832"/>
    <w:rsid w:val="005B32DF"/>
    <w:rsid w:val="005B6BFE"/>
    <w:rsid w:val="005C47ED"/>
    <w:rsid w:val="005D7E6C"/>
    <w:rsid w:val="005E276D"/>
    <w:rsid w:val="005E6AE9"/>
    <w:rsid w:val="005F4B2E"/>
    <w:rsid w:val="00601CE9"/>
    <w:rsid w:val="006064B1"/>
    <w:rsid w:val="00610D40"/>
    <w:rsid w:val="0061373D"/>
    <w:rsid w:val="00620D80"/>
    <w:rsid w:val="006244FB"/>
    <w:rsid w:val="00630F80"/>
    <w:rsid w:val="006434CF"/>
    <w:rsid w:val="006445D4"/>
    <w:rsid w:val="0064698B"/>
    <w:rsid w:val="006617AA"/>
    <w:rsid w:val="00661BEC"/>
    <w:rsid w:val="006703A6"/>
    <w:rsid w:val="00673552"/>
    <w:rsid w:val="00673EA9"/>
    <w:rsid w:val="00683713"/>
    <w:rsid w:val="006901AF"/>
    <w:rsid w:val="006B4907"/>
    <w:rsid w:val="006B6443"/>
    <w:rsid w:val="006B65BA"/>
    <w:rsid w:val="006C19AE"/>
    <w:rsid w:val="00704025"/>
    <w:rsid w:val="0071223C"/>
    <w:rsid w:val="00720F00"/>
    <w:rsid w:val="0072446F"/>
    <w:rsid w:val="007409D4"/>
    <w:rsid w:val="00741372"/>
    <w:rsid w:val="00742DAA"/>
    <w:rsid w:val="007509DB"/>
    <w:rsid w:val="00761CFC"/>
    <w:rsid w:val="00767417"/>
    <w:rsid w:val="00772FFF"/>
    <w:rsid w:val="0079313A"/>
    <w:rsid w:val="00793F53"/>
    <w:rsid w:val="007A2A87"/>
    <w:rsid w:val="007B11D5"/>
    <w:rsid w:val="007B5CCC"/>
    <w:rsid w:val="007C2B9B"/>
    <w:rsid w:val="007E6C04"/>
    <w:rsid w:val="007F1C73"/>
    <w:rsid w:val="007F5B7E"/>
    <w:rsid w:val="00802A48"/>
    <w:rsid w:val="00806A00"/>
    <w:rsid w:val="008113E1"/>
    <w:rsid w:val="00811676"/>
    <w:rsid w:val="0081434B"/>
    <w:rsid w:val="008220D8"/>
    <w:rsid w:val="00841E61"/>
    <w:rsid w:val="00844BAA"/>
    <w:rsid w:val="0086665D"/>
    <w:rsid w:val="008710E0"/>
    <w:rsid w:val="00872281"/>
    <w:rsid w:val="00873C30"/>
    <w:rsid w:val="00880E36"/>
    <w:rsid w:val="00885A7E"/>
    <w:rsid w:val="00895EAB"/>
    <w:rsid w:val="008B47D7"/>
    <w:rsid w:val="008B4DE4"/>
    <w:rsid w:val="008C6F11"/>
    <w:rsid w:val="008D3C49"/>
    <w:rsid w:val="008D3CDF"/>
    <w:rsid w:val="008E5054"/>
    <w:rsid w:val="008E5C0A"/>
    <w:rsid w:val="00902B46"/>
    <w:rsid w:val="00911AFB"/>
    <w:rsid w:val="00914A75"/>
    <w:rsid w:val="0092102E"/>
    <w:rsid w:val="00945B00"/>
    <w:rsid w:val="00946B08"/>
    <w:rsid w:val="00952DE8"/>
    <w:rsid w:val="00961C2F"/>
    <w:rsid w:val="009653EF"/>
    <w:rsid w:val="009678AA"/>
    <w:rsid w:val="0099101D"/>
    <w:rsid w:val="009A059E"/>
    <w:rsid w:val="009B15A3"/>
    <w:rsid w:val="009D3977"/>
    <w:rsid w:val="009D7ABC"/>
    <w:rsid w:val="009E185E"/>
    <w:rsid w:val="009E2488"/>
    <w:rsid w:val="009F2483"/>
    <w:rsid w:val="00A06827"/>
    <w:rsid w:val="00A128CF"/>
    <w:rsid w:val="00A43450"/>
    <w:rsid w:val="00A54DF3"/>
    <w:rsid w:val="00A600ED"/>
    <w:rsid w:val="00A63D74"/>
    <w:rsid w:val="00A6440C"/>
    <w:rsid w:val="00A750F1"/>
    <w:rsid w:val="00A85EBF"/>
    <w:rsid w:val="00A91F70"/>
    <w:rsid w:val="00A96419"/>
    <w:rsid w:val="00AA2001"/>
    <w:rsid w:val="00AB27E5"/>
    <w:rsid w:val="00AB2940"/>
    <w:rsid w:val="00AB6FEF"/>
    <w:rsid w:val="00AC19D6"/>
    <w:rsid w:val="00AC3E9D"/>
    <w:rsid w:val="00AD0BB3"/>
    <w:rsid w:val="00AD698D"/>
    <w:rsid w:val="00AD6D67"/>
    <w:rsid w:val="00AE696A"/>
    <w:rsid w:val="00B03F6B"/>
    <w:rsid w:val="00B21A44"/>
    <w:rsid w:val="00B22A09"/>
    <w:rsid w:val="00B265C0"/>
    <w:rsid w:val="00B568C4"/>
    <w:rsid w:val="00B6411D"/>
    <w:rsid w:val="00B6554F"/>
    <w:rsid w:val="00B67073"/>
    <w:rsid w:val="00B76EFD"/>
    <w:rsid w:val="00B803AF"/>
    <w:rsid w:val="00BB57BC"/>
    <w:rsid w:val="00BC554E"/>
    <w:rsid w:val="00BC6DDA"/>
    <w:rsid w:val="00BD28D9"/>
    <w:rsid w:val="00BF08FD"/>
    <w:rsid w:val="00C011D8"/>
    <w:rsid w:val="00C0197E"/>
    <w:rsid w:val="00C02706"/>
    <w:rsid w:val="00C12C38"/>
    <w:rsid w:val="00C22737"/>
    <w:rsid w:val="00C24861"/>
    <w:rsid w:val="00C61AA8"/>
    <w:rsid w:val="00C62CC5"/>
    <w:rsid w:val="00C741C9"/>
    <w:rsid w:val="00C74F35"/>
    <w:rsid w:val="00C82739"/>
    <w:rsid w:val="00C916CD"/>
    <w:rsid w:val="00CB18BE"/>
    <w:rsid w:val="00CC0FFA"/>
    <w:rsid w:val="00CC17B2"/>
    <w:rsid w:val="00CC722C"/>
    <w:rsid w:val="00CD5A41"/>
    <w:rsid w:val="00CE5F7B"/>
    <w:rsid w:val="00CE6CD8"/>
    <w:rsid w:val="00CF5F9D"/>
    <w:rsid w:val="00D00ECB"/>
    <w:rsid w:val="00D032EC"/>
    <w:rsid w:val="00D06553"/>
    <w:rsid w:val="00D23386"/>
    <w:rsid w:val="00D24D44"/>
    <w:rsid w:val="00D35356"/>
    <w:rsid w:val="00D44084"/>
    <w:rsid w:val="00D52EF8"/>
    <w:rsid w:val="00D66464"/>
    <w:rsid w:val="00D721BB"/>
    <w:rsid w:val="00D7492E"/>
    <w:rsid w:val="00D75173"/>
    <w:rsid w:val="00D9100A"/>
    <w:rsid w:val="00D96482"/>
    <w:rsid w:val="00DA770E"/>
    <w:rsid w:val="00DB4492"/>
    <w:rsid w:val="00DC30AE"/>
    <w:rsid w:val="00DE7122"/>
    <w:rsid w:val="00E24DBA"/>
    <w:rsid w:val="00E27B13"/>
    <w:rsid w:val="00E37A17"/>
    <w:rsid w:val="00E427A3"/>
    <w:rsid w:val="00E43456"/>
    <w:rsid w:val="00E51E1D"/>
    <w:rsid w:val="00E53467"/>
    <w:rsid w:val="00E536A9"/>
    <w:rsid w:val="00E824BE"/>
    <w:rsid w:val="00EA300E"/>
    <w:rsid w:val="00EA73B5"/>
    <w:rsid w:val="00EC5325"/>
    <w:rsid w:val="00EC6422"/>
    <w:rsid w:val="00ED108E"/>
    <w:rsid w:val="00ED7358"/>
    <w:rsid w:val="00EF4712"/>
    <w:rsid w:val="00EF5D53"/>
    <w:rsid w:val="00EF61D0"/>
    <w:rsid w:val="00EF6DD7"/>
    <w:rsid w:val="00F07904"/>
    <w:rsid w:val="00F15529"/>
    <w:rsid w:val="00F271C4"/>
    <w:rsid w:val="00F30AC6"/>
    <w:rsid w:val="00F51B22"/>
    <w:rsid w:val="00F64821"/>
    <w:rsid w:val="00F70C8C"/>
    <w:rsid w:val="00F83C36"/>
    <w:rsid w:val="00F8703E"/>
    <w:rsid w:val="00F967DC"/>
    <w:rsid w:val="00FA116F"/>
    <w:rsid w:val="00FA1AA3"/>
    <w:rsid w:val="00FB6577"/>
    <w:rsid w:val="00FC4C18"/>
    <w:rsid w:val="00FC530D"/>
    <w:rsid w:val="00FD2AC8"/>
    <w:rsid w:val="00FD73EA"/>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6335C-52B0-4D77-9F6B-D5612E26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Killian, Brent</dc:creator>
  <cp:lastModifiedBy>Hinds, Margaret</cp:lastModifiedBy>
  <cp:revision>8</cp:revision>
  <cp:lastPrinted>2012-03-29T16:35:00Z</cp:lastPrinted>
  <dcterms:created xsi:type="dcterms:W3CDTF">2012-03-08T20:29:00Z</dcterms:created>
  <dcterms:modified xsi:type="dcterms:W3CDTF">2012-03-29T16:35:00Z</dcterms:modified>
</cp:coreProperties>
</file>