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9304FE">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Pr="002A5D4B" w:rsidRDefault="009304FE" w:rsidP="009304FE">
      <w:pPr>
        <w:jc w:val="center"/>
        <w:rPr>
          <w:b/>
          <w:sz w:val="26"/>
          <w:szCs w:val="26"/>
        </w:rPr>
      </w:pPr>
      <w:r w:rsidRPr="002A5D4B">
        <w:rPr>
          <w:b/>
          <w:sz w:val="26"/>
          <w:szCs w:val="26"/>
        </w:rPr>
        <w:t>Harrisburg, PA 17105-3265</w:t>
      </w:r>
    </w:p>
    <w:p w:rsidR="009304FE" w:rsidRDefault="009304FE" w:rsidP="009304FE">
      <w:pPr>
        <w:rPr>
          <w:sz w:val="26"/>
          <w:szCs w:val="26"/>
        </w:rPr>
      </w:pPr>
    </w:p>
    <w:p w:rsidR="00B01F47" w:rsidRPr="00BA66A4" w:rsidRDefault="00B01F47" w:rsidP="009304FE">
      <w:pPr>
        <w:rPr>
          <w:sz w:val="26"/>
          <w:szCs w:val="26"/>
        </w:rPr>
      </w:pPr>
    </w:p>
    <w:p w:rsidR="009304FE" w:rsidRPr="002A5D4B" w:rsidRDefault="00B01F47" w:rsidP="00B01F47">
      <w:pPr>
        <w:jc w:val="right"/>
        <w:rPr>
          <w:sz w:val="26"/>
          <w:szCs w:val="26"/>
        </w:rPr>
      </w:pPr>
      <w:r>
        <w:rPr>
          <w:sz w:val="26"/>
          <w:szCs w:val="26"/>
        </w:rPr>
        <w:t xml:space="preserve"> </w:t>
      </w:r>
      <w:r>
        <w:rPr>
          <w:sz w:val="26"/>
          <w:szCs w:val="26"/>
        </w:rPr>
        <w:tab/>
        <w:t xml:space="preserve">       </w:t>
      </w:r>
      <w:r w:rsidR="009304FE">
        <w:rPr>
          <w:sz w:val="26"/>
          <w:szCs w:val="26"/>
        </w:rPr>
        <w:t>P</w:t>
      </w:r>
      <w:r w:rsidR="009304FE" w:rsidRPr="002A5D4B">
        <w:rPr>
          <w:sz w:val="26"/>
          <w:szCs w:val="26"/>
        </w:rPr>
        <w:t xml:space="preserve">ublic Meeting held </w:t>
      </w:r>
      <w:r w:rsidR="00AC6A03">
        <w:rPr>
          <w:sz w:val="26"/>
          <w:szCs w:val="26"/>
        </w:rPr>
        <w:t xml:space="preserve">March </w:t>
      </w:r>
      <w:r w:rsidR="00C86C12">
        <w:rPr>
          <w:sz w:val="26"/>
          <w:szCs w:val="26"/>
        </w:rPr>
        <w:t>29</w:t>
      </w:r>
      <w:r w:rsidR="00AC6A03">
        <w:rPr>
          <w:sz w:val="26"/>
          <w:szCs w:val="26"/>
        </w:rPr>
        <w:t>, 2012</w:t>
      </w:r>
      <w:r>
        <w:rPr>
          <w:sz w:val="26"/>
          <w:szCs w:val="26"/>
        </w:rPr>
        <w:t xml:space="preserve"> </w:t>
      </w:r>
    </w:p>
    <w:p w:rsidR="009304FE" w:rsidRDefault="009304FE" w:rsidP="009304FE">
      <w:pPr>
        <w:rPr>
          <w:sz w:val="26"/>
          <w:szCs w:val="26"/>
        </w:rPr>
      </w:pPr>
    </w:p>
    <w:p w:rsidR="00B01F47" w:rsidRPr="002A5D4B" w:rsidRDefault="00B01F47"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AC6A03" w:rsidRPr="00AC6A03" w:rsidRDefault="00AC6A03" w:rsidP="00AC6A03">
      <w:pPr>
        <w:ind w:firstLine="540"/>
        <w:rPr>
          <w:rFonts w:ascii="Times New (W1)" w:hAnsi="Times New (W1)"/>
          <w:sz w:val="26"/>
          <w:szCs w:val="20"/>
        </w:rPr>
      </w:pPr>
      <w:r w:rsidRPr="00AC6A03">
        <w:rPr>
          <w:rFonts w:ascii="Times New (W1)" w:hAnsi="Times New (W1)"/>
          <w:sz w:val="26"/>
          <w:szCs w:val="20"/>
        </w:rPr>
        <w:t>Robert F. Powelson, Chairman</w:t>
      </w:r>
    </w:p>
    <w:p w:rsidR="00AC6A03" w:rsidRPr="00AC6A03" w:rsidRDefault="00AC6A03" w:rsidP="00AC6A03">
      <w:pPr>
        <w:widowControl w:val="0"/>
        <w:ind w:firstLine="540"/>
        <w:rPr>
          <w:rFonts w:ascii="Times New (W1)" w:hAnsi="Times New (W1)"/>
          <w:sz w:val="26"/>
          <w:szCs w:val="20"/>
        </w:rPr>
      </w:pPr>
      <w:r w:rsidRPr="00AC6A03">
        <w:rPr>
          <w:rFonts w:ascii="Times New (W1)" w:hAnsi="Times New (W1)"/>
          <w:sz w:val="26"/>
          <w:szCs w:val="20"/>
        </w:rPr>
        <w:t>John F. Coleman, Jr., Vice Chairman</w:t>
      </w:r>
    </w:p>
    <w:p w:rsidR="00AC6A03" w:rsidRPr="00AC6A03" w:rsidRDefault="00AC6A03" w:rsidP="00AC6A03">
      <w:pPr>
        <w:widowControl w:val="0"/>
        <w:ind w:firstLine="540"/>
        <w:rPr>
          <w:rFonts w:ascii="Times New (W1)" w:hAnsi="Times New (W1)"/>
          <w:sz w:val="26"/>
          <w:szCs w:val="20"/>
        </w:rPr>
      </w:pPr>
      <w:r w:rsidRPr="00AC6A03">
        <w:rPr>
          <w:rFonts w:ascii="Times New (W1)" w:hAnsi="Times New (W1)"/>
          <w:sz w:val="26"/>
          <w:szCs w:val="20"/>
        </w:rPr>
        <w:t>Wayne E. Gardner</w:t>
      </w:r>
    </w:p>
    <w:p w:rsidR="00AC6A03" w:rsidRPr="00AC6A03" w:rsidRDefault="00AC6A03" w:rsidP="00AC6A03">
      <w:pPr>
        <w:widowControl w:val="0"/>
        <w:ind w:firstLine="540"/>
        <w:rPr>
          <w:rFonts w:ascii="Times New (W1)" w:hAnsi="Times New (W1)"/>
          <w:sz w:val="26"/>
          <w:szCs w:val="20"/>
        </w:rPr>
      </w:pPr>
      <w:r w:rsidRPr="00AC6A03">
        <w:rPr>
          <w:rFonts w:ascii="Times New (W1)" w:hAnsi="Times New (W1)"/>
          <w:sz w:val="26"/>
          <w:szCs w:val="20"/>
        </w:rPr>
        <w:t>James H. Cawley</w:t>
      </w:r>
    </w:p>
    <w:p w:rsidR="00AC6A03" w:rsidRPr="00AC6A03" w:rsidRDefault="00AC6A03" w:rsidP="00AC6A03">
      <w:pPr>
        <w:widowControl w:val="0"/>
        <w:ind w:firstLine="540"/>
        <w:rPr>
          <w:rFonts w:ascii="Times New (W1)" w:hAnsi="Times New (W1)"/>
          <w:sz w:val="26"/>
          <w:szCs w:val="20"/>
        </w:rPr>
      </w:pPr>
      <w:r w:rsidRPr="00AC6A03">
        <w:rPr>
          <w:rFonts w:ascii="Times New (W1)" w:hAnsi="Times New (W1)"/>
          <w:sz w:val="26"/>
          <w:szCs w:val="20"/>
        </w:rPr>
        <w:t>Pamela A. Witmer</w:t>
      </w:r>
      <w:r w:rsidR="00062666">
        <w:rPr>
          <w:rFonts w:ascii="Times New (W1)" w:hAnsi="Times New (W1)"/>
          <w:sz w:val="26"/>
          <w:szCs w:val="20"/>
        </w:rPr>
        <w:t>, Statement</w:t>
      </w:r>
    </w:p>
    <w:p w:rsidR="00AC6A03" w:rsidRDefault="00AC6A03" w:rsidP="00AC6A03">
      <w:pPr>
        <w:rPr>
          <w:sz w:val="26"/>
          <w:szCs w:val="26"/>
        </w:rPr>
      </w:pPr>
    </w:p>
    <w:p w:rsidR="009304FE" w:rsidRDefault="009304FE" w:rsidP="009304FE"/>
    <w:p w:rsidR="00BC321A" w:rsidRDefault="001D3B99" w:rsidP="009304FE">
      <w:pPr>
        <w:tabs>
          <w:tab w:val="left" w:pos="-720"/>
          <w:tab w:val="left" w:pos="0"/>
        </w:tabs>
        <w:suppressAutoHyphens/>
        <w:rPr>
          <w:sz w:val="26"/>
          <w:szCs w:val="26"/>
        </w:rPr>
      </w:pPr>
      <w:r>
        <w:rPr>
          <w:sz w:val="26"/>
          <w:szCs w:val="26"/>
        </w:rPr>
        <w:t>Larry and Gail Newman</w:t>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r>
      <w:r w:rsidR="003B68C7">
        <w:rPr>
          <w:sz w:val="26"/>
          <w:szCs w:val="26"/>
        </w:rPr>
        <w:tab/>
        <w:t xml:space="preserve">     C-</w:t>
      </w:r>
      <w:r>
        <w:rPr>
          <w:sz w:val="26"/>
          <w:szCs w:val="26"/>
        </w:rPr>
        <w:t>2011-2273565</w:t>
      </w:r>
    </w:p>
    <w:p w:rsidR="009304FE" w:rsidRPr="006C64C8" w:rsidRDefault="009304FE" w:rsidP="009304FE">
      <w:pPr>
        <w:tabs>
          <w:tab w:val="left" w:pos="-720"/>
          <w:tab w:val="left" w:pos="0"/>
        </w:tabs>
        <w:suppressAutoHyphens/>
        <w:rPr>
          <w:sz w:val="26"/>
          <w:szCs w:val="26"/>
        </w:rPr>
      </w:pPr>
      <w:r w:rsidRPr="006C64C8">
        <w:rPr>
          <w:sz w:val="26"/>
          <w:szCs w:val="26"/>
        </w:rPr>
        <w:tab/>
      </w:r>
    </w:p>
    <w:p w:rsidR="009304FE" w:rsidRPr="006C64C8" w:rsidRDefault="009304FE" w:rsidP="00B01F47">
      <w:pPr>
        <w:tabs>
          <w:tab w:val="left" w:pos="-720"/>
          <w:tab w:val="left" w:pos="0"/>
        </w:tabs>
        <w:suppressAutoHyphens/>
        <w:rPr>
          <w:sz w:val="26"/>
          <w:szCs w:val="26"/>
        </w:rPr>
      </w:pPr>
      <w:r w:rsidRPr="006C64C8">
        <w:rPr>
          <w:sz w:val="26"/>
          <w:szCs w:val="26"/>
        </w:rPr>
        <w:tab/>
        <w:t>v.</w:t>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r w:rsidRPr="006C64C8">
        <w:rPr>
          <w:sz w:val="26"/>
          <w:szCs w:val="26"/>
        </w:rPr>
        <w:tab/>
      </w:r>
    </w:p>
    <w:p w:rsidR="009304FE" w:rsidRPr="006C64C8" w:rsidRDefault="002652DF" w:rsidP="009304FE">
      <w:pPr>
        <w:tabs>
          <w:tab w:val="left" w:pos="-720"/>
          <w:tab w:val="left" w:pos="0"/>
        </w:tabs>
        <w:suppressAutoHyphens/>
        <w:rPr>
          <w:sz w:val="26"/>
          <w:szCs w:val="26"/>
        </w:rPr>
      </w:pPr>
      <w:r>
        <w:rPr>
          <w:sz w:val="26"/>
          <w:szCs w:val="26"/>
        </w:rPr>
        <w:t>Philadelphia Gas Works</w:t>
      </w:r>
      <w:r w:rsidR="009304FE" w:rsidRPr="006C64C8">
        <w:rPr>
          <w:sz w:val="26"/>
          <w:szCs w:val="26"/>
        </w:rPr>
        <w:tab/>
      </w:r>
      <w:r w:rsidR="009304FE" w:rsidRPr="006C64C8">
        <w:rPr>
          <w:sz w:val="26"/>
          <w:szCs w:val="26"/>
        </w:rPr>
        <w:tab/>
      </w:r>
      <w:r w:rsidR="009304FE" w:rsidRPr="006C64C8">
        <w:rPr>
          <w:sz w:val="26"/>
          <w:szCs w:val="26"/>
        </w:rPr>
        <w:tab/>
      </w:r>
      <w:r w:rsidR="009304FE" w:rsidRPr="006C64C8">
        <w:rPr>
          <w:sz w:val="26"/>
          <w:szCs w:val="26"/>
        </w:rPr>
        <w:tab/>
      </w:r>
    </w:p>
    <w:p w:rsidR="009304FE" w:rsidRDefault="009304FE" w:rsidP="009304FE">
      <w:pPr>
        <w:rPr>
          <w:sz w:val="26"/>
          <w:szCs w:val="26"/>
        </w:rPr>
      </w:pP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OPINION AND ORDER</w:t>
      </w:r>
    </w:p>
    <w:p w:rsidR="00CA6BAF" w:rsidRPr="00624B80" w:rsidRDefault="00CA6BAF"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1F79C6" w:rsidRDefault="00AE655A" w:rsidP="0019214E">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9304FE" w:rsidRPr="00585188">
        <w:rPr>
          <w:sz w:val="26"/>
          <w:szCs w:val="26"/>
        </w:rPr>
        <w:t>are the Exceptions</w:t>
      </w:r>
      <w:r w:rsidR="009304FE">
        <w:rPr>
          <w:sz w:val="26"/>
          <w:szCs w:val="26"/>
        </w:rPr>
        <w:t xml:space="preserve"> </w:t>
      </w:r>
      <w:r w:rsidR="009304FE" w:rsidRPr="00585188">
        <w:rPr>
          <w:sz w:val="26"/>
          <w:szCs w:val="26"/>
        </w:rPr>
        <w:t>of</w:t>
      </w:r>
      <w:r w:rsidR="00E574E0">
        <w:rPr>
          <w:sz w:val="26"/>
          <w:szCs w:val="26"/>
        </w:rPr>
        <w:t xml:space="preserve"> </w:t>
      </w:r>
      <w:r w:rsidR="001D3B99">
        <w:rPr>
          <w:sz w:val="26"/>
          <w:szCs w:val="26"/>
        </w:rPr>
        <w:t>Gail and Larry Newman</w:t>
      </w:r>
      <w:r w:rsidR="00FE7460">
        <w:rPr>
          <w:sz w:val="26"/>
          <w:szCs w:val="26"/>
        </w:rPr>
        <w:t xml:space="preserve"> (Complainant</w:t>
      </w:r>
      <w:r w:rsidR="001D3B99">
        <w:rPr>
          <w:sz w:val="26"/>
          <w:szCs w:val="26"/>
        </w:rPr>
        <w:t>s</w:t>
      </w:r>
      <w:r w:rsidR="00FE7460">
        <w:rPr>
          <w:sz w:val="26"/>
          <w:szCs w:val="26"/>
        </w:rPr>
        <w:t>)</w:t>
      </w:r>
      <w:r w:rsidR="00710EAE">
        <w:rPr>
          <w:sz w:val="26"/>
          <w:szCs w:val="26"/>
        </w:rPr>
        <w:t xml:space="preserve">, </w:t>
      </w:r>
      <w:r w:rsidR="00B45042">
        <w:rPr>
          <w:sz w:val="26"/>
          <w:szCs w:val="26"/>
        </w:rPr>
        <w:t>filed</w:t>
      </w:r>
      <w:r w:rsidR="00F8097F">
        <w:rPr>
          <w:sz w:val="26"/>
          <w:szCs w:val="26"/>
        </w:rPr>
        <w:t xml:space="preserve"> on </w:t>
      </w:r>
      <w:r w:rsidR="00E3397D">
        <w:rPr>
          <w:sz w:val="26"/>
          <w:szCs w:val="26"/>
        </w:rPr>
        <w:t>January 17</w:t>
      </w:r>
      <w:r w:rsidR="00F8097F">
        <w:rPr>
          <w:sz w:val="26"/>
          <w:szCs w:val="26"/>
        </w:rPr>
        <w:t>, 201</w:t>
      </w:r>
      <w:r w:rsidR="00E3397D">
        <w:rPr>
          <w:sz w:val="26"/>
          <w:szCs w:val="26"/>
        </w:rPr>
        <w:t>2</w:t>
      </w:r>
      <w:r w:rsidR="009304FE" w:rsidRPr="00585188">
        <w:rPr>
          <w:sz w:val="26"/>
          <w:szCs w:val="26"/>
        </w:rPr>
        <w:t>,</w:t>
      </w:r>
      <w:r w:rsidR="009304FE">
        <w:rPr>
          <w:sz w:val="26"/>
          <w:szCs w:val="26"/>
        </w:rPr>
        <w:t xml:space="preserve"> </w:t>
      </w:r>
      <w:r w:rsidR="009304FE" w:rsidRPr="00585188">
        <w:rPr>
          <w:sz w:val="26"/>
          <w:szCs w:val="26"/>
        </w:rPr>
        <w:t xml:space="preserve">to the Initial Decision </w:t>
      </w:r>
      <w:r w:rsidR="00B10F4E">
        <w:rPr>
          <w:sz w:val="26"/>
          <w:szCs w:val="26"/>
        </w:rPr>
        <w:t xml:space="preserve">(I.D.) </w:t>
      </w:r>
      <w:r w:rsidR="009304FE" w:rsidRPr="00585188">
        <w:rPr>
          <w:sz w:val="26"/>
          <w:szCs w:val="26"/>
        </w:rPr>
        <w:t>of</w:t>
      </w:r>
      <w:r w:rsidR="00F8097F">
        <w:rPr>
          <w:sz w:val="26"/>
          <w:szCs w:val="26"/>
        </w:rPr>
        <w:t xml:space="preserve"> Administrative Law Judge (ALJ)</w:t>
      </w:r>
      <w:r w:rsidR="002652DF">
        <w:rPr>
          <w:sz w:val="26"/>
          <w:szCs w:val="26"/>
        </w:rPr>
        <w:t xml:space="preserve"> </w:t>
      </w:r>
      <w:r w:rsidR="00E865EA">
        <w:rPr>
          <w:sz w:val="26"/>
          <w:szCs w:val="26"/>
        </w:rPr>
        <w:t xml:space="preserve">Ky Van </w:t>
      </w:r>
      <w:r w:rsidR="009E455F">
        <w:rPr>
          <w:sz w:val="26"/>
          <w:szCs w:val="26"/>
        </w:rPr>
        <w:t>Nguyen</w:t>
      </w:r>
      <w:r w:rsidR="009304FE" w:rsidRPr="00585188">
        <w:rPr>
          <w:sz w:val="26"/>
          <w:szCs w:val="26"/>
        </w:rPr>
        <w:t>, issued</w:t>
      </w:r>
      <w:r w:rsidR="00E61A27">
        <w:rPr>
          <w:sz w:val="26"/>
          <w:szCs w:val="26"/>
        </w:rPr>
        <w:t xml:space="preserve"> </w:t>
      </w:r>
      <w:r w:rsidR="00E3397D">
        <w:rPr>
          <w:sz w:val="26"/>
          <w:szCs w:val="26"/>
        </w:rPr>
        <w:t>January 11, 2012</w:t>
      </w:r>
      <w:r w:rsidR="009304FE">
        <w:rPr>
          <w:sz w:val="26"/>
          <w:szCs w:val="26"/>
        </w:rPr>
        <w:t xml:space="preserve">. </w:t>
      </w:r>
      <w:r w:rsidR="00655AC4">
        <w:rPr>
          <w:sz w:val="26"/>
          <w:szCs w:val="26"/>
        </w:rPr>
        <w:t xml:space="preserve"> </w:t>
      </w:r>
      <w:r w:rsidR="002723CB">
        <w:rPr>
          <w:sz w:val="26"/>
          <w:szCs w:val="26"/>
        </w:rPr>
        <w:t>Philadelphia G</w:t>
      </w:r>
      <w:r w:rsidR="00193EF0">
        <w:rPr>
          <w:sz w:val="26"/>
          <w:szCs w:val="26"/>
        </w:rPr>
        <w:t xml:space="preserve">as Works (PGW) </w:t>
      </w:r>
      <w:r w:rsidR="008F05C2">
        <w:rPr>
          <w:sz w:val="26"/>
          <w:szCs w:val="26"/>
        </w:rPr>
        <w:t>filed Repl</w:t>
      </w:r>
      <w:r w:rsidR="00E3397D">
        <w:rPr>
          <w:sz w:val="26"/>
          <w:szCs w:val="26"/>
        </w:rPr>
        <w:t>ies to</w:t>
      </w:r>
      <w:r w:rsidR="008F05C2">
        <w:rPr>
          <w:sz w:val="26"/>
          <w:szCs w:val="26"/>
        </w:rPr>
        <w:t xml:space="preserve"> Exceptions </w:t>
      </w:r>
      <w:r w:rsidR="00193EF0">
        <w:rPr>
          <w:sz w:val="26"/>
          <w:szCs w:val="26"/>
        </w:rPr>
        <w:t xml:space="preserve">on </w:t>
      </w:r>
      <w:r w:rsidR="00E3397D">
        <w:rPr>
          <w:sz w:val="26"/>
          <w:szCs w:val="26"/>
        </w:rPr>
        <w:t>February 10, 2012.</w:t>
      </w:r>
      <w:r w:rsidR="00966051">
        <w:rPr>
          <w:sz w:val="26"/>
          <w:szCs w:val="26"/>
        </w:rPr>
        <w:t xml:space="preserve">  For the reasons stated below, we</w:t>
      </w:r>
      <w:r w:rsidR="00300C9D">
        <w:rPr>
          <w:sz w:val="26"/>
          <w:szCs w:val="26"/>
        </w:rPr>
        <w:t xml:space="preserve"> </w:t>
      </w:r>
      <w:r w:rsidR="000725E1">
        <w:rPr>
          <w:sz w:val="26"/>
          <w:szCs w:val="26"/>
        </w:rPr>
        <w:t>shall</w:t>
      </w:r>
      <w:r w:rsidR="003D2264">
        <w:rPr>
          <w:sz w:val="26"/>
          <w:szCs w:val="26"/>
        </w:rPr>
        <w:t xml:space="preserve"> deny the Complainant’s Exceptions, but we</w:t>
      </w:r>
      <w:r w:rsidR="000725E1">
        <w:rPr>
          <w:sz w:val="26"/>
          <w:szCs w:val="26"/>
        </w:rPr>
        <w:t xml:space="preserve"> </w:t>
      </w:r>
      <w:r w:rsidR="003D2264">
        <w:rPr>
          <w:sz w:val="26"/>
          <w:szCs w:val="26"/>
        </w:rPr>
        <w:t>modify the ALJ’s Initial Decision consistent with this Opinion and Order</w:t>
      </w:r>
      <w:r w:rsidR="000725E1">
        <w:rPr>
          <w:sz w:val="26"/>
          <w:szCs w:val="26"/>
        </w:rPr>
        <w:t xml:space="preserve">.   </w:t>
      </w:r>
      <w:r w:rsidR="00874DEF">
        <w:rPr>
          <w:sz w:val="26"/>
          <w:szCs w:val="26"/>
        </w:rPr>
        <w:t xml:space="preserve">  </w:t>
      </w:r>
    </w:p>
    <w:p w:rsidR="00966051" w:rsidRDefault="00966051" w:rsidP="0019214E">
      <w:pPr>
        <w:spacing w:line="360" w:lineRule="auto"/>
        <w:rPr>
          <w:sz w:val="26"/>
          <w:szCs w:val="26"/>
        </w:rPr>
      </w:pPr>
    </w:p>
    <w:p w:rsidR="005C6B17" w:rsidRDefault="005C6B17" w:rsidP="00F55BED">
      <w:pPr>
        <w:spacing w:line="360" w:lineRule="auto"/>
        <w:jc w:val="center"/>
        <w:rPr>
          <w:b/>
          <w:sz w:val="26"/>
          <w:szCs w:val="26"/>
        </w:rPr>
      </w:pPr>
    </w:p>
    <w:p w:rsidR="009304FE" w:rsidRDefault="00F55BED" w:rsidP="00F55BED">
      <w:pPr>
        <w:spacing w:line="360" w:lineRule="auto"/>
        <w:jc w:val="center"/>
        <w:rPr>
          <w:b/>
          <w:sz w:val="26"/>
          <w:szCs w:val="26"/>
        </w:rPr>
      </w:pPr>
      <w:r w:rsidRPr="00CA1972">
        <w:rPr>
          <w:b/>
          <w:sz w:val="26"/>
          <w:szCs w:val="26"/>
        </w:rPr>
        <w:lastRenderedPageBreak/>
        <w:t>History of the Proceeding</w:t>
      </w:r>
    </w:p>
    <w:p w:rsidR="005C6B17" w:rsidRDefault="005C6B17" w:rsidP="00F55BED">
      <w:pPr>
        <w:spacing w:line="360" w:lineRule="auto"/>
        <w:jc w:val="center"/>
        <w:rPr>
          <w:b/>
          <w:sz w:val="26"/>
          <w:szCs w:val="26"/>
        </w:rPr>
      </w:pPr>
    </w:p>
    <w:p w:rsidR="00C25829" w:rsidRPr="00C25829" w:rsidRDefault="00C25829" w:rsidP="00C25829">
      <w:pPr>
        <w:spacing w:line="360" w:lineRule="auto"/>
        <w:ind w:firstLine="1440"/>
        <w:rPr>
          <w:sz w:val="26"/>
        </w:rPr>
      </w:pPr>
      <w:r w:rsidRPr="00C25829">
        <w:rPr>
          <w:sz w:val="26"/>
        </w:rPr>
        <w:t xml:space="preserve">On November 15, 2011, </w:t>
      </w:r>
      <w:r>
        <w:rPr>
          <w:sz w:val="26"/>
        </w:rPr>
        <w:t xml:space="preserve">the </w:t>
      </w:r>
      <w:r w:rsidRPr="00C25829">
        <w:rPr>
          <w:sz w:val="26"/>
        </w:rPr>
        <w:t xml:space="preserve">Complainants filed a </w:t>
      </w:r>
      <w:r>
        <w:rPr>
          <w:sz w:val="26"/>
        </w:rPr>
        <w:t>Formal C</w:t>
      </w:r>
      <w:r w:rsidRPr="00C25829">
        <w:rPr>
          <w:sz w:val="26"/>
        </w:rPr>
        <w:t xml:space="preserve">omplaint </w:t>
      </w:r>
      <w:r>
        <w:rPr>
          <w:sz w:val="26"/>
        </w:rPr>
        <w:t xml:space="preserve">(Complaint) </w:t>
      </w:r>
      <w:r w:rsidRPr="00C25829">
        <w:rPr>
          <w:sz w:val="26"/>
        </w:rPr>
        <w:t xml:space="preserve">against PGW.  </w:t>
      </w:r>
      <w:r w:rsidR="00D812C3">
        <w:rPr>
          <w:sz w:val="26"/>
        </w:rPr>
        <w:t xml:space="preserve">The </w:t>
      </w:r>
      <w:r w:rsidRPr="00C25829">
        <w:rPr>
          <w:sz w:val="26"/>
        </w:rPr>
        <w:t xml:space="preserve">Complainants </w:t>
      </w:r>
      <w:r w:rsidR="00D812C3">
        <w:rPr>
          <w:sz w:val="26"/>
        </w:rPr>
        <w:t>stated</w:t>
      </w:r>
      <w:r w:rsidRPr="00C25829">
        <w:rPr>
          <w:sz w:val="26"/>
        </w:rPr>
        <w:t xml:space="preserve"> that they rented out their property at 8026 Germantown Avenue, Philadelphia, P</w:t>
      </w:r>
      <w:r w:rsidR="00D812C3">
        <w:rPr>
          <w:sz w:val="26"/>
        </w:rPr>
        <w:t>ennsylvania</w:t>
      </w:r>
      <w:r w:rsidRPr="00C25829">
        <w:rPr>
          <w:sz w:val="26"/>
        </w:rPr>
        <w:t xml:space="preserve"> </w:t>
      </w:r>
      <w:r w:rsidR="00FB22E1">
        <w:rPr>
          <w:sz w:val="26"/>
        </w:rPr>
        <w:t>(</w:t>
      </w:r>
      <w:r w:rsidR="00CF39C9">
        <w:rPr>
          <w:sz w:val="26"/>
        </w:rPr>
        <w:t>S</w:t>
      </w:r>
      <w:r w:rsidR="00FB22E1">
        <w:rPr>
          <w:sz w:val="26"/>
        </w:rPr>
        <w:t xml:space="preserve">ubject </w:t>
      </w:r>
      <w:r w:rsidR="00CF39C9">
        <w:rPr>
          <w:sz w:val="26"/>
        </w:rPr>
        <w:t>P</w:t>
      </w:r>
      <w:r w:rsidR="00FB22E1">
        <w:rPr>
          <w:sz w:val="26"/>
        </w:rPr>
        <w:t xml:space="preserve">roperty) </w:t>
      </w:r>
      <w:r w:rsidRPr="00C25829">
        <w:rPr>
          <w:sz w:val="26"/>
        </w:rPr>
        <w:t xml:space="preserve">to a tenant </w:t>
      </w:r>
      <w:r w:rsidR="00D812C3">
        <w:rPr>
          <w:sz w:val="26"/>
        </w:rPr>
        <w:t>be</w:t>
      </w:r>
      <w:r w:rsidRPr="00C25829">
        <w:rPr>
          <w:sz w:val="26"/>
        </w:rPr>
        <w:t xml:space="preserve">tween September 2006 and September 2011, </w:t>
      </w:r>
      <w:r w:rsidR="00CF2B70">
        <w:rPr>
          <w:sz w:val="26"/>
        </w:rPr>
        <w:t xml:space="preserve">and that the tenant </w:t>
      </w:r>
      <w:r w:rsidRPr="00C25829">
        <w:rPr>
          <w:sz w:val="26"/>
        </w:rPr>
        <w:t>incurred a debt for gas service to the property</w:t>
      </w:r>
      <w:r w:rsidR="00D812C3">
        <w:rPr>
          <w:sz w:val="26"/>
        </w:rPr>
        <w:t xml:space="preserve"> during that time period.</w:t>
      </w:r>
      <w:r w:rsidRPr="00C25829">
        <w:rPr>
          <w:sz w:val="26"/>
        </w:rPr>
        <w:t xml:space="preserve"> </w:t>
      </w:r>
      <w:r w:rsidR="00D812C3">
        <w:rPr>
          <w:sz w:val="26"/>
        </w:rPr>
        <w:t xml:space="preserve"> The Complainants further stated that PGW</w:t>
      </w:r>
      <w:r w:rsidRPr="00C25829">
        <w:rPr>
          <w:sz w:val="26"/>
        </w:rPr>
        <w:t xml:space="preserve"> imposed a lien in the debt amount on their property</w:t>
      </w:r>
      <w:r w:rsidR="00CF2B70">
        <w:rPr>
          <w:sz w:val="26"/>
        </w:rPr>
        <w:t>.</w:t>
      </w:r>
      <w:r w:rsidR="00C704E5">
        <w:rPr>
          <w:rStyle w:val="FootnoteReference"/>
        </w:rPr>
        <w:footnoteReference w:id="1"/>
      </w:r>
      <w:r w:rsidRPr="00C25829">
        <w:rPr>
          <w:sz w:val="26"/>
        </w:rPr>
        <w:t xml:space="preserve">  They </w:t>
      </w:r>
      <w:r w:rsidR="00D812C3">
        <w:rPr>
          <w:sz w:val="26"/>
        </w:rPr>
        <w:t>requested</w:t>
      </w:r>
      <w:r w:rsidRPr="00C25829">
        <w:rPr>
          <w:sz w:val="26"/>
        </w:rPr>
        <w:t xml:space="preserve"> that the lien be removed.</w:t>
      </w:r>
    </w:p>
    <w:p w:rsidR="00C25829" w:rsidRPr="00C25829" w:rsidRDefault="00C25829" w:rsidP="00C25829">
      <w:pPr>
        <w:spacing w:line="360" w:lineRule="auto"/>
        <w:rPr>
          <w:sz w:val="26"/>
        </w:rPr>
      </w:pPr>
    </w:p>
    <w:p w:rsidR="00206970" w:rsidRDefault="00C25829" w:rsidP="00C25829">
      <w:pPr>
        <w:spacing w:line="360" w:lineRule="auto"/>
        <w:rPr>
          <w:sz w:val="26"/>
        </w:rPr>
      </w:pPr>
      <w:r w:rsidRPr="00C25829">
        <w:rPr>
          <w:sz w:val="26"/>
        </w:rPr>
        <w:tab/>
      </w:r>
      <w:r w:rsidRPr="00C25829">
        <w:rPr>
          <w:sz w:val="26"/>
        </w:rPr>
        <w:tab/>
      </w:r>
      <w:r w:rsidR="00A5218D">
        <w:rPr>
          <w:sz w:val="26"/>
        </w:rPr>
        <w:t>On December 8, 2011,</w:t>
      </w:r>
      <w:r w:rsidRPr="00C25829">
        <w:rPr>
          <w:sz w:val="26"/>
        </w:rPr>
        <w:t xml:space="preserve"> </w:t>
      </w:r>
      <w:r w:rsidR="00A5218D">
        <w:rPr>
          <w:sz w:val="26"/>
        </w:rPr>
        <w:t>PGW</w:t>
      </w:r>
      <w:r w:rsidRPr="00C25829">
        <w:rPr>
          <w:sz w:val="26"/>
        </w:rPr>
        <w:t xml:space="preserve"> filed an </w:t>
      </w:r>
      <w:r w:rsidR="00A5218D">
        <w:rPr>
          <w:sz w:val="26"/>
        </w:rPr>
        <w:t>A</w:t>
      </w:r>
      <w:r w:rsidRPr="00C25829">
        <w:rPr>
          <w:sz w:val="26"/>
        </w:rPr>
        <w:t>nswer a</w:t>
      </w:r>
      <w:r w:rsidR="00F15A81">
        <w:rPr>
          <w:sz w:val="26"/>
        </w:rPr>
        <w:t>s well as</w:t>
      </w:r>
      <w:r w:rsidRPr="00C25829">
        <w:rPr>
          <w:sz w:val="26"/>
        </w:rPr>
        <w:t xml:space="preserve"> </w:t>
      </w:r>
      <w:r w:rsidR="00A5218D">
        <w:rPr>
          <w:sz w:val="26"/>
        </w:rPr>
        <w:t>P</w:t>
      </w:r>
      <w:r w:rsidRPr="00C25829">
        <w:rPr>
          <w:sz w:val="26"/>
        </w:rPr>
        <w:t xml:space="preserve">reliminary </w:t>
      </w:r>
      <w:r w:rsidR="00A5218D">
        <w:rPr>
          <w:sz w:val="26"/>
        </w:rPr>
        <w:t>O</w:t>
      </w:r>
      <w:r w:rsidRPr="00C25829">
        <w:rPr>
          <w:sz w:val="26"/>
        </w:rPr>
        <w:t>bjections</w:t>
      </w:r>
      <w:r w:rsidR="00F15A81">
        <w:rPr>
          <w:sz w:val="26"/>
        </w:rPr>
        <w:t xml:space="preserve"> and Motion to Strike Impertinent Matter</w:t>
      </w:r>
      <w:r w:rsidRPr="00C25829">
        <w:rPr>
          <w:sz w:val="26"/>
        </w:rPr>
        <w:t>.</w:t>
      </w:r>
      <w:r w:rsidR="00A5218D">
        <w:rPr>
          <w:sz w:val="26"/>
        </w:rPr>
        <w:t xml:space="preserve">  </w:t>
      </w:r>
      <w:r w:rsidRPr="00C25829">
        <w:rPr>
          <w:sz w:val="26"/>
        </w:rPr>
        <w:t xml:space="preserve">In </w:t>
      </w:r>
      <w:r w:rsidR="00C748AB">
        <w:rPr>
          <w:sz w:val="26"/>
        </w:rPr>
        <w:t>i</w:t>
      </w:r>
      <w:r w:rsidRPr="00C25829">
        <w:rPr>
          <w:sz w:val="26"/>
        </w:rPr>
        <w:t>t</w:t>
      </w:r>
      <w:r w:rsidR="00C748AB">
        <w:rPr>
          <w:sz w:val="26"/>
        </w:rPr>
        <w:t>s Answer, PGW</w:t>
      </w:r>
      <w:r w:rsidRPr="00C25829">
        <w:rPr>
          <w:sz w:val="26"/>
        </w:rPr>
        <w:t xml:space="preserve"> stated</w:t>
      </w:r>
      <w:r w:rsidR="00FB22E1">
        <w:rPr>
          <w:sz w:val="26"/>
        </w:rPr>
        <w:t xml:space="preserve"> that on August 25, 2006, when the prior tenant requested that the gas service be taken out of her name, PGW left the gas service on and created a placeholder account to be billed until a new customer of record applied for service.  PGW also stated that, on August 11, 2008</w:t>
      </w:r>
      <w:r w:rsidRPr="00C25829">
        <w:rPr>
          <w:sz w:val="26"/>
        </w:rPr>
        <w:t>,</w:t>
      </w:r>
      <w:r w:rsidR="00FB22E1">
        <w:rPr>
          <w:sz w:val="26"/>
        </w:rPr>
        <w:t xml:space="preserve"> it mailed a “Dear Occupant” letter to the </w:t>
      </w:r>
      <w:r w:rsidR="00CF39C9">
        <w:rPr>
          <w:sz w:val="26"/>
        </w:rPr>
        <w:t xml:space="preserve">Subject Property </w:t>
      </w:r>
      <w:r w:rsidR="00FB22E1">
        <w:rPr>
          <w:sz w:val="26"/>
        </w:rPr>
        <w:t xml:space="preserve">because un-billed usage was accumulating in the placeholder account. </w:t>
      </w:r>
      <w:r w:rsidRPr="00C25829">
        <w:rPr>
          <w:sz w:val="26"/>
        </w:rPr>
        <w:t xml:space="preserve"> </w:t>
      </w:r>
      <w:r w:rsidR="00FB22E1">
        <w:rPr>
          <w:sz w:val="26"/>
        </w:rPr>
        <w:t xml:space="preserve">According to PGW, on June 24, 2009, it left a shut off notice at the </w:t>
      </w:r>
      <w:r w:rsidR="00CF39C9">
        <w:rPr>
          <w:sz w:val="26"/>
        </w:rPr>
        <w:t xml:space="preserve">Subject Property </w:t>
      </w:r>
      <w:r w:rsidR="00FB22E1">
        <w:rPr>
          <w:sz w:val="26"/>
        </w:rPr>
        <w:t>for “User without a Contract</w:t>
      </w:r>
      <w:r w:rsidR="00CF2B70">
        <w:rPr>
          <w:sz w:val="26"/>
        </w:rPr>
        <w:t>,</w:t>
      </w:r>
      <w:r w:rsidR="00FB22E1">
        <w:rPr>
          <w:sz w:val="26"/>
        </w:rPr>
        <w:t>” and the current tenant then contacted it for new service on June 25, 2009.  PGW further averred</w:t>
      </w:r>
      <w:r w:rsidRPr="00C25829">
        <w:rPr>
          <w:sz w:val="26"/>
        </w:rPr>
        <w:t xml:space="preserve"> that </w:t>
      </w:r>
      <w:r w:rsidR="00C748AB">
        <w:rPr>
          <w:sz w:val="26"/>
        </w:rPr>
        <w:t>the tenant</w:t>
      </w:r>
      <w:r w:rsidRPr="00C25829">
        <w:rPr>
          <w:sz w:val="26"/>
        </w:rPr>
        <w:t xml:space="preserve"> admitted to moving into the </w:t>
      </w:r>
      <w:r w:rsidR="00CF39C9">
        <w:rPr>
          <w:sz w:val="26"/>
        </w:rPr>
        <w:t>Subject Property</w:t>
      </w:r>
      <w:r w:rsidRPr="00C25829">
        <w:rPr>
          <w:sz w:val="26"/>
        </w:rPr>
        <w:t xml:space="preserve"> in September 2006</w:t>
      </w:r>
      <w:r w:rsidR="00C748AB">
        <w:rPr>
          <w:sz w:val="26"/>
        </w:rPr>
        <w:t>,</w:t>
      </w:r>
      <w:r w:rsidRPr="00C25829">
        <w:rPr>
          <w:sz w:val="26"/>
        </w:rPr>
        <w:t xml:space="preserve"> </w:t>
      </w:r>
      <w:r w:rsidR="00C748AB">
        <w:rPr>
          <w:sz w:val="26"/>
        </w:rPr>
        <w:t>and</w:t>
      </w:r>
      <w:r w:rsidRPr="00C25829">
        <w:rPr>
          <w:sz w:val="26"/>
        </w:rPr>
        <w:t xml:space="preserve"> not apply</w:t>
      </w:r>
      <w:r w:rsidR="00C748AB">
        <w:rPr>
          <w:sz w:val="26"/>
        </w:rPr>
        <w:t>ing</w:t>
      </w:r>
      <w:r w:rsidRPr="00C25829">
        <w:rPr>
          <w:sz w:val="26"/>
        </w:rPr>
        <w:t xml:space="preserve"> for service until June 26, 2009</w:t>
      </w:r>
      <w:r w:rsidR="00C748AB">
        <w:rPr>
          <w:sz w:val="26"/>
        </w:rPr>
        <w:t>;</w:t>
      </w:r>
      <w:r w:rsidRPr="00C25829">
        <w:rPr>
          <w:sz w:val="26"/>
        </w:rPr>
        <w:t xml:space="preserve"> that </w:t>
      </w:r>
      <w:r w:rsidR="00C748AB">
        <w:rPr>
          <w:sz w:val="26"/>
        </w:rPr>
        <w:t>PGW</w:t>
      </w:r>
      <w:r w:rsidRPr="00C25829">
        <w:rPr>
          <w:sz w:val="26"/>
        </w:rPr>
        <w:t xml:space="preserve"> terminated gas service </w:t>
      </w:r>
      <w:r w:rsidR="00C748AB">
        <w:rPr>
          <w:sz w:val="26"/>
        </w:rPr>
        <w:t xml:space="preserve">at the </w:t>
      </w:r>
      <w:r w:rsidR="00CF39C9">
        <w:rPr>
          <w:sz w:val="26"/>
        </w:rPr>
        <w:t>Subject Property</w:t>
      </w:r>
      <w:r w:rsidR="00C748AB">
        <w:rPr>
          <w:sz w:val="26"/>
        </w:rPr>
        <w:t xml:space="preserve"> </w:t>
      </w:r>
      <w:r w:rsidRPr="00C25829">
        <w:rPr>
          <w:sz w:val="26"/>
        </w:rPr>
        <w:t>for nonpayment on April 14, 2011</w:t>
      </w:r>
      <w:r w:rsidR="00C748AB">
        <w:rPr>
          <w:sz w:val="26"/>
        </w:rPr>
        <w:t>;</w:t>
      </w:r>
      <w:r w:rsidRPr="00C25829">
        <w:rPr>
          <w:sz w:val="26"/>
        </w:rPr>
        <w:t xml:space="preserve"> and that the City of Philadelphia </w:t>
      </w:r>
      <w:r w:rsidR="00C740BF">
        <w:rPr>
          <w:sz w:val="26"/>
        </w:rPr>
        <w:t xml:space="preserve">(City) </w:t>
      </w:r>
      <w:r w:rsidRPr="00C25829">
        <w:rPr>
          <w:sz w:val="26"/>
        </w:rPr>
        <w:t xml:space="preserve">filed a municipal lien on behalf of </w:t>
      </w:r>
      <w:r w:rsidR="00C748AB">
        <w:rPr>
          <w:sz w:val="26"/>
        </w:rPr>
        <w:t>PGW</w:t>
      </w:r>
      <w:r w:rsidRPr="00C25829">
        <w:rPr>
          <w:sz w:val="26"/>
        </w:rPr>
        <w:t xml:space="preserve"> </w:t>
      </w:r>
      <w:r w:rsidR="00C748AB">
        <w:rPr>
          <w:sz w:val="26"/>
        </w:rPr>
        <w:t xml:space="preserve">for </w:t>
      </w:r>
      <w:r w:rsidRPr="00C25829">
        <w:rPr>
          <w:sz w:val="26"/>
        </w:rPr>
        <w:t xml:space="preserve">the unpaid gas service at the </w:t>
      </w:r>
      <w:r w:rsidR="00CF39C9">
        <w:rPr>
          <w:sz w:val="26"/>
        </w:rPr>
        <w:t>Subject Property</w:t>
      </w:r>
      <w:r w:rsidRPr="00C25829">
        <w:rPr>
          <w:sz w:val="26"/>
        </w:rPr>
        <w:t>.</w:t>
      </w:r>
      <w:r w:rsidR="00251D6F">
        <w:rPr>
          <w:sz w:val="26"/>
        </w:rPr>
        <w:t xml:space="preserve">  Answer at 2.</w:t>
      </w:r>
      <w:r w:rsidRPr="00C25829">
        <w:rPr>
          <w:sz w:val="26"/>
        </w:rPr>
        <w:t xml:space="preserve">  </w:t>
      </w:r>
    </w:p>
    <w:p w:rsidR="001B2218" w:rsidRDefault="00C25829" w:rsidP="00DE1E91">
      <w:pPr>
        <w:spacing w:line="360" w:lineRule="auto"/>
        <w:ind w:firstLine="1440"/>
        <w:rPr>
          <w:sz w:val="26"/>
        </w:rPr>
      </w:pPr>
      <w:r w:rsidRPr="00C25829">
        <w:rPr>
          <w:sz w:val="26"/>
        </w:rPr>
        <w:lastRenderedPageBreak/>
        <w:t xml:space="preserve">In its Preliminary Objections and Motion to Strike </w:t>
      </w:r>
      <w:r w:rsidR="00F15A81">
        <w:rPr>
          <w:sz w:val="26"/>
        </w:rPr>
        <w:t>I</w:t>
      </w:r>
      <w:r w:rsidRPr="00C25829">
        <w:rPr>
          <w:sz w:val="26"/>
        </w:rPr>
        <w:t xml:space="preserve">mpertinent </w:t>
      </w:r>
      <w:r w:rsidR="00F15A81">
        <w:rPr>
          <w:sz w:val="26"/>
        </w:rPr>
        <w:t>M</w:t>
      </w:r>
      <w:r w:rsidRPr="00C25829">
        <w:rPr>
          <w:sz w:val="26"/>
        </w:rPr>
        <w:t xml:space="preserve">atter, </w:t>
      </w:r>
      <w:r w:rsidR="00F15A81">
        <w:rPr>
          <w:sz w:val="26"/>
        </w:rPr>
        <w:t>PGW</w:t>
      </w:r>
      <w:r w:rsidRPr="00C25829">
        <w:rPr>
          <w:sz w:val="26"/>
        </w:rPr>
        <w:t xml:space="preserve"> stated that</w:t>
      </w:r>
      <w:r w:rsidR="00F15A81">
        <w:rPr>
          <w:sz w:val="26"/>
        </w:rPr>
        <w:t>,</w:t>
      </w:r>
      <w:r w:rsidRPr="00C25829">
        <w:rPr>
          <w:sz w:val="26"/>
        </w:rPr>
        <w:t xml:space="preserve"> between September 2006 and April 2011, </w:t>
      </w:r>
      <w:r w:rsidR="00F15A81">
        <w:rPr>
          <w:sz w:val="26"/>
        </w:rPr>
        <w:t>the tenant</w:t>
      </w:r>
      <w:r w:rsidRPr="00C25829">
        <w:rPr>
          <w:sz w:val="26"/>
        </w:rPr>
        <w:t xml:space="preserve"> owed </w:t>
      </w:r>
      <w:r w:rsidR="00F15A81">
        <w:rPr>
          <w:sz w:val="26"/>
        </w:rPr>
        <w:t>PGW</w:t>
      </w:r>
      <w:r w:rsidRPr="00C25829">
        <w:rPr>
          <w:sz w:val="26"/>
        </w:rPr>
        <w:t xml:space="preserve"> $14,915.70 for unpaid gas service</w:t>
      </w:r>
      <w:r w:rsidR="00F15A81">
        <w:rPr>
          <w:sz w:val="26"/>
        </w:rPr>
        <w:t>;</w:t>
      </w:r>
      <w:r w:rsidRPr="00C25829">
        <w:rPr>
          <w:sz w:val="26"/>
        </w:rPr>
        <w:t xml:space="preserve"> that the City, as </w:t>
      </w:r>
      <w:r w:rsidR="00F15A81">
        <w:rPr>
          <w:sz w:val="26"/>
        </w:rPr>
        <w:t>PGW’s</w:t>
      </w:r>
      <w:r w:rsidRPr="00C25829">
        <w:rPr>
          <w:sz w:val="26"/>
        </w:rPr>
        <w:t xml:space="preserve"> owner, filed a municipal lien on th</w:t>
      </w:r>
      <w:r w:rsidR="00F15A81">
        <w:rPr>
          <w:sz w:val="26"/>
        </w:rPr>
        <w:t>e</w:t>
      </w:r>
      <w:r w:rsidRPr="00C25829">
        <w:rPr>
          <w:sz w:val="26"/>
        </w:rPr>
        <w:t xml:space="preserve"> </w:t>
      </w:r>
      <w:r w:rsidR="00CF39C9">
        <w:rPr>
          <w:sz w:val="26"/>
        </w:rPr>
        <w:t>Subject Property</w:t>
      </w:r>
      <w:r w:rsidR="00F15A81">
        <w:rPr>
          <w:sz w:val="26"/>
        </w:rPr>
        <w:t>;</w:t>
      </w:r>
      <w:r w:rsidRPr="00C25829">
        <w:rPr>
          <w:sz w:val="26"/>
        </w:rPr>
        <w:t xml:space="preserve"> and that </w:t>
      </w:r>
      <w:r w:rsidR="00F15A81">
        <w:rPr>
          <w:sz w:val="26"/>
        </w:rPr>
        <w:t>PGW</w:t>
      </w:r>
      <w:r w:rsidRPr="00C25829">
        <w:rPr>
          <w:sz w:val="26"/>
        </w:rPr>
        <w:t xml:space="preserve"> has collected this unpaid gas balance to satisfy its debt.  </w:t>
      </w:r>
      <w:r w:rsidR="00251D6F">
        <w:rPr>
          <w:sz w:val="26"/>
        </w:rPr>
        <w:t xml:space="preserve">Preliminary Objections at 3.  </w:t>
      </w:r>
      <w:r w:rsidR="00F15A81">
        <w:rPr>
          <w:sz w:val="26"/>
        </w:rPr>
        <w:t>PGW aver</w:t>
      </w:r>
      <w:r w:rsidR="00251D6F">
        <w:rPr>
          <w:sz w:val="26"/>
        </w:rPr>
        <w:t>red</w:t>
      </w:r>
      <w:r w:rsidR="00F15A81">
        <w:rPr>
          <w:sz w:val="26"/>
        </w:rPr>
        <w:t xml:space="preserve"> that,</w:t>
      </w:r>
      <w:r w:rsidRPr="00C25829">
        <w:rPr>
          <w:sz w:val="26"/>
        </w:rPr>
        <w:t xml:space="preserve"> under </w:t>
      </w:r>
      <w:r w:rsidR="00F15A81">
        <w:rPr>
          <w:sz w:val="26"/>
        </w:rPr>
        <w:t xml:space="preserve">Section 2212(n) of the </w:t>
      </w:r>
      <w:r w:rsidR="00DE1E91">
        <w:rPr>
          <w:sz w:val="26"/>
        </w:rPr>
        <w:t xml:space="preserve">Public Utility </w:t>
      </w:r>
      <w:r w:rsidR="00F15A81">
        <w:rPr>
          <w:sz w:val="26"/>
        </w:rPr>
        <w:t>Code</w:t>
      </w:r>
      <w:r w:rsidR="00DE1E91">
        <w:rPr>
          <w:sz w:val="26"/>
        </w:rPr>
        <w:t xml:space="preserve"> (Code)</w:t>
      </w:r>
      <w:r w:rsidR="00F15A81">
        <w:rPr>
          <w:sz w:val="26"/>
        </w:rPr>
        <w:t xml:space="preserve">, </w:t>
      </w:r>
      <w:r w:rsidRPr="00C25829">
        <w:rPr>
          <w:sz w:val="26"/>
        </w:rPr>
        <w:t>66 Pa. C.S.</w:t>
      </w:r>
      <w:r w:rsidR="00DE1E91">
        <w:rPr>
          <w:sz w:val="26"/>
        </w:rPr>
        <w:t xml:space="preserve"> </w:t>
      </w:r>
      <w:r w:rsidRPr="00C25829">
        <w:rPr>
          <w:sz w:val="26"/>
        </w:rPr>
        <w:t>§</w:t>
      </w:r>
      <w:r w:rsidR="00F15A81">
        <w:rPr>
          <w:sz w:val="26"/>
        </w:rPr>
        <w:t xml:space="preserve"> </w:t>
      </w:r>
      <w:r w:rsidRPr="00C25829">
        <w:rPr>
          <w:sz w:val="26"/>
        </w:rPr>
        <w:t xml:space="preserve">2212(n), the Commission has no jurisdiction over the filing of such a </w:t>
      </w:r>
      <w:r w:rsidR="002E546B">
        <w:rPr>
          <w:sz w:val="26"/>
        </w:rPr>
        <w:t xml:space="preserve">municipal </w:t>
      </w:r>
      <w:r w:rsidRPr="00C25829">
        <w:rPr>
          <w:sz w:val="26"/>
        </w:rPr>
        <w:t>lien.</w:t>
      </w:r>
      <w:r w:rsidR="00251D6F">
        <w:rPr>
          <w:sz w:val="26"/>
        </w:rPr>
        <w:t xml:space="preserve">  </w:t>
      </w:r>
      <w:r w:rsidR="00251D6F" w:rsidRPr="00251D6F">
        <w:rPr>
          <w:i/>
          <w:sz w:val="26"/>
        </w:rPr>
        <w:t>Id</w:t>
      </w:r>
      <w:r w:rsidR="00251D6F">
        <w:rPr>
          <w:sz w:val="26"/>
        </w:rPr>
        <w:t>. at 4.</w:t>
      </w:r>
    </w:p>
    <w:p w:rsidR="001B2218" w:rsidRDefault="001B2218" w:rsidP="0098630C">
      <w:pPr>
        <w:spacing w:line="360" w:lineRule="auto"/>
        <w:rPr>
          <w:sz w:val="26"/>
        </w:rPr>
      </w:pPr>
    </w:p>
    <w:p w:rsidR="001B2218" w:rsidRDefault="001B2218" w:rsidP="0098630C">
      <w:pPr>
        <w:spacing w:line="360" w:lineRule="auto"/>
        <w:rPr>
          <w:sz w:val="26"/>
        </w:rPr>
      </w:pPr>
      <w:r>
        <w:rPr>
          <w:sz w:val="26"/>
        </w:rPr>
        <w:tab/>
      </w:r>
      <w:r>
        <w:rPr>
          <w:sz w:val="26"/>
        </w:rPr>
        <w:tab/>
        <w:t xml:space="preserve">The </w:t>
      </w:r>
      <w:r w:rsidR="00AF0964">
        <w:rPr>
          <w:sz w:val="26"/>
        </w:rPr>
        <w:t>Complainants filed an Answer to the Preliminary Objections on December 28, 2011.</w:t>
      </w:r>
      <w:r w:rsidR="00404496">
        <w:rPr>
          <w:rStyle w:val="FootnoteReference"/>
        </w:rPr>
        <w:footnoteReference w:id="2"/>
      </w:r>
      <w:r w:rsidR="00714DAA">
        <w:rPr>
          <w:sz w:val="26"/>
        </w:rPr>
        <w:t xml:space="preserve">  </w:t>
      </w:r>
      <w:r w:rsidR="00DE1E91">
        <w:rPr>
          <w:sz w:val="26"/>
        </w:rPr>
        <w:t>In their Answer, the Complainants aver</w:t>
      </w:r>
      <w:r w:rsidR="00B865E3">
        <w:rPr>
          <w:sz w:val="26"/>
        </w:rPr>
        <w:t>red</w:t>
      </w:r>
      <w:r w:rsidR="00DE1E91">
        <w:rPr>
          <w:sz w:val="26"/>
        </w:rPr>
        <w:t xml:space="preserve"> that PGW did not provide reasonable service under Section 1501 of the Code, 66 Pa.</w:t>
      </w:r>
      <w:r w:rsidR="00A968A6">
        <w:rPr>
          <w:sz w:val="26"/>
        </w:rPr>
        <w:t xml:space="preserve"> </w:t>
      </w:r>
      <w:r w:rsidR="00DE1E91">
        <w:rPr>
          <w:sz w:val="26"/>
        </w:rPr>
        <w:t xml:space="preserve">C.S. § 1501, because PGW provided gas service to the tenant at the </w:t>
      </w:r>
      <w:r w:rsidR="00CF39C9">
        <w:rPr>
          <w:sz w:val="26"/>
        </w:rPr>
        <w:t>Subject Property</w:t>
      </w:r>
      <w:r w:rsidR="00DE1E91">
        <w:rPr>
          <w:sz w:val="26"/>
        </w:rPr>
        <w:t xml:space="preserve"> for over three years without issuing any bills for the service that was being provided or issuing a shut-off notice since PGW was not being paid for the service.  The Complainants also request</w:t>
      </w:r>
      <w:r w:rsidR="00B865E3">
        <w:rPr>
          <w:sz w:val="26"/>
        </w:rPr>
        <w:t>ed</w:t>
      </w:r>
      <w:r w:rsidR="00DE1E91">
        <w:rPr>
          <w:sz w:val="26"/>
        </w:rPr>
        <w:t xml:space="preserve"> that the lien be removed from the </w:t>
      </w:r>
      <w:r w:rsidR="00CF39C9">
        <w:rPr>
          <w:sz w:val="26"/>
        </w:rPr>
        <w:t>Subject Property</w:t>
      </w:r>
      <w:r w:rsidR="00DE1E91">
        <w:rPr>
          <w:sz w:val="26"/>
        </w:rPr>
        <w:t>.</w:t>
      </w:r>
      <w:r w:rsidR="00B865E3">
        <w:rPr>
          <w:sz w:val="26"/>
        </w:rPr>
        <w:t xml:space="preserve">  Answ</w:t>
      </w:r>
      <w:r w:rsidR="00703330">
        <w:rPr>
          <w:sz w:val="26"/>
        </w:rPr>
        <w:t>er to Preliminary Objections at </w:t>
      </w:r>
      <w:r w:rsidR="00B865E3">
        <w:rPr>
          <w:sz w:val="26"/>
        </w:rPr>
        <w:t>4.</w:t>
      </w:r>
      <w:r w:rsidR="00DE1E91">
        <w:rPr>
          <w:sz w:val="26"/>
        </w:rPr>
        <w:t xml:space="preserve"> </w:t>
      </w:r>
    </w:p>
    <w:p w:rsidR="00C25829" w:rsidRPr="00C25829" w:rsidRDefault="00206970" w:rsidP="0098630C">
      <w:pPr>
        <w:spacing w:line="360" w:lineRule="auto"/>
        <w:rPr>
          <w:sz w:val="26"/>
        </w:rPr>
      </w:pPr>
      <w:r>
        <w:rPr>
          <w:sz w:val="26"/>
        </w:rPr>
        <w:t xml:space="preserve">  </w:t>
      </w:r>
      <w:r w:rsidR="00C25829" w:rsidRPr="00C25829">
        <w:rPr>
          <w:sz w:val="26"/>
        </w:rPr>
        <w:t xml:space="preserve">       </w:t>
      </w:r>
    </w:p>
    <w:p w:rsidR="00D343B7" w:rsidRPr="00703330" w:rsidRDefault="00C25829" w:rsidP="00703330">
      <w:pPr>
        <w:spacing w:line="360" w:lineRule="auto"/>
        <w:outlineLvl w:val="0"/>
        <w:rPr>
          <w:caps/>
          <w:sz w:val="26"/>
          <w:szCs w:val="26"/>
        </w:rPr>
      </w:pPr>
      <w:r w:rsidRPr="00C25829">
        <w:rPr>
          <w:sz w:val="26"/>
        </w:rPr>
        <w:tab/>
      </w:r>
      <w:r w:rsidRPr="00C25829">
        <w:rPr>
          <w:sz w:val="26"/>
        </w:rPr>
        <w:tab/>
      </w:r>
      <w:r w:rsidR="001026E6">
        <w:rPr>
          <w:sz w:val="26"/>
        </w:rPr>
        <w:t xml:space="preserve">In his Initial Decision, issued January 11, 2012, </w:t>
      </w:r>
      <w:r w:rsidR="00C3623A">
        <w:rPr>
          <w:sz w:val="26"/>
        </w:rPr>
        <w:t>the ALJ</w:t>
      </w:r>
      <w:r w:rsidR="001026E6">
        <w:rPr>
          <w:sz w:val="26"/>
        </w:rPr>
        <w:t xml:space="preserve"> found</w:t>
      </w:r>
      <w:r w:rsidR="00703330">
        <w:rPr>
          <w:caps/>
          <w:sz w:val="26"/>
          <w:szCs w:val="26"/>
        </w:rPr>
        <w:t xml:space="preserve"> </w:t>
      </w:r>
      <w:r w:rsidR="001026E6">
        <w:rPr>
          <w:sz w:val="26"/>
          <w:szCs w:val="26"/>
        </w:rPr>
        <w:t xml:space="preserve">that the Commission did not have jurisdiction to adjudicate a lien imposed by PGW on the Complainants’ property for unpaid gas service and, accordingly, dismissed the Complaint.  </w:t>
      </w:r>
      <w:r w:rsidR="00D343B7">
        <w:rPr>
          <w:sz w:val="26"/>
          <w:szCs w:val="26"/>
        </w:rPr>
        <w:t xml:space="preserve">The ALJ stated that, because he ruled that the Commission did not have jurisdiction to adjudicate a lien, it was unnecessary to rule that the requested relief be stricken as impertinent matter.  I.D. at 6.  </w:t>
      </w:r>
      <w:r w:rsidR="001026E6">
        <w:rPr>
          <w:sz w:val="26"/>
          <w:szCs w:val="26"/>
        </w:rPr>
        <w:t xml:space="preserve">  </w:t>
      </w:r>
    </w:p>
    <w:p w:rsidR="001026E6" w:rsidRDefault="001026E6" w:rsidP="00D343B7">
      <w:pPr>
        <w:spacing w:line="360" w:lineRule="auto"/>
        <w:ind w:firstLine="1440"/>
        <w:rPr>
          <w:sz w:val="26"/>
          <w:szCs w:val="26"/>
        </w:rPr>
      </w:pPr>
      <w:r>
        <w:rPr>
          <w:sz w:val="26"/>
          <w:szCs w:val="26"/>
        </w:rPr>
        <w:lastRenderedPageBreak/>
        <w:t xml:space="preserve">As previously stated, the Complainants </w:t>
      </w:r>
      <w:r w:rsidR="00703330">
        <w:rPr>
          <w:sz w:val="26"/>
          <w:szCs w:val="26"/>
        </w:rPr>
        <w:t>filed Exceptions on January 17, </w:t>
      </w:r>
      <w:r>
        <w:rPr>
          <w:sz w:val="26"/>
          <w:szCs w:val="26"/>
        </w:rPr>
        <w:t>2012.</w:t>
      </w:r>
      <w:r w:rsidR="00362240">
        <w:rPr>
          <w:rStyle w:val="FootnoteReference"/>
        </w:rPr>
        <w:footnoteReference w:id="3"/>
      </w:r>
      <w:r>
        <w:rPr>
          <w:sz w:val="26"/>
          <w:szCs w:val="26"/>
        </w:rPr>
        <w:t xml:space="preserve">  PGW filed Replies to Exceptions on February 10, 2012.  </w:t>
      </w:r>
    </w:p>
    <w:p w:rsidR="00B402C9" w:rsidRDefault="00B402C9" w:rsidP="00D343B7">
      <w:pPr>
        <w:spacing w:line="360" w:lineRule="auto"/>
        <w:ind w:firstLine="1440"/>
        <w:rPr>
          <w:sz w:val="26"/>
          <w:szCs w:val="26"/>
        </w:rPr>
      </w:pPr>
    </w:p>
    <w:p w:rsidR="001A1AD3" w:rsidRDefault="004419DA" w:rsidP="003D09C0">
      <w:pPr>
        <w:spacing w:line="360" w:lineRule="auto"/>
        <w:jc w:val="center"/>
        <w:rPr>
          <w:b/>
          <w:sz w:val="26"/>
          <w:szCs w:val="26"/>
        </w:rPr>
      </w:pPr>
      <w:r>
        <w:rPr>
          <w:b/>
          <w:sz w:val="26"/>
          <w:szCs w:val="26"/>
        </w:rPr>
        <w:t>Discussion</w:t>
      </w:r>
    </w:p>
    <w:p w:rsidR="00D5673B" w:rsidRDefault="00D5673B" w:rsidP="001A1AD3">
      <w:pPr>
        <w:spacing w:line="360" w:lineRule="auto"/>
        <w:jc w:val="center"/>
        <w:rPr>
          <w:sz w:val="26"/>
          <w:szCs w:val="26"/>
        </w:rPr>
      </w:pPr>
    </w:p>
    <w:p w:rsidR="003440BD" w:rsidRDefault="003440BD" w:rsidP="003440BD">
      <w:pPr>
        <w:spacing w:line="360" w:lineRule="auto"/>
        <w:rPr>
          <w:i/>
          <w:sz w:val="26"/>
          <w:szCs w:val="26"/>
        </w:rPr>
      </w:pPr>
      <w:r w:rsidRPr="004A753B">
        <w:rPr>
          <w:sz w:val="26"/>
          <w:szCs w:val="26"/>
        </w:rPr>
        <w:tab/>
      </w:r>
      <w:r w:rsidRPr="004A753B">
        <w:rPr>
          <w:sz w:val="26"/>
          <w:szCs w:val="26"/>
        </w:rPr>
        <w:tab/>
        <w:t xml:space="preserve">As a preliminary matter, we note that any issue or Exception that we do not specifically address has been duly considered and will be denied without further discussion.  It is well settled that we are not required to consider, expressly or at length, each contention or argument raised by the parties.  </w:t>
      </w:r>
      <w:r w:rsidRPr="004A753B">
        <w:rPr>
          <w:i/>
          <w:sz w:val="26"/>
          <w:szCs w:val="26"/>
        </w:rPr>
        <w:t>Consolidated Rail Corporation v. Pa</w:t>
      </w:r>
      <w:r w:rsidR="00383585">
        <w:rPr>
          <w:i/>
          <w:sz w:val="26"/>
          <w:szCs w:val="26"/>
        </w:rPr>
        <w:t>.</w:t>
      </w:r>
      <w:r w:rsidR="00703330">
        <w:rPr>
          <w:i/>
          <w:sz w:val="26"/>
          <w:szCs w:val="26"/>
        </w:rPr>
        <w:t> </w:t>
      </w:r>
      <w:r w:rsidRPr="004A753B">
        <w:rPr>
          <w:i/>
          <w:sz w:val="26"/>
          <w:szCs w:val="26"/>
        </w:rPr>
        <w:t>PUC</w:t>
      </w:r>
      <w:r w:rsidRPr="004A753B">
        <w:rPr>
          <w:sz w:val="26"/>
          <w:szCs w:val="26"/>
        </w:rPr>
        <w:t xml:space="preserve">, 625 A.2d 741 (Pa. Cmwlth. 1993); </w:t>
      </w:r>
      <w:r w:rsidRPr="004A753B">
        <w:rPr>
          <w:i/>
          <w:sz w:val="26"/>
          <w:szCs w:val="26"/>
        </w:rPr>
        <w:t>see also</w:t>
      </w:r>
      <w:r w:rsidRPr="004A753B">
        <w:rPr>
          <w:sz w:val="26"/>
          <w:szCs w:val="26"/>
        </w:rPr>
        <w:t xml:space="preserve">, </w:t>
      </w:r>
      <w:r w:rsidRPr="004A753B">
        <w:rPr>
          <w:i/>
          <w:sz w:val="26"/>
          <w:szCs w:val="26"/>
        </w:rPr>
        <w:t>generally</w:t>
      </w:r>
      <w:r w:rsidRPr="004A753B">
        <w:rPr>
          <w:sz w:val="26"/>
          <w:szCs w:val="26"/>
        </w:rPr>
        <w:t xml:space="preserve">, </w:t>
      </w:r>
      <w:r w:rsidRPr="004A753B">
        <w:rPr>
          <w:i/>
          <w:sz w:val="26"/>
          <w:szCs w:val="26"/>
        </w:rPr>
        <w:t>University of P</w:t>
      </w:r>
      <w:r w:rsidR="00383585">
        <w:rPr>
          <w:i/>
          <w:sz w:val="26"/>
          <w:szCs w:val="26"/>
        </w:rPr>
        <w:t xml:space="preserve">ennsylvania </w:t>
      </w:r>
      <w:r w:rsidRPr="004A753B">
        <w:rPr>
          <w:i/>
          <w:sz w:val="26"/>
          <w:szCs w:val="26"/>
        </w:rPr>
        <w:t>v. Pa</w:t>
      </w:r>
      <w:r w:rsidR="00383585">
        <w:rPr>
          <w:i/>
          <w:sz w:val="26"/>
          <w:szCs w:val="26"/>
        </w:rPr>
        <w:t>.</w:t>
      </w:r>
      <w:r w:rsidRPr="004A753B">
        <w:rPr>
          <w:i/>
          <w:sz w:val="26"/>
          <w:szCs w:val="26"/>
        </w:rPr>
        <w:t xml:space="preserve"> PUC</w:t>
      </w:r>
      <w:r w:rsidRPr="004A753B">
        <w:rPr>
          <w:sz w:val="26"/>
          <w:szCs w:val="26"/>
        </w:rPr>
        <w:t>, 485 A.2d 1217 (Pa. Cmwlth. 1984</w:t>
      </w:r>
      <w:r>
        <w:rPr>
          <w:sz w:val="26"/>
          <w:szCs w:val="26"/>
        </w:rPr>
        <w:t>).</w:t>
      </w:r>
      <w:r w:rsidR="00C96027" w:rsidRPr="00C96027">
        <w:rPr>
          <w:i/>
          <w:sz w:val="26"/>
          <w:szCs w:val="26"/>
        </w:rPr>
        <w:t xml:space="preserve"> </w:t>
      </w:r>
    </w:p>
    <w:p w:rsidR="00B80BA7" w:rsidRDefault="00B80BA7" w:rsidP="003440BD">
      <w:pPr>
        <w:spacing w:line="360" w:lineRule="auto"/>
        <w:rPr>
          <w:i/>
          <w:sz w:val="26"/>
          <w:szCs w:val="26"/>
        </w:rPr>
      </w:pPr>
    </w:p>
    <w:p w:rsidR="00B80BA7" w:rsidRDefault="00B80BA7" w:rsidP="00B80BA7">
      <w:pPr>
        <w:spacing w:line="360" w:lineRule="auto"/>
        <w:ind w:firstLine="1440"/>
        <w:rPr>
          <w:sz w:val="26"/>
          <w:szCs w:val="26"/>
        </w:rPr>
      </w:pPr>
      <w:r w:rsidRPr="002E740E">
        <w:rPr>
          <w:sz w:val="26"/>
          <w:szCs w:val="26"/>
        </w:rPr>
        <w:t xml:space="preserve">In </w:t>
      </w:r>
      <w:r>
        <w:rPr>
          <w:sz w:val="26"/>
          <w:szCs w:val="26"/>
        </w:rPr>
        <w:t>his</w:t>
      </w:r>
      <w:r w:rsidRPr="002E740E">
        <w:rPr>
          <w:sz w:val="26"/>
          <w:szCs w:val="26"/>
        </w:rPr>
        <w:t xml:space="preserve"> Initial Decision, </w:t>
      </w:r>
      <w:r w:rsidR="00D028B9">
        <w:rPr>
          <w:sz w:val="26"/>
          <w:szCs w:val="26"/>
        </w:rPr>
        <w:t xml:space="preserve">the </w:t>
      </w:r>
      <w:r w:rsidRPr="002E740E">
        <w:rPr>
          <w:sz w:val="26"/>
          <w:szCs w:val="26"/>
        </w:rPr>
        <w:t xml:space="preserve">ALJ made </w:t>
      </w:r>
      <w:r>
        <w:rPr>
          <w:sz w:val="26"/>
          <w:szCs w:val="26"/>
        </w:rPr>
        <w:t>six Findings of Fact</w:t>
      </w:r>
      <w:r w:rsidRPr="002E740E">
        <w:rPr>
          <w:sz w:val="26"/>
          <w:szCs w:val="26"/>
        </w:rPr>
        <w:t xml:space="preserve"> and </w:t>
      </w:r>
      <w:r>
        <w:rPr>
          <w:sz w:val="26"/>
          <w:szCs w:val="26"/>
        </w:rPr>
        <w:t>two</w:t>
      </w:r>
      <w:r w:rsidRPr="002E740E">
        <w:rPr>
          <w:sz w:val="26"/>
          <w:szCs w:val="26"/>
        </w:rPr>
        <w:t xml:space="preserve"> Conclusions of Law</w:t>
      </w:r>
      <w:r>
        <w:rPr>
          <w:sz w:val="26"/>
          <w:szCs w:val="26"/>
        </w:rPr>
        <w:t xml:space="preserve">.  </w:t>
      </w:r>
      <w:r w:rsidRPr="002E740E">
        <w:rPr>
          <w:sz w:val="26"/>
          <w:szCs w:val="26"/>
        </w:rPr>
        <w:t xml:space="preserve">I.D. at </w:t>
      </w:r>
      <w:r>
        <w:rPr>
          <w:sz w:val="26"/>
          <w:szCs w:val="26"/>
        </w:rPr>
        <w:t xml:space="preserve">2-3, 6.  </w:t>
      </w:r>
      <w:r w:rsidRPr="002E740E">
        <w:rPr>
          <w:sz w:val="26"/>
          <w:szCs w:val="26"/>
        </w:rPr>
        <w:t>We shall adopt and incorporate herein by reference the ALJ’s Findings of Fact and Conclusions of Law, unless they are reversed or modified by this Opinion and Order</w:t>
      </w:r>
      <w:r>
        <w:rPr>
          <w:sz w:val="26"/>
          <w:szCs w:val="26"/>
        </w:rPr>
        <w:t>,</w:t>
      </w:r>
      <w:r w:rsidRPr="002E740E">
        <w:rPr>
          <w:sz w:val="26"/>
          <w:szCs w:val="26"/>
        </w:rPr>
        <w:t xml:space="preserve"> </w:t>
      </w:r>
      <w:r>
        <w:rPr>
          <w:sz w:val="26"/>
          <w:szCs w:val="26"/>
        </w:rPr>
        <w:t xml:space="preserve">either </w:t>
      </w:r>
      <w:r w:rsidRPr="002E740E">
        <w:rPr>
          <w:sz w:val="26"/>
          <w:szCs w:val="26"/>
        </w:rPr>
        <w:t>expressly or by necessary implication</w:t>
      </w:r>
      <w:r>
        <w:rPr>
          <w:sz w:val="26"/>
          <w:szCs w:val="26"/>
        </w:rPr>
        <w:t>.</w:t>
      </w:r>
      <w:r w:rsidRPr="002E740E">
        <w:rPr>
          <w:sz w:val="26"/>
          <w:szCs w:val="26"/>
        </w:rPr>
        <w:t> </w:t>
      </w:r>
    </w:p>
    <w:p w:rsidR="00B80BA7" w:rsidRDefault="00B80BA7" w:rsidP="003440BD">
      <w:pPr>
        <w:spacing w:line="360" w:lineRule="auto"/>
        <w:rPr>
          <w:i/>
          <w:sz w:val="26"/>
          <w:szCs w:val="26"/>
        </w:rPr>
      </w:pPr>
    </w:p>
    <w:p w:rsidR="002E7381" w:rsidRPr="002E7381" w:rsidRDefault="002E7381" w:rsidP="006140FA">
      <w:pPr>
        <w:spacing w:line="360" w:lineRule="auto"/>
        <w:rPr>
          <w:b/>
          <w:sz w:val="26"/>
          <w:szCs w:val="26"/>
        </w:rPr>
      </w:pPr>
      <w:r w:rsidRPr="002E7381">
        <w:rPr>
          <w:b/>
          <w:sz w:val="26"/>
          <w:szCs w:val="26"/>
        </w:rPr>
        <w:t xml:space="preserve">Legal Standards </w:t>
      </w:r>
    </w:p>
    <w:p w:rsidR="002E7381" w:rsidRPr="002E7381" w:rsidRDefault="002E7381" w:rsidP="002E7381">
      <w:pPr>
        <w:rPr>
          <w:sz w:val="26"/>
          <w:szCs w:val="20"/>
        </w:rPr>
      </w:pPr>
    </w:p>
    <w:p w:rsidR="002E7381" w:rsidRDefault="002E7381" w:rsidP="002E7381">
      <w:pPr>
        <w:tabs>
          <w:tab w:val="left" w:pos="1440"/>
        </w:tabs>
        <w:spacing w:line="360" w:lineRule="auto"/>
        <w:rPr>
          <w:sz w:val="26"/>
        </w:rPr>
      </w:pPr>
      <w:r w:rsidRPr="002E7381">
        <w:rPr>
          <w:sz w:val="26"/>
        </w:rPr>
        <w:tab/>
      </w:r>
      <w:r w:rsidR="001C50DA">
        <w:rPr>
          <w:sz w:val="26"/>
        </w:rPr>
        <w:t xml:space="preserve">Initially, we note that this case is before us on preliminary objections.  </w:t>
      </w:r>
      <w:r w:rsidRPr="002E7381">
        <w:rPr>
          <w:sz w:val="26"/>
        </w:rPr>
        <w:t xml:space="preserve">Section 5.101 of the Commission’s Regulations, 52 Pa. Code § 5.101, sets forth the </w:t>
      </w:r>
      <w:r w:rsidR="002C3151">
        <w:rPr>
          <w:sz w:val="26"/>
        </w:rPr>
        <w:br/>
      </w:r>
      <w:r w:rsidRPr="002E7381">
        <w:rPr>
          <w:sz w:val="26"/>
        </w:rPr>
        <w:t xml:space="preserve">grounds for granting preliminary objections.  In pertinent part, that section states: </w:t>
      </w:r>
    </w:p>
    <w:p w:rsidR="00B80BA7" w:rsidRPr="002E7381" w:rsidRDefault="00B80BA7" w:rsidP="002E7381">
      <w:pPr>
        <w:tabs>
          <w:tab w:val="left" w:pos="1440"/>
        </w:tabs>
        <w:spacing w:line="360" w:lineRule="auto"/>
        <w:rPr>
          <w:sz w:val="26"/>
        </w:rPr>
      </w:pPr>
    </w:p>
    <w:p w:rsidR="002E7381" w:rsidRPr="002E7381" w:rsidRDefault="002E7381" w:rsidP="002E7381">
      <w:pPr>
        <w:ind w:left="1440" w:right="1440"/>
        <w:rPr>
          <w:b/>
          <w:sz w:val="26"/>
        </w:rPr>
      </w:pPr>
      <w:r w:rsidRPr="002E7381">
        <w:rPr>
          <w:b/>
          <w:sz w:val="26"/>
        </w:rPr>
        <w:lastRenderedPageBreak/>
        <w:t>§ 5.101.  Preliminary objections.</w:t>
      </w:r>
    </w:p>
    <w:p w:rsidR="002E7381" w:rsidRPr="002E7381" w:rsidRDefault="002E7381" w:rsidP="002E7381">
      <w:pPr>
        <w:ind w:left="1440" w:right="1440"/>
        <w:rPr>
          <w:b/>
          <w:sz w:val="26"/>
        </w:rPr>
      </w:pPr>
    </w:p>
    <w:p w:rsidR="002E7381" w:rsidRPr="002E7381" w:rsidRDefault="002E7381" w:rsidP="002E7381">
      <w:pPr>
        <w:ind w:left="1440" w:right="1440"/>
        <w:contextualSpacing/>
        <w:rPr>
          <w:sz w:val="26"/>
        </w:rPr>
      </w:pPr>
      <w:r w:rsidRPr="002E7381">
        <w:rPr>
          <w:sz w:val="26"/>
        </w:rPr>
        <w:t>(a)</w:t>
      </w:r>
      <w:r w:rsidRPr="002E7381">
        <w:rPr>
          <w:sz w:val="26"/>
        </w:rPr>
        <w:tab/>
      </w:r>
      <w:r w:rsidRPr="002E7381">
        <w:rPr>
          <w:i/>
          <w:sz w:val="26"/>
        </w:rPr>
        <w:t>Grounds.</w:t>
      </w:r>
      <w:r w:rsidRPr="002E7381">
        <w:rPr>
          <w:sz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2E7381" w:rsidRDefault="002E7381" w:rsidP="002E7381">
      <w:pPr>
        <w:ind w:left="1440" w:right="1440"/>
        <w:contextualSpacing/>
        <w:rPr>
          <w:sz w:val="26"/>
        </w:rPr>
      </w:pPr>
    </w:p>
    <w:p w:rsidR="00AF42E1" w:rsidRDefault="00AF42E1" w:rsidP="002E7381">
      <w:pPr>
        <w:ind w:left="1440" w:right="1440"/>
        <w:contextualSpacing/>
        <w:rPr>
          <w:sz w:val="26"/>
        </w:rPr>
      </w:pPr>
      <w:r>
        <w:rPr>
          <w:sz w:val="26"/>
        </w:rPr>
        <w:tab/>
        <w:t>(1)</w:t>
      </w:r>
      <w:r>
        <w:rPr>
          <w:sz w:val="26"/>
        </w:rPr>
        <w:tab/>
        <w:t>Lack of Commission jurisdiction or improper service of the pleading initiating the proceeding.</w:t>
      </w:r>
    </w:p>
    <w:p w:rsidR="00AF42E1" w:rsidRDefault="00AF42E1" w:rsidP="002E7381">
      <w:pPr>
        <w:ind w:left="1440" w:right="1440"/>
        <w:contextualSpacing/>
        <w:rPr>
          <w:sz w:val="26"/>
        </w:rPr>
      </w:pPr>
    </w:p>
    <w:p w:rsidR="00AF42E1" w:rsidRDefault="00AF42E1" w:rsidP="002E7381">
      <w:pPr>
        <w:ind w:left="1440" w:right="1440"/>
        <w:contextualSpacing/>
        <w:rPr>
          <w:sz w:val="26"/>
        </w:rPr>
      </w:pPr>
      <w:r>
        <w:rPr>
          <w:sz w:val="26"/>
        </w:rPr>
        <w:tab/>
        <w:t>(2)</w:t>
      </w:r>
      <w:r>
        <w:rPr>
          <w:sz w:val="26"/>
        </w:rPr>
        <w:tab/>
        <w:t xml:space="preserve">Failure of a pleading to conform to this chapter or the inclusion of scandalous or impertinent matter.  </w:t>
      </w:r>
    </w:p>
    <w:p w:rsidR="00AF42E1" w:rsidRPr="002E7381" w:rsidRDefault="00AF42E1" w:rsidP="002E7381">
      <w:pPr>
        <w:ind w:left="1440" w:right="1440"/>
        <w:contextualSpacing/>
        <w:rPr>
          <w:sz w:val="26"/>
        </w:rPr>
      </w:pPr>
    </w:p>
    <w:p w:rsidR="002E7381" w:rsidRPr="002E7381" w:rsidRDefault="002E7381" w:rsidP="002E7381">
      <w:pPr>
        <w:spacing w:line="360" w:lineRule="auto"/>
        <w:ind w:left="1440" w:right="1440" w:hanging="1440"/>
        <w:contextualSpacing/>
        <w:rPr>
          <w:sz w:val="26"/>
        </w:rPr>
      </w:pPr>
      <w:r w:rsidRPr="002E7381">
        <w:rPr>
          <w:sz w:val="26"/>
        </w:rPr>
        <w:t>52 Pa. Code § 5.101(a)</w:t>
      </w:r>
      <w:r w:rsidR="00AF42E1">
        <w:rPr>
          <w:sz w:val="26"/>
        </w:rPr>
        <w:t>(1),</w:t>
      </w:r>
      <w:r w:rsidR="00017BF5">
        <w:rPr>
          <w:sz w:val="26"/>
        </w:rPr>
        <w:t xml:space="preserve"> </w:t>
      </w:r>
      <w:r w:rsidR="00AF42E1">
        <w:rPr>
          <w:sz w:val="26"/>
        </w:rPr>
        <w:t>(2)</w:t>
      </w:r>
      <w:r w:rsidRPr="002E7381">
        <w:rPr>
          <w:sz w:val="26"/>
        </w:rPr>
        <w:t>.</w:t>
      </w:r>
      <w:r w:rsidR="00AF42E1">
        <w:rPr>
          <w:sz w:val="26"/>
        </w:rPr>
        <w:t xml:space="preserve">  </w:t>
      </w:r>
    </w:p>
    <w:p w:rsidR="002E7381" w:rsidRPr="002E7381" w:rsidRDefault="002E7381" w:rsidP="002E7381">
      <w:pPr>
        <w:spacing w:line="360" w:lineRule="auto"/>
        <w:ind w:left="1440" w:right="1440" w:hanging="1440"/>
        <w:contextualSpacing/>
        <w:rPr>
          <w:sz w:val="26"/>
        </w:rPr>
      </w:pPr>
    </w:p>
    <w:p w:rsidR="002E7381" w:rsidRPr="002E7381" w:rsidRDefault="002E7381" w:rsidP="002E7381">
      <w:pPr>
        <w:spacing w:line="360" w:lineRule="auto"/>
        <w:ind w:firstLine="1440"/>
        <w:rPr>
          <w:sz w:val="26"/>
          <w:szCs w:val="26"/>
        </w:rPr>
      </w:pPr>
      <w:r w:rsidRPr="002E7381">
        <w:rPr>
          <w:color w:val="000000"/>
          <w:sz w:val="26"/>
          <w:szCs w:val="26"/>
        </w:rPr>
        <w:t xml:space="preserve">Commission procedure </w:t>
      </w:r>
      <w:r w:rsidRPr="002E7381">
        <w:rPr>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2E7381">
        <w:rPr>
          <w:i/>
          <w:sz w:val="26"/>
          <w:szCs w:val="26"/>
        </w:rPr>
        <w:t xml:space="preserve">Interstate </w:t>
      </w:r>
      <w:r w:rsidR="00703330">
        <w:rPr>
          <w:i/>
          <w:sz w:val="26"/>
          <w:szCs w:val="26"/>
        </w:rPr>
        <w:t>Traveller Services, Inc. v. Pa. </w:t>
      </w:r>
      <w:r w:rsidRPr="002E7381">
        <w:rPr>
          <w:i/>
          <w:sz w:val="26"/>
          <w:szCs w:val="26"/>
        </w:rPr>
        <w:t>Dep’t of Environmental Resources</w:t>
      </w:r>
      <w:r w:rsidRPr="002E7381">
        <w:rPr>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2E7381">
        <w:rPr>
          <w:i/>
          <w:sz w:val="26"/>
          <w:szCs w:val="26"/>
        </w:rPr>
        <w:t>County of Allegheny v. Commonwealth</w:t>
      </w:r>
      <w:r w:rsidRPr="002E7381">
        <w:rPr>
          <w:sz w:val="26"/>
          <w:szCs w:val="26"/>
        </w:rPr>
        <w:t xml:space="preserve"> </w:t>
      </w:r>
      <w:r w:rsidRPr="002E7381">
        <w:rPr>
          <w:i/>
          <w:sz w:val="26"/>
          <w:szCs w:val="26"/>
        </w:rPr>
        <w:t>of Pa.</w:t>
      </w:r>
      <w:r w:rsidRPr="002E7381">
        <w:rPr>
          <w:sz w:val="26"/>
          <w:szCs w:val="26"/>
        </w:rPr>
        <w:t xml:space="preserve">, 507 Pa. 360, 490 A.2d 402 (1985).  The preliminary objection may be granted only if the moving party prevails as a matter of law.  </w:t>
      </w:r>
      <w:r w:rsidRPr="002E7381">
        <w:rPr>
          <w:i/>
          <w:sz w:val="26"/>
          <w:szCs w:val="26"/>
        </w:rPr>
        <w:t>Rok v. Flaherty</w:t>
      </w:r>
      <w:r w:rsidR="00703330">
        <w:rPr>
          <w:sz w:val="26"/>
          <w:szCs w:val="26"/>
        </w:rPr>
        <w:t>, 527 </w:t>
      </w:r>
      <w:r w:rsidRPr="002E7381">
        <w:rPr>
          <w:sz w:val="26"/>
          <w:szCs w:val="26"/>
        </w:rPr>
        <w:t xml:space="preserve">A.2d 211 (Pa. Cmwlth. 1987).  Any doubt must be resolved in favor of the non-moving party by refusing to sustain the preliminary objections.  </w:t>
      </w:r>
      <w:r w:rsidRPr="002E7381">
        <w:rPr>
          <w:i/>
          <w:sz w:val="26"/>
          <w:szCs w:val="26"/>
        </w:rPr>
        <w:t>Dep’t of Auditor General, et al. v. State Employees’ Retirement System, et al.</w:t>
      </w:r>
      <w:r w:rsidR="00703330">
        <w:rPr>
          <w:sz w:val="26"/>
          <w:szCs w:val="26"/>
        </w:rPr>
        <w:t>, 836 A.2d 1053, 1064 (Pa. </w:t>
      </w:r>
      <w:r w:rsidRPr="002E7381">
        <w:rPr>
          <w:sz w:val="26"/>
          <w:szCs w:val="26"/>
        </w:rPr>
        <w:t>Cmwlth. 2003) (citing</w:t>
      </w:r>
      <w:r w:rsidRPr="002E7381">
        <w:rPr>
          <w:i/>
          <w:sz w:val="26"/>
          <w:szCs w:val="26"/>
        </w:rPr>
        <w:t xml:space="preserve"> Boyd v. Ward</w:t>
      </w:r>
      <w:r w:rsidRPr="002E7381">
        <w:rPr>
          <w:sz w:val="26"/>
          <w:szCs w:val="26"/>
        </w:rPr>
        <w:t xml:space="preserve">, 802 A.2d 705 (Pa. Cmwlth. 2002)).  </w:t>
      </w:r>
    </w:p>
    <w:p w:rsidR="002E7381" w:rsidRPr="002E7381" w:rsidRDefault="002E7381" w:rsidP="002E7381">
      <w:pPr>
        <w:spacing w:line="360" w:lineRule="auto"/>
        <w:rPr>
          <w:sz w:val="26"/>
        </w:rPr>
      </w:pPr>
      <w:r w:rsidRPr="002E7381">
        <w:rPr>
          <w:sz w:val="26"/>
        </w:rPr>
        <w:tab/>
      </w:r>
    </w:p>
    <w:p w:rsidR="00441BFA" w:rsidRDefault="00441BFA" w:rsidP="004235F4">
      <w:pPr>
        <w:tabs>
          <w:tab w:val="left" w:pos="720"/>
        </w:tabs>
        <w:spacing w:line="360" w:lineRule="auto"/>
        <w:rPr>
          <w:b/>
          <w:sz w:val="26"/>
        </w:rPr>
      </w:pPr>
    </w:p>
    <w:p w:rsidR="00703330" w:rsidRDefault="00703330" w:rsidP="004235F4">
      <w:pPr>
        <w:tabs>
          <w:tab w:val="left" w:pos="720"/>
        </w:tabs>
        <w:spacing w:line="360" w:lineRule="auto"/>
        <w:rPr>
          <w:b/>
          <w:sz w:val="26"/>
        </w:rPr>
      </w:pPr>
    </w:p>
    <w:p w:rsidR="00A10864" w:rsidRDefault="00A10864" w:rsidP="004235F4">
      <w:pPr>
        <w:tabs>
          <w:tab w:val="left" w:pos="720"/>
        </w:tabs>
        <w:spacing w:line="360" w:lineRule="auto"/>
        <w:rPr>
          <w:b/>
          <w:sz w:val="26"/>
        </w:rPr>
      </w:pPr>
      <w:r>
        <w:rPr>
          <w:b/>
          <w:sz w:val="26"/>
        </w:rPr>
        <w:lastRenderedPageBreak/>
        <w:t xml:space="preserve">Positions of the Parties </w:t>
      </w:r>
    </w:p>
    <w:p w:rsidR="00A10864" w:rsidRDefault="0098630C" w:rsidP="004235F4">
      <w:pPr>
        <w:tabs>
          <w:tab w:val="left" w:pos="720"/>
        </w:tabs>
        <w:spacing w:line="360" w:lineRule="auto"/>
        <w:rPr>
          <w:b/>
          <w:sz w:val="26"/>
        </w:rPr>
      </w:pPr>
      <w:r>
        <w:rPr>
          <w:b/>
          <w:sz w:val="26"/>
        </w:rPr>
        <w:tab/>
      </w:r>
    </w:p>
    <w:p w:rsidR="00DC7085" w:rsidRDefault="0098630C" w:rsidP="004235F4">
      <w:pPr>
        <w:tabs>
          <w:tab w:val="left" w:pos="720"/>
        </w:tabs>
        <w:spacing w:line="360" w:lineRule="auto"/>
        <w:rPr>
          <w:sz w:val="26"/>
        </w:rPr>
      </w:pPr>
      <w:r>
        <w:rPr>
          <w:b/>
          <w:sz w:val="26"/>
        </w:rPr>
        <w:tab/>
      </w:r>
      <w:r w:rsidR="00BC3531">
        <w:rPr>
          <w:b/>
          <w:sz w:val="26"/>
        </w:rPr>
        <w:tab/>
      </w:r>
      <w:r w:rsidR="00BC3531">
        <w:rPr>
          <w:sz w:val="26"/>
        </w:rPr>
        <w:t xml:space="preserve">In their Exceptions, the Complainants aver that the Commission has jurisdiction over this proceeding because the Commission has jurisdiction over PGW’s service, which includes the manner in which it handles customer billing.  The Complainants state that PGW provided gas service to their property for over three years, even though their tenant had not placed service in his name.  They </w:t>
      </w:r>
      <w:r w:rsidR="006F3C92">
        <w:rPr>
          <w:sz w:val="26"/>
        </w:rPr>
        <w:t>also</w:t>
      </w:r>
      <w:r w:rsidR="00BC3531">
        <w:rPr>
          <w:sz w:val="26"/>
        </w:rPr>
        <w:t xml:space="preserve"> state that PGW did not issue a bill to the tenant during this time period or a shut-off notice</w:t>
      </w:r>
      <w:r w:rsidR="00E76E58">
        <w:rPr>
          <w:sz w:val="26"/>
        </w:rPr>
        <w:t xml:space="preserve"> even though</w:t>
      </w:r>
      <w:r w:rsidR="00BC3531">
        <w:rPr>
          <w:sz w:val="26"/>
        </w:rPr>
        <w:t xml:space="preserve"> PGW was not being paid for the gas service</w:t>
      </w:r>
      <w:r w:rsidR="006F3C92">
        <w:rPr>
          <w:sz w:val="26"/>
        </w:rPr>
        <w:t xml:space="preserve"> it was supplying to the </w:t>
      </w:r>
      <w:r w:rsidR="00CF39C9">
        <w:rPr>
          <w:sz w:val="26"/>
        </w:rPr>
        <w:t>Subject Property</w:t>
      </w:r>
      <w:r w:rsidR="006F3C92">
        <w:rPr>
          <w:sz w:val="26"/>
        </w:rPr>
        <w:t xml:space="preserve">.  They further aver that PGW did not properly notify them that it was providing service to the </w:t>
      </w:r>
      <w:r w:rsidR="00CF39C9">
        <w:rPr>
          <w:sz w:val="26"/>
        </w:rPr>
        <w:t>Subject Property</w:t>
      </w:r>
      <w:r w:rsidR="006F3C92">
        <w:rPr>
          <w:sz w:val="26"/>
        </w:rPr>
        <w:t xml:space="preserve"> and, instead, allowed a large arrearage to accumulate for service that was provided over a three-year time period.  Exc. at 1.  </w:t>
      </w:r>
    </w:p>
    <w:p w:rsidR="00DC7085" w:rsidRDefault="00DC7085" w:rsidP="004235F4">
      <w:pPr>
        <w:tabs>
          <w:tab w:val="left" w:pos="720"/>
        </w:tabs>
        <w:spacing w:line="360" w:lineRule="auto"/>
        <w:rPr>
          <w:sz w:val="26"/>
        </w:rPr>
      </w:pPr>
    </w:p>
    <w:p w:rsidR="00697E1F" w:rsidRDefault="00DC7085" w:rsidP="004235F4">
      <w:pPr>
        <w:tabs>
          <w:tab w:val="left" w:pos="720"/>
        </w:tabs>
        <w:spacing w:line="360" w:lineRule="auto"/>
        <w:rPr>
          <w:sz w:val="26"/>
          <w:szCs w:val="26"/>
        </w:rPr>
      </w:pPr>
      <w:r>
        <w:rPr>
          <w:sz w:val="26"/>
        </w:rPr>
        <w:tab/>
      </w:r>
      <w:r w:rsidR="00372113">
        <w:rPr>
          <w:sz w:val="26"/>
        </w:rPr>
        <w:tab/>
      </w:r>
      <w:r w:rsidR="009E5575">
        <w:rPr>
          <w:sz w:val="26"/>
        </w:rPr>
        <w:t>In its Replies to Exceptions, PGW avers that the Complainants</w:t>
      </w:r>
      <w:r w:rsidR="006140FA">
        <w:rPr>
          <w:sz w:val="26"/>
        </w:rPr>
        <w:t>’</w:t>
      </w:r>
      <w:r w:rsidR="009E5575">
        <w:rPr>
          <w:sz w:val="26"/>
        </w:rPr>
        <w:t xml:space="preserve"> Exceptions fail to address any error in fact or law contained in the Initial Decision </w:t>
      </w:r>
      <w:r w:rsidR="00D44A20">
        <w:rPr>
          <w:sz w:val="26"/>
        </w:rPr>
        <w:t>t</w:t>
      </w:r>
      <w:r w:rsidR="009E5575">
        <w:rPr>
          <w:sz w:val="26"/>
        </w:rPr>
        <w:t>h</w:t>
      </w:r>
      <w:r w:rsidR="00D44A20">
        <w:rPr>
          <w:sz w:val="26"/>
        </w:rPr>
        <w:t>at</w:t>
      </w:r>
      <w:r w:rsidR="009E5575">
        <w:rPr>
          <w:sz w:val="26"/>
        </w:rPr>
        <w:t xml:space="preserve"> refutes the ALJ’s Conclusion of Law that the Commission lacks jurisdiction over the subject matter of the Complaint.  PGW asserts that, under the </w:t>
      </w:r>
      <w:r w:rsidR="00697E1F">
        <w:rPr>
          <w:sz w:val="26"/>
          <w:szCs w:val="26"/>
        </w:rPr>
        <w:t>Munic</w:t>
      </w:r>
      <w:r w:rsidR="00C83B69">
        <w:rPr>
          <w:sz w:val="26"/>
          <w:szCs w:val="26"/>
        </w:rPr>
        <w:t>ipal Claim and Tax Lien Law, 53 </w:t>
      </w:r>
      <w:r w:rsidR="00697E1F">
        <w:rPr>
          <w:sz w:val="26"/>
          <w:szCs w:val="26"/>
        </w:rPr>
        <w:t xml:space="preserve">P.S. §§ 7101, </w:t>
      </w:r>
      <w:r w:rsidR="00697E1F" w:rsidRPr="00D94DB6">
        <w:rPr>
          <w:i/>
          <w:sz w:val="26"/>
          <w:szCs w:val="26"/>
        </w:rPr>
        <w:t>et seq</w:t>
      </w:r>
      <w:r w:rsidR="00697E1F">
        <w:rPr>
          <w:sz w:val="26"/>
          <w:szCs w:val="26"/>
        </w:rPr>
        <w:t xml:space="preserve">., the City may file a municipal lien on the </w:t>
      </w:r>
      <w:r w:rsidR="00CF39C9">
        <w:rPr>
          <w:sz w:val="26"/>
          <w:szCs w:val="26"/>
        </w:rPr>
        <w:t>Subject Property</w:t>
      </w:r>
      <w:r w:rsidR="00697E1F">
        <w:rPr>
          <w:sz w:val="26"/>
          <w:szCs w:val="26"/>
        </w:rPr>
        <w:t xml:space="preserve"> for the unpaid debt for gas service to the property on the account of the Complainants’ tenant.  R. Exc. at 2.  </w:t>
      </w:r>
    </w:p>
    <w:p w:rsidR="00697E1F" w:rsidRDefault="00697E1F" w:rsidP="004235F4">
      <w:pPr>
        <w:tabs>
          <w:tab w:val="left" w:pos="720"/>
        </w:tabs>
        <w:spacing w:line="360" w:lineRule="auto"/>
        <w:rPr>
          <w:sz w:val="26"/>
          <w:szCs w:val="26"/>
        </w:rPr>
      </w:pPr>
    </w:p>
    <w:p w:rsidR="00415C58" w:rsidRDefault="00697E1F" w:rsidP="004235F4">
      <w:pPr>
        <w:tabs>
          <w:tab w:val="left" w:pos="720"/>
        </w:tabs>
        <w:spacing w:line="360" w:lineRule="auto"/>
        <w:rPr>
          <w:sz w:val="26"/>
          <w:szCs w:val="26"/>
        </w:rPr>
      </w:pPr>
      <w:r>
        <w:rPr>
          <w:sz w:val="26"/>
          <w:szCs w:val="26"/>
        </w:rPr>
        <w:tab/>
      </w:r>
      <w:r>
        <w:rPr>
          <w:sz w:val="26"/>
          <w:szCs w:val="26"/>
        </w:rPr>
        <w:tab/>
        <w:t xml:space="preserve">In response to the Complainants’ Exceptions regarding the Commission’s jurisdiction over the manner in which PGW accounted for gas used at the </w:t>
      </w:r>
      <w:r w:rsidR="00CF39C9">
        <w:rPr>
          <w:sz w:val="26"/>
          <w:szCs w:val="26"/>
        </w:rPr>
        <w:t>Subject Property</w:t>
      </w:r>
      <w:r>
        <w:rPr>
          <w:sz w:val="26"/>
          <w:szCs w:val="26"/>
        </w:rPr>
        <w:t xml:space="preserve"> while no customer of record could be identified, PGW states that the Complainants did not make any allegations about the billing of gas used at the property in their Complaint.  </w:t>
      </w:r>
      <w:r w:rsidR="00B80BA7">
        <w:rPr>
          <w:sz w:val="26"/>
          <w:szCs w:val="26"/>
        </w:rPr>
        <w:t xml:space="preserve">PGW also states that “[t]he Complainants’ argument about billing is merely a collateral attack on the filing of the liens.”  </w:t>
      </w:r>
      <w:r w:rsidR="00B80BA7" w:rsidRPr="00B80BA7">
        <w:rPr>
          <w:i/>
          <w:sz w:val="26"/>
          <w:szCs w:val="26"/>
        </w:rPr>
        <w:t>Id</w:t>
      </w:r>
      <w:r w:rsidR="00B80BA7">
        <w:rPr>
          <w:sz w:val="26"/>
          <w:szCs w:val="26"/>
        </w:rPr>
        <w:t xml:space="preserve">. at 4.  </w:t>
      </w:r>
      <w:r>
        <w:rPr>
          <w:sz w:val="26"/>
          <w:szCs w:val="26"/>
        </w:rPr>
        <w:t xml:space="preserve">PGW </w:t>
      </w:r>
      <w:r w:rsidR="00B80BA7">
        <w:rPr>
          <w:sz w:val="26"/>
          <w:szCs w:val="26"/>
        </w:rPr>
        <w:t>further</w:t>
      </w:r>
      <w:r>
        <w:rPr>
          <w:sz w:val="26"/>
          <w:szCs w:val="26"/>
        </w:rPr>
        <w:t xml:space="preserve"> states that, as the pleadings indicate, by attempting to have the user without contract apply for gas service, PGW followed its procedures and provided notice for the r</w:t>
      </w:r>
      <w:r w:rsidR="00415C58">
        <w:rPr>
          <w:sz w:val="26"/>
          <w:szCs w:val="26"/>
        </w:rPr>
        <w:t xml:space="preserve">esident of the </w:t>
      </w:r>
      <w:r w:rsidR="00CF39C9">
        <w:rPr>
          <w:sz w:val="26"/>
          <w:szCs w:val="26"/>
        </w:rPr>
        <w:t xml:space="preserve">Subject </w:t>
      </w:r>
      <w:r w:rsidR="00CF39C9">
        <w:rPr>
          <w:sz w:val="26"/>
          <w:szCs w:val="26"/>
        </w:rPr>
        <w:lastRenderedPageBreak/>
        <w:t>Property</w:t>
      </w:r>
      <w:r w:rsidR="00415C58">
        <w:rPr>
          <w:sz w:val="26"/>
          <w:szCs w:val="26"/>
        </w:rPr>
        <w:t xml:space="preserve"> to apply for gas service or face termination of service.  According to PGW, the tenant contacted PGW after receiving the notice.  </w:t>
      </w:r>
      <w:r w:rsidR="00B80BA7" w:rsidRPr="00B80BA7">
        <w:rPr>
          <w:i/>
          <w:sz w:val="26"/>
          <w:szCs w:val="26"/>
        </w:rPr>
        <w:t>Id</w:t>
      </w:r>
      <w:r w:rsidR="00415C58">
        <w:rPr>
          <w:sz w:val="26"/>
          <w:szCs w:val="26"/>
        </w:rPr>
        <w:t xml:space="preserve">.  </w:t>
      </w:r>
    </w:p>
    <w:p w:rsidR="00415C58" w:rsidRDefault="00415C58" w:rsidP="004235F4">
      <w:pPr>
        <w:tabs>
          <w:tab w:val="left" w:pos="720"/>
        </w:tabs>
        <w:spacing w:line="360" w:lineRule="auto"/>
        <w:rPr>
          <w:sz w:val="26"/>
          <w:szCs w:val="26"/>
        </w:rPr>
      </w:pPr>
      <w:r>
        <w:rPr>
          <w:sz w:val="26"/>
          <w:szCs w:val="26"/>
        </w:rPr>
        <w:tab/>
      </w:r>
    </w:p>
    <w:p w:rsidR="002730B0" w:rsidRDefault="00415C58" w:rsidP="004235F4">
      <w:pPr>
        <w:tabs>
          <w:tab w:val="left" w:pos="720"/>
        </w:tabs>
        <w:spacing w:line="360" w:lineRule="auto"/>
        <w:rPr>
          <w:sz w:val="26"/>
          <w:szCs w:val="26"/>
        </w:rPr>
      </w:pPr>
      <w:r>
        <w:rPr>
          <w:sz w:val="26"/>
          <w:szCs w:val="26"/>
        </w:rPr>
        <w:tab/>
      </w:r>
      <w:r>
        <w:rPr>
          <w:sz w:val="26"/>
          <w:szCs w:val="26"/>
        </w:rPr>
        <w:tab/>
        <w:t>PGW also explains that it may collect unpaid</w:t>
      </w:r>
      <w:r w:rsidR="00C83B69">
        <w:rPr>
          <w:sz w:val="26"/>
          <w:szCs w:val="26"/>
        </w:rPr>
        <w:t xml:space="preserve"> debt for gas service rendered </w:t>
      </w:r>
      <w:r>
        <w:rPr>
          <w:sz w:val="26"/>
          <w:szCs w:val="26"/>
        </w:rPr>
        <w:t xml:space="preserve">even when the gas service was not provided to the owner of the property.  </w:t>
      </w:r>
      <w:r w:rsidR="0014617E" w:rsidRPr="0014617E">
        <w:rPr>
          <w:i/>
          <w:sz w:val="26"/>
          <w:szCs w:val="26"/>
        </w:rPr>
        <w:t>Id</w:t>
      </w:r>
      <w:r w:rsidR="0014617E">
        <w:rPr>
          <w:sz w:val="26"/>
          <w:szCs w:val="26"/>
        </w:rPr>
        <w:t>.</w:t>
      </w:r>
      <w:r>
        <w:rPr>
          <w:sz w:val="26"/>
          <w:szCs w:val="26"/>
        </w:rPr>
        <w:t xml:space="preserve"> at 5-6 (citing </w:t>
      </w:r>
      <w:r w:rsidRPr="00415C58">
        <w:rPr>
          <w:i/>
          <w:sz w:val="26"/>
          <w:szCs w:val="26"/>
        </w:rPr>
        <w:t>Newberry Township v. Ray Stambaugh</w:t>
      </w:r>
      <w:r>
        <w:rPr>
          <w:sz w:val="26"/>
          <w:szCs w:val="26"/>
        </w:rPr>
        <w:t>, 848 A.2d 173 (Pa. Cmwlth. 2000)</w:t>
      </w:r>
      <w:r w:rsidR="00B034A8">
        <w:rPr>
          <w:sz w:val="26"/>
          <w:szCs w:val="26"/>
        </w:rPr>
        <w:t>)</w:t>
      </w:r>
      <w:r>
        <w:rPr>
          <w:sz w:val="26"/>
          <w:szCs w:val="26"/>
        </w:rPr>
        <w:t xml:space="preserve">.  </w:t>
      </w:r>
      <w:r w:rsidR="00BA567A">
        <w:rPr>
          <w:sz w:val="26"/>
          <w:szCs w:val="26"/>
        </w:rPr>
        <w:t xml:space="preserve">PGW notes that </w:t>
      </w:r>
      <w:r w:rsidR="005113DC">
        <w:rPr>
          <w:sz w:val="26"/>
          <w:szCs w:val="26"/>
        </w:rPr>
        <w:t xml:space="preserve">the proceeding to obtain the City of Philadelphia’s municipal lien is an </w:t>
      </w:r>
      <w:r w:rsidR="005113DC" w:rsidRPr="005113DC">
        <w:rPr>
          <w:i/>
          <w:sz w:val="26"/>
          <w:szCs w:val="26"/>
        </w:rPr>
        <w:t>in rem</w:t>
      </w:r>
      <w:r w:rsidR="005113DC">
        <w:rPr>
          <w:sz w:val="26"/>
          <w:szCs w:val="26"/>
        </w:rPr>
        <w:t xml:space="preserve"> proceeding, and, as such, the </w:t>
      </w:r>
      <w:r w:rsidR="00CF39C9">
        <w:rPr>
          <w:sz w:val="26"/>
          <w:szCs w:val="26"/>
        </w:rPr>
        <w:t>Subject Property</w:t>
      </w:r>
      <w:r w:rsidR="005113DC">
        <w:rPr>
          <w:sz w:val="26"/>
          <w:szCs w:val="26"/>
        </w:rPr>
        <w:t xml:space="preserve"> is responsible for satisfying the municipal claim.  </w:t>
      </w:r>
      <w:r w:rsidR="0014617E" w:rsidRPr="0014617E">
        <w:rPr>
          <w:i/>
          <w:sz w:val="26"/>
          <w:szCs w:val="26"/>
        </w:rPr>
        <w:t>Id</w:t>
      </w:r>
      <w:r w:rsidR="0014617E">
        <w:rPr>
          <w:sz w:val="26"/>
          <w:szCs w:val="26"/>
        </w:rPr>
        <w:t>.</w:t>
      </w:r>
      <w:r w:rsidR="005113DC">
        <w:rPr>
          <w:sz w:val="26"/>
          <w:szCs w:val="26"/>
        </w:rPr>
        <w:t xml:space="preserve"> at 6 (citing </w:t>
      </w:r>
      <w:r w:rsidR="005113DC" w:rsidRPr="005113DC">
        <w:rPr>
          <w:i/>
          <w:sz w:val="26"/>
          <w:szCs w:val="26"/>
        </w:rPr>
        <w:t>Ransom v. Marrazzo</w:t>
      </w:r>
      <w:r w:rsidR="005113DC">
        <w:rPr>
          <w:sz w:val="26"/>
          <w:szCs w:val="26"/>
        </w:rPr>
        <w:t>, 848 F.2d 398 (3d Cir. 1988).</w:t>
      </w:r>
    </w:p>
    <w:p w:rsidR="002730B0" w:rsidRDefault="002730B0" w:rsidP="004235F4">
      <w:pPr>
        <w:tabs>
          <w:tab w:val="left" w:pos="720"/>
        </w:tabs>
        <w:spacing w:line="360" w:lineRule="auto"/>
        <w:rPr>
          <w:sz w:val="26"/>
          <w:szCs w:val="26"/>
        </w:rPr>
      </w:pPr>
    </w:p>
    <w:p w:rsidR="006140FA" w:rsidRDefault="006140FA" w:rsidP="004235F4">
      <w:pPr>
        <w:tabs>
          <w:tab w:val="left" w:pos="720"/>
        </w:tabs>
        <w:spacing w:line="360" w:lineRule="auto"/>
        <w:rPr>
          <w:b/>
          <w:sz w:val="26"/>
          <w:szCs w:val="26"/>
        </w:rPr>
      </w:pPr>
      <w:r>
        <w:rPr>
          <w:b/>
          <w:sz w:val="26"/>
          <w:szCs w:val="26"/>
        </w:rPr>
        <w:t xml:space="preserve">Disposition </w:t>
      </w:r>
    </w:p>
    <w:p w:rsidR="002E7381" w:rsidRDefault="00A10864" w:rsidP="00571A10">
      <w:pPr>
        <w:tabs>
          <w:tab w:val="left" w:pos="720"/>
        </w:tabs>
        <w:spacing w:line="360" w:lineRule="auto"/>
        <w:rPr>
          <w:sz w:val="26"/>
          <w:szCs w:val="26"/>
        </w:rPr>
      </w:pPr>
      <w:r>
        <w:rPr>
          <w:b/>
          <w:sz w:val="26"/>
        </w:rPr>
        <w:tab/>
      </w:r>
      <w:r w:rsidR="0098630C">
        <w:rPr>
          <w:b/>
          <w:sz w:val="26"/>
        </w:rPr>
        <w:tab/>
      </w:r>
    </w:p>
    <w:p w:rsidR="00F67CA9" w:rsidRDefault="003D2264">
      <w:pPr>
        <w:spacing w:line="360" w:lineRule="auto"/>
        <w:ind w:firstLine="1440"/>
        <w:rPr>
          <w:sz w:val="26"/>
          <w:szCs w:val="26"/>
        </w:rPr>
      </w:pPr>
      <w:r>
        <w:rPr>
          <w:sz w:val="26"/>
          <w:szCs w:val="26"/>
        </w:rPr>
        <w:t>Based upon our review</w:t>
      </w:r>
      <w:r w:rsidR="00D82992">
        <w:rPr>
          <w:sz w:val="26"/>
          <w:szCs w:val="26"/>
        </w:rPr>
        <w:t xml:space="preserve"> of the record in this case</w:t>
      </w:r>
      <w:r>
        <w:rPr>
          <w:sz w:val="26"/>
          <w:szCs w:val="26"/>
        </w:rPr>
        <w:t>, we shall deny the Complainant’s Exceptions</w:t>
      </w:r>
      <w:r w:rsidR="00801E78">
        <w:rPr>
          <w:sz w:val="26"/>
          <w:szCs w:val="26"/>
        </w:rPr>
        <w:t xml:space="preserve">.  </w:t>
      </w:r>
      <w:r w:rsidR="002461D4">
        <w:rPr>
          <w:sz w:val="26"/>
          <w:szCs w:val="26"/>
        </w:rPr>
        <w:t xml:space="preserve">We begin by focusing on the remedy requested by the Complainants.  </w:t>
      </w:r>
      <w:r w:rsidR="003F49BF" w:rsidRPr="003F49BF">
        <w:rPr>
          <w:sz w:val="26"/>
          <w:szCs w:val="26"/>
        </w:rPr>
        <w:t xml:space="preserve">The instant case is another in a series of recent cases in which the complaining party is requesting that the Commission order the City to remove a municipal lien it has placed on a property for unpaid gas service rendered by PGW. </w:t>
      </w:r>
      <w:r w:rsidR="00964BC8">
        <w:rPr>
          <w:sz w:val="26"/>
          <w:szCs w:val="26"/>
        </w:rPr>
        <w:t xml:space="preserve"> </w:t>
      </w:r>
      <w:r w:rsidR="003F49BF" w:rsidRPr="003F49BF">
        <w:rPr>
          <w:sz w:val="26"/>
          <w:szCs w:val="26"/>
        </w:rPr>
        <w:t xml:space="preserve">It is well-settled that the Commission </w:t>
      </w:r>
      <w:r w:rsidR="00801E78">
        <w:rPr>
          <w:sz w:val="26"/>
          <w:szCs w:val="26"/>
        </w:rPr>
        <w:t xml:space="preserve">does not have subject matter jurisdiction over municipal liens and </w:t>
      </w:r>
      <w:r w:rsidR="003F49BF" w:rsidRPr="003F49BF">
        <w:rPr>
          <w:sz w:val="26"/>
          <w:szCs w:val="26"/>
        </w:rPr>
        <w:t>cannot grant the relief requested by the Complainant</w:t>
      </w:r>
      <w:r w:rsidR="00743E16">
        <w:rPr>
          <w:sz w:val="26"/>
          <w:szCs w:val="26"/>
        </w:rPr>
        <w:t>s</w:t>
      </w:r>
      <w:r w:rsidR="003F49BF" w:rsidRPr="003F49BF">
        <w:rPr>
          <w:sz w:val="26"/>
          <w:szCs w:val="26"/>
        </w:rPr>
        <w:t xml:space="preserve">.  </w:t>
      </w:r>
      <w:r w:rsidR="003F49BF" w:rsidRPr="003F49BF">
        <w:rPr>
          <w:i/>
          <w:sz w:val="26"/>
          <w:szCs w:val="26"/>
        </w:rPr>
        <w:t>Black v. Philadelphia Gas Works</w:t>
      </w:r>
      <w:r w:rsidR="003F49BF" w:rsidRPr="003F49BF">
        <w:rPr>
          <w:sz w:val="26"/>
          <w:szCs w:val="26"/>
        </w:rPr>
        <w:t xml:space="preserve">, Docket No. C-2011-2218474 (Order entered August 25, 2011); </w:t>
      </w:r>
      <w:r w:rsidR="003F49BF" w:rsidRPr="003F49BF">
        <w:rPr>
          <w:i/>
          <w:iCs/>
          <w:sz w:val="26"/>
          <w:szCs w:val="26"/>
        </w:rPr>
        <w:t>Charles v. Philadelphia Gas Works</w:t>
      </w:r>
      <w:r w:rsidR="003F49BF" w:rsidRPr="003F49BF">
        <w:rPr>
          <w:sz w:val="26"/>
          <w:szCs w:val="26"/>
        </w:rPr>
        <w:t xml:space="preserve">, Docket No. C-2009-2138638 (Order entered February 5, 2010); </w:t>
      </w:r>
      <w:r w:rsidR="003F49BF" w:rsidRPr="003F49BF">
        <w:rPr>
          <w:i/>
          <w:sz w:val="26"/>
          <w:szCs w:val="26"/>
        </w:rPr>
        <w:t>2020 West Passyunk Avenue, Inc. v. Philadelphia Gas Works</w:t>
      </w:r>
      <w:r w:rsidR="00C83B69">
        <w:rPr>
          <w:sz w:val="26"/>
          <w:szCs w:val="26"/>
        </w:rPr>
        <w:t>, Docket No. C</w:t>
      </w:r>
      <w:r w:rsidR="00C83B69">
        <w:rPr>
          <w:sz w:val="26"/>
          <w:szCs w:val="26"/>
        </w:rPr>
        <w:noBreakHyphen/>
        <w:t>2009</w:t>
      </w:r>
      <w:r w:rsidR="00C83B69">
        <w:rPr>
          <w:sz w:val="26"/>
          <w:szCs w:val="26"/>
        </w:rPr>
        <w:noBreakHyphen/>
      </w:r>
      <w:r w:rsidR="003F49BF" w:rsidRPr="003F49BF">
        <w:rPr>
          <w:sz w:val="26"/>
          <w:szCs w:val="26"/>
        </w:rPr>
        <w:t xml:space="preserve">2138727 (Order entered February 4, 2010); </w:t>
      </w:r>
      <w:r w:rsidR="003F49BF" w:rsidRPr="003F49BF">
        <w:rPr>
          <w:i/>
          <w:sz w:val="26"/>
          <w:szCs w:val="26"/>
        </w:rPr>
        <w:t>Golan</w:t>
      </w:r>
      <w:r w:rsidR="003F49BF" w:rsidRPr="003F49BF">
        <w:rPr>
          <w:sz w:val="26"/>
          <w:szCs w:val="26"/>
        </w:rPr>
        <w:t xml:space="preserve"> </w:t>
      </w:r>
      <w:r w:rsidR="003F49BF" w:rsidRPr="003F49BF">
        <w:rPr>
          <w:i/>
          <w:sz w:val="26"/>
          <w:szCs w:val="26"/>
        </w:rPr>
        <w:t>v. Philadelphia Gas Works</w:t>
      </w:r>
      <w:r w:rsidR="003F49BF" w:rsidRPr="003F49BF">
        <w:rPr>
          <w:sz w:val="26"/>
          <w:szCs w:val="26"/>
        </w:rPr>
        <w:t xml:space="preserve">, Docket No. C-2009-2138115 (Order entered February 4, 2010); </w:t>
      </w:r>
      <w:r w:rsidR="003F49BF" w:rsidRPr="003F49BF">
        <w:rPr>
          <w:i/>
          <w:sz w:val="26"/>
          <w:szCs w:val="26"/>
        </w:rPr>
        <w:t>Dung Phat, LLC</w:t>
      </w:r>
      <w:r w:rsidR="003F49BF" w:rsidRPr="003F49BF">
        <w:rPr>
          <w:sz w:val="26"/>
          <w:szCs w:val="26"/>
        </w:rPr>
        <w:t xml:space="preserve"> </w:t>
      </w:r>
      <w:r w:rsidR="003F49BF" w:rsidRPr="003F49BF">
        <w:rPr>
          <w:i/>
          <w:sz w:val="26"/>
          <w:szCs w:val="26"/>
        </w:rPr>
        <w:t>v. Philadelphia Gas Works</w:t>
      </w:r>
      <w:r w:rsidR="003F49BF" w:rsidRPr="003F49BF">
        <w:rPr>
          <w:sz w:val="26"/>
          <w:szCs w:val="26"/>
        </w:rPr>
        <w:t xml:space="preserve">, Docket No. C-2009-2135667 (Order entered January 13, 2010); </w:t>
      </w:r>
      <w:r w:rsidR="003F49BF" w:rsidRPr="003F49BF">
        <w:rPr>
          <w:i/>
          <w:sz w:val="26"/>
          <w:szCs w:val="26"/>
        </w:rPr>
        <w:t>Francis-Young</w:t>
      </w:r>
      <w:r w:rsidR="003F49BF" w:rsidRPr="003F49BF">
        <w:rPr>
          <w:sz w:val="26"/>
          <w:szCs w:val="26"/>
        </w:rPr>
        <w:t xml:space="preserve"> </w:t>
      </w:r>
      <w:r w:rsidR="003F49BF" w:rsidRPr="003F49BF">
        <w:rPr>
          <w:i/>
          <w:sz w:val="26"/>
          <w:szCs w:val="26"/>
        </w:rPr>
        <w:t>v. Philadelphia Gas Works</w:t>
      </w:r>
      <w:r w:rsidR="003F49BF" w:rsidRPr="003F49BF">
        <w:rPr>
          <w:sz w:val="26"/>
          <w:szCs w:val="26"/>
        </w:rPr>
        <w:t xml:space="preserve">, Docket No. C-2008-2029672 (Order entered February 23, 2009); </w:t>
      </w:r>
      <w:r w:rsidR="003F49BF" w:rsidRPr="003F49BF">
        <w:rPr>
          <w:i/>
          <w:iCs/>
          <w:sz w:val="26"/>
          <w:szCs w:val="26"/>
        </w:rPr>
        <w:t>Lawrence v. Philadelphia Gas Works</w:t>
      </w:r>
      <w:r w:rsidR="003F49BF" w:rsidRPr="003F49BF">
        <w:rPr>
          <w:sz w:val="26"/>
          <w:szCs w:val="26"/>
        </w:rPr>
        <w:t xml:space="preserve">, Docket No. C-20066672 (Order entered January 22, 2007). </w:t>
      </w:r>
      <w:r w:rsidR="009F081F">
        <w:rPr>
          <w:sz w:val="26"/>
          <w:szCs w:val="26"/>
        </w:rPr>
        <w:t xml:space="preserve"> </w:t>
      </w:r>
    </w:p>
    <w:p w:rsidR="00F67CA9" w:rsidRDefault="00F67CA9" w:rsidP="003F49BF">
      <w:pPr>
        <w:spacing w:line="360" w:lineRule="auto"/>
        <w:ind w:firstLine="1440"/>
        <w:rPr>
          <w:sz w:val="26"/>
          <w:szCs w:val="26"/>
        </w:rPr>
      </w:pPr>
    </w:p>
    <w:p w:rsidR="003F49BF" w:rsidRDefault="00F67CA9" w:rsidP="003F49BF">
      <w:pPr>
        <w:spacing w:line="360" w:lineRule="auto"/>
        <w:ind w:firstLine="1440"/>
        <w:rPr>
          <w:sz w:val="26"/>
          <w:szCs w:val="26"/>
        </w:rPr>
      </w:pPr>
      <w:r>
        <w:rPr>
          <w:sz w:val="26"/>
          <w:szCs w:val="26"/>
        </w:rPr>
        <w:lastRenderedPageBreak/>
        <w:t xml:space="preserve">The Code gives us authority to impose civil penalties, or order such other relief as is contained in the Code, if we find that a jurisdictional entity </w:t>
      </w:r>
      <w:r w:rsidR="00E0717C">
        <w:rPr>
          <w:sz w:val="26"/>
          <w:szCs w:val="26"/>
        </w:rPr>
        <w:t xml:space="preserve">such as PGW </w:t>
      </w:r>
      <w:r>
        <w:rPr>
          <w:sz w:val="26"/>
          <w:szCs w:val="26"/>
        </w:rPr>
        <w:t xml:space="preserve">has violated the Code, our Regulations or our Orders.  66 Pa. C.S. § 3301 </w:t>
      </w:r>
      <w:r w:rsidRPr="00441BFA">
        <w:rPr>
          <w:i/>
          <w:sz w:val="26"/>
          <w:szCs w:val="26"/>
        </w:rPr>
        <w:t>et seq</w:t>
      </w:r>
      <w:r>
        <w:rPr>
          <w:sz w:val="26"/>
          <w:szCs w:val="26"/>
        </w:rPr>
        <w:t xml:space="preserve">. </w:t>
      </w:r>
      <w:r w:rsidR="00E0717C">
        <w:rPr>
          <w:sz w:val="26"/>
          <w:szCs w:val="26"/>
        </w:rPr>
        <w:t xml:space="preserve"> </w:t>
      </w:r>
      <w:r>
        <w:rPr>
          <w:sz w:val="26"/>
          <w:szCs w:val="26"/>
        </w:rPr>
        <w:t>The question before us at this point is whether the Complainants have alleged a violation of the Code, our Regula</w:t>
      </w:r>
      <w:r w:rsidR="004928EE">
        <w:rPr>
          <w:sz w:val="26"/>
          <w:szCs w:val="26"/>
        </w:rPr>
        <w:t xml:space="preserve">tions or Orders.  </w:t>
      </w:r>
      <w:r w:rsidR="00A57AFD">
        <w:rPr>
          <w:sz w:val="26"/>
          <w:szCs w:val="26"/>
        </w:rPr>
        <w:t>We find that the Complaint did not contain such an allegation; t</w:t>
      </w:r>
      <w:r w:rsidR="004610AA">
        <w:rPr>
          <w:sz w:val="26"/>
          <w:szCs w:val="26"/>
        </w:rPr>
        <w:t>he</w:t>
      </w:r>
      <w:r w:rsidR="00A57AFD">
        <w:rPr>
          <w:sz w:val="26"/>
          <w:szCs w:val="26"/>
        </w:rPr>
        <w:t xml:space="preserve"> </w:t>
      </w:r>
      <w:r w:rsidR="004610AA">
        <w:rPr>
          <w:sz w:val="26"/>
          <w:szCs w:val="26"/>
        </w:rPr>
        <w:t>Complaint</w:t>
      </w:r>
      <w:r w:rsidR="00A57AFD">
        <w:rPr>
          <w:sz w:val="26"/>
          <w:szCs w:val="26"/>
        </w:rPr>
        <w:t xml:space="preserve"> </w:t>
      </w:r>
      <w:r w:rsidR="004610AA">
        <w:rPr>
          <w:sz w:val="26"/>
          <w:szCs w:val="26"/>
        </w:rPr>
        <w:t>allege</w:t>
      </w:r>
      <w:r w:rsidR="00A57AFD">
        <w:rPr>
          <w:sz w:val="26"/>
          <w:szCs w:val="26"/>
        </w:rPr>
        <w:t>d</w:t>
      </w:r>
      <w:r w:rsidR="004610AA">
        <w:rPr>
          <w:sz w:val="26"/>
          <w:szCs w:val="26"/>
        </w:rPr>
        <w:t xml:space="preserve"> </w:t>
      </w:r>
      <w:r w:rsidR="00FA67C3">
        <w:rPr>
          <w:sz w:val="26"/>
          <w:szCs w:val="26"/>
        </w:rPr>
        <w:t xml:space="preserve">only </w:t>
      </w:r>
      <w:r w:rsidR="004610AA">
        <w:rPr>
          <w:sz w:val="26"/>
          <w:szCs w:val="26"/>
        </w:rPr>
        <w:t xml:space="preserve">that a lien has been imposed on </w:t>
      </w:r>
      <w:r w:rsidR="00A57AFD">
        <w:rPr>
          <w:sz w:val="26"/>
          <w:szCs w:val="26"/>
        </w:rPr>
        <w:t>the Complainants’</w:t>
      </w:r>
      <w:r w:rsidR="004610AA">
        <w:rPr>
          <w:sz w:val="26"/>
          <w:szCs w:val="26"/>
        </w:rPr>
        <w:t xml:space="preserve"> </w:t>
      </w:r>
      <w:r w:rsidR="00A57AFD">
        <w:rPr>
          <w:sz w:val="26"/>
          <w:szCs w:val="26"/>
        </w:rPr>
        <w:t xml:space="preserve">property because the Complainants’ </w:t>
      </w:r>
      <w:r w:rsidR="004610AA">
        <w:rPr>
          <w:sz w:val="26"/>
          <w:szCs w:val="26"/>
        </w:rPr>
        <w:t xml:space="preserve">tenant failed to pay for gas service rendered by PGW.  </w:t>
      </w:r>
      <w:r w:rsidR="00631DA5">
        <w:rPr>
          <w:sz w:val="26"/>
          <w:szCs w:val="26"/>
        </w:rPr>
        <w:t>I</w:t>
      </w:r>
      <w:r w:rsidR="004928EE">
        <w:rPr>
          <w:sz w:val="26"/>
          <w:szCs w:val="26"/>
        </w:rPr>
        <w:t>n their Answer to Preliminary Objections,</w:t>
      </w:r>
      <w:r w:rsidR="00154829">
        <w:rPr>
          <w:sz w:val="26"/>
          <w:szCs w:val="26"/>
        </w:rPr>
        <w:t xml:space="preserve"> </w:t>
      </w:r>
      <w:r w:rsidR="00631DA5">
        <w:rPr>
          <w:sz w:val="26"/>
          <w:szCs w:val="26"/>
        </w:rPr>
        <w:t xml:space="preserve">the Complainants </w:t>
      </w:r>
      <w:r w:rsidR="00E0717C">
        <w:rPr>
          <w:sz w:val="26"/>
          <w:szCs w:val="26"/>
        </w:rPr>
        <w:t xml:space="preserve">allege that this case </w:t>
      </w:r>
      <w:r w:rsidR="00FA67C3">
        <w:rPr>
          <w:sz w:val="26"/>
          <w:szCs w:val="26"/>
        </w:rPr>
        <w:t xml:space="preserve">also </w:t>
      </w:r>
      <w:r w:rsidR="00E0717C">
        <w:rPr>
          <w:sz w:val="26"/>
          <w:szCs w:val="26"/>
        </w:rPr>
        <w:t xml:space="preserve">involves </w:t>
      </w:r>
      <w:r w:rsidR="004928EE">
        <w:rPr>
          <w:sz w:val="26"/>
          <w:szCs w:val="26"/>
        </w:rPr>
        <w:t>issues</w:t>
      </w:r>
      <w:r w:rsidR="00954376">
        <w:rPr>
          <w:sz w:val="26"/>
          <w:szCs w:val="26"/>
        </w:rPr>
        <w:t xml:space="preserve"> of unreasonable service by PGW</w:t>
      </w:r>
      <w:r w:rsidR="008E3783">
        <w:rPr>
          <w:sz w:val="26"/>
          <w:szCs w:val="26"/>
        </w:rPr>
        <w:t>, in violation of 66 Pa. C.S. § 1501</w:t>
      </w:r>
      <w:r w:rsidR="00954376">
        <w:rPr>
          <w:sz w:val="26"/>
          <w:szCs w:val="26"/>
        </w:rPr>
        <w:t xml:space="preserve">.  </w:t>
      </w:r>
      <w:r w:rsidR="00C02B21">
        <w:rPr>
          <w:sz w:val="26"/>
          <w:szCs w:val="26"/>
        </w:rPr>
        <w:t>Answer to Preliminary Objections at 2.</w:t>
      </w:r>
      <w:r w:rsidR="008E3783">
        <w:rPr>
          <w:sz w:val="26"/>
          <w:szCs w:val="26"/>
        </w:rPr>
        <w:t xml:space="preserve">  The Complainants’ Answer to Preliminary Objections</w:t>
      </w:r>
      <w:r w:rsidR="00A57AFD">
        <w:rPr>
          <w:sz w:val="26"/>
          <w:szCs w:val="26"/>
        </w:rPr>
        <w:t xml:space="preserve"> </w:t>
      </w:r>
      <w:r w:rsidR="000D5BBB">
        <w:rPr>
          <w:sz w:val="26"/>
          <w:szCs w:val="26"/>
        </w:rPr>
        <w:t xml:space="preserve">apparently </w:t>
      </w:r>
      <w:r w:rsidR="00A57AFD">
        <w:rPr>
          <w:sz w:val="26"/>
          <w:szCs w:val="26"/>
        </w:rPr>
        <w:t xml:space="preserve">was not considered by the ALJ.  </w:t>
      </w:r>
    </w:p>
    <w:p w:rsidR="00C02B21" w:rsidRDefault="00C02B21" w:rsidP="003F49BF">
      <w:pPr>
        <w:spacing w:line="360" w:lineRule="auto"/>
        <w:ind w:firstLine="1440"/>
        <w:rPr>
          <w:sz w:val="26"/>
          <w:szCs w:val="26"/>
        </w:rPr>
      </w:pPr>
    </w:p>
    <w:p w:rsidR="00893951" w:rsidRPr="00893951" w:rsidRDefault="00893951" w:rsidP="00893951">
      <w:pPr>
        <w:spacing w:line="360" w:lineRule="auto"/>
        <w:rPr>
          <w:rFonts w:eastAsiaTheme="minorHAnsi" w:cs="Calibri"/>
          <w:bCs/>
          <w:sz w:val="26"/>
          <w:szCs w:val="22"/>
        </w:rPr>
      </w:pPr>
      <w:r w:rsidRPr="00893951">
        <w:rPr>
          <w:rFonts w:eastAsiaTheme="minorHAnsi" w:cs="Calibri"/>
          <w:sz w:val="26"/>
          <w:szCs w:val="22"/>
        </w:rPr>
        <w:t xml:space="preserve">                </w:t>
      </w:r>
      <w:r>
        <w:rPr>
          <w:rFonts w:eastAsiaTheme="minorHAnsi" w:cs="Calibri"/>
          <w:sz w:val="26"/>
          <w:szCs w:val="22"/>
        </w:rPr>
        <w:tab/>
      </w:r>
      <w:r w:rsidRPr="00893951">
        <w:rPr>
          <w:rFonts w:eastAsiaTheme="minorHAnsi" w:cs="Calibri"/>
          <w:bCs/>
          <w:sz w:val="26"/>
          <w:szCs w:val="22"/>
        </w:rPr>
        <w:t>Based on our evaluation of the case, we believe that the Complainants essentially made three specific claims relating to unreasonable service.  The first was that PGW did not send a bill to the tenant.  However,</w:t>
      </w:r>
      <w:r>
        <w:rPr>
          <w:rFonts w:eastAsiaTheme="minorHAnsi" w:cs="Calibri"/>
          <w:bCs/>
          <w:sz w:val="26"/>
          <w:szCs w:val="22"/>
        </w:rPr>
        <w:t xml:space="preserve"> the </w:t>
      </w:r>
      <w:r w:rsidRPr="00893951">
        <w:rPr>
          <w:rFonts w:eastAsiaTheme="minorHAnsi" w:cs="Calibri"/>
          <w:bCs/>
          <w:sz w:val="26"/>
          <w:szCs w:val="22"/>
        </w:rPr>
        <w:t xml:space="preserve">Complainants do not have standing to raise this claim because they were not PGW customers at the subject property.  </w:t>
      </w:r>
      <w:r>
        <w:rPr>
          <w:rFonts w:eastAsiaTheme="minorHAnsi" w:cs="Calibri"/>
          <w:bCs/>
          <w:i/>
          <w:sz w:val="26"/>
          <w:szCs w:val="22"/>
        </w:rPr>
        <w:t xml:space="preserve">See, </w:t>
      </w:r>
      <w:r w:rsidRPr="00893951">
        <w:rPr>
          <w:rFonts w:eastAsiaTheme="minorHAnsi" w:cs="Calibri"/>
          <w:bCs/>
          <w:i/>
          <w:sz w:val="26"/>
          <w:szCs w:val="22"/>
        </w:rPr>
        <w:t>Faye Payne v. Philadelphia Gas Works</w:t>
      </w:r>
      <w:r w:rsidRPr="00893951">
        <w:rPr>
          <w:rFonts w:eastAsiaTheme="minorHAnsi" w:cs="Calibri"/>
          <w:bCs/>
          <w:sz w:val="26"/>
          <w:szCs w:val="22"/>
        </w:rPr>
        <w:t xml:space="preserve">, Docket No. C-2011-2247124 (Order entered February 16, 2012).  In that case, the Commission stated that, to the extent that the Complainant was challenging the accuracy of the bills issued to her tenants, the Complainant’s Exceptions were viewed as a collateral attack on the authority of the </w:t>
      </w:r>
      <w:r w:rsidR="00B8394F">
        <w:rPr>
          <w:rFonts w:eastAsiaTheme="minorHAnsi" w:cs="Calibri"/>
          <w:bCs/>
          <w:sz w:val="26"/>
          <w:szCs w:val="22"/>
        </w:rPr>
        <w:t>C</w:t>
      </w:r>
      <w:r w:rsidRPr="00893951">
        <w:rPr>
          <w:rFonts w:eastAsiaTheme="minorHAnsi" w:cs="Calibri"/>
          <w:bCs/>
          <w:sz w:val="26"/>
          <w:szCs w:val="22"/>
        </w:rPr>
        <w:t xml:space="preserve">ity to collect unpaid gas bills by filing liens.  </w:t>
      </w:r>
      <w:proofErr w:type="gramStart"/>
      <w:r w:rsidR="007849A8" w:rsidRPr="007849A8">
        <w:rPr>
          <w:rFonts w:eastAsiaTheme="minorHAnsi" w:cs="Calibri"/>
          <w:bCs/>
          <w:i/>
          <w:sz w:val="26"/>
          <w:szCs w:val="22"/>
        </w:rPr>
        <w:t>Payne</w:t>
      </w:r>
      <w:r w:rsidR="007849A8">
        <w:rPr>
          <w:rFonts w:eastAsiaTheme="minorHAnsi" w:cs="Calibri"/>
          <w:bCs/>
          <w:sz w:val="26"/>
          <w:szCs w:val="22"/>
        </w:rPr>
        <w:t>, at 9.</w:t>
      </w:r>
      <w:proofErr w:type="gramEnd"/>
      <w:r w:rsidR="007849A8">
        <w:rPr>
          <w:rFonts w:eastAsiaTheme="minorHAnsi" w:cs="Calibri"/>
          <w:bCs/>
          <w:sz w:val="26"/>
          <w:szCs w:val="22"/>
        </w:rPr>
        <w:t xml:space="preserve">  </w:t>
      </w:r>
      <w:r w:rsidRPr="00893951">
        <w:rPr>
          <w:rFonts w:eastAsiaTheme="minorHAnsi" w:cs="Calibri"/>
          <w:bCs/>
          <w:sz w:val="26"/>
          <w:szCs w:val="22"/>
        </w:rPr>
        <w:t>The Commission further stated that the Complainant was not in a position to challenge the bills that were issued to her former tenants.</w:t>
      </w:r>
      <w:r w:rsidR="007849A8">
        <w:rPr>
          <w:rFonts w:eastAsiaTheme="minorHAnsi" w:cs="Calibri"/>
          <w:bCs/>
          <w:sz w:val="26"/>
          <w:szCs w:val="22"/>
        </w:rPr>
        <w:t xml:space="preserve">  </w:t>
      </w:r>
      <w:proofErr w:type="gramStart"/>
      <w:r w:rsidR="007849A8" w:rsidRPr="007849A8">
        <w:rPr>
          <w:rFonts w:eastAsiaTheme="minorHAnsi" w:cs="Calibri"/>
          <w:bCs/>
          <w:i/>
          <w:sz w:val="26"/>
          <w:szCs w:val="22"/>
        </w:rPr>
        <w:t>Id</w:t>
      </w:r>
      <w:r w:rsidR="007849A8">
        <w:rPr>
          <w:rFonts w:eastAsiaTheme="minorHAnsi" w:cs="Calibri"/>
          <w:bCs/>
          <w:sz w:val="26"/>
          <w:szCs w:val="22"/>
        </w:rPr>
        <w:t>. at 10.</w:t>
      </w:r>
      <w:proofErr w:type="gramEnd"/>
      <w:r w:rsidR="007849A8">
        <w:rPr>
          <w:rFonts w:eastAsiaTheme="minorHAnsi" w:cs="Calibri"/>
          <w:bCs/>
          <w:sz w:val="26"/>
          <w:szCs w:val="22"/>
        </w:rPr>
        <w:t xml:space="preserve">  </w:t>
      </w:r>
      <w:r w:rsidR="00B8394F">
        <w:rPr>
          <w:rFonts w:eastAsiaTheme="minorHAnsi" w:cs="Calibri"/>
          <w:bCs/>
          <w:sz w:val="26"/>
          <w:szCs w:val="22"/>
        </w:rPr>
        <w:t xml:space="preserve">  </w:t>
      </w:r>
    </w:p>
    <w:p w:rsidR="00893951" w:rsidRPr="00893951" w:rsidRDefault="00893951" w:rsidP="00893951">
      <w:pPr>
        <w:spacing w:line="360" w:lineRule="auto"/>
        <w:rPr>
          <w:rFonts w:eastAsiaTheme="minorHAnsi" w:cs="Calibri"/>
          <w:bCs/>
          <w:sz w:val="26"/>
          <w:szCs w:val="22"/>
        </w:rPr>
      </w:pPr>
    </w:p>
    <w:p w:rsidR="00893951" w:rsidRPr="00893951" w:rsidRDefault="00893951" w:rsidP="00C104A3">
      <w:pPr>
        <w:spacing w:line="360" w:lineRule="auto"/>
        <w:rPr>
          <w:rFonts w:eastAsiaTheme="minorHAnsi" w:cs="Calibri"/>
          <w:bCs/>
          <w:sz w:val="26"/>
          <w:szCs w:val="22"/>
        </w:rPr>
      </w:pPr>
      <w:r w:rsidRPr="00893951">
        <w:rPr>
          <w:rFonts w:eastAsiaTheme="minorHAnsi" w:cs="Calibri"/>
          <w:bCs/>
          <w:sz w:val="26"/>
          <w:szCs w:val="22"/>
        </w:rPr>
        <w:t xml:space="preserve">                </w:t>
      </w:r>
      <w:r w:rsidR="00C104A3">
        <w:rPr>
          <w:rFonts w:eastAsiaTheme="minorHAnsi" w:cs="Calibri"/>
          <w:bCs/>
          <w:sz w:val="26"/>
          <w:szCs w:val="22"/>
        </w:rPr>
        <w:tab/>
      </w:r>
      <w:r w:rsidRPr="00893951">
        <w:rPr>
          <w:rFonts w:eastAsiaTheme="minorHAnsi" w:cs="Calibri"/>
          <w:bCs/>
          <w:sz w:val="26"/>
          <w:szCs w:val="22"/>
        </w:rPr>
        <w:t xml:space="preserve">The second claim was that PGW did not terminate </w:t>
      </w:r>
      <w:r w:rsidR="007849A8">
        <w:rPr>
          <w:rFonts w:eastAsiaTheme="minorHAnsi" w:cs="Calibri"/>
          <w:bCs/>
          <w:sz w:val="26"/>
          <w:szCs w:val="22"/>
        </w:rPr>
        <w:t xml:space="preserve">service </w:t>
      </w:r>
      <w:r w:rsidRPr="00893951">
        <w:rPr>
          <w:rFonts w:eastAsiaTheme="minorHAnsi" w:cs="Calibri"/>
          <w:bCs/>
          <w:sz w:val="26"/>
          <w:szCs w:val="22"/>
        </w:rPr>
        <w:t xml:space="preserve">for failure to pay and allowed a large arrearage to accumulate.  We recently addressed a similar issue in </w:t>
      </w:r>
      <w:r w:rsidRPr="00893951">
        <w:rPr>
          <w:rFonts w:eastAsiaTheme="minorHAnsi" w:cs="Calibri"/>
          <w:bCs/>
          <w:i/>
          <w:sz w:val="26"/>
          <w:szCs w:val="22"/>
        </w:rPr>
        <w:t>Payne</w:t>
      </w:r>
      <w:r w:rsidRPr="00893951">
        <w:rPr>
          <w:rFonts w:eastAsiaTheme="minorHAnsi" w:cs="Calibri"/>
          <w:bCs/>
          <w:sz w:val="26"/>
          <w:szCs w:val="22"/>
        </w:rPr>
        <w:t xml:space="preserve"> in response to the argument that PGW failed to mitigate its damages because it did not terminate service to the complainant’s tenants before the tenants accumulated a large </w:t>
      </w:r>
      <w:r w:rsidRPr="00893951">
        <w:rPr>
          <w:rFonts w:eastAsiaTheme="minorHAnsi" w:cs="Calibri"/>
          <w:bCs/>
          <w:sz w:val="26"/>
          <w:szCs w:val="22"/>
        </w:rPr>
        <w:lastRenderedPageBreak/>
        <w:t xml:space="preserve">outstanding bill.  In that case, we stated that a "mitigation of damages" defense of this nature is to be raised in the appropriate court:  </w:t>
      </w:r>
    </w:p>
    <w:p w:rsidR="00893951" w:rsidRPr="00893951" w:rsidRDefault="00893951" w:rsidP="00893951">
      <w:pPr>
        <w:spacing w:line="360" w:lineRule="auto"/>
        <w:rPr>
          <w:rFonts w:eastAsiaTheme="minorHAnsi" w:cs="Calibri"/>
          <w:bCs/>
          <w:sz w:val="26"/>
          <w:szCs w:val="22"/>
        </w:rPr>
      </w:pPr>
    </w:p>
    <w:p w:rsidR="00893951" w:rsidRPr="00893951" w:rsidRDefault="00893951" w:rsidP="007849A8">
      <w:pPr>
        <w:ind w:left="1440" w:right="1440"/>
        <w:rPr>
          <w:rFonts w:eastAsiaTheme="minorHAnsi" w:cs="Calibri"/>
          <w:bCs/>
          <w:sz w:val="26"/>
          <w:szCs w:val="22"/>
        </w:rPr>
      </w:pPr>
      <w:r w:rsidRPr="00893951">
        <w:rPr>
          <w:rFonts w:eastAsiaTheme="minorHAnsi" w:cs="Calibri"/>
          <w:bCs/>
          <w:sz w:val="26"/>
          <w:szCs w:val="22"/>
        </w:rPr>
        <w:t xml:space="preserve">In the absence of subject matter jurisdiction, we do not have the authority to order the City to remove </w:t>
      </w:r>
      <w:r w:rsidRPr="00893951">
        <w:rPr>
          <w:rFonts w:eastAsiaTheme="minorHAnsi" w:cs="Calibri"/>
          <w:bCs/>
          <w:i/>
          <w:sz w:val="26"/>
          <w:szCs w:val="22"/>
        </w:rPr>
        <w:t>or reduce</w:t>
      </w:r>
      <w:r w:rsidRPr="00893951">
        <w:rPr>
          <w:rFonts w:eastAsiaTheme="minorHAnsi" w:cs="Calibri"/>
          <w:bCs/>
          <w:sz w:val="26"/>
          <w:szCs w:val="22"/>
        </w:rPr>
        <w:t xml:space="preserve"> the lien on the Complainant’s property.  The Complainant’s argument that the lien should be reduced because PGW is partially responsible for her tenants’ arrearage can be raised by the Complainant as a defense in the appropriate court with jurisdiction over the municipal lien in question.  In the alternative, the Complainant may be able to pursue an action against her tenants.  The Complainant, however, has no cause of action before the Commission.  </w:t>
      </w:r>
      <w:r w:rsidRPr="00893951">
        <w:rPr>
          <w:rFonts w:eastAsiaTheme="minorHAnsi" w:cs="Calibri"/>
          <w:bCs/>
          <w:i/>
          <w:sz w:val="26"/>
          <w:szCs w:val="22"/>
        </w:rPr>
        <w:t>Griffin v. Philadelphia Gas Works</w:t>
      </w:r>
      <w:r w:rsidRPr="00893951">
        <w:rPr>
          <w:rFonts w:eastAsiaTheme="minorHAnsi" w:cs="Calibri"/>
          <w:bCs/>
          <w:sz w:val="26"/>
          <w:szCs w:val="22"/>
        </w:rPr>
        <w:t xml:space="preserve">, Docket No. C-2011-2251780 (Order entered November 14, 2011).  </w:t>
      </w:r>
    </w:p>
    <w:p w:rsidR="00893951" w:rsidRPr="00893951" w:rsidRDefault="00893951" w:rsidP="007849A8">
      <w:pPr>
        <w:spacing w:line="360" w:lineRule="auto"/>
        <w:ind w:left="1440" w:right="1440"/>
        <w:rPr>
          <w:rFonts w:eastAsiaTheme="minorHAnsi" w:cs="Calibri"/>
          <w:bCs/>
          <w:sz w:val="26"/>
          <w:szCs w:val="22"/>
        </w:rPr>
      </w:pPr>
    </w:p>
    <w:p w:rsidR="00893951" w:rsidRPr="00893951" w:rsidRDefault="00500836" w:rsidP="00893951">
      <w:pPr>
        <w:spacing w:line="360" w:lineRule="auto"/>
        <w:rPr>
          <w:rFonts w:eastAsiaTheme="minorHAnsi" w:cs="Calibri"/>
          <w:bCs/>
          <w:sz w:val="26"/>
          <w:szCs w:val="22"/>
        </w:rPr>
      </w:pPr>
      <w:proofErr w:type="gramStart"/>
      <w:r w:rsidRPr="00500836">
        <w:rPr>
          <w:rFonts w:eastAsiaTheme="minorHAnsi" w:cs="Calibri"/>
          <w:bCs/>
          <w:i/>
          <w:sz w:val="26"/>
          <w:szCs w:val="22"/>
        </w:rPr>
        <w:t>Payne</w:t>
      </w:r>
      <w:r>
        <w:rPr>
          <w:rFonts w:eastAsiaTheme="minorHAnsi" w:cs="Calibri"/>
          <w:bCs/>
          <w:sz w:val="26"/>
          <w:szCs w:val="22"/>
        </w:rPr>
        <w:t>, at 9.</w:t>
      </w:r>
      <w:proofErr w:type="gramEnd"/>
      <w:r>
        <w:rPr>
          <w:rFonts w:eastAsiaTheme="minorHAnsi" w:cs="Calibri"/>
          <w:bCs/>
          <w:sz w:val="26"/>
          <w:szCs w:val="22"/>
        </w:rPr>
        <w:t xml:space="preserve">  </w:t>
      </w:r>
      <w:r w:rsidR="00893951" w:rsidRPr="00500836">
        <w:rPr>
          <w:rFonts w:eastAsiaTheme="minorHAnsi" w:cs="Calibri"/>
          <w:bCs/>
          <w:sz w:val="26"/>
          <w:szCs w:val="22"/>
        </w:rPr>
        <w:t>Nevertheless</w:t>
      </w:r>
      <w:r w:rsidR="00893951" w:rsidRPr="00893951">
        <w:rPr>
          <w:rFonts w:eastAsiaTheme="minorHAnsi" w:cs="Calibri"/>
          <w:bCs/>
          <w:sz w:val="26"/>
          <w:szCs w:val="22"/>
        </w:rPr>
        <w:t>, we are troubled that PGW appears to have continued to provide service to the relevant property in question in a “placeholder” account for an extended period of time without identifying its customer and without receiving payment for its service.</w:t>
      </w:r>
    </w:p>
    <w:p w:rsidR="00893951" w:rsidRPr="00893951" w:rsidRDefault="00893951" w:rsidP="00893951">
      <w:pPr>
        <w:spacing w:line="360" w:lineRule="auto"/>
        <w:rPr>
          <w:rFonts w:eastAsiaTheme="minorHAnsi" w:cs="Calibri"/>
          <w:bCs/>
          <w:sz w:val="26"/>
          <w:szCs w:val="22"/>
        </w:rPr>
      </w:pPr>
      <w:r w:rsidRPr="00893951">
        <w:rPr>
          <w:rFonts w:eastAsiaTheme="minorHAnsi" w:cs="Calibri"/>
          <w:bCs/>
          <w:sz w:val="26"/>
          <w:szCs w:val="22"/>
        </w:rPr>
        <w:t xml:space="preserve">     </w:t>
      </w:r>
    </w:p>
    <w:p w:rsidR="00893951" w:rsidRPr="00893951" w:rsidRDefault="00893951" w:rsidP="00893951">
      <w:pPr>
        <w:spacing w:line="360" w:lineRule="auto"/>
        <w:rPr>
          <w:rFonts w:eastAsiaTheme="minorHAnsi" w:cs="Calibri"/>
          <w:bCs/>
          <w:sz w:val="26"/>
          <w:szCs w:val="22"/>
        </w:rPr>
      </w:pPr>
      <w:r w:rsidRPr="00893951">
        <w:rPr>
          <w:rFonts w:eastAsiaTheme="minorHAnsi" w:cs="Calibri"/>
          <w:bCs/>
          <w:sz w:val="26"/>
          <w:szCs w:val="22"/>
        </w:rPr>
        <w:t xml:space="preserve">                </w:t>
      </w:r>
      <w:r w:rsidR="00265C40">
        <w:rPr>
          <w:rFonts w:eastAsiaTheme="minorHAnsi" w:cs="Calibri"/>
          <w:bCs/>
          <w:sz w:val="26"/>
          <w:szCs w:val="22"/>
        </w:rPr>
        <w:tab/>
      </w:r>
      <w:r w:rsidRPr="00893951">
        <w:rPr>
          <w:rFonts w:eastAsiaTheme="minorHAnsi" w:cs="Calibri"/>
          <w:bCs/>
          <w:sz w:val="26"/>
          <w:szCs w:val="22"/>
        </w:rPr>
        <w:t>The third issue the Complainants raised was that PGW did not notify them of the Landlord Cooperati</w:t>
      </w:r>
      <w:r w:rsidR="00265C40">
        <w:rPr>
          <w:rFonts w:eastAsiaTheme="minorHAnsi" w:cs="Calibri"/>
          <w:bCs/>
          <w:sz w:val="26"/>
          <w:szCs w:val="22"/>
        </w:rPr>
        <w:t>on</w:t>
      </w:r>
      <w:r w:rsidRPr="00893951">
        <w:rPr>
          <w:rFonts w:eastAsiaTheme="minorHAnsi" w:cs="Calibri"/>
          <w:bCs/>
          <w:sz w:val="26"/>
          <w:szCs w:val="22"/>
        </w:rPr>
        <w:t xml:space="preserve"> Program.  However, PGW stated that it did not notify them because they were not licensed landlords and PGW </w:t>
      </w:r>
      <w:r w:rsidR="000C0677">
        <w:rPr>
          <w:rFonts w:eastAsiaTheme="minorHAnsi" w:cs="Calibri"/>
          <w:bCs/>
          <w:sz w:val="26"/>
          <w:szCs w:val="22"/>
        </w:rPr>
        <w:t xml:space="preserve">had only contacted licensed landlords about the program. </w:t>
      </w:r>
      <w:r w:rsidRPr="00893951">
        <w:rPr>
          <w:rFonts w:eastAsiaTheme="minorHAnsi" w:cs="Calibri"/>
          <w:bCs/>
          <w:sz w:val="26"/>
          <w:szCs w:val="22"/>
        </w:rPr>
        <w:t> </w:t>
      </w:r>
      <w:proofErr w:type="gramStart"/>
      <w:r w:rsidR="000C0677">
        <w:rPr>
          <w:rFonts w:eastAsiaTheme="minorHAnsi" w:cs="Calibri"/>
          <w:bCs/>
          <w:sz w:val="26"/>
          <w:szCs w:val="22"/>
        </w:rPr>
        <w:t>PGW’s Answer at 3.</w:t>
      </w:r>
      <w:proofErr w:type="gramEnd"/>
      <w:r w:rsidR="000C0677">
        <w:rPr>
          <w:rFonts w:eastAsiaTheme="minorHAnsi" w:cs="Calibri"/>
          <w:bCs/>
          <w:sz w:val="26"/>
          <w:szCs w:val="22"/>
        </w:rPr>
        <w:t xml:space="preserve">  </w:t>
      </w:r>
      <w:r w:rsidRPr="00893951">
        <w:rPr>
          <w:rFonts w:eastAsiaTheme="minorHAnsi" w:cs="Calibri"/>
          <w:bCs/>
          <w:sz w:val="26"/>
          <w:szCs w:val="22"/>
        </w:rPr>
        <w:t xml:space="preserve">We do not believe this issue is jurisdictional, and it does not constitute a violation of any of the Commission's </w:t>
      </w:r>
      <w:r w:rsidR="00265C40">
        <w:rPr>
          <w:rFonts w:eastAsiaTheme="minorHAnsi" w:cs="Calibri"/>
          <w:bCs/>
          <w:sz w:val="26"/>
          <w:szCs w:val="22"/>
        </w:rPr>
        <w:t>R</w:t>
      </w:r>
      <w:r w:rsidRPr="00893951">
        <w:rPr>
          <w:rFonts w:eastAsiaTheme="minorHAnsi" w:cs="Calibri"/>
          <w:bCs/>
          <w:sz w:val="26"/>
          <w:szCs w:val="22"/>
        </w:rPr>
        <w:t xml:space="preserve">egulations or the Public Utility Code as it is not specifically addressed therein.  </w:t>
      </w:r>
    </w:p>
    <w:p w:rsidR="00893951" w:rsidRDefault="00893951" w:rsidP="00893951">
      <w:pPr>
        <w:tabs>
          <w:tab w:val="left" w:pos="-720"/>
        </w:tabs>
        <w:suppressAutoHyphens/>
        <w:spacing w:line="360" w:lineRule="auto"/>
        <w:rPr>
          <w:sz w:val="26"/>
          <w:szCs w:val="26"/>
        </w:rPr>
      </w:pPr>
    </w:p>
    <w:p w:rsidR="000B1F02" w:rsidRPr="000B1F02" w:rsidRDefault="00B93F64" w:rsidP="000B1F02">
      <w:pPr>
        <w:tabs>
          <w:tab w:val="left" w:pos="-720"/>
        </w:tabs>
        <w:suppressAutoHyphens/>
        <w:spacing w:line="360" w:lineRule="auto"/>
        <w:rPr>
          <w:sz w:val="26"/>
          <w:szCs w:val="26"/>
        </w:rPr>
      </w:pPr>
      <w:r>
        <w:rPr>
          <w:sz w:val="26"/>
          <w:szCs w:val="26"/>
        </w:rPr>
        <w:tab/>
      </w:r>
      <w:r>
        <w:rPr>
          <w:sz w:val="26"/>
          <w:szCs w:val="26"/>
        </w:rPr>
        <w:tab/>
      </w:r>
      <w:r w:rsidR="000B1F02" w:rsidRPr="000B1F02">
        <w:rPr>
          <w:sz w:val="26"/>
          <w:szCs w:val="26"/>
        </w:rPr>
        <w:t xml:space="preserve">We </w:t>
      </w:r>
      <w:r w:rsidR="009E2F60">
        <w:rPr>
          <w:sz w:val="26"/>
          <w:szCs w:val="26"/>
        </w:rPr>
        <w:t xml:space="preserve">will therefore grant </w:t>
      </w:r>
      <w:r w:rsidR="000B1F02" w:rsidRPr="000B1F02">
        <w:rPr>
          <w:sz w:val="26"/>
          <w:szCs w:val="26"/>
        </w:rPr>
        <w:t>PGW’s Preliminary Objections</w:t>
      </w:r>
      <w:r w:rsidR="009E2F60">
        <w:rPr>
          <w:sz w:val="26"/>
          <w:szCs w:val="26"/>
        </w:rPr>
        <w:t xml:space="preserve">, </w:t>
      </w:r>
      <w:r w:rsidR="000B1F02" w:rsidRPr="000B1F02">
        <w:rPr>
          <w:sz w:val="26"/>
          <w:szCs w:val="26"/>
        </w:rPr>
        <w:t xml:space="preserve">even though </w:t>
      </w:r>
      <w:r w:rsidR="000B1F02">
        <w:rPr>
          <w:sz w:val="26"/>
          <w:szCs w:val="26"/>
        </w:rPr>
        <w:t>Larry and Gail Newman</w:t>
      </w:r>
      <w:r w:rsidR="000B1F02" w:rsidRPr="000B1F02">
        <w:rPr>
          <w:sz w:val="26"/>
          <w:szCs w:val="26"/>
        </w:rPr>
        <w:t xml:space="preserve"> </w:t>
      </w:r>
      <w:r w:rsidR="000B1F02">
        <w:rPr>
          <w:sz w:val="26"/>
          <w:szCs w:val="26"/>
        </w:rPr>
        <w:t>are</w:t>
      </w:r>
      <w:r w:rsidR="000B1F02" w:rsidRPr="000B1F02">
        <w:rPr>
          <w:sz w:val="26"/>
          <w:szCs w:val="26"/>
        </w:rPr>
        <w:t xml:space="preserve"> </w:t>
      </w:r>
      <w:r w:rsidR="000B1F02" w:rsidRPr="000B1F02">
        <w:rPr>
          <w:i/>
          <w:sz w:val="26"/>
          <w:szCs w:val="26"/>
        </w:rPr>
        <w:t>pro se</w:t>
      </w:r>
      <w:r w:rsidR="000B1F02" w:rsidRPr="000B1F02">
        <w:rPr>
          <w:sz w:val="26"/>
          <w:szCs w:val="26"/>
        </w:rPr>
        <w:t xml:space="preserve"> Complainant</w:t>
      </w:r>
      <w:r w:rsidR="000B1F02">
        <w:rPr>
          <w:sz w:val="26"/>
          <w:szCs w:val="26"/>
        </w:rPr>
        <w:t>s</w:t>
      </w:r>
      <w:r w:rsidR="000B1F02" w:rsidRPr="000B1F02">
        <w:rPr>
          <w:sz w:val="26"/>
          <w:szCs w:val="26"/>
        </w:rPr>
        <w:t xml:space="preserve">.  In </w:t>
      </w:r>
      <w:r w:rsidR="000B1F02" w:rsidRPr="000B1F02">
        <w:rPr>
          <w:i/>
          <w:sz w:val="26"/>
          <w:szCs w:val="26"/>
        </w:rPr>
        <w:t>Carlock v. The United Telephone Company of Pennsylvania</w:t>
      </w:r>
      <w:r w:rsidR="000B1F02" w:rsidRPr="000B1F02">
        <w:rPr>
          <w:sz w:val="26"/>
          <w:szCs w:val="26"/>
        </w:rPr>
        <w:t xml:space="preserve">, Docket No. F-00163617 (Order entered July 14, 1993), we held that, in the normal course, we would not dismiss a </w:t>
      </w:r>
      <w:r w:rsidR="000B1F02" w:rsidRPr="000B1F02">
        <w:rPr>
          <w:i/>
          <w:sz w:val="26"/>
          <w:szCs w:val="26"/>
        </w:rPr>
        <w:t>pro se</w:t>
      </w:r>
      <w:r w:rsidR="000B1F02" w:rsidRPr="000B1F02">
        <w:rPr>
          <w:sz w:val="26"/>
          <w:szCs w:val="26"/>
        </w:rPr>
        <w:t xml:space="preserve"> complaint without first providing a hearing during which the </w:t>
      </w:r>
      <w:r w:rsidR="000B1F02" w:rsidRPr="000B1F02">
        <w:rPr>
          <w:i/>
          <w:sz w:val="26"/>
          <w:szCs w:val="26"/>
        </w:rPr>
        <w:t>pro se</w:t>
      </w:r>
      <w:r w:rsidR="000B1F02" w:rsidRPr="000B1F02">
        <w:rPr>
          <w:sz w:val="26"/>
          <w:szCs w:val="26"/>
        </w:rPr>
        <w:t xml:space="preserve"> complainant could further explain his or her </w:t>
      </w:r>
      <w:r w:rsidR="000B1F02" w:rsidRPr="000B1F02">
        <w:rPr>
          <w:sz w:val="26"/>
          <w:szCs w:val="26"/>
        </w:rPr>
        <w:lastRenderedPageBreak/>
        <w:t xml:space="preserve">position and the factual basis for the complaint.  The concern was expressed that, in general, </w:t>
      </w:r>
      <w:r w:rsidR="000B1F02" w:rsidRPr="000B1F02">
        <w:rPr>
          <w:i/>
          <w:sz w:val="26"/>
          <w:szCs w:val="26"/>
        </w:rPr>
        <w:t>pro se</w:t>
      </w:r>
      <w:r w:rsidR="000B1F02" w:rsidRPr="000B1F02">
        <w:rPr>
          <w:sz w:val="26"/>
          <w:szCs w:val="26"/>
        </w:rPr>
        <w:t xml:space="preserve"> complainants may find it difficult to navigate through pre-hearing motions and should be given the chance to orally describe their basic issue and supporting facts.  However, there are some cases, such as this one, where we find that a hearing would not enable the Complainant</w:t>
      </w:r>
      <w:r w:rsidR="002C3151">
        <w:rPr>
          <w:sz w:val="26"/>
          <w:szCs w:val="26"/>
        </w:rPr>
        <w:t>s</w:t>
      </w:r>
      <w:r w:rsidR="000B1F02" w:rsidRPr="000B1F02">
        <w:rPr>
          <w:sz w:val="26"/>
          <w:szCs w:val="26"/>
        </w:rPr>
        <w:t xml:space="preserve"> to better explain </w:t>
      </w:r>
      <w:r w:rsidR="002C3151">
        <w:rPr>
          <w:sz w:val="26"/>
          <w:szCs w:val="26"/>
        </w:rPr>
        <w:t xml:space="preserve">their </w:t>
      </w:r>
      <w:r w:rsidR="000B1F02" w:rsidRPr="000B1F02">
        <w:rPr>
          <w:sz w:val="26"/>
          <w:szCs w:val="26"/>
        </w:rPr>
        <w:t xml:space="preserve">position or provide additional facts that would alter the inevitable conclusion that this Commission lacks jurisdiction to entertain the Complaint in the first instance.  </w:t>
      </w:r>
      <w:r w:rsidR="000B1F02" w:rsidRPr="000B1F02">
        <w:rPr>
          <w:i/>
          <w:sz w:val="26"/>
          <w:szCs w:val="26"/>
        </w:rPr>
        <w:t>See, Vata v.</w:t>
      </w:r>
      <w:r w:rsidR="00AB4CBC">
        <w:rPr>
          <w:i/>
          <w:sz w:val="26"/>
          <w:szCs w:val="26"/>
        </w:rPr>
        <w:t xml:space="preserve"> P</w:t>
      </w:r>
      <w:r w:rsidR="000B1F02" w:rsidRPr="000B1F02">
        <w:rPr>
          <w:i/>
          <w:sz w:val="26"/>
          <w:szCs w:val="26"/>
        </w:rPr>
        <w:t>hiladelphia Gas Works</w:t>
      </w:r>
      <w:r w:rsidR="000B1F02" w:rsidRPr="000B1F02">
        <w:rPr>
          <w:sz w:val="26"/>
          <w:szCs w:val="26"/>
        </w:rPr>
        <w:t xml:space="preserve">, Docket No. </w:t>
      </w:r>
      <w:r w:rsidR="009E2F60">
        <w:rPr>
          <w:sz w:val="26"/>
          <w:szCs w:val="26"/>
        </w:rPr>
        <w:br/>
      </w:r>
      <w:r w:rsidR="000B1F02" w:rsidRPr="000B1F02">
        <w:rPr>
          <w:sz w:val="26"/>
          <w:szCs w:val="26"/>
        </w:rPr>
        <w:t xml:space="preserve">C-2009-2149960 (Order entered August 24, 2010).  On this basis, we distinguish </w:t>
      </w:r>
      <w:r w:rsidR="000B1F02" w:rsidRPr="000B1F02">
        <w:rPr>
          <w:i/>
          <w:sz w:val="26"/>
          <w:szCs w:val="26"/>
        </w:rPr>
        <w:t>Carlock</w:t>
      </w:r>
      <w:r w:rsidR="000B1F02" w:rsidRPr="000B1F02">
        <w:rPr>
          <w:sz w:val="26"/>
          <w:szCs w:val="26"/>
        </w:rPr>
        <w:t xml:space="preserve"> from the case now before us.</w:t>
      </w:r>
    </w:p>
    <w:p w:rsidR="000B1F02" w:rsidRPr="000B1F02" w:rsidRDefault="000B1F02" w:rsidP="000B1F02">
      <w:pPr>
        <w:tabs>
          <w:tab w:val="left" w:pos="-720"/>
        </w:tabs>
        <w:suppressAutoHyphens/>
        <w:spacing w:line="360" w:lineRule="auto"/>
        <w:rPr>
          <w:sz w:val="26"/>
          <w:szCs w:val="20"/>
        </w:rPr>
      </w:pPr>
    </w:p>
    <w:p w:rsidR="00956972" w:rsidRPr="00956972" w:rsidRDefault="00956972" w:rsidP="00543297">
      <w:pPr>
        <w:spacing w:line="360" w:lineRule="auto"/>
        <w:jc w:val="center"/>
        <w:rPr>
          <w:b/>
          <w:sz w:val="26"/>
          <w:szCs w:val="26"/>
        </w:rPr>
      </w:pPr>
      <w:r>
        <w:rPr>
          <w:b/>
          <w:sz w:val="26"/>
          <w:szCs w:val="26"/>
        </w:rPr>
        <w:t>Conclusion</w:t>
      </w:r>
    </w:p>
    <w:p w:rsidR="006C56A5" w:rsidRDefault="006C56A5" w:rsidP="007E3501">
      <w:pPr>
        <w:spacing w:line="360" w:lineRule="auto"/>
        <w:rPr>
          <w:sz w:val="26"/>
          <w:szCs w:val="26"/>
        </w:rPr>
      </w:pPr>
    </w:p>
    <w:p w:rsidR="00956972" w:rsidRDefault="006C56A5" w:rsidP="007E3501">
      <w:pPr>
        <w:spacing w:line="360" w:lineRule="auto"/>
        <w:rPr>
          <w:sz w:val="26"/>
          <w:szCs w:val="26"/>
        </w:rPr>
      </w:pPr>
      <w:r>
        <w:rPr>
          <w:sz w:val="26"/>
          <w:szCs w:val="26"/>
        </w:rPr>
        <w:tab/>
      </w:r>
      <w:r>
        <w:rPr>
          <w:sz w:val="26"/>
          <w:szCs w:val="26"/>
        </w:rPr>
        <w:tab/>
      </w:r>
      <w:r w:rsidR="00FD497B">
        <w:rPr>
          <w:sz w:val="26"/>
          <w:szCs w:val="26"/>
        </w:rPr>
        <w:t>For the reasons discussed herein, w</w:t>
      </w:r>
      <w:r w:rsidR="00B265B1">
        <w:rPr>
          <w:sz w:val="26"/>
          <w:szCs w:val="26"/>
        </w:rPr>
        <w:t xml:space="preserve">e </w:t>
      </w:r>
      <w:r w:rsidR="00502D50">
        <w:rPr>
          <w:sz w:val="26"/>
          <w:szCs w:val="26"/>
        </w:rPr>
        <w:t>shall</w:t>
      </w:r>
      <w:r w:rsidR="0019318F">
        <w:rPr>
          <w:sz w:val="26"/>
          <w:szCs w:val="26"/>
        </w:rPr>
        <w:t xml:space="preserve"> deny </w:t>
      </w:r>
      <w:r w:rsidR="008C5856">
        <w:rPr>
          <w:sz w:val="26"/>
          <w:szCs w:val="26"/>
        </w:rPr>
        <w:t>the Complainants’</w:t>
      </w:r>
      <w:r w:rsidR="0019318F">
        <w:rPr>
          <w:sz w:val="26"/>
          <w:szCs w:val="26"/>
        </w:rPr>
        <w:t xml:space="preserve"> Exceptions and </w:t>
      </w:r>
      <w:r w:rsidR="00192B54">
        <w:rPr>
          <w:sz w:val="26"/>
          <w:szCs w:val="26"/>
        </w:rPr>
        <w:t xml:space="preserve">dismiss their Complaint, although we modify </w:t>
      </w:r>
      <w:r w:rsidR="00DE3207">
        <w:rPr>
          <w:sz w:val="26"/>
          <w:szCs w:val="26"/>
        </w:rPr>
        <w:t>the ALJ’s Initial Decision</w:t>
      </w:r>
      <w:r w:rsidR="00192B54">
        <w:rPr>
          <w:sz w:val="26"/>
          <w:szCs w:val="26"/>
        </w:rPr>
        <w:t xml:space="preserve"> consistent with this Opinion and Order</w:t>
      </w:r>
      <w:r w:rsidR="00905434">
        <w:rPr>
          <w:sz w:val="26"/>
          <w:szCs w:val="26"/>
        </w:rPr>
        <w:t>;</w:t>
      </w:r>
      <w:r w:rsidR="00956972">
        <w:rPr>
          <w:sz w:val="26"/>
          <w:szCs w:val="26"/>
        </w:rPr>
        <w:t xml:space="preserve"> </w:t>
      </w:r>
      <w:r w:rsidR="00956972" w:rsidRPr="00956972">
        <w:rPr>
          <w:b/>
          <w:sz w:val="26"/>
          <w:szCs w:val="26"/>
        </w:rPr>
        <w:t>THEREFORE,</w:t>
      </w:r>
      <w:r w:rsidR="00956972">
        <w:rPr>
          <w:sz w:val="26"/>
          <w:szCs w:val="26"/>
        </w:rPr>
        <w:t xml:space="preserve"> </w:t>
      </w:r>
    </w:p>
    <w:p w:rsidR="001A1AD3" w:rsidRDefault="001A1AD3" w:rsidP="001A1AD3">
      <w:pPr>
        <w:spacing w:line="360" w:lineRule="auto"/>
        <w:rPr>
          <w:sz w:val="26"/>
          <w:szCs w:val="26"/>
        </w:rPr>
      </w:pPr>
      <w:r w:rsidRPr="001C7049">
        <w:rPr>
          <w:sz w:val="26"/>
          <w:szCs w:val="26"/>
        </w:rPr>
        <w:tab/>
      </w:r>
      <w:r w:rsidRPr="001C7049">
        <w:rPr>
          <w:sz w:val="26"/>
          <w:szCs w:val="26"/>
        </w:rPr>
        <w:tab/>
      </w: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1A1AD3" w:rsidRDefault="001A1AD3" w:rsidP="001A1AD3">
      <w:pPr>
        <w:spacing w:line="360" w:lineRule="auto"/>
        <w:rPr>
          <w:sz w:val="26"/>
          <w:szCs w:val="26"/>
        </w:rPr>
      </w:pPr>
    </w:p>
    <w:p w:rsidR="001A1AD3" w:rsidRPr="00E028C2" w:rsidRDefault="00FB37EA" w:rsidP="00441BFA">
      <w:pPr>
        <w:pStyle w:val="ListParagraph"/>
        <w:numPr>
          <w:ilvl w:val="0"/>
          <w:numId w:val="4"/>
        </w:numPr>
        <w:spacing w:line="360" w:lineRule="auto"/>
        <w:ind w:left="0" w:firstLine="1440"/>
        <w:rPr>
          <w:sz w:val="26"/>
          <w:szCs w:val="26"/>
        </w:rPr>
      </w:pPr>
      <w:r w:rsidRPr="00E028C2">
        <w:rPr>
          <w:sz w:val="26"/>
          <w:szCs w:val="26"/>
        </w:rPr>
        <w:t>That the Exceptions of</w:t>
      </w:r>
      <w:r w:rsidR="00AC3473" w:rsidRPr="00E028C2">
        <w:rPr>
          <w:sz w:val="26"/>
          <w:szCs w:val="26"/>
        </w:rPr>
        <w:t xml:space="preserve"> </w:t>
      </w:r>
      <w:r w:rsidR="00D75111">
        <w:rPr>
          <w:sz w:val="26"/>
          <w:szCs w:val="26"/>
        </w:rPr>
        <w:t>Larry and Gail Newman</w:t>
      </w:r>
      <w:r w:rsidR="00C83B69">
        <w:rPr>
          <w:sz w:val="26"/>
          <w:szCs w:val="26"/>
        </w:rPr>
        <w:t>, filed on January 17, </w:t>
      </w:r>
      <w:r w:rsidR="009221CC">
        <w:rPr>
          <w:sz w:val="26"/>
          <w:szCs w:val="26"/>
        </w:rPr>
        <w:t>2012,</w:t>
      </w:r>
      <w:r w:rsidR="00D556A2" w:rsidRPr="00E028C2">
        <w:rPr>
          <w:sz w:val="26"/>
          <w:szCs w:val="26"/>
        </w:rPr>
        <w:t xml:space="preserve"> are </w:t>
      </w:r>
      <w:r w:rsidR="00B265B1" w:rsidRPr="00E028C2">
        <w:rPr>
          <w:sz w:val="26"/>
          <w:szCs w:val="26"/>
        </w:rPr>
        <w:t>denied.</w:t>
      </w:r>
      <w:r w:rsidR="00924F4A" w:rsidRPr="00E028C2">
        <w:rPr>
          <w:sz w:val="26"/>
          <w:szCs w:val="26"/>
        </w:rPr>
        <w:t xml:space="preserve">    </w:t>
      </w:r>
    </w:p>
    <w:p w:rsidR="001A1AD3" w:rsidRDefault="001A1AD3" w:rsidP="001A1AD3">
      <w:pPr>
        <w:spacing w:line="360" w:lineRule="auto"/>
        <w:rPr>
          <w:sz w:val="26"/>
          <w:szCs w:val="26"/>
        </w:rPr>
      </w:pPr>
    </w:p>
    <w:p w:rsidR="00F97807" w:rsidRDefault="00431F78" w:rsidP="00F97807">
      <w:pPr>
        <w:spacing w:line="360" w:lineRule="auto"/>
        <w:rPr>
          <w:sz w:val="26"/>
          <w:szCs w:val="26"/>
        </w:rPr>
      </w:pPr>
      <w:r>
        <w:rPr>
          <w:b/>
          <w:sz w:val="26"/>
          <w:szCs w:val="26"/>
        </w:rPr>
        <w:tab/>
      </w:r>
      <w:r>
        <w:rPr>
          <w:b/>
          <w:sz w:val="26"/>
          <w:szCs w:val="26"/>
        </w:rPr>
        <w:tab/>
      </w:r>
      <w:r w:rsidRPr="00CE3475">
        <w:rPr>
          <w:sz w:val="26"/>
          <w:szCs w:val="26"/>
        </w:rPr>
        <w:t>2</w:t>
      </w:r>
      <w:r w:rsidRPr="00A37986">
        <w:rPr>
          <w:sz w:val="26"/>
          <w:szCs w:val="26"/>
        </w:rPr>
        <w:t>.</w:t>
      </w:r>
      <w:r w:rsidR="00E028C2">
        <w:rPr>
          <w:b/>
          <w:sz w:val="26"/>
          <w:szCs w:val="26"/>
        </w:rPr>
        <w:t xml:space="preserve">  </w:t>
      </w:r>
      <w:r w:rsidR="009221CC">
        <w:rPr>
          <w:b/>
          <w:sz w:val="26"/>
          <w:szCs w:val="26"/>
        </w:rPr>
        <w:tab/>
      </w:r>
      <w:r>
        <w:rPr>
          <w:sz w:val="26"/>
          <w:szCs w:val="26"/>
        </w:rPr>
        <w:t xml:space="preserve">That the </w:t>
      </w:r>
      <w:r w:rsidR="00527A20">
        <w:rPr>
          <w:sz w:val="26"/>
          <w:szCs w:val="26"/>
        </w:rPr>
        <w:t xml:space="preserve">Initial Decision of </w:t>
      </w:r>
      <w:r w:rsidR="00C05103">
        <w:rPr>
          <w:sz w:val="26"/>
          <w:szCs w:val="26"/>
        </w:rPr>
        <w:t xml:space="preserve">Administrative Law Judge </w:t>
      </w:r>
      <w:r w:rsidR="008E45DB">
        <w:rPr>
          <w:sz w:val="26"/>
          <w:szCs w:val="26"/>
        </w:rPr>
        <w:t>Ky Van Nguyen</w:t>
      </w:r>
      <w:r w:rsidR="00E97431">
        <w:rPr>
          <w:sz w:val="26"/>
          <w:szCs w:val="26"/>
        </w:rPr>
        <w:t>, issued January 11, 2012,</w:t>
      </w:r>
      <w:r w:rsidR="008E45DB">
        <w:rPr>
          <w:sz w:val="26"/>
          <w:szCs w:val="26"/>
        </w:rPr>
        <w:t xml:space="preserve"> </w:t>
      </w:r>
      <w:r w:rsidR="005154BC">
        <w:rPr>
          <w:sz w:val="26"/>
          <w:szCs w:val="26"/>
        </w:rPr>
        <w:t xml:space="preserve">is </w:t>
      </w:r>
      <w:r w:rsidR="00B877AA">
        <w:rPr>
          <w:sz w:val="26"/>
          <w:szCs w:val="26"/>
        </w:rPr>
        <w:t>modified</w:t>
      </w:r>
      <w:r w:rsidR="00527A20">
        <w:rPr>
          <w:sz w:val="26"/>
          <w:szCs w:val="26"/>
        </w:rPr>
        <w:t xml:space="preserve">, consistent </w:t>
      </w:r>
      <w:r w:rsidR="00243CC9">
        <w:rPr>
          <w:sz w:val="26"/>
          <w:szCs w:val="26"/>
        </w:rPr>
        <w:t>with this Opinion and Order</w:t>
      </w:r>
      <w:r w:rsidR="00EF782F">
        <w:rPr>
          <w:sz w:val="26"/>
          <w:szCs w:val="26"/>
        </w:rPr>
        <w:t>.</w:t>
      </w:r>
    </w:p>
    <w:p w:rsidR="00120C2F" w:rsidRDefault="00120C2F" w:rsidP="00F97807">
      <w:pPr>
        <w:spacing w:line="360" w:lineRule="auto"/>
        <w:rPr>
          <w:sz w:val="26"/>
          <w:szCs w:val="26"/>
        </w:rPr>
      </w:pPr>
    </w:p>
    <w:p w:rsidR="00B55B97" w:rsidRDefault="00E028C2" w:rsidP="00B55B97">
      <w:pPr>
        <w:spacing w:line="360" w:lineRule="auto"/>
        <w:ind w:firstLine="1440"/>
        <w:rPr>
          <w:sz w:val="26"/>
          <w:szCs w:val="26"/>
        </w:rPr>
      </w:pPr>
      <w:r>
        <w:rPr>
          <w:sz w:val="26"/>
          <w:szCs w:val="26"/>
        </w:rPr>
        <w:t xml:space="preserve">3.   </w:t>
      </w:r>
      <w:r w:rsidR="009221CC">
        <w:rPr>
          <w:sz w:val="26"/>
          <w:szCs w:val="26"/>
        </w:rPr>
        <w:tab/>
      </w:r>
      <w:r w:rsidR="00120C2F">
        <w:rPr>
          <w:sz w:val="26"/>
          <w:szCs w:val="26"/>
        </w:rPr>
        <w:t xml:space="preserve">That the Complaint filed by </w:t>
      </w:r>
      <w:r w:rsidR="00D75111">
        <w:rPr>
          <w:sz w:val="26"/>
          <w:szCs w:val="26"/>
        </w:rPr>
        <w:t xml:space="preserve">Larry and Gail Newman against Philadelphia Gas Works at Docket No. C-2011-2273536 </w:t>
      </w:r>
      <w:r w:rsidR="00120C2F">
        <w:rPr>
          <w:sz w:val="26"/>
          <w:szCs w:val="26"/>
        </w:rPr>
        <w:t>is dismissed.</w:t>
      </w:r>
    </w:p>
    <w:p w:rsidR="00027EE5" w:rsidRDefault="00027EE5" w:rsidP="00027EE5">
      <w:pPr>
        <w:tabs>
          <w:tab w:val="left" w:pos="-720"/>
          <w:tab w:val="left" w:pos="0"/>
        </w:tabs>
        <w:suppressAutoHyphens/>
        <w:rPr>
          <w:sz w:val="26"/>
          <w:szCs w:val="26"/>
        </w:rPr>
      </w:pPr>
    </w:p>
    <w:p w:rsidR="001F6232" w:rsidRDefault="00F97807" w:rsidP="00B55B97">
      <w:pPr>
        <w:tabs>
          <w:tab w:val="left" w:pos="-720"/>
          <w:tab w:val="left" w:pos="0"/>
        </w:tabs>
        <w:suppressAutoHyphens/>
        <w:spacing w:line="360" w:lineRule="auto"/>
        <w:rPr>
          <w:sz w:val="26"/>
          <w:szCs w:val="26"/>
        </w:rPr>
      </w:pPr>
      <w:r>
        <w:rPr>
          <w:sz w:val="26"/>
          <w:szCs w:val="26"/>
        </w:rPr>
        <w:tab/>
      </w:r>
      <w:r>
        <w:rPr>
          <w:sz w:val="26"/>
          <w:szCs w:val="26"/>
        </w:rPr>
        <w:tab/>
      </w:r>
    </w:p>
    <w:p w:rsidR="001F6232" w:rsidRDefault="001F6232" w:rsidP="00B55B97">
      <w:pPr>
        <w:tabs>
          <w:tab w:val="left" w:pos="-720"/>
          <w:tab w:val="left" w:pos="0"/>
        </w:tabs>
        <w:suppressAutoHyphens/>
        <w:spacing w:line="360" w:lineRule="auto"/>
        <w:rPr>
          <w:sz w:val="26"/>
          <w:szCs w:val="26"/>
        </w:rPr>
      </w:pPr>
    </w:p>
    <w:p w:rsidR="00B55B97" w:rsidRDefault="001F6232" w:rsidP="00B55B97">
      <w:pPr>
        <w:tabs>
          <w:tab w:val="left" w:pos="-720"/>
          <w:tab w:val="left" w:pos="0"/>
        </w:tabs>
        <w:suppressAutoHyphens/>
        <w:spacing w:line="360" w:lineRule="auto"/>
        <w:rPr>
          <w:sz w:val="26"/>
          <w:szCs w:val="26"/>
        </w:rPr>
      </w:pPr>
      <w:r>
        <w:rPr>
          <w:sz w:val="26"/>
          <w:szCs w:val="26"/>
        </w:rPr>
        <w:lastRenderedPageBreak/>
        <w:tab/>
      </w:r>
      <w:r>
        <w:rPr>
          <w:sz w:val="26"/>
          <w:szCs w:val="26"/>
        </w:rPr>
        <w:tab/>
      </w:r>
      <w:r w:rsidR="00120C2F">
        <w:rPr>
          <w:sz w:val="26"/>
          <w:szCs w:val="26"/>
        </w:rPr>
        <w:t>4</w:t>
      </w:r>
      <w:r w:rsidR="00E028C2">
        <w:rPr>
          <w:sz w:val="26"/>
          <w:szCs w:val="26"/>
        </w:rPr>
        <w:t xml:space="preserve">.  </w:t>
      </w:r>
      <w:r w:rsidR="009221CC">
        <w:rPr>
          <w:sz w:val="26"/>
          <w:szCs w:val="26"/>
        </w:rPr>
        <w:tab/>
      </w:r>
      <w:r w:rsidR="00F24526">
        <w:rPr>
          <w:sz w:val="26"/>
          <w:szCs w:val="26"/>
        </w:rPr>
        <w:t>That th</w:t>
      </w:r>
      <w:r w:rsidR="00D75111">
        <w:rPr>
          <w:sz w:val="26"/>
          <w:szCs w:val="26"/>
        </w:rPr>
        <w:t>is</w:t>
      </w:r>
      <w:r w:rsidR="00F24526">
        <w:rPr>
          <w:sz w:val="26"/>
          <w:szCs w:val="26"/>
        </w:rPr>
        <w:t xml:space="preserve"> proceeding shall be </w:t>
      </w:r>
      <w:r w:rsidR="00F97807">
        <w:rPr>
          <w:sz w:val="26"/>
          <w:szCs w:val="26"/>
        </w:rPr>
        <w:t xml:space="preserve">marked closed. </w:t>
      </w:r>
    </w:p>
    <w:p w:rsidR="00F24526" w:rsidRDefault="00CE1416" w:rsidP="001A1AD3">
      <w:pPr>
        <w:spacing w:line="360" w:lineRule="auto"/>
        <w:rPr>
          <w:sz w:val="26"/>
          <w:szCs w:val="26"/>
        </w:rPr>
      </w:pPr>
      <w:bookmarkStart w:id="0" w:name="_GoBack"/>
      <w:r w:rsidRPr="00A4345F">
        <w:rPr>
          <w:noProof/>
        </w:rPr>
        <w:drawing>
          <wp:anchor distT="0" distB="0" distL="114300" distR="114300" simplePos="0" relativeHeight="251659264" behindDoc="1" locked="0" layoutInCell="1" allowOverlap="1" wp14:anchorId="7FFB1277" wp14:editId="5E0053F8">
            <wp:simplePos x="0" y="0"/>
            <wp:positionH relativeFrom="column">
              <wp:posOffset>2830830</wp:posOffset>
            </wp:positionH>
            <wp:positionV relativeFrom="paragraph">
              <wp:posOffset>264160</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503B2F" w:rsidRPr="003C63B1" w:rsidRDefault="001A1AD3" w:rsidP="00503B2F">
      <w:pPr>
        <w:tabs>
          <w:tab w:val="left" w:pos="-720"/>
        </w:tabs>
        <w:suppressAutoHyphens/>
        <w:rPr>
          <w:sz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503B2F" w:rsidRPr="003C63B1">
        <w:rPr>
          <w:b/>
          <w:sz w:val="26"/>
        </w:rPr>
        <w:t>BY THE COMMISSION,</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t>Rosemary Chiavetta</w:t>
      </w:r>
    </w:p>
    <w:p w:rsidR="00503B2F" w:rsidRPr="003C63B1" w:rsidRDefault="00503B2F" w:rsidP="00503B2F">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(SEAL)</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Pr>
          <w:sz w:val="26"/>
        </w:rPr>
        <w:t xml:space="preserve">ORDER ADOPTED:  </w:t>
      </w:r>
      <w:r w:rsidR="00C86C12">
        <w:rPr>
          <w:sz w:val="26"/>
        </w:rPr>
        <w:t>March 29</w:t>
      </w:r>
      <w:r>
        <w:rPr>
          <w:sz w:val="26"/>
        </w:rPr>
        <w:t>, 201</w:t>
      </w:r>
      <w:r w:rsidR="00C86C12">
        <w:rPr>
          <w:sz w:val="26"/>
        </w:rPr>
        <w:t>2</w:t>
      </w:r>
      <w:r>
        <w:rPr>
          <w:sz w:val="26"/>
        </w:rPr>
        <w:t xml:space="preserve"> </w:t>
      </w:r>
    </w:p>
    <w:p w:rsidR="00503B2F" w:rsidRPr="003C63B1" w:rsidRDefault="00503B2F" w:rsidP="00503B2F">
      <w:pPr>
        <w:tabs>
          <w:tab w:val="left" w:pos="-720"/>
        </w:tabs>
        <w:suppressAutoHyphens/>
        <w:rPr>
          <w:sz w:val="26"/>
        </w:rPr>
      </w:pPr>
    </w:p>
    <w:p w:rsidR="00503B2F" w:rsidRPr="003C63B1" w:rsidRDefault="00503B2F" w:rsidP="00503B2F">
      <w:pPr>
        <w:tabs>
          <w:tab w:val="left" w:pos="-720"/>
        </w:tabs>
        <w:suppressAutoHyphens/>
        <w:rPr>
          <w:sz w:val="26"/>
        </w:rPr>
      </w:pPr>
      <w:r w:rsidRPr="003C63B1">
        <w:rPr>
          <w:sz w:val="26"/>
        </w:rPr>
        <w:t xml:space="preserve">ORDER ENTERED: </w:t>
      </w:r>
      <w:r w:rsidR="002F429C">
        <w:rPr>
          <w:sz w:val="26"/>
        </w:rPr>
        <w:t xml:space="preserve"> </w:t>
      </w:r>
      <w:r w:rsidR="00CE1416">
        <w:rPr>
          <w:sz w:val="26"/>
        </w:rPr>
        <w:t>March 29, 2012</w:t>
      </w:r>
    </w:p>
    <w:p w:rsidR="009304FE" w:rsidRDefault="009304FE" w:rsidP="00503B2F">
      <w:pPr>
        <w:spacing w:line="360" w:lineRule="auto"/>
      </w:pPr>
    </w:p>
    <w:sectPr w:rsidR="009304FE"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203" w:rsidRDefault="00B50203">
      <w:r>
        <w:separator/>
      </w:r>
    </w:p>
  </w:endnote>
  <w:endnote w:type="continuationSeparator" w:id="0">
    <w:p w:rsidR="00B50203" w:rsidRDefault="00B5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810FAF"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810FAF"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CE1416">
      <w:rPr>
        <w:rStyle w:val="PageNumber"/>
        <w:noProof/>
      </w:rPr>
      <w:t>11</w:t>
    </w:r>
    <w:r>
      <w:rPr>
        <w:rStyle w:val="PageNumber"/>
      </w:rPr>
      <w:fldChar w:fldCharType="end"/>
    </w:r>
  </w:p>
  <w:p w:rsidR="00DF4141" w:rsidRDefault="00D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203" w:rsidRDefault="00B50203">
      <w:r>
        <w:separator/>
      </w:r>
    </w:p>
  </w:footnote>
  <w:footnote w:type="continuationSeparator" w:id="0">
    <w:p w:rsidR="00B50203" w:rsidRDefault="00B50203">
      <w:r>
        <w:continuationSeparator/>
      </w:r>
    </w:p>
  </w:footnote>
  <w:footnote w:id="1">
    <w:p w:rsidR="00C704E5" w:rsidRPr="00C704E5" w:rsidRDefault="00C704E5">
      <w:pPr>
        <w:pStyle w:val="FootnoteText"/>
        <w:rPr>
          <w:rFonts w:ascii="Times New Roman" w:hAnsi="Times New Roman"/>
          <w:sz w:val="22"/>
        </w:rPr>
      </w:pPr>
      <w:r>
        <w:tab/>
      </w:r>
      <w:r w:rsidRPr="00C704E5">
        <w:rPr>
          <w:rStyle w:val="FootnoteReference"/>
          <w:rFonts w:ascii="Times New Roman" w:hAnsi="Times New Roman"/>
          <w:sz w:val="22"/>
        </w:rPr>
        <w:footnoteRef/>
      </w:r>
      <w:r>
        <w:rPr>
          <w:rFonts w:ascii="Times New Roman" w:hAnsi="Times New Roman"/>
          <w:sz w:val="22"/>
        </w:rPr>
        <w:t xml:space="preserve"> </w:t>
      </w:r>
      <w:r>
        <w:rPr>
          <w:rFonts w:ascii="Times New Roman" w:hAnsi="Times New Roman"/>
          <w:sz w:val="22"/>
        </w:rPr>
        <w:tab/>
      </w:r>
      <w:r w:rsidR="00FA6D98" w:rsidRPr="00A94539">
        <w:rPr>
          <w:rFonts w:ascii="Times New Roman" w:hAnsi="Times New Roman"/>
          <w:sz w:val="26"/>
          <w:szCs w:val="26"/>
        </w:rPr>
        <w:t xml:space="preserve">“A lien is a charge on property, either real or personal, for the payment or discharge of a particular debt or duty in priority to the general debts or duties of the owner. </w:t>
      </w:r>
      <w:r w:rsidR="00FA6D98">
        <w:rPr>
          <w:rFonts w:ascii="Times New Roman" w:hAnsi="Times New Roman"/>
          <w:sz w:val="26"/>
          <w:szCs w:val="26"/>
        </w:rPr>
        <w:t xml:space="preserve"> </w:t>
      </w:r>
      <w:r w:rsidR="00FA6D98" w:rsidRPr="00A94539">
        <w:rPr>
          <w:rFonts w:ascii="Times New Roman" w:hAnsi="Times New Roman"/>
          <w:sz w:val="26"/>
          <w:szCs w:val="26"/>
        </w:rPr>
        <w:t xml:space="preserve">It encumbers property to secure payment or performance of a debt, duty or other obligation. </w:t>
      </w:r>
      <w:r w:rsidR="00FA6D98">
        <w:rPr>
          <w:rFonts w:ascii="Times New Roman" w:hAnsi="Times New Roman"/>
          <w:sz w:val="26"/>
          <w:szCs w:val="26"/>
        </w:rPr>
        <w:t xml:space="preserve"> </w:t>
      </w:r>
      <w:r w:rsidR="00FA6D98" w:rsidRPr="00A94539">
        <w:rPr>
          <w:rFonts w:ascii="Times New Roman" w:hAnsi="Times New Roman"/>
          <w:sz w:val="26"/>
          <w:szCs w:val="26"/>
        </w:rPr>
        <w:t xml:space="preserve">Liens fall into three categories: common law liens, equitable liens and statutory liens.” </w:t>
      </w:r>
      <w:r w:rsidR="00FA6D98" w:rsidRPr="00A94539">
        <w:rPr>
          <w:rFonts w:ascii="Times New Roman" w:hAnsi="Times New Roman"/>
          <w:i/>
          <w:iCs/>
          <w:sz w:val="26"/>
          <w:szCs w:val="26"/>
        </w:rPr>
        <w:t>London Towne Homeowners Ass’n v. Karr</w:t>
      </w:r>
      <w:r w:rsidR="00FA6D98" w:rsidRPr="00A94539">
        <w:rPr>
          <w:rFonts w:ascii="Times New Roman" w:hAnsi="Times New Roman"/>
          <w:sz w:val="26"/>
          <w:szCs w:val="26"/>
        </w:rPr>
        <w:t xml:space="preserve">, 866 A.2d 447, 451 (Pa. </w:t>
      </w:r>
      <w:r w:rsidR="00FA6D98">
        <w:rPr>
          <w:rFonts w:ascii="Times New Roman" w:hAnsi="Times New Roman"/>
          <w:sz w:val="26"/>
          <w:szCs w:val="26"/>
        </w:rPr>
        <w:t>Cmwlth. 2004) (notes and citations omitted)</w:t>
      </w:r>
      <w:r w:rsidR="00FA6D98" w:rsidRPr="00A94539">
        <w:rPr>
          <w:rFonts w:ascii="Times New Roman" w:hAnsi="Times New Roman"/>
          <w:sz w:val="26"/>
          <w:szCs w:val="26"/>
        </w:rPr>
        <w:t>.</w:t>
      </w:r>
    </w:p>
  </w:footnote>
  <w:footnote w:id="2">
    <w:p w:rsidR="00404496" w:rsidRPr="00404496" w:rsidRDefault="00404496">
      <w:pPr>
        <w:pStyle w:val="FootnoteText"/>
        <w:rPr>
          <w:rFonts w:ascii="Times New Roman" w:hAnsi="Times New Roman"/>
        </w:rPr>
      </w:pPr>
      <w:r>
        <w:rPr>
          <w:sz w:val="26"/>
        </w:rPr>
        <w:tab/>
      </w:r>
      <w:r w:rsidRPr="00404496">
        <w:rPr>
          <w:rStyle w:val="FootnoteReference"/>
          <w:rFonts w:ascii="Times New Roman" w:hAnsi="Times New Roman"/>
          <w:sz w:val="22"/>
          <w:szCs w:val="22"/>
        </w:rPr>
        <w:footnoteRef/>
      </w:r>
      <w:r w:rsidRPr="00404496">
        <w:rPr>
          <w:rFonts w:ascii="Times New Roman" w:hAnsi="Times New Roman"/>
          <w:sz w:val="22"/>
          <w:szCs w:val="22"/>
        </w:rPr>
        <w:t xml:space="preserve"> </w:t>
      </w:r>
      <w:r>
        <w:rPr>
          <w:sz w:val="26"/>
        </w:rPr>
        <w:tab/>
      </w:r>
      <w:r w:rsidRPr="00404496">
        <w:rPr>
          <w:rFonts w:ascii="Times New Roman" w:hAnsi="Times New Roman"/>
          <w:sz w:val="26"/>
        </w:rPr>
        <w:t xml:space="preserve">While the Answer </w:t>
      </w:r>
      <w:r>
        <w:rPr>
          <w:rFonts w:ascii="Times New Roman" w:hAnsi="Times New Roman"/>
          <w:sz w:val="26"/>
        </w:rPr>
        <w:t xml:space="preserve">to the Preliminary Objections </w:t>
      </w:r>
      <w:r w:rsidRPr="00404496">
        <w:rPr>
          <w:rFonts w:ascii="Times New Roman" w:hAnsi="Times New Roman"/>
          <w:sz w:val="26"/>
        </w:rPr>
        <w:t>was originally received by the Commission on December 16, 2011, it was returned to the Complainants by a Secretarial Letter, issued on December 23, 2011, because it did not contain an original signature.  The Complainants then filed an Answer containing an original signature on December 28, 2011.</w:t>
      </w:r>
      <w:r w:rsidR="00B865E3">
        <w:rPr>
          <w:rFonts w:ascii="Times New Roman" w:hAnsi="Times New Roman"/>
          <w:sz w:val="26"/>
        </w:rPr>
        <w:t xml:space="preserve">  </w:t>
      </w:r>
      <w:r w:rsidR="00587FBD">
        <w:rPr>
          <w:rFonts w:ascii="Times New Roman" w:hAnsi="Times New Roman"/>
          <w:sz w:val="26"/>
        </w:rPr>
        <w:t xml:space="preserve">The ALJ apparently did not receive </w:t>
      </w:r>
      <w:r w:rsidR="00B865E3">
        <w:rPr>
          <w:rFonts w:ascii="Times New Roman" w:hAnsi="Times New Roman"/>
          <w:sz w:val="26"/>
        </w:rPr>
        <w:t>the Answer</w:t>
      </w:r>
      <w:r w:rsidR="00587FBD">
        <w:rPr>
          <w:rFonts w:ascii="Times New Roman" w:hAnsi="Times New Roman"/>
          <w:sz w:val="26"/>
        </w:rPr>
        <w:t xml:space="preserve"> before issuing the Initial Decision.  I.D. at 2.</w:t>
      </w:r>
      <w:r w:rsidR="00B865E3">
        <w:rPr>
          <w:rFonts w:ascii="Times New Roman" w:hAnsi="Times New Roman"/>
          <w:sz w:val="26"/>
        </w:rPr>
        <w:t xml:space="preserve">  PGW has indicated that it received an undated and unsigned copy of the Answer.  </w:t>
      </w:r>
      <w:r w:rsidR="00B865E3" w:rsidRPr="00B865E3">
        <w:rPr>
          <w:rFonts w:ascii="Times New Roman" w:hAnsi="Times New Roman"/>
          <w:i/>
          <w:sz w:val="26"/>
        </w:rPr>
        <w:t>See</w:t>
      </w:r>
      <w:r w:rsidR="00B865E3">
        <w:rPr>
          <w:rFonts w:ascii="Times New Roman" w:hAnsi="Times New Roman"/>
          <w:sz w:val="26"/>
        </w:rPr>
        <w:t xml:space="preserve"> R. Exc. at 2.      </w:t>
      </w:r>
      <w:r>
        <w:rPr>
          <w:rFonts w:ascii="Times New Roman" w:hAnsi="Times New Roman"/>
          <w:sz w:val="26"/>
        </w:rPr>
        <w:t xml:space="preserve">  </w:t>
      </w:r>
    </w:p>
  </w:footnote>
  <w:footnote w:id="3">
    <w:p w:rsidR="00362240" w:rsidRPr="00362240" w:rsidRDefault="00362240">
      <w:pPr>
        <w:pStyle w:val="FootnoteText"/>
        <w:rPr>
          <w:rFonts w:ascii="Times New Roman" w:hAnsi="Times New Roman"/>
        </w:rPr>
      </w:pPr>
      <w:r>
        <w:rPr>
          <w:rFonts w:ascii="Times New Roman" w:hAnsi="Times New Roman"/>
          <w:sz w:val="22"/>
          <w:szCs w:val="22"/>
        </w:rPr>
        <w:tab/>
      </w:r>
      <w:r w:rsidRPr="00362240">
        <w:rPr>
          <w:rStyle w:val="FootnoteReference"/>
          <w:rFonts w:ascii="Times New Roman" w:hAnsi="Times New Roman"/>
          <w:sz w:val="22"/>
          <w:szCs w:val="22"/>
        </w:rPr>
        <w:footnoteRef/>
      </w:r>
      <w:r w:rsidRPr="00362240">
        <w:rPr>
          <w:rFonts w:ascii="Times New Roman" w:hAnsi="Times New Roman"/>
          <w:sz w:val="22"/>
          <w:szCs w:val="22"/>
        </w:rPr>
        <w:t xml:space="preserve"> </w:t>
      </w:r>
      <w:r>
        <w:rPr>
          <w:rFonts w:ascii="Times New Roman" w:hAnsi="Times New Roman"/>
          <w:sz w:val="22"/>
          <w:szCs w:val="22"/>
        </w:rPr>
        <w:tab/>
      </w:r>
      <w:r w:rsidRPr="00362240">
        <w:rPr>
          <w:rFonts w:ascii="Times New Roman" w:hAnsi="Times New Roman"/>
          <w:sz w:val="26"/>
        </w:rPr>
        <w:t>We acknowledge that the format of the Complainants</w:t>
      </w:r>
      <w:r w:rsidR="004B1784">
        <w:rPr>
          <w:rFonts w:ascii="Times New Roman" w:hAnsi="Times New Roman"/>
          <w:sz w:val="26"/>
        </w:rPr>
        <w:t>’</w:t>
      </w:r>
      <w:r w:rsidRPr="00362240">
        <w:rPr>
          <w:rFonts w:ascii="Times New Roman" w:hAnsi="Times New Roman"/>
          <w:sz w:val="26"/>
        </w:rPr>
        <w:t xml:space="preserve"> Exceptions does not strictly comply with Section 5.533(b) of our Regulations, 52 Pa. Code § 5.533(b), which requires that exceptions be numbered, identify the finding of fact and conclusion of law to which exception is taken, and cite to the relevant pages of the Initial Decision.  Nevertheless, particularly because the Complainant</w:t>
      </w:r>
      <w:r w:rsidR="004B1784">
        <w:rPr>
          <w:rFonts w:ascii="Times New Roman" w:hAnsi="Times New Roman"/>
          <w:sz w:val="26"/>
        </w:rPr>
        <w:t>s</w:t>
      </w:r>
      <w:r w:rsidRPr="00362240">
        <w:rPr>
          <w:rFonts w:ascii="Times New Roman" w:hAnsi="Times New Roman"/>
          <w:sz w:val="26"/>
        </w:rPr>
        <w:t xml:space="preserve"> </w:t>
      </w:r>
      <w:r w:rsidR="004B1784">
        <w:rPr>
          <w:rFonts w:ascii="Times New Roman" w:hAnsi="Times New Roman"/>
          <w:sz w:val="26"/>
        </w:rPr>
        <w:t>are</w:t>
      </w:r>
      <w:r w:rsidRPr="00362240">
        <w:rPr>
          <w:rFonts w:ascii="Times New Roman" w:hAnsi="Times New Roman"/>
          <w:sz w:val="26"/>
        </w:rPr>
        <w:t xml:space="preserve"> appearing </w:t>
      </w:r>
      <w:r w:rsidRPr="00362240">
        <w:rPr>
          <w:rFonts w:ascii="Times New Roman" w:hAnsi="Times New Roman"/>
          <w:i/>
          <w:sz w:val="26"/>
        </w:rPr>
        <w:t>pro se</w:t>
      </w:r>
      <w:r w:rsidRPr="00362240">
        <w:rPr>
          <w:rFonts w:ascii="Times New Roman" w:hAnsi="Times New Roman"/>
          <w:sz w:val="26"/>
        </w:rPr>
        <w:t>, we will accept the Exceptions as</w:t>
      </w:r>
      <w:r w:rsidRPr="00362240">
        <w:rPr>
          <w:rFonts w:ascii="Times New Roman" w:hAnsi="Times New Roman"/>
        </w:rPr>
        <w:t xml:space="preserve"> </w:t>
      </w:r>
      <w:r w:rsidRPr="00362240">
        <w:rPr>
          <w:rFonts w:ascii="Times New Roman" w:hAnsi="Times New Roman"/>
          <w:sz w:val="26"/>
        </w:rPr>
        <w:t>filed pursuant to Section 1.2(</w:t>
      </w:r>
      <w:r>
        <w:rPr>
          <w:rFonts w:ascii="Times New Roman" w:hAnsi="Times New Roman"/>
          <w:sz w:val="26"/>
        </w:rPr>
        <w:t>a</w:t>
      </w:r>
      <w:r w:rsidRPr="00362240">
        <w:rPr>
          <w:rFonts w:ascii="Times New Roman" w:hAnsi="Times New Roman"/>
          <w:sz w:val="26"/>
        </w:rPr>
        <w:t xml:space="preserve">) </w:t>
      </w:r>
      <w:r w:rsidR="00703330">
        <w:rPr>
          <w:rFonts w:ascii="Times New Roman" w:hAnsi="Times New Roman"/>
          <w:sz w:val="26"/>
        </w:rPr>
        <w:t>of our Regulations, 52 Pa. Code </w:t>
      </w:r>
      <w:r w:rsidRPr="00362240">
        <w:rPr>
          <w:rFonts w:ascii="Times New Roman" w:hAnsi="Times New Roman"/>
          <w:sz w:val="26"/>
        </w:rPr>
        <w:t>§</w:t>
      </w:r>
      <w:r w:rsidR="00703330">
        <w:rPr>
          <w:rFonts w:ascii="Times New Roman" w:hAnsi="Times New Roman"/>
          <w:sz w:val="26"/>
        </w:rPr>
        <w:t> </w:t>
      </w:r>
      <w:r w:rsidRPr="00362240">
        <w:rPr>
          <w:rFonts w:ascii="Times New Roman" w:hAnsi="Times New Roman"/>
          <w:sz w:val="26"/>
        </w:rPr>
        <w:t>1.2(</w:t>
      </w:r>
      <w:r>
        <w:rPr>
          <w:rFonts w:ascii="Times New Roman" w:hAnsi="Times New Roman"/>
          <w:sz w:val="26"/>
        </w:rPr>
        <w:t>a</w:t>
      </w:r>
      <w:r w:rsidRPr="00362240">
        <w:rPr>
          <w:rFonts w:ascii="Times New Roman" w:hAnsi="Times New Roman"/>
          <w:sz w:val="26"/>
        </w:rPr>
        <w:t>)</w:t>
      </w:r>
      <w:r>
        <w:rPr>
          <w:rFonts w:ascii="Times New Roman" w:hAnsi="Times New Roman"/>
          <w:sz w:val="26"/>
        </w:rPr>
        <w:t>, in order to secure a just, speedy, and inexpensive determination in this proceeding</w:t>
      </w:r>
      <w:r w:rsidRPr="00362240">
        <w:rPr>
          <w:rFonts w:ascii="Times New Roman" w:hAnsi="Times New Roman"/>
          <w:sz w:val="26"/>
        </w:rPr>
        <w:t>.</w:t>
      </w:r>
      <w:r>
        <w:rPr>
          <w:rFonts w:ascii="Times New Roman" w:hAnsi="Times New Roman"/>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1900E6"/>
    <w:multiLevelType w:val="hybridMultilevel"/>
    <w:tmpl w:val="D29083A6"/>
    <w:lvl w:ilvl="0" w:tplc="86D053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F2A"/>
    <w:rsid w:val="000063E9"/>
    <w:rsid w:val="00007106"/>
    <w:rsid w:val="000074DC"/>
    <w:rsid w:val="00010322"/>
    <w:rsid w:val="0001099D"/>
    <w:rsid w:val="00013B94"/>
    <w:rsid w:val="0001411C"/>
    <w:rsid w:val="000148F5"/>
    <w:rsid w:val="00015969"/>
    <w:rsid w:val="00015A01"/>
    <w:rsid w:val="00016CE0"/>
    <w:rsid w:val="00017033"/>
    <w:rsid w:val="00017BF5"/>
    <w:rsid w:val="00020E43"/>
    <w:rsid w:val="00020F8F"/>
    <w:rsid w:val="00021AAC"/>
    <w:rsid w:val="000234F5"/>
    <w:rsid w:val="00024987"/>
    <w:rsid w:val="00024DD1"/>
    <w:rsid w:val="00025686"/>
    <w:rsid w:val="0002585B"/>
    <w:rsid w:val="00025B28"/>
    <w:rsid w:val="000261D5"/>
    <w:rsid w:val="00026E4B"/>
    <w:rsid w:val="0002723A"/>
    <w:rsid w:val="0002744F"/>
    <w:rsid w:val="00027EE5"/>
    <w:rsid w:val="000310BE"/>
    <w:rsid w:val="00031E93"/>
    <w:rsid w:val="0003225A"/>
    <w:rsid w:val="00033CB2"/>
    <w:rsid w:val="000378DC"/>
    <w:rsid w:val="00044438"/>
    <w:rsid w:val="000510D0"/>
    <w:rsid w:val="000510FD"/>
    <w:rsid w:val="000524CC"/>
    <w:rsid w:val="00053CED"/>
    <w:rsid w:val="00054407"/>
    <w:rsid w:val="00054F7A"/>
    <w:rsid w:val="00057057"/>
    <w:rsid w:val="000610F9"/>
    <w:rsid w:val="00061284"/>
    <w:rsid w:val="00061850"/>
    <w:rsid w:val="00062666"/>
    <w:rsid w:val="000629CD"/>
    <w:rsid w:val="000634BD"/>
    <w:rsid w:val="0006405C"/>
    <w:rsid w:val="00065DB6"/>
    <w:rsid w:val="000673D1"/>
    <w:rsid w:val="00067DC7"/>
    <w:rsid w:val="00070FF8"/>
    <w:rsid w:val="00070FFD"/>
    <w:rsid w:val="000711D9"/>
    <w:rsid w:val="000725E1"/>
    <w:rsid w:val="00072883"/>
    <w:rsid w:val="00073C25"/>
    <w:rsid w:val="00075161"/>
    <w:rsid w:val="00075677"/>
    <w:rsid w:val="0007596A"/>
    <w:rsid w:val="000777D8"/>
    <w:rsid w:val="00080C6A"/>
    <w:rsid w:val="0008328F"/>
    <w:rsid w:val="0008445E"/>
    <w:rsid w:val="00085FFB"/>
    <w:rsid w:val="00086411"/>
    <w:rsid w:val="00086D0B"/>
    <w:rsid w:val="0008768F"/>
    <w:rsid w:val="00087C06"/>
    <w:rsid w:val="00087D18"/>
    <w:rsid w:val="0009074A"/>
    <w:rsid w:val="00092384"/>
    <w:rsid w:val="00092ABD"/>
    <w:rsid w:val="00094D6F"/>
    <w:rsid w:val="00096187"/>
    <w:rsid w:val="000966DC"/>
    <w:rsid w:val="0009781B"/>
    <w:rsid w:val="000A2F11"/>
    <w:rsid w:val="000A35F4"/>
    <w:rsid w:val="000A6EB3"/>
    <w:rsid w:val="000A770A"/>
    <w:rsid w:val="000A7F96"/>
    <w:rsid w:val="000B1F02"/>
    <w:rsid w:val="000B2B80"/>
    <w:rsid w:val="000B3FB4"/>
    <w:rsid w:val="000B4F29"/>
    <w:rsid w:val="000B5487"/>
    <w:rsid w:val="000B5DF8"/>
    <w:rsid w:val="000B71E3"/>
    <w:rsid w:val="000B77E2"/>
    <w:rsid w:val="000C0677"/>
    <w:rsid w:val="000C3577"/>
    <w:rsid w:val="000C4BFD"/>
    <w:rsid w:val="000C742F"/>
    <w:rsid w:val="000D0D75"/>
    <w:rsid w:val="000D5BBB"/>
    <w:rsid w:val="000D6C35"/>
    <w:rsid w:val="000E0050"/>
    <w:rsid w:val="000E0311"/>
    <w:rsid w:val="000E09BE"/>
    <w:rsid w:val="000E24DE"/>
    <w:rsid w:val="000E3FDA"/>
    <w:rsid w:val="000E492B"/>
    <w:rsid w:val="000E4BED"/>
    <w:rsid w:val="000E7110"/>
    <w:rsid w:val="000F2540"/>
    <w:rsid w:val="000F292B"/>
    <w:rsid w:val="000F34DC"/>
    <w:rsid w:val="000F34FC"/>
    <w:rsid w:val="000F4144"/>
    <w:rsid w:val="000F6D5A"/>
    <w:rsid w:val="0010013C"/>
    <w:rsid w:val="001006F0"/>
    <w:rsid w:val="00100B90"/>
    <w:rsid w:val="00100BF3"/>
    <w:rsid w:val="00101745"/>
    <w:rsid w:val="001026AA"/>
    <w:rsid w:val="001026E6"/>
    <w:rsid w:val="00103A52"/>
    <w:rsid w:val="001048B3"/>
    <w:rsid w:val="00105084"/>
    <w:rsid w:val="00105104"/>
    <w:rsid w:val="00105193"/>
    <w:rsid w:val="00106537"/>
    <w:rsid w:val="001112D8"/>
    <w:rsid w:val="0011244B"/>
    <w:rsid w:val="001133C8"/>
    <w:rsid w:val="00114D80"/>
    <w:rsid w:val="00115FD9"/>
    <w:rsid w:val="00116D79"/>
    <w:rsid w:val="00117A38"/>
    <w:rsid w:val="00120C2F"/>
    <w:rsid w:val="00123068"/>
    <w:rsid w:val="00124A50"/>
    <w:rsid w:val="00126152"/>
    <w:rsid w:val="0012697D"/>
    <w:rsid w:val="00127623"/>
    <w:rsid w:val="00127C7C"/>
    <w:rsid w:val="00130D74"/>
    <w:rsid w:val="00131B43"/>
    <w:rsid w:val="00132429"/>
    <w:rsid w:val="00133878"/>
    <w:rsid w:val="00137A60"/>
    <w:rsid w:val="001401EC"/>
    <w:rsid w:val="00141882"/>
    <w:rsid w:val="00141DF0"/>
    <w:rsid w:val="0014205C"/>
    <w:rsid w:val="00143F43"/>
    <w:rsid w:val="00144166"/>
    <w:rsid w:val="00144E09"/>
    <w:rsid w:val="00145EDC"/>
    <w:rsid w:val="0014617E"/>
    <w:rsid w:val="00147415"/>
    <w:rsid w:val="00150989"/>
    <w:rsid w:val="001509E0"/>
    <w:rsid w:val="00154829"/>
    <w:rsid w:val="00154DD8"/>
    <w:rsid w:val="0015662E"/>
    <w:rsid w:val="00156A41"/>
    <w:rsid w:val="001572C5"/>
    <w:rsid w:val="0016005F"/>
    <w:rsid w:val="001606BC"/>
    <w:rsid w:val="00163AA3"/>
    <w:rsid w:val="0016441E"/>
    <w:rsid w:val="00164715"/>
    <w:rsid w:val="00164C98"/>
    <w:rsid w:val="001679F1"/>
    <w:rsid w:val="001701B3"/>
    <w:rsid w:val="001704F7"/>
    <w:rsid w:val="001707BD"/>
    <w:rsid w:val="00176940"/>
    <w:rsid w:val="00177A43"/>
    <w:rsid w:val="001811B8"/>
    <w:rsid w:val="001827DB"/>
    <w:rsid w:val="00183D96"/>
    <w:rsid w:val="00185B5E"/>
    <w:rsid w:val="00186887"/>
    <w:rsid w:val="0019214E"/>
    <w:rsid w:val="00192B54"/>
    <w:rsid w:val="0019318F"/>
    <w:rsid w:val="00193EF0"/>
    <w:rsid w:val="00195558"/>
    <w:rsid w:val="00197920"/>
    <w:rsid w:val="00197C2F"/>
    <w:rsid w:val="00197F3D"/>
    <w:rsid w:val="001A0516"/>
    <w:rsid w:val="001A1AD3"/>
    <w:rsid w:val="001A4A0C"/>
    <w:rsid w:val="001A4C6C"/>
    <w:rsid w:val="001A5756"/>
    <w:rsid w:val="001A6FD4"/>
    <w:rsid w:val="001A75AA"/>
    <w:rsid w:val="001B2218"/>
    <w:rsid w:val="001B423C"/>
    <w:rsid w:val="001B5CD3"/>
    <w:rsid w:val="001B7A05"/>
    <w:rsid w:val="001C396E"/>
    <w:rsid w:val="001C42FD"/>
    <w:rsid w:val="001C4B37"/>
    <w:rsid w:val="001C50DA"/>
    <w:rsid w:val="001C53B1"/>
    <w:rsid w:val="001C7E91"/>
    <w:rsid w:val="001C7F88"/>
    <w:rsid w:val="001D01F1"/>
    <w:rsid w:val="001D02A2"/>
    <w:rsid w:val="001D0E29"/>
    <w:rsid w:val="001D2BAD"/>
    <w:rsid w:val="001D3B99"/>
    <w:rsid w:val="001D491F"/>
    <w:rsid w:val="001D70A6"/>
    <w:rsid w:val="001D7137"/>
    <w:rsid w:val="001E058A"/>
    <w:rsid w:val="001E05C6"/>
    <w:rsid w:val="001E0B29"/>
    <w:rsid w:val="001E19BC"/>
    <w:rsid w:val="001E1A53"/>
    <w:rsid w:val="001E2CFB"/>
    <w:rsid w:val="001E3574"/>
    <w:rsid w:val="001E4106"/>
    <w:rsid w:val="001E4225"/>
    <w:rsid w:val="001E5B8E"/>
    <w:rsid w:val="001F0488"/>
    <w:rsid w:val="001F43D8"/>
    <w:rsid w:val="001F55D5"/>
    <w:rsid w:val="001F5F40"/>
    <w:rsid w:val="001F6232"/>
    <w:rsid w:val="001F75D6"/>
    <w:rsid w:val="001F79C6"/>
    <w:rsid w:val="001F7B55"/>
    <w:rsid w:val="00203F27"/>
    <w:rsid w:val="00205242"/>
    <w:rsid w:val="00205B95"/>
    <w:rsid w:val="00206970"/>
    <w:rsid w:val="00206D03"/>
    <w:rsid w:val="00207453"/>
    <w:rsid w:val="0020784E"/>
    <w:rsid w:val="00210868"/>
    <w:rsid w:val="00213B95"/>
    <w:rsid w:val="00214C25"/>
    <w:rsid w:val="002170BF"/>
    <w:rsid w:val="00217C4E"/>
    <w:rsid w:val="00223564"/>
    <w:rsid w:val="002242F7"/>
    <w:rsid w:val="00225BD2"/>
    <w:rsid w:val="00225DE7"/>
    <w:rsid w:val="00230396"/>
    <w:rsid w:val="0023097E"/>
    <w:rsid w:val="00230BAB"/>
    <w:rsid w:val="00232A03"/>
    <w:rsid w:val="0023535F"/>
    <w:rsid w:val="00237CE3"/>
    <w:rsid w:val="0024349F"/>
    <w:rsid w:val="00243CC9"/>
    <w:rsid w:val="00243D31"/>
    <w:rsid w:val="002450F3"/>
    <w:rsid w:val="00245B0C"/>
    <w:rsid w:val="002461D4"/>
    <w:rsid w:val="002469C9"/>
    <w:rsid w:val="00247332"/>
    <w:rsid w:val="00250E63"/>
    <w:rsid w:val="00251D6F"/>
    <w:rsid w:val="00252313"/>
    <w:rsid w:val="00252626"/>
    <w:rsid w:val="00253CC7"/>
    <w:rsid w:val="00254560"/>
    <w:rsid w:val="002556E9"/>
    <w:rsid w:val="002564D7"/>
    <w:rsid w:val="00256A4C"/>
    <w:rsid w:val="0025718D"/>
    <w:rsid w:val="0026312F"/>
    <w:rsid w:val="00263C26"/>
    <w:rsid w:val="00264ABB"/>
    <w:rsid w:val="00264ADE"/>
    <w:rsid w:val="002652DF"/>
    <w:rsid w:val="00265BD8"/>
    <w:rsid w:val="00265C40"/>
    <w:rsid w:val="00271322"/>
    <w:rsid w:val="002723CB"/>
    <w:rsid w:val="002725C1"/>
    <w:rsid w:val="002730B0"/>
    <w:rsid w:val="00273450"/>
    <w:rsid w:val="0027458E"/>
    <w:rsid w:val="00274EC0"/>
    <w:rsid w:val="00282019"/>
    <w:rsid w:val="00283433"/>
    <w:rsid w:val="002838E3"/>
    <w:rsid w:val="002851CE"/>
    <w:rsid w:val="002854BF"/>
    <w:rsid w:val="00285856"/>
    <w:rsid w:val="002877B6"/>
    <w:rsid w:val="00287BE6"/>
    <w:rsid w:val="00291657"/>
    <w:rsid w:val="002919FB"/>
    <w:rsid w:val="00296493"/>
    <w:rsid w:val="00297040"/>
    <w:rsid w:val="002A0E82"/>
    <w:rsid w:val="002A3A6E"/>
    <w:rsid w:val="002A3AC8"/>
    <w:rsid w:val="002A5399"/>
    <w:rsid w:val="002A740E"/>
    <w:rsid w:val="002A782B"/>
    <w:rsid w:val="002B0089"/>
    <w:rsid w:val="002B31AD"/>
    <w:rsid w:val="002B3767"/>
    <w:rsid w:val="002B4B0D"/>
    <w:rsid w:val="002C011D"/>
    <w:rsid w:val="002C1393"/>
    <w:rsid w:val="002C229A"/>
    <w:rsid w:val="002C3151"/>
    <w:rsid w:val="002C4236"/>
    <w:rsid w:val="002C4311"/>
    <w:rsid w:val="002C61A7"/>
    <w:rsid w:val="002D08E2"/>
    <w:rsid w:val="002D0BD9"/>
    <w:rsid w:val="002D33E8"/>
    <w:rsid w:val="002D5216"/>
    <w:rsid w:val="002D5C5B"/>
    <w:rsid w:val="002D650D"/>
    <w:rsid w:val="002E00A3"/>
    <w:rsid w:val="002E0503"/>
    <w:rsid w:val="002E3715"/>
    <w:rsid w:val="002E4908"/>
    <w:rsid w:val="002E546B"/>
    <w:rsid w:val="002E6F2D"/>
    <w:rsid w:val="002E7381"/>
    <w:rsid w:val="002F0238"/>
    <w:rsid w:val="002F3B92"/>
    <w:rsid w:val="002F429C"/>
    <w:rsid w:val="002F4D5E"/>
    <w:rsid w:val="002F50FB"/>
    <w:rsid w:val="002F58E9"/>
    <w:rsid w:val="002F6563"/>
    <w:rsid w:val="002F6E67"/>
    <w:rsid w:val="00300C9D"/>
    <w:rsid w:val="00301857"/>
    <w:rsid w:val="00303915"/>
    <w:rsid w:val="00304ABF"/>
    <w:rsid w:val="0030541E"/>
    <w:rsid w:val="003054A6"/>
    <w:rsid w:val="00305684"/>
    <w:rsid w:val="00306411"/>
    <w:rsid w:val="003077A3"/>
    <w:rsid w:val="003100C8"/>
    <w:rsid w:val="00310CE1"/>
    <w:rsid w:val="0031247C"/>
    <w:rsid w:val="0031278E"/>
    <w:rsid w:val="0031381F"/>
    <w:rsid w:val="00316B27"/>
    <w:rsid w:val="00316BFA"/>
    <w:rsid w:val="00322A65"/>
    <w:rsid w:val="0032388C"/>
    <w:rsid w:val="00324417"/>
    <w:rsid w:val="00324791"/>
    <w:rsid w:val="00324B2C"/>
    <w:rsid w:val="00324E5B"/>
    <w:rsid w:val="00325440"/>
    <w:rsid w:val="0032579A"/>
    <w:rsid w:val="0032615A"/>
    <w:rsid w:val="00326A17"/>
    <w:rsid w:val="00330392"/>
    <w:rsid w:val="00337C48"/>
    <w:rsid w:val="00337DFD"/>
    <w:rsid w:val="003408A6"/>
    <w:rsid w:val="003440BD"/>
    <w:rsid w:val="00344581"/>
    <w:rsid w:val="00344E04"/>
    <w:rsid w:val="003459E2"/>
    <w:rsid w:val="00346717"/>
    <w:rsid w:val="00346964"/>
    <w:rsid w:val="00350442"/>
    <w:rsid w:val="00350B3E"/>
    <w:rsid w:val="00352BC7"/>
    <w:rsid w:val="00353BBC"/>
    <w:rsid w:val="00353F42"/>
    <w:rsid w:val="0035474E"/>
    <w:rsid w:val="00354EEE"/>
    <w:rsid w:val="003573EB"/>
    <w:rsid w:val="00357B6E"/>
    <w:rsid w:val="00361C64"/>
    <w:rsid w:val="00362240"/>
    <w:rsid w:val="00362AC9"/>
    <w:rsid w:val="00366660"/>
    <w:rsid w:val="003669C8"/>
    <w:rsid w:val="00366C32"/>
    <w:rsid w:val="00367224"/>
    <w:rsid w:val="00370193"/>
    <w:rsid w:val="0037038A"/>
    <w:rsid w:val="003704B1"/>
    <w:rsid w:val="003708CD"/>
    <w:rsid w:val="00372113"/>
    <w:rsid w:val="00372E6D"/>
    <w:rsid w:val="003742CF"/>
    <w:rsid w:val="0037549D"/>
    <w:rsid w:val="0037692B"/>
    <w:rsid w:val="003807E7"/>
    <w:rsid w:val="00381C7A"/>
    <w:rsid w:val="00383585"/>
    <w:rsid w:val="0039007A"/>
    <w:rsid w:val="00390FB3"/>
    <w:rsid w:val="00391B6F"/>
    <w:rsid w:val="00392B85"/>
    <w:rsid w:val="003943C4"/>
    <w:rsid w:val="00394901"/>
    <w:rsid w:val="00395BB0"/>
    <w:rsid w:val="003967A2"/>
    <w:rsid w:val="00397F28"/>
    <w:rsid w:val="003A07CB"/>
    <w:rsid w:val="003A2FF8"/>
    <w:rsid w:val="003A37DD"/>
    <w:rsid w:val="003A50AE"/>
    <w:rsid w:val="003A5385"/>
    <w:rsid w:val="003A54C7"/>
    <w:rsid w:val="003A76DB"/>
    <w:rsid w:val="003B3893"/>
    <w:rsid w:val="003B3CEA"/>
    <w:rsid w:val="003B3E5F"/>
    <w:rsid w:val="003B561F"/>
    <w:rsid w:val="003B68C7"/>
    <w:rsid w:val="003B6D2E"/>
    <w:rsid w:val="003B7738"/>
    <w:rsid w:val="003B7B99"/>
    <w:rsid w:val="003B7FF2"/>
    <w:rsid w:val="003C042A"/>
    <w:rsid w:val="003C0F72"/>
    <w:rsid w:val="003C31AF"/>
    <w:rsid w:val="003C384E"/>
    <w:rsid w:val="003C4355"/>
    <w:rsid w:val="003C446B"/>
    <w:rsid w:val="003C729B"/>
    <w:rsid w:val="003C7FAE"/>
    <w:rsid w:val="003D09C0"/>
    <w:rsid w:val="003D2264"/>
    <w:rsid w:val="003D4446"/>
    <w:rsid w:val="003D4638"/>
    <w:rsid w:val="003D4D1D"/>
    <w:rsid w:val="003D6E02"/>
    <w:rsid w:val="003D70DF"/>
    <w:rsid w:val="003D7753"/>
    <w:rsid w:val="003D7B97"/>
    <w:rsid w:val="003E07E5"/>
    <w:rsid w:val="003E0C89"/>
    <w:rsid w:val="003E22D4"/>
    <w:rsid w:val="003E2B94"/>
    <w:rsid w:val="003E3836"/>
    <w:rsid w:val="003E4B1D"/>
    <w:rsid w:val="003E4CD9"/>
    <w:rsid w:val="003E73BC"/>
    <w:rsid w:val="003F07AF"/>
    <w:rsid w:val="003F0ABA"/>
    <w:rsid w:val="003F1C7C"/>
    <w:rsid w:val="003F27D1"/>
    <w:rsid w:val="003F287E"/>
    <w:rsid w:val="003F3939"/>
    <w:rsid w:val="003F49BF"/>
    <w:rsid w:val="00401CAF"/>
    <w:rsid w:val="00401EB5"/>
    <w:rsid w:val="004023F4"/>
    <w:rsid w:val="00402479"/>
    <w:rsid w:val="00404496"/>
    <w:rsid w:val="004051BE"/>
    <w:rsid w:val="00406D11"/>
    <w:rsid w:val="00410827"/>
    <w:rsid w:val="00411FED"/>
    <w:rsid w:val="004140BA"/>
    <w:rsid w:val="004144EB"/>
    <w:rsid w:val="004144EE"/>
    <w:rsid w:val="004146BE"/>
    <w:rsid w:val="00414855"/>
    <w:rsid w:val="00415460"/>
    <w:rsid w:val="00415483"/>
    <w:rsid w:val="00415A5E"/>
    <w:rsid w:val="00415C58"/>
    <w:rsid w:val="00417CCE"/>
    <w:rsid w:val="00421E3B"/>
    <w:rsid w:val="004235F4"/>
    <w:rsid w:val="004246D3"/>
    <w:rsid w:val="00427697"/>
    <w:rsid w:val="00430570"/>
    <w:rsid w:val="004315AC"/>
    <w:rsid w:val="00431621"/>
    <w:rsid w:val="00431969"/>
    <w:rsid w:val="00431F78"/>
    <w:rsid w:val="00433F60"/>
    <w:rsid w:val="00435582"/>
    <w:rsid w:val="00436201"/>
    <w:rsid w:val="0044114D"/>
    <w:rsid w:val="00441920"/>
    <w:rsid w:val="004419DA"/>
    <w:rsid w:val="00441BFA"/>
    <w:rsid w:val="00442945"/>
    <w:rsid w:val="00443198"/>
    <w:rsid w:val="00446BCB"/>
    <w:rsid w:val="00447592"/>
    <w:rsid w:val="0045175A"/>
    <w:rsid w:val="00455C99"/>
    <w:rsid w:val="004572B4"/>
    <w:rsid w:val="00457386"/>
    <w:rsid w:val="004610A5"/>
    <w:rsid w:val="004610AA"/>
    <w:rsid w:val="00461E0C"/>
    <w:rsid w:val="004622AF"/>
    <w:rsid w:val="0046364A"/>
    <w:rsid w:val="004715B6"/>
    <w:rsid w:val="0047307A"/>
    <w:rsid w:val="00473CA5"/>
    <w:rsid w:val="00474F36"/>
    <w:rsid w:val="00474FC8"/>
    <w:rsid w:val="00475D45"/>
    <w:rsid w:val="004760F2"/>
    <w:rsid w:val="004761B9"/>
    <w:rsid w:val="004775A6"/>
    <w:rsid w:val="004812AC"/>
    <w:rsid w:val="004822FC"/>
    <w:rsid w:val="004854BF"/>
    <w:rsid w:val="0048674B"/>
    <w:rsid w:val="0048747D"/>
    <w:rsid w:val="00492432"/>
    <w:rsid w:val="00492787"/>
    <w:rsid w:val="004928EE"/>
    <w:rsid w:val="004938FA"/>
    <w:rsid w:val="004949D0"/>
    <w:rsid w:val="0049771B"/>
    <w:rsid w:val="0049798B"/>
    <w:rsid w:val="00497BCA"/>
    <w:rsid w:val="004A2A28"/>
    <w:rsid w:val="004A41B7"/>
    <w:rsid w:val="004A5287"/>
    <w:rsid w:val="004A572B"/>
    <w:rsid w:val="004A6496"/>
    <w:rsid w:val="004A7831"/>
    <w:rsid w:val="004B1011"/>
    <w:rsid w:val="004B14C4"/>
    <w:rsid w:val="004B1784"/>
    <w:rsid w:val="004B30C3"/>
    <w:rsid w:val="004C40E8"/>
    <w:rsid w:val="004C4F45"/>
    <w:rsid w:val="004C54A0"/>
    <w:rsid w:val="004C5B03"/>
    <w:rsid w:val="004C749A"/>
    <w:rsid w:val="004C7AC4"/>
    <w:rsid w:val="004D08F5"/>
    <w:rsid w:val="004D362A"/>
    <w:rsid w:val="004D4923"/>
    <w:rsid w:val="004D5A16"/>
    <w:rsid w:val="004D5B29"/>
    <w:rsid w:val="004D5E02"/>
    <w:rsid w:val="004D5F70"/>
    <w:rsid w:val="004D75D8"/>
    <w:rsid w:val="004E05E7"/>
    <w:rsid w:val="004E1757"/>
    <w:rsid w:val="004E2F35"/>
    <w:rsid w:val="004E3204"/>
    <w:rsid w:val="004E3FFF"/>
    <w:rsid w:val="004E58C3"/>
    <w:rsid w:val="004E75A8"/>
    <w:rsid w:val="004E79BD"/>
    <w:rsid w:val="004F2383"/>
    <w:rsid w:val="004F23E9"/>
    <w:rsid w:val="004F2FF1"/>
    <w:rsid w:val="004F5854"/>
    <w:rsid w:val="004F72E9"/>
    <w:rsid w:val="00500836"/>
    <w:rsid w:val="00500EDA"/>
    <w:rsid w:val="00502D50"/>
    <w:rsid w:val="00503295"/>
    <w:rsid w:val="00503571"/>
    <w:rsid w:val="00503A81"/>
    <w:rsid w:val="00503B2F"/>
    <w:rsid w:val="00503E65"/>
    <w:rsid w:val="00504CED"/>
    <w:rsid w:val="00504D5D"/>
    <w:rsid w:val="00505BA0"/>
    <w:rsid w:val="00505E50"/>
    <w:rsid w:val="005113DC"/>
    <w:rsid w:val="00512879"/>
    <w:rsid w:val="00512C92"/>
    <w:rsid w:val="00514497"/>
    <w:rsid w:val="00514988"/>
    <w:rsid w:val="00514C76"/>
    <w:rsid w:val="00515110"/>
    <w:rsid w:val="005154BC"/>
    <w:rsid w:val="00517839"/>
    <w:rsid w:val="00523193"/>
    <w:rsid w:val="00523347"/>
    <w:rsid w:val="00524898"/>
    <w:rsid w:val="00525715"/>
    <w:rsid w:val="00525DBB"/>
    <w:rsid w:val="005262C2"/>
    <w:rsid w:val="00527A20"/>
    <w:rsid w:val="00530F5B"/>
    <w:rsid w:val="005310AE"/>
    <w:rsid w:val="005318B9"/>
    <w:rsid w:val="00531E07"/>
    <w:rsid w:val="005321F4"/>
    <w:rsid w:val="0053271E"/>
    <w:rsid w:val="005332F5"/>
    <w:rsid w:val="00534585"/>
    <w:rsid w:val="00534A1D"/>
    <w:rsid w:val="00535011"/>
    <w:rsid w:val="00535439"/>
    <w:rsid w:val="00540F72"/>
    <w:rsid w:val="00543297"/>
    <w:rsid w:val="00543DB7"/>
    <w:rsid w:val="00544BCF"/>
    <w:rsid w:val="00545FB5"/>
    <w:rsid w:val="005460F4"/>
    <w:rsid w:val="005469D0"/>
    <w:rsid w:val="00551BEE"/>
    <w:rsid w:val="00555069"/>
    <w:rsid w:val="00555CA0"/>
    <w:rsid w:val="005579D3"/>
    <w:rsid w:val="00560E96"/>
    <w:rsid w:val="005611AB"/>
    <w:rsid w:val="0056564F"/>
    <w:rsid w:val="005673FC"/>
    <w:rsid w:val="00571A10"/>
    <w:rsid w:val="00572F46"/>
    <w:rsid w:val="005775D1"/>
    <w:rsid w:val="005850E9"/>
    <w:rsid w:val="00587FBD"/>
    <w:rsid w:val="00590A8E"/>
    <w:rsid w:val="005921ED"/>
    <w:rsid w:val="00592CAB"/>
    <w:rsid w:val="00593628"/>
    <w:rsid w:val="0059500A"/>
    <w:rsid w:val="0059745E"/>
    <w:rsid w:val="005A08BE"/>
    <w:rsid w:val="005A4358"/>
    <w:rsid w:val="005A5F10"/>
    <w:rsid w:val="005A6378"/>
    <w:rsid w:val="005A69E2"/>
    <w:rsid w:val="005A6C7B"/>
    <w:rsid w:val="005A7D77"/>
    <w:rsid w:val="005B01F2"/>
    <w:rsid w:val="005B4F29"/>
    <w:rsid w:val="005B5378"/>
    <w:rsid w:val="005B5F54"/>
    <w:rsid w:val="005C3D9A"/>
    <w:rsid w:val="005C6B17"/>
    <w:rsid w:val="005D090E"/>
    <w:rsid w:val="005D330D"/>
    <w:rsid w:val="005D40C7"/>
    <w:rsid w:val="005D4382"/>
    <w:rsid w:val="005D4D4F"/>
    <w:rsid w:val="005D5B48"/>
    <w:rsid w:val="005D60FF"/>
    <w:rsid w:val="005D6922"/>
    <w:rsid w:val="005D75C3"/>
    <w:rsid w:val="005E0C51"/>
    <w:rsid w:val="005E390F"/>
    <w:rsid w:val="005E39DC"/>
    <w:rsid w:val="005E56CB"/>
    <w:rsid w:val="005E6754"/>
    <w:rsid w:val="005F05CF"/>
    <w:rsid w:val="005F10BC"/>
    <w:rsid w:val="005F178B"/>
    <w:rsid w:val="005F2E90"/>
    <w:rsid w:val="005F3184"/>
    <w:rsid w:val="005F35E2"/>
    <w:rsid w:val="005F4702"/>
    <w:rsid w:val="005F4A9E"/>
    <w:rsid w:val="005F4C5B"/>
    <w:rsid w:val="005F5031"/>
    <w:rsid w:val="005F5398"/>
    <w:rsid w:val="005F6D05"/>
    <w:rsid w:val="005F7940"/>
    <w:rsid w:val="006000EA"/>
    <w:rsid w:val="00600271"/>
    <w:rsid w:val="006015C3"/>
    <w:rsid w:val="0060192A"/>
    <w:rsid w:val="00603D1C"/>
    <w:rsid w:val="00604B46"/>
    <w:rsid w:val="00605D0C"/>
    <w:rsid w:val="00607554"/>
    <w:rsid w:val="00607CD1"/>
    <w:rsid w:val="00613C23"/>
    <w:rsid w:val="00613EA0"/>
    <w:rsid w:val="006140FA"/>
    <w:rsid w:val="0061492A"/>
    <w:rsid w:val="0061524E"/>
    <w:rsid w:val="00615576"/>
    <w:rsid w:val="0061563D"/>
    <w:rsid w:val="006158BA"/>
    <w:rsid w:val="00617175"/>
    <w:rsid w:val="006172CD"/>
    <w:rsid w:val="00617E3A"/>
    <w:rsid w:val="006207F3"/>
    <w:rsid w:val="006216D9"/>
    <w:rsid w:val="00621F3C"/>
    <w:rsid w:val="00623C44"/>
    <w:rsid w:val="00625C7F"/>
    <w:rsid w:val="006301EB"/>
    <w:rsid w:val="00631505"/>
    <w:rsid w:val="00631DA5"/>
    <w:rsid w:val="0063259E"/>
    <w:rsid w:val="006327F5"/>
    <w:rsid w:val="0063491D"/>
    <w:rsid w:val="00640D08"/>
    <w:rsid w:val="00642706"/>
    <w:rsid w:val="00642A13"/>
    <w:rsid w:val="00642A8F"/>
    <w:rsid w:val="006437DA"/>
    <w:rsid w:val="00643ECB"/>
    <w:rsid w:val="0064401B"/>
    <w:rsid w:val="0064422C"/>
    <w:rsid w:val="00644313"/>
    <w:rsid w:val="00645170"/>
    <w:rsid w:val="0065133F"/>
    <w:rsid w:val="0065242B"/>
    <w:rsid w:val="00652638"/>
    <w:rsid w:val="006536D9"/>
    <w:rsid w:val="0065458B"/>
    <w:rsid w:val="00654A2F"/>
    <w:rsid w:val="00654DC2"/>
    <w:rsid w:val="00655AC4"/>
    <w:rsid w:val="0065707C"/>
    <w:rsid w:val="006574BB"/>
    <w:rsid w:val="00657FCD"/>
    <w:rsid w:val="00660C81"/>
    <w:rsid w:val="00661965"/>
    <w:rsid w:val="00662E16"/>
    <w:rsid w:val="00662E83"/>
    <w:rsid w:val="00663DDD"/>
    <w:rsid w:val="00664F45"/>
    <w:rsid w:val="00666BF3"/>
    <w:rsid w:val="006706A5"/>
    <w:rsid w:val="006709E7"/>
    <w:rsid w:val="0067116A"/>
    <w:rsid w:val="00671A52"/>
    <w:rsid w:val="00671D61"/>
    <w:rsid w:val="00672851"/>
    <w:rsid w:val="006747AD"/>
    <w:rsid w:val="00680324"/>
    <w:rsid w:val="006811E0"/>
    <w:rsid w:val="006836BF"/>
    <w:rsid w:val="00685438"/>
    <w:rsid w:val="00685C47"/>
    <w:rsid w:val="00686195"/>
    <w:rsid w:val="0068734F"/>
    <w:rsid w:val="006873CB"/>
    <w:rsid w:val="006878D9"/>
    <w:rsid w:val="00690B33"/>
    <w:rsid w:val="00690F25"/>
    <w:rsid w:val="00693910"/>
    <w:rsid w:val="00694B21"/>
    <w:rsid w:val="00695654"/>
    <w:rsid w:val="00697E1F"/>
    <w:rsid w:val="006A0461"/>
    <w:rsid w:val="006A0550"/>
    <w:rsid w:val="006A0B82"/>
    <w:rsid w:val="006A29BE"/>
    <w:rsid w:val="006A2C4F"/>
    <w:rsid w:val="006A4113"/>
    <w:rsid w:val="006A5CFC"/>
    <w:rsid w:val="006A5DB1"/>
    <w:rsid w:val="006A780B"/>
    <w:rsid w:val="006A7945"/>
    <w:rsid w:val="006A7DB6"/>
    <w:rsid w:val="006B1632"/>
    <w:rsid w:val="006B1689"/>
    <w:rsid w:val="006B247F"/>
    <w:rsid w:val="006B460D"/>
    <w:rsid w:val="006B60F1"/>
    <w:rsid w:val="006C56A5"/>
    <w:rsid w:val="006C58A2"/>
    <w:rsid w:val="006C5BFF"/>
    <w:rsid w:val="006C5D46"/>
    <w:rsid w:val="006C5DAF"/>
    <w:rsid w:val="006D0207"/>
    <w:rsid w:val="006D04EE"/>
    <w:rsid w:val="006D237A"/>
    <w:rsid w:val="006D3169"/>
    <w:rsid w:val="006D590F"/>
    <w:rsid w:val="006D6E56"/>
    <w:rsid w:val="006E0ACD"/>
    <w:rsid w:val="006E19CA"/>
    <w:rsid w:val="006E1C9D"/>
    <w:rsid w:val="006E270D"/>
    <w:rsid w:val="006E3492"/>
    <w:rsid w:val="006E3777"/>
    <w:rsid w:val="006E50F1"/>
    <w:rsid w:val="006F0018"/>
    <w:rsid w:val="006F32C7"/>
    <w:rsid w:val="006F381F"/>
    <w:rsid w:val="006F3C92"/>
    <w:rsid w:val="006F4482"/>
    <w:rsid w:val="006F59DE"/>
    <w:rsid w:val="00700664"/>
    <w:rsid w:val="00701FAC"/>
    <w:rsid w:val="00702EF7"/>
    <w:rsid w:val="00703330"/>
    <w:rsid w:val="00704460"/>
    <w:rsid w:val="00704A66"/>
    <w:rsid w:val="007052E1"/>
    <w:rsid w:val="0070698C"/>
    <w:rsid w:val="00706A32"/>
    <w:rsid w:val="007078B7"/>
    <w:rsid w:val="00710EAE"/>
    <w:rsid w:val="007132B5"/>
    <w:rsid w:val="00714DAA"/>
    <w:rsid w:val="00715A44"/>
    <w:rsid w:val="00715D19"/>
    <w:rsid w:val="00716DBB"/>
    <w:rsid w:val="00717887"/>
    <w:rsid w:val="00717AA6"/>
    <w:rsid w:val="00720090"/>
    <w:rsid w:val="0072487D"/>
    <w:rsid w:val="007258B9"/>
    <w:rsid w:val="00732C4E"/>
    <w:rsid w:val="00733D05"/>
    <w:rsid w:val="00736CA8"/>
    <w:rsid w:val="00737C3A"/>
    <w:rsid w:val="00737F05"/>
    <w:rsid w:val="00740D7F"/>
    <w:rsid w:val="007431F5"/>
    <w:rsid w:val="00743E16"/>
    <w:rsid w:val="00745223"/>
    <w:rsid w:val="007455B2"/>
    <w:rsid w:val="00745908"/>
    <w:rsid w:val="007477F4"/>
    <w:rsid w:val="00752178"/>
    <w:rsid w:val="0075282E"/>
    <w:rsid w:val="00752F02"/>
    <w:rsid w:val="00753516"/>
    <w:rsid w:val="00754881"/>
    <w:rsid w:val="00754AB5"/>
    <w:rsid w:val="0075617D"/>
    <w:rsid w:val="007564AB"/>
    <w:rsid w:val="00756930"/>
    <w:rsid w:val="00756DFA"/>
    <w:rsid w:val="00757C4B"/>
    <w:rsid w:val="00761B0B"/>
    <w:rsid w:val="007631E0"/>
    <w:rsid w:val="00763222"/>
    <w:rsid w:val="00765781"/>
    <w:rsid w:val="00766353"/>
    <w:rsid w:val="00774460"/>
    <w:rsid w:val="00780296"/>
    <w:rsid w:val="00780707"/>
    <w:rsid w:val="00780972"/>
    <w:rsid w:val="007849A8"/>
    <w:rsid w:val="00787B2C"/>
    <w:rsid w:val="00787D24"/>
    <w:rsid w:val="007958D9"/>
    <w:rsid w:val="00796760"/>
    <w:rsid w:val="007A1DC5"/>
    <w:rsid w:val="007A20AD"/>
    <w:rsid w:val="007A5D05"/>
    <w:rsid w:val="007A7331"/>
    <w:rsid w:val="007A7415"/>
    <w:rsid w:val="007B0CB0"/>
    <w:rsid w:val="007B1F99"/>
    <w:rsid w:val="007B30E6"/>
    <w:rsid w:val="007B3A86"/>
    <w:rsid w:val="007B3DF4"/>
    <w:rsid w:val="007B54ED"/>
    <w:rsid w:val="007B596C"/>
    <w:rsid w:val="007C1403"/>
    <w:rsid w:val="007C31CC"/>
    <w:rsid w:val="007C3E46"/>
    <w:rsid w:val="007C6751"/>
    <w:rsid w:val="007D0E00"/>
    <w:rsid w:val="007D0FC5"/>
    <w:rsid w:val="007D1913"/>
    <w:rsid w:val="007D298C"/>
    <w:rsid w:val="007D3420"/>
    <w:rsid w:val="007D5362"/>
    <w:rsid w:val="007D6110"/>
    <w:rsid w:val="007D6AFD"/>
    <w:rsid w:val="007D6C48"/>
    <w:rsid w:val="007D71F7"/>
    <w:rsid w:val="007E000F"/>
    <w:rsid w:val="007E156E"/>
    <w:rsid w:val="007E2E70"/>
    <w:rsid w:val="007E3501"/>
    <w:rsid w:val="007E4C3F"/>
    <w:rsid w:val="007F2683"/>
    <w:rsid w:val="007F2956"/>
    <w:rsid w:val="007F2E32"/>
    <w:rsid w:val="007F6A11"/>
    <w:rsid w:val="008002AA"/>
    <w:rsid w:val="00801E78"/>
    <w:rsid w:val="0080230D"/>
    <w:rsid w:val="00810827"/>
    <w:rsid w:val="00810FAF"/>
    <w:rsid w:val="008127D6"/>
    <w:rsid w:val="00814E45"/>
    <w:rsid w:val="00817DA7"/>
    <w:rsid w:val="00821B16"/>
    <w:rsid w:val="00824CEF"/>
    <w:rsid w:val="008254AB"/>
    <w:rsid w:val="00826480"/>
    <w:rsid w:val="00830148"/>
    <w:rsid w:val="008316AD"/>
    <w:rsid w:val="008317E8"/>
    <w:rsid w:val="00831855"/>
    <w:rsid w:val="00832EA7"/>
    <w:rsid w:val="00835315"/>
    <w:rsid w:val="00835AEB"/>
    <w:rsid w:val="00840D0F"/>
    <w:rsid w:val="008414B4"/>
    <w:rsid w:val="0084200E"/>
    <w:rsid w:val="00842A84"/>
    <w:rsid w:val="00842FDE"/>
    <w:rsid w:val="008445D4"/>
    <w:rsid w:val="008446F1"/>
    <w:rsid w:val="0084533F"/>
    <w:rsid w:val="00846FF0"/>
    <w:rsid w:val="00847C5D"/>
    <w:rsid w:val="00854B56"/>
    <w:rsid w:val="0085728C"/>
    <w:rsid w:val="00857A42"/>
    <w:rsid w:val="008611A4"/>
    <w:rsid w:val="00861466"/>
    <w:rsid w:val="00861FD7"/>
    <w:rsid w:val="0086363F"/>
    <w:rsid w:val="008639C9"/>
    <w:rsid w:val="008667AD"/>
    <w:rsid w:val="00866D13"/>
    <w:rsid w:val="00874DEF"/>
    <w:rsid w:val="00875599"/>
    <w:rsid w:val="008765FA"/>
    <w:rsid w:val="0088013C"/>
    <w:rsid w:val="00881882"/>
    <w:rsid w:val="00882AC7"/>
    <w:rsid w:val="00882CC5"/>
    <w:rsid w:val="008835E3"/>
    <w:rsid w:val="00883958"/>
    <w:rsid w:val="00884452"/>
    <w:rsid w:val="008905D7"/>
    <w:rsid w:val="008934C7"/>
    <w:rsid w:val="00893951"/>
    <w:rsid w:val="008957C4"/>
    <w:rsid w:val="00895B87"/>
    <w:rsid w:val="00895EB5"/>
    <w:rsid w:val="008960B7"/>
    <w:rsid w:val="008962F2"/>
    <w:rsid w:val="00896511"/>
    <w:rsid w:val="0089692A"/>
    <w:rsid w:val="00896F35"/>
    <w:rsid w:val="008975E7"/>
    <w:rsid w:val="008A08D2"/>
    <w:rsid w:val="008A0DE1"/>
    <w:rsid w:val="008A2E7B"/>
    <w:rsid w:val="008A3EA4"/>
    <w:rsid w:val="008A7133"/>
    <w:rsid w:val="008B1D85"/>
    <w:rsid w:val="008B3920"/>
    <w:rsid w:val="008B5B9D"/>
    <w:rsid w:val="008B68C6"/>
    <w:rsid w:val="008B6F16"/>
    <w:rsid w:val="008B6F4B"/>
    <w:rsid w:val="008C0189"/>
    <w:rsid w:val="008C12FB"/>
    <w:rsid w:val="008C465E"/>
    <w:rsid w:val="008C4CE4"/>
    <w:rsid w:val="008C5856"/>
    <w:rsid w:val="008C6787"/>
    <w:rsid w:val="008C73D6"/>
    <w:rsid w:val="008D0C62"/>
    <w:rsid w:val="008D179E"/>
    <w:rsid w:val="008D2CD6"/>
    <w:rsid w:val="008D4939"/>
    <w:rsid w:val="008D50C8"/>
    <w:rsid w:val="008D60B8"/>
    <w:rsid w:val="008D7FC7"/>
    <w:rsid w:val="008E04DD"/>
    <w:rsid w:val="008E3783"/>
    <w:rsid w:val="008E3D60"/>
    <w:rsid w:val="008E45DB"/>
    <w:rsid w:val="008E7390"/>
    <w:rsid w:val="008F05C2"/>
    <w:rsid w:val="008F1F00"/>
    <w:rsid w:val="008F42BB"/>
    <w:rsid w:val="008F47D1"/>
    <w:rsid w:val="008F57E0"/>
    <w:rsid w:val="00905434"/>
    <w:rsid w:val="00905C39"/>
    <w:rsid w:val="009060CF"/>
    <w:rsid w:val="009072F6"/>
    <w:rsid w:val="00907697"/>
    <w:rsid w:val="009113AE"/>
    <w:rsid w:val="009116CC"/>
    <w:rsid w:val="00912262"/>
    <w:rsid w:val="00912A52"/>
    <w:rsid w:val="00912BE1"/>
    <w:rsid w:val="00920041"/>
    <w:rsid w:val="00921F3C"/>
    <w:rsid w:val="009221CC"/>
    <w:rsid w:val="00923A05"/>
    <w:rsid w:val="00924F4A"/>
    <w:rsid w:val="009259EF"/>
    <w:rsid w:val="00927320"/>
    <w:rsid w:val="00927725"/>
    <w:rsid w:val="00927DC4"/>
    <w:rsid w:val="009304FE"/>
    <w:rsid w:val="00930782"/>
    <w:rsid w:val="009310F0"/>
    <w:rsid w:val="0093422B"/>
    <w:rsid w:val="0093570A"/>
    <w:rsid w:val="009363C8"/>
    <w:rsid w:val="00936C3C"/>
    <w:rsid w:val="00936EC8"/>
    <w:rsid w:val="00940C78"/>
    <w:rsid w:val="00941138"/>
    <w:rsid w:val="00942DAE"/>
    <w:rsid w:val="00943F6E"/>
    <w:rsid w:val="00945D59"/>
    <w:rsid w:val="00947F9D"/>
    <w:rsid w:val="00951D24"/>
    <w:rsid w:val="00952049"/>
    <w:rsid w:val="00953BC2"/>
    <w:rsid w:val="00954376"/>
    <w:rsid w:val="009564F3"/>
    <w:rsid w:val="009565E3"/>
    <w:rsid w:val="00956972"/>
    <w:rsid w:val="00961E91"/>
    <w:rsid w:val="00962F6C"/>
    <w:rsid w:val="00963876"/>
    <w:rsid w:val="00964BC8"/>
    <w:rsid w:val="00966051"/>
    <w:rsid w:val="00974568"/>
    <w:rsid w:val="0097493A"/>
    <w:rsid w:val="00977973"/>
    <w:rsid w:val="00981DB5"/>
    <w:rsid w:val="00981F79"/>
    <w:rsid w:val="009834E9"/>
    <w:rsid w:val="00984326"/>
    <w:rsid w:val="009850EF"/>
    <w:rsid w:val="0098630C"/>
    <w:rsid w:val="009868FC"/>
    <w:rsid w:val="00991A16"/>
    <w:rsid w:val="00993BEE"/>
    <w:rsid w:val="009961EE"/>
    <w:rsid w:val="00996FC8"/>
    <w:rsid w:val="009A0389"/>
    <w:rsid w:val="009A0BF1"/>
    <w:rsid w:val="009A23A4"/>
    <w:rsid w:val="009A43AF"/>
    <w:rsid w:val="009B0086"/>
    <w:rsid w:val="009B0DF1"/>
    <w:rsid w:val="009B4416"/>
    <w:rsid w:val="009B4E8F"/>
    <w:rsid w:val="009B5E0E"/>
    <w:rsid w:val="009B75B8"/>
    <w:rsid w:val="009B7FCB"/>
    <w:rsid w:val="009C07DF"/>
    <w:rsid w:val="009C0E2E"/>
    <w:rsid w:val="009C190C"/>
    <w:rsid w:val="009C2436"/>
    <w:rsid w:val="009C77A0"/>
    <w:rsid w:val="009C79CB"/>
    <w:rsid w:val="009D1640"/>
    <w:rsid w:val="009D21D0"/>
    <w:rsid w:val="009D2FBA"/>
    <w:rsid w:val="009D351E"/>
    <w:rsid w:val="009D7787"/>
    <w:rsid w:val="009E02C9"/>
    <w:rsid w:val="009E2A96"/>
    <w:rsid w:val="009E2F60"/>
    <w:rsid w:val="009E39DC"/>
    <w:rsid w:val="009E44D4"/>
    <w:rsid w:val="009E455F"/>
    <w:rsid w:val="009E5575"/>
    <w:rsid w:val="009E5645"/>
    <w:rsid w:val="009E56B4"/>
    <w:rsid w:val="009E67DD"/>
    <w:rsid w:val="009E6A66"/>
    <w:rsid w:val="009F081F"/>
    <w:rsid w:val="009F43C3"/>
    <w:rsid w:val="009F4C44"/>
    <w:rsid w:val="00A020B4"/>
    <w:rsid w:val="00A02F3C"/>
    <w:rsid w:val="00A043FE"/>
    <w:rsid w:val="00A05916"/>
    <w:rsid w:val="00A05AA6"/>
    <w:rsid w:val="00A06192"/>
    <w:rsid w:val="00A07065"/>
    <w:rsid w:val="00A101B5"/>
    <w:rsid w:val="00A10864"/>
    <w:rsid w:val="00A10886"/>
    <w:rsid w:val="00A11861"/>
    <w:rsid w:val="00A1266A"/>
    <w:rsid w:val="00A1389B"/>
    <w:rsid w:val="00A15691"/>
    <w:rsid w:val="00A1622A"/>
    <w:rsid w:val="00A16EEB"/>
    <w:rsid w:val="00A20575"/>
    <w:rsid w:val="00A2114F"/>
    <w:rsid w:val="00A2216E"/>
    <w:rsid w:val="00A22F5A"/>
    <w:rsid w:val="00A2370B"/>
    <w:rsid w:val="00A23F13"/>
    <w:rsid w:val="00A245DE"/>
    <w:rsid w:val="00A26956"/>
    <w:rsid w:val="00A27ACC"/>
    <w:rsid w:val="00A27C20"/>
    <w:rsid w:val="00A30EA6"/>
    <w:rsid w:val="00A31523"/>
    <w:rsid w:val="00A31536"/>
    <w:rsid w:val="00A31FAC"/>
    <w:rsid w:val="00A3269B"/>
    <w:rsid w:val="00A346FE"/>
    <w:rsid w:val="00A3596C"/>
    <w:rsid w:val="00A36B1D"/>
    <w:rsid w:val="00A36E14"/>
    <w:rsid w:val="00A40446"/>
    <w:rsid w:val="00A437BB"/>
    <w:rsid w:val="00A4716C"/>
    <w:rsid w:val="00A5218D"/>
    <w:rsid w:val="00A52978"/>
    <w:rsid w:val="00A53130"/>
    <w:rsid w:val="00A5412B"/>
    <w:rsid w:val="00A57AFD"/>
    <w:rsid w:val="00A6042C"/>
    <w:rsid w:val="00A628DE"/>
    <w:rsid w:val="00A64735"/>
    <w:rsid w:val="00A64AC6"/>
    <w:rsid w:val="00A666B7"/>
    <w:rsid w:val="00A66B50"/>
    <w:rsid w:val="00A72556"/>
    <w:rsid w:val="00A7322E"/>
    <w:rsid w:val="00A73601"/>
    <w:rsid w:val="00A7422E"/>
    <w:rsid w:val="00A746B4"/>
    <w:rsid w:val="00A80B08"/>
    <w:rsid w:val="00A84536"/>
    <w:rsid w:val="00A8510A"/>
    <w:rsid w:val="00A8514D"/>
    <w:rsid w:val="00A85226"/>
    <w:rsid w:val="00A857A7"/>
    <w:rsid w:val="00A860D4"/>
    <w:rsid w:val="00A92240"/>
    <w:rsid w:val="00A944A8"/>
    <w:rsid w:val="00A96067"/>
    <w:rsid w:val="00A968A6"/>
    <w:rsid w:val="00A973D1"/>
    <w:rsid w:val="00AA5C5A"/>
    <w:rsid w:val="00AA72B5"/>
    <w:rsid w:val="00AB2C4F"/>
    <w:rsid w:val="00AB4CBC"/>
    <w:rsid w:val="00AB5020"/>
    <w:rsid w:val="00AB5F73"/>
    <w:rsid w:val="00AB6968"/>
    <w:rsid w:val="00AB699B"/>
    <w:rsid w:val="00AB6D5E"/>
    <w:rsid w:val="00AB6EAA"/>
    <w:rsid w:val="00AC113A"/>
    <w:rsid w:val="00AC1E64"/>
    <w:rsid w:val="00AC2919"/>
    <w:rsid w:val="00AC3473"/>
    <w:rsid w:val="00AC3B04"/>
    <w:rsid w:val="00AC4230"/>
    <w:rsid w:val="00AC4746"/>
    <w:rsid w:val="00AC5FB9"/>
    <w:rsid w:val="00AC6A03"/>
    <w:rsid w:val="00AC6F04"/>
    <w:rsid w:val="00AC7204"/>
    <w:rsid w:val="00AD07F3"/>
    <w:rsid w:val="00AD1FB6"/>
    <w:rsid w:val="00AD22B6"/>
    <w:rsid w:val="00AD59EB"/>
    <w:rsid w:val="00AD5C38"/>
    <w:rsid w:val="00AE2494"/>
    <w:rsid w:val="00AE2D37"/>
    <w:rsid w:val="00AE2D7B"/>
    <w:rsid w:val="00AE3F6D"/>
    <w:rsid w:val="00AE655A"/>
    <w:rsid w:val="00AE7768"/>
    <w:rsid w:val="00AF0964"/>
    <w:rsid w:val="00AF0AC1"/>
    <w:rsid w:val="00AF16AA"/>
    <w:rsid w:val="00AF3F3E"/>
    <w:rsid w:val="00AF41FA"/>
    <w:rsid w:val="00AF42E1"/>
    <w:rsid w:val="00AF4B50"/>
    <w:rsid w:val="00AF4E66"/>
    <w:rsid w:val="00AF6DD9"/>
    <w:rsid w:val="00B001CE"/>
    <w:rsid w:val="00B01F47"/>
    <w:rsid w:val="00B021F9"/>
    <w:rsid w:val="00B034A8"/>
    <w:rsid w:val="00B03703"/>
    <w:rsid w:val="00B044F4"/>
    <w:rsid w:val="00B05C76"/>
    <w:rsid w:val="00B07E37"/>
    <w:rsid w:val="00B101A9"/>
    <w:rsid w:val="00B102CD"/>
    <w:rsid w:val="00B106F6"/>
    <w:rsid w:val="00B10F4E"/>
    <w:rsid w:val="00B11E5B"/>
    <w:rsid w:val="00B146AF"/>
    <w:rsid w:val="00B1511A"/>
    <w:rsid w:val="00B15D08"/>
    <w:rsid w:val="00B16E7E"/>
    <w:rsid w:val="00B20655"/>
    <w:rsid w:val="00B20AC4"/>
    <w:rsid w:val="00B2631A"/>
    <w:rsid w:val="00B265B1"/>
    <w:rsid w:val="00B26D8F"/>
    <w:rsid w:val="00B301A2"/>
    <w:rsid w:val="00B303F0"/>
    <w:rsid w:val="00B30A47"/>
    <w:rsid w:val="00B312A4"/>
    <w:rsid w:val="00B32D74"/>
    <w:rsid w:val="00B3348E"/>
    <w:rsid w:val="00B35695"/>
    <w:rsid w:val="00B374C3"/>
    <w:rsid w:val="00B40231"/>
    <w:rsid w:val="00B402C9"/>
    <w:rsid w:val="00B40C7A"/>
    <w:rsid w:val="00B419E0"/>
    <w:rsid w:val="00B4266C"/>
    <w:rsid w:val="00B42ABB"/>
    <w:rsid w:val="00B42F5F"/>
    <w:rsid w:val="00B45042"/>
    <w:rsid w:val="00B50203"/>
    <w:rsid w:val="00B508E9"/>
    <w:rsid w:val="00B513A5"/>
    <w:rsid w:val="00B52B1B"/>
    <w:rsid w:val="00B531F1"/>
    <w:rsid w:val="00B547FB"/>
    <w:rsid w:val="00B54948"/>
    <w:rsid w:val="00B54F4D"/>
    <w:rsid w:val="00B555ED"/>
    <w:rsid w:val="00B55B97"/>
    <w:rsid w:val="00B56E5D"/>
    <w:rsid w:val="00B5729D"/>
    <w:rsid w:val="00B57E11"/>
    <w:rsid w:val="00B61727"/>
    <w:rsid w:val="00B6173F"/>
    <w:rsid w:val="00B64C58"/>
    <w:rsid w:val="00B66BAE"/>
    <w:rsid w:val="00B70517"/>
    <w:rsid w:val="00B7181E"/>
    <w:rsid w:val="00B72736"/>
    <w:rsid w:val="00B72809"/>
    <w:rsid w:val="00B72A2A"/>
    <w:rsid w:val="00B72D9A"/>
    <w:rsid w:val="00B72E8C"/>
    <w:rsid w:val="00B74F9D"/>
    <w:rsid w:val="00B751FF"/>
    <w:rsid w:val="00B75BB3"/>
    <w:rsid w:val="00B8045B"/>
    <w:rsid w:val="00B80BA7"/>
    <w:rsid w:val="00B80D03"/>
    <w:rsid w:val="00B8177E"/>
    <w:rsid w:val="00B81FD1"/>
    <w:rsid w:val="00B8394F"/>
    <w:rsid w:val="00B865E3"/>
    <w:rsid w:val="00B866CA"/>
    <w:rsid w:val="00B877AA"/>
    <w:rsid w:val="00B9185F"/>
    <w:rsid w:val="00B918B1"/>
    <w:rsid w:val="00B92D56"/>
    <w:rsid w:val="00B93F64"/>
    <w:rsid w:val="00B951C0"/>
    <w:rsid w:val="00B95A7D"/>
    <w:rsid w:val="00B96A3D"/>
    <w:rsid w:val="00BA4BFE"/>
    <w:rsid w:val="00BA4EA6"/>
    <w:rsid w:val="00BA567A"/>
    <w:rsid w:val="00BA657A"/>
    <w:rsid w:val="00BA7BD2"/>
    <w:rsid w:val="00BB1257"/>
    <w:rsid w:val="00BB25C7"/>
    <w:rsid w:val="00BB276B"/>
    <w:rsid w:val="00BB354F"/>
    <w:rsid w:val="00BB36A8"/>
    <w:rsid w:val="00BB4228"/>
    <w:rsid w:val="00BB4825"/>
    <w:rsid w:val="00BB5B0A"/>
    <w:rsid w:val="00BB700A"/>
    <w:rsid w:val="00BB7187"/>
    <w:rsid w:val="00BC0BCB"/>
    <w:rsid w:val="00BC108B"/>
    <w:rsid w:val="00BC12B6"/>
    <w:rsid w:val="00BC2DCC"/>
    <w:rsid w:val="00BC2DF0"/>
    <w:rsid w:val="00BC321A"/>
    <w:rsid w:val="00BC3531"/>
    <w:rsid w:val="00BC3F05"/>
    <w:rsid w:val="00BC45CB"/>
    <w:rsid w:val="00BC5C7E"/>
    <w:rsid w:val="00BD1E93"/>
    <w:rsid w:val="00BD1F85"/>
    <w:rsid w:val="00BD27A4"/>
    <w:rsid w:val="00BD57BE"/>
    <w:rsid w:val="00BD720D"/>
    <w:rsid w:val="00BE1981"/>
    <w:rsid w:val="00BE1985"/>
    <w:rsid w:val="00BE2DFC"/>
    <w:rsid w:val="00BE37E1"/>
    <w:rsid w:val="00BE448A"/>
    <w:rsid w:val="00BE6B92"/>
    <w:rsid w:val="00BE6BBF"/>
    <w:rsid w:val="00BE73F0"/>
    <w:rsid w:val="00BF335C"/>
    <w:rsid w:val="00BF48C1"/>
    <w:rsid w:val="00BF5828"/>
    <w:rsid w:val="00BF6C75"/>
    <w:rsid w:val="00BF7A60"/>
    <w:rsid w:val="00C00570"/>
    <w:rsid w:val="00C00AE5"/>
    <w:rsid w:val="00C02B21"/>
    <w:rsid w:val="00C03981"/>
    <w:rsid w:val="00C04218"/>
    <w:rsid w:val="00C05103"/>
    <w:rsid w:val="00C0704F"/>
    <w:rsid w:val="00C07844"/>
    <w:rsid w:val="00C07AD3"/>
    <w:rsid w:val="00C100E8"/>
    <w:rsid w:val="00C104A3"/>
    <w:rsid w:val="00C1369E"/>
    <w:rsid w:val="00C13ED1"/>
    <w:rsid w:val="00C1408E"/>
    <w:rsid w:val="00C14801"/>
    <w:rsid w:val="00C14D24"/>
    <w:rsid w:val="00C15225"/>
    <w:rsid w:val="00C152B8"/>
    <w:rsid w:val="00C16966"/>
    <w:rsid w:val="00C16E1E"/>
    <w:rsid w:val="00C25829"/>
    <w:rsid w:val="00C26422"/>
    <w:rsid w:val="00C26763"/>
    <w:rsid w:val="00C26C7C"/>
    <w:rsid w:val="00C276FE"/>
    <w:rsid w:val="00C32484"/>
    <w:rsid w:val="00C3269F"/>
    <w:rsid w:val="00C33C89"/>
    <w:rsid w:val="00C34D03"/>
    <w:rsid w:val="00C3623A"/>
    <w:rsid w:val="00C41F4A"/>
    <w:rsid w:val="00C44C77"/>
    <w:rsid w:val="00C45358"/>
    <w:rsid w:val="00C45513"/>
    <w:rsid w:val="00C4681F"/>
    <w:rsid w:val="00C51391"/>
    <w:rsid w:val="00C56CDC"/>
    <w:rsid w:val="00C577BF"/>
    <w:rsid w:val="00C609DF"/>
    <w:rsid w:val="00C6107C"/>
    <w:rsid w:val="00C6111C"/>
    <w:rsid w:val="00C65A7D"/>
    <w:rsid w:val="00C65E9D"/>
    <w:rsid w:val="00C70497"/>
    <w:rsid w:val="00C704B8"/>
    <w:rsid w:val="00C704E5"/>
    <w:rsid w:val="00C7149A"/>
    <w:rsid w:val="00C73BFF"/>
    <w:rsid w:val="00C740BF"/>
    <w:rsid w:val="00C748AB"/>
    <w:rsid w:val="00C74E95"/>
    <w:rsid w:val="00C74FDD"/>
    <w:rsid w:val="00C77A62"/>
    <w:rsid w:val="00C81097"/>
    <w:rsid w:val="00C81704"/>
    <w:rsid w:val="00C83B69"/>
    <w:rsid w:val="00C848D1"/>
    <w:rsid w:val="00C869F3"/>
    <w:rsid w:val="00C86C12"/>
    <w:rsid w:val="00C86F0C"/>
    <w:rsid w:val="00C87880"/>
    <w:rsid w:val="00C918DF"/>
    <w:rsid w:val="00C93939"/>
    <w:rsid w:val="00C96027"/>
    <w:rsid w:val="00C96BC5"/>
    <w:rsid w:val="00C97BC9"/>
    <w:rsid w:val="00C97FC8"/>
    <w:rsid w:val="00CA0724"/>
    <w:rsid w:val="00CA1972"/>
    <w:rsid w:val="00CA1C47"/>
    <w:rsid w:val="00CA3612"/>
    <w:rsid w:val="00CA372D"/>
    <w:rsid w:val="00CA3FCC"/>
    <w:rsid w:val="00CA4C2D"/>
    <w:rsid w:val="00CA574C"/>
    <w:rsid w:val="00CA630A"/>
    <w:rsid w:val="00CA63A8"/>
    <w:rsid w:val="00CA6536"/>
    <w:rsid w:val="00CA6B73"/>
    <w:rsid w:val="00CA6BAF"/>
    <w:rsid w:val="00CB0B66"/>
    <w:rsid w:val="00CB1C25"/>
    <w:rsid w:val="00CB6336"/>
    <w:rsid w:val="00CC14C4"/>
    <w:rsid w:val="00CC199C"/>
    <w:rsid w:val="00CC4EB1"/>
    <w:rsid w:val="00CC54C3"/>
    <w:rsid w:val="00CC5812"/>
    <w:rsid w:val="00CC6BD1"/>
    <w:rsid w:val="00CC714E"/>
    <w:rsid w:val="00CD1C84"/>
    <w:rsid w:val="00CD24A8"/>
    <w:rsid w:val="00CD32A8"/>
    <w:rsid w:val="00CD38B6"/>
    <w:rsid w:val="00CD5D7F"/>
    <w:rsid w:val="00CD7494"/>
    <w:rsid w:val="00CD7578"/>
    <w:rsid w:val="00CD7D3D"/>
    <w:rsid w:val="00CE1416"/>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2459"/>
    <w:rsid w:val="00CF2B70"/>
    <w:rsid w:val="00CF39C9"/>
    <w:rsid w:val="00D01C1F"/>
    <w:rsid w:val="00D025A0"/>
    <w:rsid w:val="00D028B9"/>
    <w:rsid w:val="00D04F78"/>
    <w:rsid w:val="00D05704"/>
    <w:rsid w:val="00D10CE0"/>
    <w:rsid w:val="00D12493"/>
    <w:rsid w:val="00D14EF9"/>
    <w:rsid w:val="00D15AE9"/>
    <w:rsid w:val="00D21282"/>
    <w:rsid w:val="00D21CD0"/>
    <w:rsid w:val="00D222D0"/>
    <w:rsid w:val="00D2377A"/>
    <w:rsid w:val="00D23D51"/>
    <w:rsid w:val="00D30E85"/>
    <w:rsid w:val="00D325CD"/>
    <w:rsid w:val="00D32B20"/>
    <w:rsid w:val="00D33BAD"/>
    <w:rsid w:val="00D343B7"/>
    <w:rsid w:val="00D3501F"/>
    <w:rsid w:val="00D36224"/>
    <w:rsid w:val="00D416AA"/>
    <w:rsid w:val="00D41FF6"/>
    <w:rsid w:val="00D44A20"/>
    <w:rsid w:val="00D45FDF"/>
    <w:rsid w:val="00D50742"/>
    <w:rsid w:val="00D50EE4"/>
    <w:rsid w:val="00D540B2"/>
    <w:rsid w:val="00D5532A"/>
    <w:rsid w:val="00D55558"/>
    <w:rsid w:val="00D556A2"/>
    <w:rsid w:val="00D55FDF"/>
    <w:rsid w:val="00D5616B"/>
    <w:rsid w:val="00D5673B"/>
    <w:rsid w:val="00D56769"/>
    <w:rsid w:val="00D56F3D"/>
    <w:rsid w:val="00D63483"/>
    <w:rsid w:val="00D63FC0"/>
    <w:rsid w:val="00D64909"/>
    <w:rsid w:val="00D65037"/>
    <w:rsid w:val="00D66349"/>
    <w:rsid w:val="00D66661"/>
    <w:rsid w:val="00D66F4D"/>
    <w:rsid w:val="00D74447"/>
    <w:rsid w:val="00D75111"/>
    <w:rsid w:val="00D75B68"/>
    <w:rsid w:val="00D75DD0"/>
    <w:rsid w:val="00D76810"/>
    <w:rsid w:val="00D76EF3"/>
    <w:rsid w:val="00D80A47"/>
    <w:rsid w:val="00D81263"/>
    <w:rsid w:val="00D812C3"/>
    <w:rsid w:val="00D82992"/>
    <w:rsid w:val="00D83927"/>
    <w:rsid w:val="00D85E86"/>
    <w:rsid w:val="00D867A5"/>
    <w:rsid w:val="00D923E5"/>
    <w:rsid w:val="00D942D5"/>
    <w:rsid w:val="00D94C06"/>
    <w:rsid w:val="00D94DB6"/>
    <w:rsid w:val="00D964B5"/>
    <w:rsid w:val="00DA1938"/>
    <w:rsid w:val="00DA3675"/>
    <w:rsid w:val="00DA4B4A"/>
    <w:rsid w:val="00DA7199"/>
    <w:rsid w:val="00DB07BF"/>
    <w:rsid w:val="00DB56B4"/>
    <w:rsid w:val="00DB61A8"/>
    <w:rsid w:val="00DB65D5"/>
    <w:rsid w:val="00DC0374"/>
    <w:rsid w:val="00DC07A5"/>
    <w:rsid w:val="00DC0B14"/>
    <w:rsid w:val="00DC134F"/>
    <w:rsid w:val="00DC2DC4"/>
    <w:rsid w:val="00DC2FD3"/>
    <w:rsid w:val="00DC4F0E"/>
    <w:rsid w:val="00DC4F2E"/>
    <w:rsid w:val="00DC5F21"/>
    <w:rsid w:val="00DC6174"/>
    <w:rsid w:val="00DC6C80"/>
    <w:rsid w:val="00DC7085"/>
    <w:rsid w:val="00DD009F"/>
    <w:rsid w:val="00DD0EEF"/>
    <w:rsid w:val="00DD1E0A"/>
    <w:rsid w:val="00DD461A"/>
    <w:rsid w:val="00DD479B"/>
    <w:rsid w:val="00DD4AD2"/>
    <w:rsid w:val="00DD58FD"/>
    <w:rsid w:val="00DD5FC9"/>
    <w:rsid w:val="00DD6697"/>
    <w:rsid w:val="00DD77E6"/>
    <w:rsid w:val="00DD7963"/>
    <w:rsid w:val="00DE06E8"/>
    <w:rsid w:val="00DE167F"/>
    <w:rsid w:val="00DE1E91"/>
    <w:rsid w:val="00DE1F57"/>
    <w:rsid w:val="00DE3207"/>
    <w:rsid w:val="00DE4352"/>
    <w:rsid w:val="00DE5D05"/>
    <w:rsid w:val="00DE6CE8"/>
    <w:rsid w:val="00DE6DAB"/>
    <w:rsid w:val="00DE7AB3"/>
    <w:rsid w:val="00DF0036"/>
    <w:rsid w:val="00DF0724"/>
    <w:rsid w:val="00DF4141"/>
    <w:rsid w:val="00DF4AA9"/>
    <w:rsid w:val="00DF4BD9"/>
    <w:rsid w:val="00DF6AC2"/>
    <w:rsid w:val="00DF7AAA"/>
    <w:rsid w:val="00E007AE"/>
    <w:rsid w:val="00E028C2"/>
    <w:rsid w:val="00E04197"/>
    <w:rsid w:val="00E05189"/>
    <w:rsid w:val="00E05801"/>
    <w:rsid w:val="00E05C7D"/>
    <w:rsid w:val="00E06113"/>
    <w:rsid w:val="00E064FC"/>
    <w:rsid w:val="00E0717C"/>
    <w:rsid w:val="00E07E99"/>
    <w:rsid w:val="00E1053D"/>
    <w:rsid w:val="00E11C9E"/>
    <w:rsid w:val="00E12301"/>
    <w:rsid w:val="00E12922"/>
    <w:rsid w:val="00E12E16"/>
    <w:rsid w:val="00E13CEA"/>
    <w:rsid w:val="00E14272"/>
    <w:rsid w:val="00E1487A"/>
    <w:rsid w:val="00E1561C"/>
    <w:rsid w:val="00E1648B"/>
    <w:rsid w:val="00E22AF2"/>
    <w:rsid w:val="00E23ECA"/>
    <w:rsid w:val="00E240F1"/>
    <w:rsid w:val="00E25274"/>
    <w:rsid w:val="00E26111"/>
    <w:rsid w:val="00E266C1"/>
    <w:rsid w:val="00E26E0C"/>
    <w:rsid w:val="00E302B8"/>
    <w:rsid w:val="00E31C44"/>
    <w:rsid w:val="00E3397D"/>
    <w:rsid w:val="00E34401"/>
    <w:rsid w:val="00E34CCD"/>
    <w:rsid w:val="00E3553E"/>
    <w:rsid w:val="00E375A3"/>
    <w:rsid w:val="00E375EE"/>
    <w:rsid w:val="00E37A09"/>
    <w:rsid w:val="00E40E74"/>
    <w:rsid w:val="00E412C8"/>
    <w:rsid w:val="00E4139F"/>
    <w:rsid w:val="00E42464"/>
    <w:rsid w:val="00E442D3"/>
    <w:rsid w:val="00E46C3A"/>
    <w:rsid w:val="00E501E9"/>
    <w:rsid w:val="00E53916"/>
    <w:rsid w:val="00E54B68"/>
    <w:rsid w:val="00E54F24"/>
    <w:rsid w:val="00E5737B"/>
    <w:rsid w:val="00E574E0"/>
    <w:rsid w:val="00E57997"/>
    <w:rsid w:val="00E60D4F"/>
    <w:rsid w:val="00E614A7"/>
    <w:rsid w:val="00E61A27"/>
    <w:rsid w:val="00E62415"/>
    <w:rsid w:val="00E62BE3"/>
    <w:rsid w:val="00E63A60"/>
    <w:rsid w:val="00E64049"/>
    <w:rsid w:val="00E64DB9"/>
    <w:rsid w:val="00E72523"/>
    <w:rsid w:val="00E73C65"/>
    <w:rsid w:val="00E741A1"/>
    <w:rsid w:val="00E74D5E"/>
    <w:rsid w:val="00E76E58"/>
    <w:rsid w:val="00E77ADD"/>
    <w:rsid w:val="00E82266"/>
    <w:rsid w:val="00E849FB"/>
    <w:rsid w:val="00E865EA"/>
    <w:rsid w:val="00E91896"/>
    <w:rsid w:val="00E9272A"/>
    <w:rsid w:val="00E93FDD"/>
    <w:rsid w:val="00E9423B"/>
    <w:rsid w:val="00E95165"/>
    <w:rsid w:val="00E9646E"/>
    <w:rsid w:val="00E966E3"/>
    <w:rsid w:val="00E968B2"/>
    <w:rsid w:val="00E97431"/>
    <w:rsid w:val="00E97BC1"/>
    <w:rsid w:val="00EA086B"/>
    <w:rsid w:val="00EA1B47"/>
    <w:rsid w:val="00EA4EBA"/>
    <w:rsid w:val="00EA7014"/>
    <w:rsid w:val="00EB3F2D"/>
    <w:rsid w:val="00EB41FD"/>
    <w:rsid w:val="00EB52D7"/>
    <w:rsid w:val="00EB5DBD"/>
    <w:rsid w:val="00EC0FE8"/>
    <w:rsid w:val="00EC29E1"/>
    <w:rsid w:val="00EC2D4C"/>
    <w:rsid w:val="00EC3530"/>
    <w:rsid w:val="00EC3ED2"/>
    <w:rsid w:val="00EC46A8"/>
    <w:rsid w:val="00EC4AB0"/>
    <w:rsid w:val="00EC4D1C"/>
    <w:rsid w:val="00EC56D6"/>
    <w:rsid w:val="00EC56DD"/>
    <w:rsid w:val="00EC5EF0"/>
    <w:rsid w:val="00EC5F13"/>
    <w:rsid w:val="00EC73B4"/>
    <w:rsid w:val="00ED01B8"/>
    <w:rsid w:val="00ED075D"/>
    <w:rsid w:val="00ED08E4"/>
    <w:rsid w:val="00ED114C"/>
    <w:rsid w:val="00ED23F0"/>
    <w:rsid w:val="00ED2F21"/>
    <w:rsid w:val="00ED3390"/>
    <w:rsid w:val="00ED6560"/>
    <w:rsid w:val="00ED6EB2"/>
    <w:rsid w:val="00ED785A"/>
    <w:rsid w:val="00ED7F27"/>
    <w:rsid w:val="00EE21F4"/>
    <w:rsid w:val="00EF0212"/>
    <w:rsid w:val="00EF095C"/>
    <w:rsid w:val="00EF0F4B"/>
    <w:rsid w:val="00EF1579"/>
    <w:rsid w:val="00EF3738"/>
    <w:rsid w:val="00EF782F"/>
    <w:rsid w:val="00EF7CD6"/>
    <w:rsid w:val="00F02ACE"/>
    <w:rsid w:val="00F061E4"/>
    <w:rsid w:val="00F07424"/>
    <w:rsid w:val="00F07D5F"/>
    <w:rsid w:val="00F12408"/>
    <w:rsid w:val="00F12DC2"/>
    <w:rsid w:val="00F139DD"/>
    <w:rsid w:val="00F147F9"/>
    <w:rsid w:val="00F15A81"/>
    <w:rsid w:val="00F15AA1"/>
    <w:rsid w:val="00F167EB"/>
    <w:rsid w:val="00F177E3"/>
    <w:rsid w:val="00F24526"/>
    <w:rsid w:val="00F24C1C"/>
    <w:rsid w:val="00F3260D"/>
    <w:rsid w:val="00F32D74"/>
    <w:rsid w:val="00F332CF"/>
    <w:rsid w:val="00F3684A"/>
    <w:rsid w:val="00F409F0"/>
    <w:rsid w:val="00F40A17"/>
    <w:rsid w:val="00F41CC2"/>
    <w:rsid w:val="00F44E4B"/>
    <w:rsid w:val="00F458CA"/>
    <w:rsid w:val="00F45B85"/>
    <w:rsid w:val="00F45C6F"/>
    <w:rsid w:val="00F45DB2"/>
    <w:rsid w:val="00F47CD9"/>
    <w:rsid w:val="00F50C10"/>
    <w:rsid w:val="00F52C7E"/>
    <w:rsid w:val="00F550EA"/>
    <w:rsid w:val="00F55BED"/>
    <w:rsid w:val="00F5729E"/>
    <w:rsid w:val="00F57956"/>
    <w:rsid w:val="00F60984"/>
    <w:rsid w:val="00F64418"/>
    <w:rsid w:val="00F65036"/>
    <w:rsid w:val="00F65147"/>
    <w:rsid w:val="00F652BB"/>
    <w:rsid w:val="00F6694C"/>
    <w:rsid w:val="00F66AF2"/>
    <w:rsid w:val="00F67CA9"/>
    <w:rsid w:val="00F70645"/>
    <w:rsid w:val="00F721EE"/>
    <w:rsid w:val="00F8097F"/>
    <w:rsid w:val="00F8178D"/>
    <w:rsid w:val="00F83BAD"/>
    <w:rsid w:val="00F86732"/>
    <w:rsid w:val="00F91648"/>
    <w:rsid w:val="00F923D8"/>
    <w:rsid w:val="00F92764"/>
    <w:rsid w:val="00F93027"/>
    <w:rsid w:val="00F945B3"/>
    <w:rsid w:val="00F96208"/>
    <w:rsid w:val="00F96664"/>
    <w:rsid w:val="00F97807"/>
    <w:rsid w:val="00FA1E4A"/>
    <w:rsid w:val="00FA2C64"/>
    <w:rsid w:val="00FA4F12"/>
    <w:rsid w:val="00FA67C3"/>
    <w:rsid w:val="00FA6D98"/>
    <w:rsid w:val="00FB0722"/>
    <w:rsid w:val="00FB1D58"/>
    <w:rsid w:val="00FB22E1"/>
    <w:rsid w:val="00FB2808"/>
    <w:rsid w:val="00FB29D2"/>
    <w:rsid w:val="00FB37EA"/>
    <w:rsid w:val="00FB65AC"/>
    <w:rsid w:val="00FB6C98"/>
    <w:rsid w:val="00FB6CD4"/>
    <w:rsid w:val="00FC4BD9"/>
    <w:rsid w:val="00FC4D9A"/>
    <w:rsid w:val="00FC501B"/>
    <w:rsid w:val="00FC5547"/>
    <w:rsid w:val="00FC71E8"/>
    <w:rsid w:val="00FD2521"/>
    <w:rsid w:val="00FD286B"/>
    <w:rsid w:val="00FD2B91"/>
    <w:rsid w:val="00FD3549"/>
    <w:rsid w:val="00FD497B"/>
    <w:rsid w:val="00FD4A6C"/>
    <w:rsid w:val="00FD58C2"/>
    <w:rsid w:val="00FD5BB3"/>
    <w:rsid w:val="00FE0478"/>
    <w:rsid w:val="00FE0C89"/>
    <w:rsid w:val="00FE3446"/>
    <w:rsid w:val="00FE4072"/>
    <w:rsid w:val="00FE479B"/>
    <w:rsid w:val="00FE63DF"/>
    <w:rsid w:val="00FE7460"/>
    <w:rsid w:val="00FF0555"/>
    <w:rsid w:val="00FF296D"/>
    <w:rsid w:val="00FF4761"/>
    <w:rsid w:val="00FF4A2A"/>
    <w:rsid w:val="00FF4F7F"/>
    <w:rsid w:val="00FF6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basedOn w:val="DefaultParagraphFont"/>
    <w:semiHidden/>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B067B-2584-4942-8CD2-F339D35AF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2525</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21</cp:revision>
  <cp:lastPrinted>2012-03-29T17:17:00Z</cp:lastPrinted>
  <dcterms:created xsi:type="dcterms:W3CDTF">2012-03-20T14:58:00Z</dcterms:created>
  <dcterms:modified xsi:type="dcterms:W3CDTF">2012-03-29T17:17:00Z</dcterms:modified>
</cp:coreProperties>
</file>