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A533C6">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A533C6">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A533C6">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A533C6">
      <w:pPr>
        <w:widowControl/>
        <w:tabs>
          <w:tab w:val="left" w:pos="-720"/>
        </w:tabs>
        <w:suppressAutoHyphens/>
        <w:rPr>
          <w:sz w:val="26"/>
          <w:szCs w:val="26"/>
        </w:rPr>
      </w:pPr>
    </w:p>
    <w:p w:rsidR="00F514FB" w:rsidRPr="00F514FB" w:rsidRDefault="00F514FB" w:rsidP="00A533C6">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A533C6">
            <w:pPr>
              <w:widowControl/>
              <w:rPr>
                <w:sz w:val="26"/>
                <w:szCs w:val="26"/>
              </w:rPr>
            </w:pPr>
          </w:p>
        </w:tc>
        <w:tc>
          <w:tcPr>
            <w:tcW w:w="4428" w:type="dxa"/>
          </w:tcPr>
          <w:p w:rsidR="00F514FB" w:rsidRPr="00F514FB" w:rsidRDefault="00F514FB" w:rsidP="00A533C6">
            <w:pPr>
              <w:widowControl/>
              <w:jc w:val="right"/>
              <w:rPr>
                <w:sz w:val="26"/>
                <w:szCs w:val="26"/>
              </w:rPr>
            </w:pPr>
            <w:r w:rsidRPr="00F514FB">
              <w:rPr>
                <w:sz w:val="26"/>
                <w:szCs w:val="26"/>
              </w:rPr>
              <w:t xml:space="preserve">Public Meeting held </w:t>
            </w:r>
            <w:r w:rsidR="00B80275">
              <w:rPr>
                <w:sz w:val="26"/>
                <w:szCs w:val="26"/>
              </w:rPr>
              <w:t>March 29</w:t>
            </w:r>
            <w:r w:rsidR="00940BD4">
              <w:rPr>
                <w:sz w:val="26"/>
                <w:szCs w:val="26"/>
              </w:rPr>
              <w:t>, 2012</w:t>
            </w:r>
          </w:p>
          <w:p w:rsidR="00F514FB" w:rsidRPr="00F514FB" w:rsidRDefault="00F514FB" w:rsidP="00A533C6">
            <w:pPr>
              <w:widowControl/>
              <w:jc w:val="right"/>
              <w:rPr>
                <w:sz w:val="26"/>
                <w:szCs w:val="26"/>
              </w:rPr>
            </w:pPr>
          </w:p>
          <w:p w:rsidR="00F514FB" w:rsidRPr="00F514FB" w:rsidRDefault="00F514FB" w:rsidP="00A533C6">
            <w:pPr>
              <w:widowControl/>
              <w:jc w:val="right"/>
              <w:rPr>
                <w:sz w:val="26"/>
                <w:szCs w:val="26"/>
              </w:rPr>
            </w:pPr>
          </w:p>
        </w:tc>
      </w:tr>
      <w:tr w:rsidR="00F514FB" w:rsidRPr="00F514FB" w:rsidTr="00E871F2">
        <w:tc>
          <w:tcPr>
            <w:tcW w:w="5058" w:type="dxa"/>
          </w:tcPr>
          <w:p w:rsidR="00F514FB" w:rsidRPr="00F514FB" w:rsidRDefault="00F514FB" w:rsidP="00A533C6">
            <w:pPr>
              <w:widowControl/>
              <w:rPr>
                <w:sz w:val="26"/>
                <w:szCs w:val="26"/>
              </w:rPr>
            </w:pPr>
            <w:r w:rsidRPr="00F514FB">
              <w:rPr>
                <w:sz w:val="26"/>
                <w:szCs w:val="26"/>
              </w:rPr>
              <w:t>Commissioners Present:</w:t>
            </w:r>
          </w:p>
          <w:p w:rsidR="00F514FB" w:rsidRPr="00F514FB" w:rsidRDefault="00F514FB" w:rsidP="00A533C6">
            <w:pPr>
              <w:widowControl/>
              <w:rPr>
                <w:sz w:val="26"/>
                <w:szCs w:val="26"/>
              </w:rPr>
            </w:pPr>
          </w:p>
          <w:p w:rsidR="00F514FB" w:rsidRPr="00F514FB" w:rsidRDefault="00F514FB" w:rsidP="00A533C6">
            <w:pPr>
              <w:widowControl/>
              <w:tabs>
                <w:tab w:val="left" w:pos="705"/>
              </w:tabs>
              <w:ind w:firstLine="720"/>
              <w:rPr>
                <w:sz w:val="26"/>
                <w:szCs w:val="26"/>
              </w:rPr>
            </w:pPr>
            <w:r w:rsidRPr="00F514FB">
              <w:rPr>
                <w:sz w:val="26"/>
                <w:szCs w:val="26"/>
              </w:rPr>
              <w:t xml:space="preserve">Robert F. </w:t>
            </w:r>
            <w:proofErr w:type="spellStart"/>
            <w:r w:rsidRPr="00F514FB">
              <w:rPr>
                <w:sz w:val="26"/>
                <w:szCs w:val="26"/>
              </w:rPr>
              <w:t>Powelson</w:t>
            </w:r>
            <w:proofErr w:type="spellEnd"/>
            <w:r w:rsidRPr="00F514FB">
              <w:rPr>
                <w:sz w:val="26"/>
                <w:szCs w:val="26"/>
              </w:rPr>
              <w:t>, Chairman</w:t>
            </w:r>
          </w:p>
          <w:p w:rsidR="00F514FB" w:rsidRPr="00F514FB" w:rsidRDefault="00F514FB" w:rsidP="00A533C6">
            <w:pPr>
              <w:widowControl/>
              <w:tabs>
                <w:tab w:val="left" w:pos="705"/>
              </w:tabs>
              <w:ind w:firstLine="720"/>
              <w:rPr>
                <w:sz w:val="26"/>
                <w:szCs w:val="26"/>
              </w:rPr>
            </w:pPr>
            <w:r w:rsidRPr="00F514FB">
              <w:rPr>
                <w:sz w:val="26"/>
                <w:szCs w:val="26"/>
              </w:rPr>
              <w:t>John F. Coleman, Jr., Vice Chairman</w:t>
            </w:r>
          </w:p>
          <w:p w:rsidR="00F514FB" w:rsidRPr="00F514FB" w:rsidRDefault="00F514FB" w:rsidP="00A533C6">
            <w:pPr>
              <w:widowControl/>
              <w:tabs>
                <w:tab w:val="left" w:pos="705"/>
              </w:tabs>
              <w:ind w:firstLine="720"/>
              <w:rPr>
                <w:sz w:val="26"/>
                <w:szCs w:val="26"/>
              </w:rPr>
            </w:pPr>
            <w:r w:rsidRPr="00F514FB">
              <w:rPr>
                <w:sz w:val="26"/>
                <w:szCs w:val="26"/>
              </w:rPr>
              <w:t>Wayne E. Gardner</w:t>
            </w:r>
          </w:p>
          <w:p w:rsidR="00F514FB" w:rsidRPr="00F514FB" w:rsidRDefault="00F514FB" w:rsidP="00A533C6">
            <w:pPr>
              <w:widowControl/>
              <w:tabs>
                <w:tab w:val="left" w:pos="705"/>
              </w:tabs>
              <w:ind w:firstLine="720"/>
              <w:rPr>
                <w:sz w:val="26"/>
                <w:szCs w:val="26"/>
              </w:rPr>
            </w:pPr>
            <w:r w:rsidRPr="00F514FB">
              <w:rPr>
                <w:sz w:val="26"/>
                <w:szCs w:val="26"/>
              </w:rPr>
              <w:t xml:space="preserve">James H. </w:t>
            </w:r>
            <w:proofErr w:type="spellStart"/>
            <w:r w:rsidRPr="00F514FB">
              <w:rPr>
                <w:sz w:val="26"/>
                <w:szCs w:val="26"/>
              </w:rPr>
              <w:t>Cawley</w:t>
            </w:r>
            <w:proofErr w:type="spellEnd"/>
          </w:p>
          <w:p w:rsidR="00F514FB" w:rsidRPr="00F514FB" w:rsidRDefault="00F514FB" w:rsidP="00A533C6">
            <w:pPr>
              <w:widowControl/>
              <w:tabs>
                <w:tab w:val="left" w:pos="705"/>
              </w:tabs>
              <w:ind w:firstLine="720"/>
              <w:rPr>
                <w:sz w:val="26"/>
                <w:szCs w:val="26"/>
              </w:rPr>
            </w:pPr>
            <w:r w:rsidRPr="00F514FB">
              <w:rPr>
                <w:sz w:val="26"/>
                <w:szCs w:val="26"/>
              </w:rPr>
              <w:t xml:space="preserve">Pamela A. </w:t>
            </w:r>
            <w:proofErr w:type="spellStart"/>
            <w:r w:rsidRPr="00F514FB">
              <w:rPr>
                <w:sz w:val="26"/>
                <w:szCs w:val="26"/>
              </w:rPr>
              <w:t>Witmer</w:t>
            </w:r>
            <w:proofErr w:type="spellEnd"/>
          </w:p>
          <w:p w:rsidR="00F514FB" w:rsidRPr="00F514FB" w:rsidRDefault="00F514FB" w:rsidP="00A533C6">
            <w:pPr>
              <w:widowControl/>
              <w:rPr>
                <w:sz w:val="26"/>
                <w:szCs w:val="26"/>
              </w:rPr>
            </w:pPr>
          </w:p>
          <w:p w:rsidR="00F514FB" w:rsidRPr="00F514FB" w:rsidRDefault="00F514FB" w:rsidP="00A533C6">
            <w:pPr>
              <w:widowControl/>
              <w:rPr>
                <w:sz w:val="26"/>
                <w:szCs w:val="26"/>
              </w:rPr>
            </w:pPr>
          </w:p>
        </w:tc>
        <w:tc>
          <w:tcPr>
            <w:tcW w:w="4428" w:type="dxa"/>
          </w:tcPr>
          <w:p w:rsidR="00F514FB" w:rsidRPr="00F514FB" w:rsidRDefault="00F514FB" w:rsidP="00A533C6">
            <w:pPr>
              <w:widowControl/>
              <w:jc w:val="right"/>
              <w:rPr>
                <w:sz w:val="26"/>
                <w:szCs w:val="26"/>
              </w:rPr>
            </w:pPr>
          </w:p>
          <w:p w:rsidR="00F514FB" w:rsidRPr="00F514FB" w:rsidRDefault="00F514FB" w:rsidP="00A533C6">
            <w:pPr>
              <w:widowControl/>
              <w:jc w:val="right"/>
              <w:rPr>
                <w:sz w:val="26"/>
                <w:szCs w:val="26"/>
              </w:rPr>
            </w:pPr>
          </w:p>
        </w:tc>
      </w:tr>
      <w:tr w:rsidR="00F514FB" w:rsidRPr="00F514FB" w:rsidTr="00DE25AC">
        <w:tc>
          <w:tcPr>
            <w:tcW w:w="5058" w:type="dxa"/>
          </w:tcPr>
          <w:p w:rsidR="00F514FB" w:rsidRPr="00F514FB" w:rsidRDefault="00C56F6E" w:rsidP="00A533C6">
            <w:pPr>
              <w:widowControl/>
              <w:rPr>
                <w:sz w:val="26"/>
                <w:szCs w:val="26"/>
              </w:rPr>
            </w:pPr>
            <w:r>
              <w:rPr>
                <w:sz w:val="26"/>
                <w:szCs w:val="26"/>
              </w:rPr>
              <w:t xml:space="preserve">Theodore </w:t>
            </w:r>
            <w:proofErr w:type="spellStart"/>
            <w:r>
              <w:rPr>
                <w:sz w:val="26"/>
                <w:szCs w:val="26"/>
              </w:rPr>
              <w:t>Presutti</w:t>
            </w:r>
            <w:proofErr w:type="spellEnd"/>
            <w:r w:rsidR="00940BD4">
              <w:rPr>
                <w:sz w:val="26"/>
                <w:szCs w:val="26"/>
              </w:rPr>
              <w:t xml:space="preserve">  </w:t>
            </w:r>
          </w:p>
          <w:p w:rsidR="00F514FB" w:rsidRPr="00F514FB" w:rsidRDefault="00F514FB" w:rsidP="00A533C6">
            <w:pPr>
              <w:widowControl/>
              <w:jc w:val="right"/>
              <w:rPr>
                <w:sz w:val="26"/>
                <w:szCs w:val="26"/>
              </w:rPr>
            </w:pPr>
          </w:p>
        </w:tc>
        <w:tc>
          <w:tcPr>
            <w:tcW w:w="4428" w:type="dxa"/>
          </w:tcPr>
          <w:p w:rsidR="00DA4C18" w:rsidRDefault="00C56F6E" w:rsidP="00A533C6">
            <w:pPr>
              <w:widowControl/>
              <w:jc w:val="right"/>
              <w:rPr>
                <w:sz w:val="26"/>
                <w:szCs w:val="26"/>
              </w:rPr>
            </w:pPr>
            <w:r>
              <w:rPr>
                <w:sz w:val="26"/>
                <w:szCs w:val="26"/>
              </w:rPr>
              <w:t xml:space="preserve">  F-2010-2174509</w:t>
            </w:r>
          </w:p>
          <w:p w:rsidR="00F514FB" w:rsidRPr="00F514FB" w:rsidRDefault="00DA4C18" w:rsidP="00A533C6">
            <w:pPr>
              <w:widowControl/>
              <w:jc w:val="right"/>
              <w:rPr>
                <w:sz w:val="26"/>
                <w:szCs w:val="26"/>
              </w:rPr>
            </w:pPr>
            <w:r>
              <w:rPr>
                <w:sz w:val="26"/>
                <w:szCs w:val="26"/>
              </w:rPr>
              <w:t>C-2010-2177251</w:t>
            </w:r>
            <w:r w:rsidR="00940BD4">
              <w:rPr>
                <w:sz w:val="26"/>
                <w:szCs w:val="26"/>
              </w:rPr>
              <w:t xml:space="preserve"> </w:t>
            </w:r>
          </w:p>
        </w:tc>
      </w:tr>
      <w:tr w:rsidR="00F514FB" w:rsidRPr="00F514FB" w:rsidTr="00DE25AC">
        <w:tc>
          <w:tcPr>
            <w:tcW w:w="5058" w:type="dxa"/>
          </w:tcPr>
          <w:p w:rsidR="00F514FB" w:rsidRPr="00F514FB" w:rsidRDefault="00F514FB" w:rsidP="00A533C6">
            <w:pPr>
              <w:widowControl/>
              <w:ind w:firstLine="720"/>
              <w:rPr>
                <w:sz w:val="26"/>
                <w:szCs w:val="26"/>
              </w:rPr>
            </w:pPr>
            <w:r w:rsidRPr="00F514FB">
              <w:rPr>
                <w:sz w:val="26"/>
                <w:szCs w:val="26"/>
              </w:rPr>
              <w:t>v.</w:t>
            </w:r>
          </w:p>
          <w:p w:rsidR="00F514FB" w:rsidRPr="00F514FB" w:rsidRDefault="00F514FB" w:rsidP="00A533C6">
            <w:pPr>
              <w:widowControl/>
              <w:ind w:firstLine="1440"/>
              <w:rPr>
                <w:sz w:val="26"/>
                <w:szCs w:val="26"/>
              </w:rPr>
            </w:pPr>
          </w:p>
        </w:tc>
        <w:tc>
          <w:tcPr>
            <w:tcW w:w="4428" w:type="dxa"/>
          </w:tcPr>
          <w:p w:rsidR="00F514FB" w:rsidRPr="00F514FB" w:rsidRDefault="00F514FB" w:rsidP="00A533C6">
            <w:pPr>
              <w:widowControl/>
              <w:rPr>
                <w:sz w:val="26"/>
                <w:szCs w:val="26"/>
              </w:rPr>
            </w:pPr>
          </w:p>
        </w:tc>
      </w:tr>
      <w:tr w:rsidR="00F514FB" w:rsidRPr="00F514FB" w:rsidTr="00E871F2">
        <w:tc>
          <w:tcPr>
            <w:tcW w:w="5058" w:type="dxa"/>
          </w:tcPr>
          <w:p w:rsidR="00F514FB" w:rsidRPr="00F514FB" w:rsidRDefault="00C56F6E" w:rsidP="00A533C6">
            <w:pPr>
              <w:widowControl/>
              <w:rPr>
                <w:sz w:val="26"/>
                <w:szCs w:val="26"/>
              </w:rPr>
            </w:pPr>
            <w:r>
              <w:rPr>
                <w:sz w:val="26"/>
                <w:szCs w:val="26"/>
              </w:rPr>
              <w:t>Duquesne Light Company</w:t>
            </w:r>
            <w:r w:rsidR="00940BD4">
              <w:rPr>
                <w:sz w:val="26"/>
                <w:szCs w:val="26"/>
              </w:rPr>
              <w:t xml:space="preserve"> </w:t>
            </w:r>
          </w:p>
        </w:tc>
        <w:tc>
          <w:tcPr>
            <w:tcW w:w="4428" w:type="dxa"/>
          </w:tcPr>
          <w:p w:rsidR="00F514FB" w:rsidRPr="00F514FB" w:rsidRDefault="00F514FB" w:rsidP="00A533C6">
            <w:pPr>
              <w:widowControl/>
              <w:rPr>
                <w:sz w:val="26"/>
                <w:szCs w:val="26"/>
              </w:rPr>
            </w:pPr>
          </w:p>
        </w:tc>
      </w:tr>
    </w:tbl>
    <w:p w:rsidR="00F514FB" w:rsidRDefault="00F514FB" w:rsidP="00A533C6">
      <w:pPr>
        <w:widowControl/>
        <w:rPr>
          <w:sz w:val="26"/>
          <w:szCs w:val="26"/>
        </w:rPr>
      </w:pPr>
    </w:p>
    <w:p w:rsidR="00786734" w:rsidRPr="00F514FB" w:rsidRDefault="00786734" w:rsidP="00A533C6">
      <w:pPr>
        <w:widowControl/>
        <w:rPr>
          <w:sz w:val="26"/>
          <w:szCs w:val="26"/>
        </w:rPr>
      </w:pPr>
    </w:p>
    <w:p w:rsidR="00F514FB" w:rsidRPr="00F514FB" w:rsidRDefault="00F514FB" w:rsidP="00A533C6">
      <w:pPr>
        <w:widowControl/>
        <w:rPr>
          <w:sz w:val="26"/>
          <w:szCs w:val="26"/>
        </w:rPr>
      </w:pPr>
    </w:p>
    <w:p w:rsidR="00F514FB" w:rsidRPr="00F514FB" w:rsidRDefault="00F514FB" w:rsidP="00A533C6">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A533C6">
      <w:pPr>
        <w:widowControl/>
        <w:jc w:val="center"/>
        <w:rPr>
          <w:b/>
          <w:sz w:val="26"/>
          <w:szCs w:val="26"/>
        </w:rPr>
      </w:pPr>
    </w:p>
    <w:p w:rsidR="00F514FB" w:rsidRPr="00F514FB" w:rsidRDefault="00F514FB" w:rsidP="00A533C6">
      <w:pPr>
        <w:widowControl/>
        <w:jc w:val="center"/>
        <w:rPr>
          <w:b/>
          <w:sz w:val="26"/>
          <w:szCs w:val="26"/>
        </w:rPr>
      </w:pPr>
    </w:p>
    <w:p w:rsidR="00F514FB" w:rsidRPr="00F514FB" w:rsidRDefault="00F514FB" w:rsidP="00A533C6">
      <w:pPr>
        <w:widowControl/>
        <w:rPr>
          <w:b/>
          <w:sz w:val="26"/>
          <w:szCs w:val="26"/>
        </w:rPr>
      </w:pPr>
      <w:r w:rsidRPr="00F514FB">
        <w:rPr>
          <w:b/>
          <w:sz w:val="26"/>
          <w:szCs w:val="26"/>
        </w:rPr>
        <w:t>BY THE COMMISSION:</w:t>
      </w:r>
    </w:p>
    <w:p w:rsidR="00F514FB" w:rsidRPr="00F514FB" w:rsidRDefault="00F514FB" w:rsidP="00A533C6">
      <w:pPr>
        <w:widowControl/>
        <w:rPr>
          <w:sz w:val="26"/>
          <w:szCs w:val="26"/>
        </w:rPr>
      </w:pPr>
    </w:p>
    <w:p w:rsidR="00F514FB" w:rsidRPr="00F514FB" w:rsidRDefault="00F514FB" w:rsidP="00A533C6">
      <w:pPr>
        <w:widowControl/>
        <w:rPr>
          <w:sz w:val="26"/>
          <w:szCs w:val="26"/>
        </w:rPr>
      </w:pPr>
    </w:p>
    <w:p w:rsidR="005A5E63" w:rsidRDefault="00CA43A5" w:rsidP="00A533C6">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w:t>
      </w:r>
      <w:r w:rsidR="00C56F6E">
        <w:rPr>
          <w:color w:val="000000"/>
          <w:sz w:val="26"/>
        </w:rPr>
        <w:t xml:space="preserve"> the Exceptions of Theodore </w:t>
      </w:r>
      <w:proofErr w:type="spellStart"/>
      <w:r w:rsidR="00C56F6E">
        <w:rPr>
          <w:color w:val="000000"/>
          <w:sz w:val="26"/>
        </w:rPr>
        <w:t>Presutti</w:t>
      </w:r>
      <w:proofErr w:type="spellEnd"/>
      <w:r w:rsidR="00671E4C">
        <w:rPr>
          <w:color w:val="000000"/>
          <w:sz w:val="26"/>
        </w:rPr>
        <w:t xml:space="preserve"> (</w:t>
      </w:r>
      <w:r w:rsidR="000F0AD9">
        <w:rPr>
          <w:color w:val="000000"/>
          <w:sz w:val="26"/>
        </w:rPr>
        <w:t>Complainant</w:t>
      </w:r>
      <w:r w:rsidR="00671E4C">
        <w:rPr>
          <w:color w:val="000000"/>
          <w:sz w:val="26"/>
        </w:rPr>
        <w:t xml:space="preserve">) filed on </w:t>
      </w:r>
      <w:r w:rsidR="00C56F6E">
        <w:rPr>
          <w:color w:val="000000"/>
          <w:sz w:val="26"/>
        </w:rPr>
        <w:t>January</w:t>
      </w:r>
      <w:r w:rsidR="000F0AD9">
        <w:rPr>
          <w:color w:val="000000"/>
          <w:sz w:val="26"/>
        </w:rPr>
        <w:t xml:space="preserve"> </w:t>
      </w:r>
      <w:r w:rsidR="00C56F6E">
        <w:rPr>
          <w:color w:val="000000"/>
          <w:sz w:val="26"/>
        </w:rPr>
        <w:t>9</w:t>
      </w:r>
      <w:r w:rsidR="00671E4C">
        <w:rPr>
          <w:color w:val="000000"/>
          <w:sz w:val="26"/>
        </w:rPr>
        <w:t>,</w:t>
      </w:r>
      <w:r w:rsidR="00CB4762">
        <w:rPr>
          <w:color w:val="000000"/>
          <w:sz w:val="26"/>
        </w:rPr>
        <w:t xml:space="preserve"> 201</w:t>
      </w:r>
      <w:r w:rsidR="00C56F6E">
        <w:rPr>
          <w:color w:val="000000"/>
          <w:sz w:val="26"/>
        </w:rPr>
        <w:t>2</w:t>
      </w:r>
      <w:r w:rsidR="00D21E1C">
        <w:rPr>
          <w:color w:val="000000"/>
          <w:sz w:val="26"/>
        </w:rPr>
        <w:t xml:space="preserve"> (Exceptions)</w:t>
      </w:r>
      <w:r w:rsidR="00CB4762">
        <w:rPr>
          <w:color w:val="000000"/>
          <w:sz w:val="26"/>
        </w:rPr>
        <w:t>,</w:t>
      </w:r>
      <w:r w:rsidR="00671E4C">
        <w:rPr>
          <w:color w:val="000000"/>
          <w:sz w:val="26"/>
        </w:rPr>
        <w:t xml:space="preserve"> to the Initial Decision (I.D.) of Administrative Law Judge (ALJ) </w:t>
      </w:r>
      <w:r w:rsidR="00C56F6E">
        <w:rPr>
          <w:color w:val="000000"/>
          <w:sz w:val="26"/>
        </w:rPr>
        <w:t>Mary</w:t>
      </w:r>
      <w:r w:rsidR="00CB4762">
        <w:rPr>
          <w:color w:val="000000"/>
          <w:sz w:val="26"/>
        </w:rPr>
        <w:t xml:space="preserve"> </w:t>
      </w:r>
      <w:r w:rsidR="00C56F6E">
        <w:rPr>
          <w:color w:val="000000"/>
          <w:sz w:val="26"/>
        </w:rPr>
        <w:t>D</w:t>
      </w:r>
      <w:r w:rsidR="00CB4762">
        <w:rPr>
          <w:color w:val="000000"/>
          <w:sz w:val="26"/>
        </w:rPr>
        <w:t xml:space="preserve">. </w:t>
      </w:r>
      <w:r w:rsidR="00C56F6E">
        <w:rPr>
          <w:color w:val="000000"/>
          <w:sz w:val="26"/>
        </w:rPr>
        <w:t>Long</w:t>
      </w:r>
      <w:r w:rsidR="00671E4C">
        <w:rPr>
          <w:color w:val="000000"/>
          <w:sz w:val="26"/>
        </w:rPr>
        <w:t xml:space="preserve">, which was issued on </w:t>
      </w:r>
      <w:r w:rsidR="00C56F6E">
        <w:rPr>
          <w:color w:val="000000"/>
          <w:sz w:val="26"/>
        </w:rPr>
        <w:t>December 20</w:t>
      </w:r>
      <w:r w:rsidR="000A490A">
        <w:rPr>
          <w:color w:val="000000"/>
          <w:sz w:val="26"/>
        </w:rPr>
        <w:t>, 2011</w:t>
      </w:r>
      <w:r w:rsidR="00671E4C">
        <w:rPr>
          <w:color w:val="000000"/>
          <w:sz w:val="26"/>
        </w:rPr>
        <w:t xml:space="preserve">, in the above-captioned proceeding.  Replies to Exceptions were filed by </w:t>
      </w:r>
      <w:r w:rsidR="00C56F6E">
        <w:rPr>
          <w:color w:val="000000"/>
          <w:sz w:val="26"/>
        </w:rPr>
        <w:t>Duquesne Light Company</w:t>
      </w:r>
      <w:r w:rsidR="00671E4C">
        <w:rPr>
          <w:color w:val="000000"/>
          <w:sz w:val="26"/>
        </w:rPr>
        <w:t xml:space="preserve"> (</w:t>
      </w:r>
      <w:r w:rsidR="00C56F6E">
        <w:rPr>
          <w:color w:val="000000"/>
          <w:sz w:val="26"/>
        </w:rPr>
        <w:t>Duquesne or Company</w:t>
      </w:r>
      <w:r w:rsidR="00671E4C">
        <w:rPr>
          <w:color w:val="000000"/>
          <w:sz w:val="26"/>
        </w:rPr>
        <w:t xml:space="preserve">) on </w:t>
      </w:r>
      <w:r w:rsidR="00911BC6">
        <w:rPr>
          <w:color w:val="000000"/>
          <w:sz w:val="26"/>
        </w:rPr>
        <w:t xml:space="preserve">January </w:t>
      </w:r>
      <w:r w:rsidR="00C56F6E">
        <w:rPr>
          <w:color w:val="000000"/>
          <w:sz w:val="26"/>
        </w:rPr>
        <w:t>18</w:t>
      </w:r>
      <w:r w:rsidR="00911BC6">
        <w:rPr>
          <w:color w:val="000000"/>
          <w:sz w:val="26"/>
        </w:rPr>
        <w:t>, 2012</w:t>
      </w:r>
      <w:r w:rsidR="00671E4C">
        <w:rPr>
          <w:color w:val="000000"/>
          <w:sz w:val="26"/>
        </w:rPr>
        <w:t xml:space="preserve">.  </w:t>
      </w:r>
      <w:r w:rsidRPr="00CA43A5">
        <w:rPr>
          <w:sz w:val="26"/>
          <w:szCs w:val="26"/>
        </w:rPr>
        <w:t xml:space="preserve">For the reasons stated below, we </w:t>
      </w:r>
      <w:r w:rsidR="006A224F">
        <w:rPr>
          <w:sz w:val="26"/>
          <w:szCs w:val="26"/>
        </w:rPr>
        <w:t>shall deny the Exceptions and adopt the Initial Decision</w:t>
      </w:r>
      <w:r w:rsidR="0039373D">
        <w:rPr>
          <w:sz w:val="26"/>
          <w:szCs w:val="26"/>
        </w:rPr>
        <w:t>, as modified</w:t>
      </w:r>
      <w:r w:rsidRPr="00CA43A5">
        <w:rPr>
          <w:sz w:val="26"/>
          <w:szCs w:val="26"/>
        </w:rPr>
        <w:t>.</w:t>
      </w:r>
    </w:p>
    <w:p w:rsidR="005A5E63" w:rsidRDefault="005A5E63" w:rsidP="00A533C6">
      <w:pPr>
        <w:widowControl/>
        <w:spacing w:after="200" w:line="276" w:lineRule="auto"/>
        <w:rPr>
          <w:sz w:val="26"/>
          <w:szCs w:val="26"/>
        </w:rPr>
      </w:pPr>
      <w:r>
        <w:rPr>
          <w:sz w:val="26"/>
          <w:szCs w:val="26"/>
        </w:rPr>
        <w:br w:type="page"/>
      </w:r>
    </w:p>
    <w:p w:rsidR="00CA43A5" w:rsidRDefault="00CA43A5" w:rsidP="00A533C6">
      <w:pPr>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p w:rsidR="005A5E63" w:rsidRPr="00CA43A5" w:rsidRDefault="005A5E63" w:rsidP="00A533C6">
      <w:pPr>
        <w:widowControl/>
        <w:spacing w:line="360" w:lineRule="auto"/>
        <w:jc w:val="center"/>
        <w:rPr>
          <w:b/>
          <w:sz w:val="26"/>
          <w:szCs w:val="26"/>
        </w:rPr>
      </w:pPr>
    </w:p>
    <w:bookmarkEnd w:id="0"/>
    <w:bookmarkEnd w:id="1"/>
    <w:p w:rsidR="002E5807" w:rsidRDefault="0051475B" w:rsidP="00A533C6">
      <w:pPr>
        <w:widowControl/>
        <w:spacing w:line="360" w:lineRule="auto"/>
        <w:ind w:firstLine="1440"/>
        <w:rPr>
          <w:sz w:val="26"/>
          <w:szCs w:val="24"/>
        </w:rPr>
      </w:pPr>
      <w:r w:rsidRPr="0051475B">
        <w:rPr>
          <w:sz w:val="26"/>
          <w:szCs w:val="24"/>
        </w:rPr>
        <w:t xml:space="preserve">On </w:t>
      </w:r>
      <w:r w:rsidR="00C56F6E">
        <w:rPr>
          <w:sz w:val="26"/>
          <w:szCs w:val="24"/>
        </w:rPr>
        <w:t>May</w:t>
      </w:r>
      <w:r w:rsidRPr="0051475B">
        <w:rPr>
          <w:sz w:val="26"/>
          <w:szCs w:val="24"/>
        </w:rPr>
        <w:t xml:space="preserve"> </w:t>
      </w:r>
      <w:r w:rsidR="001C302E">
        <w:rPr>
          <w:sz w:val="26"/>
          <w:szCs w:val="24"/>
        </w:rPr>
        <w:t>4</w:t>
      </w:r>
      <w:r w:rsidRPr="0051475B">
        <w:rPr>
          <w:sz w:val="26"/>
          <w:szCs w:val="24"/>
        </w:rPr>
        <w:t xml:space="preserve">, 2010, </w:t>
      </w:r>
      <w:r w:rsidR="00C56F6E">
        <w:rPr>
          <w:sz w:val="26"/>
          <w:szCs w:val="24"/>
        </w:rPr>
        <w:t xml:space="preserve">the Complainant </w:t>
      </w:r>
      <w:r w:rsidRPr="0051475B">
        <w:rPr>
          <w:sz w:val="26"/>
          <w:szCs w:val="24"/>
        </w:rPr>
        <w:t xml:space="preserve">filed a </w:t>
      </w:r>
      <w:r w:rsidR="00F438D0">
        <w:rPr>
          <w:sz w:val="26"/>
          <w:szCs w:val="24"/>
        </w:rPr>
        <w:t>Formal C</w:t>
      </w:r>
      <w:r w:rsidRPr="0051475B">
        <w:rPr>
          <w:sz w:val="26"/>
          <w:szCs w:val="24"/>
        </w:rPr>
        <w:t xml:space="preserve">omplaint </w:t>
      </w:r>
      <w:r w:rsidR="00F438D0">
        <w:rPr>
          <w:sz w:val="26"/>
          <w:szCs w:val="24"/>
        </w:rPr>
        <w:t xml:space="preserve">against </w:t>
      </w:r>
      <w:r w:rsidR="00C56F6E">
        <w:rPr>
          <w:sz w:val="26"/>
          <w:szCs w:val="24"/>
        </w:rPr>
        <w:t>Duquesne</w:t>
      </w:r>
      <w:r w:rsidRPr="0051475B">
        <w:rPr>
          <w:sz w:val="26"/>
          <w:szCs w:val="24"/>
        </w:rPr>
        <w:t xml:space="preserve">, </w:t>
      </w:r>
      <w:r w:rsidR="00F438D0">
        <w:rPr>
          <w:sz w:val="26"/>
          <w:szCs w:val="24"/>
        </w:rPr>
        <w:t>alleging that</w:t>
      </w:r>
      <w:r w:rsidRPr="0051475B">
        <w:rPr>
          <w:sz w:val="26"/>
          <w:szCs w:val="24"/>
        </w:rPr>
        <w:t xml:space="preserve"> </w:t>
      </w:r>
      <w:r w:rsidR="00C56F6E">
        <w:rPr>
          <w:sz w:val="26"/>
          <w:szCs w:val="24"/>
        </w:rPr>
        <w:t xml:space="preserve">he had been overcharged for electric utility service in 2008 and 2009, especially in the winter months of December through March.  </w:t>
      </w:r>
      <w:r w:rsidR="002E5807">
        <w:rPr>
          <w:sz w:val="26"/>
          <w:szCs w:val="24"/>
        </w:rPr>
        <w:t xml:space="preserve">The Commission served </w:t>
      </w:r>
      <w:r w:rsidR="006410B5">
        <w:rPr>
          <w:sz w:val="26"/>
          <w:szCs w:val="24"/>
        </w:rPr>
        <w:t>Duquesne with the Complaint on May</w:t>
      </w:r>
      <w:r w:rsidR="002E5807">
        <w:rPr>
          <w:sz w:val="26"/>
          <w:szCs w:val="24"/>
        </w:rPr>
        <w:t xml:space="preserve"> </w:t>
      </w:r>
      <w:r w:rsidR="002E0008">
        <w:rPr>
          <w:sz w:val="26"/>
          <w:szCs w:val="24"/>
        </w:rPr>
        <w:t>10</w:t>
      </w:r>
      <w:r w:rsidR="002E5807">
        <w:rPr>
          <w:sz w:val="26"/>
          <w:szCs w:val="24"/>
        </w:rPr>
        <w:t>, 2010</w:t>
      </w:r>
      <w:r w:rsidR="001C302E">
        <w:rPr>
          <w:sz w:val="26"/>
          <w:szCs w:val="24"/>
        </w:rPr>
        <w:t>,</w:t>
      </w:r>
      <w:r w:rsidR="009C1BAD">
        <w:rPr>
          <w:sz w:val="26"/>
          <w:szCs w:val="24"/>
        </w:rPr>
        <w:t xml:space="preserve"> and docketed it at F</w:t>
      </w:r>
      <w:r w:rsidR="009C1BAD">
        <w:rPr>
          <w:sz w:val="26"/>
          <w:szCs w:val="24"/>
        </w:rPr>
        <w:noBreakHyphen/>
        <w:t>2010</w:t>
      </w:r>
      <w:r w:rsidR="009C1BAD">
        <w:rPr>
          <w:sz w:val="26"/>
          <w:szCs w:val="24"/>
        </w:rPr>
        <w:noBreakHyphen/>
      </w:r>
      <w:r w:rsidR="006410B5">
        <w:rPr>
          <w:sz w:val="26"/>
          <w:szCs w:val="24"/>
        </w:rPr>
        <w:t>2174509</w:t>
      </w:r>
      <w:r w:rsidR="002E5807">
        <w:rPr>
          <w:sz w:val="26"/>
          <w:szCs w:val="24"/>
        </w:rPr>
        <w:t>.</w:t>
      </w:r>
      <w:r w:rsidR="009154CD">
        <w:rPr>
          <w:sz w:val="26"/>
          <w:szCs w:val="24"/>
        </w:rPr>
        <w:t xml:space="preserve">  This Complain</w:t>
      </w:r>
      <w:r w:rsidR="000819DC">
        <w:rPr>
          <w:sz w:val="26"/>
          <w:szCs w:val="24"/>
        </w:rPr>
        <w:t>t constituted an appeal of the D</w:t>
      </w:r>
      <w:r w:rsidR="009154CD">
        <w:rPr>
          <w:sz w:val="26"/>
          <w:szCs w:val="24"/>
        </w:rPr>
        <w:t>ecision of the Commission’s Bureau of Consumer Services (BCS) in BCS Case No. 2503</w:t>
      </w:r>
      <w:r w:rsidR="00D84707">
        <w:rPr>
          <w:sz w:val="26"/>
          <w:szCs w:val="24"/>
        </w:rPr>
        <w:t>8</w:t>
      </w:r>
      <w:r w:rsidR="009154CD">
        <w:rPr>
          <w:sz w:val="26"/>
          <w:szCs w:val="24"/>
        </w:rPr>
        <w:t>69.</w:t>
      </w:r>
      <w:r w:rsidR="002E5807">
        <w:rPr>
          <w:sz w:val="26"/>
          <w:szCs w:val="24"/>
        </w:rPr>
        <w:t xml:space="preserve">  </w:t>
      </w:r>
      <w:r w:rsidR="00B503C6">
        <w:rPr>
          <w:sz w:val="26"/>
          <w:szCs w:val="24"/>
        </w:rPr>
        <w:t xml:space="preserve">By that Decision, </w:t>
      </w:r>
      <w:r w:rsidR="000819DC">
        <w:rPr>
          <w:sz w:val="26"/>
          <w:szCs w:val="24"/>
        </w:rPr>
        <w:t>issued on April 2, 2010, the BCS determined that the Complainant’s bills were correct as rendered and dismissed the informal complaint.</w:t>
      </w:r>
    </w:p>
    <w:p w:rsidR="002E5807" w:rsidRDefault="002E5807" w:rsidP="00A533C6">
      <w:pPr>
        <w:widowControl/>
        <w:spacing w:line="360" w:lineRule="auto"/>
        <w:ind w:firstLine="1440"/>
        <w:rPr>
          <w:sz w:val="26"/>
          <w:szCs w:val="24"/>
        </w:rPr>
      </w:pPr>
    </w:p>
    <w:p w:rsidR="00C11A68" w:rsidRDefault="006410B5" w:rsidP="00A533C6">
      <w:pPr>
        <w:widowControl/>
        <w:spacing w:line="360" w:lineRule="auto"/>
        <w:ind w:firstLine="1440"/>
        <w:rPr>
          <w:sz w:val="26"/>
          <w:szCs w:val="24"/>
        </w:rPr>
      </w:pPr>
      <w:r>
        <w:rPr>
          <w:sz w:val="26"/>
          <w:szCs w:val="24"/>
        </w:rPr>
        <w:t>Duquesne</w:t>
      </w:r>
      <w:r w:rsidR="0051475B" w:rsidRPr="0051475B">
        <w:rPr>
          <w:sz w:val="26"/>
          <w:szCs w:val="24"/>
        </w:rPr>
        <w:t xml:space="preserve"> </w:t>
      </w:r>
      <w:r w:rsidR="00540506">
        <w:rPr>
          <w:sz w:val="26"/>
          <w:szCs w:val="24"/>
        </w:rPr>
        <w:t>filed an Answer</w:t>
      </w:r>
      <w:r>
        <w:rPr>
          <w:sz w:val="26"/>
          <w:szCs w:val="24"/>
        </w:rPr>
        <w:t xml:space="preserve"> on May</w:t>
      </w:r>
      <w:r w:rsidR="0051475B" w:rsidRPr="0051475B">
        <w:rPr>
          <w:sz w:val="26"/>
          <w:szCs w:val="24"/>
        </w:rPr>
        <w:t> </w:t>
      </w:r>
      <w:r>
        <w:rPr>
          <w:sz w:val="26"/>
          <w:szCs w:val="24"/>
        </w:rPr>
        <w:t>26</w:t>
      </w:r>
      <w:r w:rsidR="0051475B" w:rsidRPr="0051475B">
        <w:rPr>
          <w:sz w:val="26"/>
          <w:szCs w:val="24"/>
        </w:rPr>
        <w:t>, 2010</w:t>
      </w:r>
      <w:r w:rsidR="00540506">
        <w:rPr>
          <w:sz w:val="26"/>
          <w:szCs w:val="24"/>
        </w:rPr>
        <w:t>,</w:t>
      </w:r>
      <w:r w:rsidR="0051475B" w:rsidRPr="0051475B">
        <w:rPr>
          <w:sz w:val="26"/>
          <w:szCs w:val="24"/>
        </w:rPr>
        <w:t xml:space="preserve"> </w:t>
      </w:r>
      <w:r w:rsidR="00252CDB">
        <w:rPr>
          <w:sz w:val="26"/>
          <w:szCs w:val="24"/>
        </w:rPr>
        <w:t xml:space="preserve">in which it </w:t>
      </w:r>
      <w:r>
        <w:rPr>
          <w:sz w:val="26"/>
          <w:szCs w:val="24"/>
        </w:rPr>
        <w:t xml:space="preserve">denied the allegations within the Complaint and </w:t>
      </w:r>
      <w:r w:rsidR="00252CDB">
        <w:rPr>
          <w:sz w:val="26"/>
          <w:szCs w:val="24"/>
        </w:rPr>
        <w:t xml:space="preserve">averred that </w:t>
      </w:r>
      <w:r>
        <w:rPr>
          <w:sz w:val="26"/>
          <w:szCs w:val="24"/>
        </w:rPr>
        <w:t xml:space="preserve">all of </w:t>
      </w:r>
      <w:r w:rsidR="00252CDB">
        <w:rPr>
          <w:sz w:val="26"/>
          <w:szCs w:val="24"/>
        </w:rPr>
        <w:t>the Complainant</w:t>
      </w:r>
      <w:r>
        <w:rPr>
          <w:sz w:val="26"/>
          <w:szCs w:val="24"/>
        </w:rPr>
        <w:t>’s disputed bills were based upon actual meter readings</w:t>
      </w:r>
      <w:r w:rsidR="00252CDB">
        <w:rPr>
          <w:sz w:val="26"/>
          <w:szCs w:val="24"/>
        </w:rPr>
        <w:t xml:space="preserve">.  </w:t>
      </w:r>
      <w:r w:rsidR="002E0008">
        <w:rPr>
          <w:sz w:val="26"/>
          <w:szCs w:val="24"/>
        </w:rPr>
        <w:t xml:space="preserve">Duquesne noted that the Complainant is a residential heating customer.  </w:t>
      </w:r>
      <w:r>
        <w:rPr>
          <w:sz w:val="26"/>
          <w:szCs w:val="24"/>
        </w:rPr>
        <w:t xml:space="preserve">Duquesne </w:t>
      </w:r>
      <w:r w:rsidR="00B503C6">
        <w:rPr>
          <w:sz w:val="26"/>
          <w:szCs w:val="24"/>
        </w:rPr>
        <w:t xml:space="preserve">also </w:t>
      </w:r>
      <w:r>
        <w:rPr>
          <w:sz w:val="26"/>
          <w:szCs w:val="24"/>
        </w:rPr>
        <w:t xml:space="preserve">stated that </w:t>
      </w:r>
      <w:r w:rsidR="00C26204">
        <w:rPr>
          <w:sz w:val="26"/>
          <w:szCs w:val="24"/>
        </w:rPr>
        <w:t xml:space="preserve">the </w:t>
      </w:r>
      <w:r>
        <w:rPr>
          <w:sz w:val="26"/>
          <w:szCs w:val="24"/>
        </w:rPr>
        <w:t>Complainant’s meter was tested on March 3, 2009, and was found to be operating correctly.</w:t>
      </w:r>
      <w:r w:rsidR="00E846BF">
        <w:rPr>
          <w:sz w:val="26"/>
          <w:szCs w:val="24"/>
        </w:rPr>
        <w:t xml:space="preserve">  </w:t>
      </w:r>
    </w:p>
    <w:p w:rsidR="00C11A68" w:rsidRDefault="00C11A68" w:rsidP="00A533C6">
      <w:pPr>
        <w:widowControl/>
        <w:spacing w:line="360" w:lineRule="auto"/>
        <w:ind w:firstLine="1440"/>
        <w:rPr>
          <w:sz w:val="26"/>
          <w:szCs w:val="24"/>
        </w:rPr>
      </w:pPr>
    </w:p>
    <w:p w:rsidR="0051475B" w:rsidRDefault="00C11A68" w:rsidP="00A533C6">
      <w:pPr>
        <w:widowControl/>
        <w:spacing w:line="360" w:lineRule="auto"/>
        <w:ind w:firstLine="1440"/>
        <w:rPr>
          <w:sz w:val="26"/>
          <w:szCs w:val="24"/>
        </w:rPr>
      </w:pPr>
      <w:r>
        <w:rPr>
          <w:sz w:val="26"/>
          <w:szCs w:val="24"/>
        </w:rPr>
        <w:t xml:space="preserve">On May 17, 2010, the Complainant filed a second </w:t>
      </w:r>
      <w:r w:rsidR="00D21E1C">
        <w:rPr>
          <w:sz w:val="26"/>
          <w:szCs w:val="24"/>
        </w:rPr>
        <w:t>C</w:t>
      </w:r>
      <w:r>
        <w:rPr>
          <w:sz w:val="26"/>
          <w:szCs w:val="24"/>
        </w:rPr>
        <w:t xml:space="preserve">omplaint, docketed at C-2010-2177251, alleging that he had been overcharged during 2010 as well.  The Complainant </w:t>
      </w:r>
      <w:r w:rsidR="00B503C6">
        <w:rPr>
          <w:sz w:val="26"/>
          <w:szCs w:val="24"/>
        </w:rPr>
        <w:t>argued</w:t>
      </w:r>
      <w:r w:rsidR="002E0008">
        <w:rPr>
          <w:sz w:val="26"/>
          <w:szCs w:val="24"/>
        </w:rPr>
        <w:t xml:space="preserve"> that the utility doubles his bill every December through March and he </w:t>
      </w:r>
      <w:r>
        <w:rPr>
          <w:sz w:val="26"/>
          <w:szCs w:val="24"/>
        </w:rPr>
        <w:t>also requested a payment agreement “only if I lose this case.”</w:t>
      </w:r>
      <w:r w:rsidR="00D84707">
        <w:rPr>
          <w:sz w:val="26"/>
          <w:szCs w:val="24"/>
        </w:rPr>
        <w:t xml:space="preserve">  Furt</w:t>
      </w:r>
      <w:r w:rsidR="00B503C6">
        <w:rPr>
          <w:sz w:val="26"/>
          <w:szCs w:val="24"/>
        </w:rPr>
        <w:t>hermore, the Complainant alleged</w:t>
      </w:r>
      <w:r w:rsidR="00D84707">
        <w:rPr>
          <w:sz w:val="26"/>
          <w:szCs w:val="24"/>
        </w:rPr>
        <w:t xml:space="preserve"> that Duquesne gave him a special rate for building his home on an all-electric basis but was told by the company that they were doing away with that spec</w:t>
      </w:r>
      <w:r w:rsidR="00B503C6">
        <w:rPr>
          <w:sz w:val="26"/>
          <w:szCs w:val="24"/>
        </w:rPr>
        <w:t>ial rate.  The Complainant opined</w:t>
      </w:r>
      <w:r w:rsidR="00D84707">
        <w:rPr>
          <w:sz w:val="26"/>
          <w:szCs w:val="24"/>
        </w:rPr>
        <w:t xml:space="preserve"> that he should have been “grandfathered” in and his rate should have been locked.</w:t>
      </w:r>
      <w:r w:rsidR="00252CDB">
        <w:rPr>
          <w:sz w:val="26"/>
          <w:szCs w:val="24"/>
        </w:rPr>
        <w:t xml:space="preserve"> </w:t>
      </w:r>
    </w:p>
    <w:p w:rsidR="002E0008" w:rsidRDefault="002E0008" w:rsidP="00A533C6">
      <w:pPr>
        <w:widowControl/>
        <w:spacing w:line="360" w:lineRule="auto"/>
        <w:ind w:firstLine="1440"/>
        <w:rPr>
          <w:sz w:val="26"/>
          <w:szCs w:val="24"/>
        </w:rPr>
      </w:pPr>
    </w:p>
    <w:p w:rsidR="009154CD" w:rsidRDefault="002E0008" w:rsidP="00A533C6">
      <w:pPr>
        <w:widowControl/>
        <w:spacing w:line="360" w:lineRule="auto"/>
        <w:ind w:firstLine="1440"/>
        <w:rPr>
          <w:sz w:val="26"/>
          <w:szCs w:val="24"/>
        </w:rPr>
      </w:pPr>
      <w:r>
        <w:rPr>
          <w:sz w:val="26"/>
          <w:szCs w:val="24"/>
        </w:rPr>
        <w:t>On June 11, 2010, Duquesne filed an Answer to the second Complaint and also filed a M</w:t>
      </w:r>
      <w:r w:rsidR="009154CD">
        <w:rPr>
          <w:sz w:val="26"/>
          <w:szCs w:val="24"/>
        </w:rPr>
        <w:t>otion to C</w:t>
      </w:r>
      <w:r>
        <w:rPr>
          <w:sz w:val="26"/>
          <w:szCs w:val="24"/>
        </w:rPr>
        <w:t xml:space="preserve">onsolidate </w:t>
      </w:r>
      <w:r w:rsidR="009154CD">
        <w:rPr>
          <w:sz w:val="26"/>
          <w:szCs w:val="24"/>
        </w:rPr>
        <w:t xml:space="preserve">(Motion) </w:t>
      </w:r>
      <w:r>
        <w:rPr>
          <w:sz w:val="26"/>
          <w:szCs w:val="24"/>
        </w:rPr>
        <w:t xml:space="preserve">the two Complaints.  In </w:t>
      </w:r>
      <w:r w:rsidR="009154CD">
        <w:rPr>
          <w:sz w:val="26"/>
          <w:szCs w:val="24"/>
        </w:rPr>
        <w:t>this A</w:t>
      </w:r>
      <w:r>
        <w:rPr>
          <w:sz w:val="26"/>
          <w:szCs w:val="24"/>
        </w:rPr>
        <w:t xml:space="preserve">nswer, Duquesne denied the Complainant’s allegations, noting that it issued a ten-day </w:t>
      </w:r>
      <w:r>
        <w:rPr>
          <w:sz w:val="26"/>
          <w:szCs w:val="24"/>
        </w:rPr>
        <w:lastRenderedPageBreak/>
        <w:t>termination notice to</w:t>
      </w:r>
      <w:r w:rsidR="00C26204">
        <w:rPr>
          <w:sz w:val="26"/>
          <w:szCs w:val="24"/>
        </w:rPr>
        <w:t xml:space="preserve"> the</w:t>
      </w:r>
      <w:r>
        <w:rPr>
          <w:sz w:val="26"/>
          <w:szCs w:val="24"/>
        </w:rPr>
        <w:t xml:space="preserve"> Complainant on May 6, 2010.</w:t>
      </w:r>
      <w:r w:rsidR="00D84707">
        <w:rPr>
          <w:sz w:val="26"/>
          <w:szCs w:val="24"/>
        </w:rPr>
        <w:t xml:space="preserve">  Duquesne admitted that it gave the Complainant a special rate for going all electric but that in its last rate case</w:t>
      </w:r>
      <w:r w:rsidR="002D78D7">
        <w:rPr>
          <w:sz w:val="26"/>
          <w:szCs w:val="24"/>
        </w:rPr>
        <w:t xml:space="preserve">, </w:t>
      </w:r>
      <w:r w:rsidR="00D84707">
        <w:rPr>
          <w:sz w:val="26"/>
          <w:szCs w:val="24"/>
        </w:rPr>
        <w:t xml:space="preserve">which was approved by the Commission in </w:t>
      </w:r>
      <w:r w:rsidR="00B503C6">
        <w:rPr>
          <w:sz w:val="26"/>
          <w:szCs w:val="24"/>
        </w:rPr>
        <w:t>2007,</w:t>
      </w:r>
      <w:r w:rsidR="00D84707">
        <w:rPr>
          <w:sz w:val="26"/>
          <w:szCs w:val="24"/>
        </w:rPr>
        <w:t xml:space="preserve"> there was a gradual phasing out of the rate class differential for heat rate customers.</w:t>
      </w:r>
      <w:r w:rsidR="009154CD">
        <w:rPr>
          <w:sz w:val="26"/>
          <w:szCs w:val="24"/>
        </w:rPr>
        <w:t xml:space="preserve">  In the Motion, Duquesne noted that both Complaints contain</w:t>
      </w:r>
      <w:r w:rsidR="00D21E1C">
        <w:rPr>
          <w:sz w:val="26"/>
          <w:szCs w:val="24"/>
        </w:rPr>
        <w:t>ed</w:t>
      </w:r>
      <w:r w:rsidR="009154CD">
        <w:rPr>
          <w:sz w:val="26"/>
          <w:szCs w:val="24"/>
        </w:rPr>
        <w:t xml:space="preserve"> averments of incorrect charges on </w:t>
      </w:r>
      <w:r w:rsidR="00C26204">
        <w:rPr>
          <w:sz w:val="26"/>
          <w:szCs w:val="24"/>
        </w:rPr>
        <w:t xml:space="preserve">the </w:t>
      </w:r>
      <w:r w:rsidR="009154CD">
        <w:rPr>
          <w:sz w:val="26"/>
          <w:szCs w:val="24"/>
        </w:rPr>
        <w:t xml:space="preserve">Complainant’s bill and </w:t>
      </w:r>
      <w:r w:rsidR="00D21E1C">
        <w:rPr>
          <w:sz w:val="26"/>
          <w:szCs w:val="24"/>
        </w:rPr>
        <w:t>raised</w:t>
      </w:r>
      <w:r w:rsidR="009154CD">
        <w:rPr>
          <w:sz w:val="26"/>
          <w:szCs w:val="24"/>
        </w:rPr>
        <w:t xml:space="preserve"> common questions of law and fact.</w:t>
      </w:r>
    </w:p>
    <w:p w:rsidR="009154CD" w:rsidRDefault="009154CD" w:rsidP="00A533C6">
      <w:pPr>
        <w:widowControl/>
        <w:spacing w:line="360" w:lineRule="auto"/>
        <w:ind w:firstLine="1440"/>
        <w:rPr>
          <w:sz w:val="26"/>
          <w:szCs w:val="24"/>
        </w:rPr>
      </w:pPr>
    </w:p>
    <w:p w:rsidR="002E0008" w:rsidRPr="0051475B" w:rsidRDefault="009154CD" w:rsidP="00A533C6">
      <w:pPr>
        <w:widowControl/>
        <w:spacing w:line="360" w:lineRule="auto"/>
        <w:ind w:firstLine="1440"/>
        <w:rPr>
          <w:sz w:val="26"/>
          <w:szCs w:val="24"/>
        </w:rPr>
      </w:pPr>
      <w:r>
        <w:rPr>
          <w:sz w:val="26"/>
          <w:szCs w:val="24"/>
        </w:rPr>
        <w:t xml:space="preserve">The </w:t>
      </w:r>
      <w:r w:rsidR="001D4A94">
        <w:rPr>
          <w:sz w:val="26"/>
          <w:szCs w:val="24"/>
        </w:rPr>
        <w:t xml:space="preserve">Office of </w:t>
      </w:r>
      <w:r>
        <w:rPr>
          <w:sz w:val="26"/>
          <w:szCs w:val="24"/>
        </w:rPr>
        <w:t xml:space="preserve">ALJ granted Duquesne’s Motion </w:t>
      </w:r>
      <w:r w:rsidR="001D4A94">
        <w:rPr>
          <w:sz w:val="26"/>
          <w:szCs w:val="24"/>
        </w:rPr>
        <w:t xml:space="preserve">to Consolidate </w:t>
      </w:r>
      <w:r>
        <w:rPr>
          <w:sz w:val="26"/>
          <w:szCs w:val="24"/>
        </w:rPr>
        <w:t xml:space="preserve">by Order issued May 20, 2011. </w:t>
      </w:r>
    </w:p>
    <w:p w:rsidR="0051475B" w:rsidRPr="0051475B" w:rsidRDefault="0051475B" w:rsidP="00A533C6">
      <w:pPr>
        <w:widowControl/>
        <w:spacing w:line="360" w:lineRule="auto"/>
        <w:jc w:val="center"/>
        <w:rPr>
          <w:sz w:val="26"/>
          <w:szCs w:val="24"/>
        </w:rPr>
      </w:pPr>
    </w:p>
    <w:p w:rsidR="0051475B" w:rsidRDefault="0051475B" w:rsidP="00A533C6">
      <w:pPr>
        <w:widowControl/>
        <w:spacing w:line="360" w:lineRule="auto"/>
        <w:rPr>
          <w:sz w:val="26"/>
          <w:szCs w:val="24"/>
        </w:rPr>
      </w:pPr>
      <w:r w:rsidRPr="0051475B">
        <w:rPr>
          <w:sz w:val="26"/>
          <w:szCs w:val="24"/>
        </w:rPr>
        <w:tab/>
      </w:r>
      <w:r w:rsidRPr="0051475B">
        <w:rPr>
          <w:sz w:val="26"/>
          <w:szCs w:val="24"/>
        </w:rPr>
        <w:tab/>
      </w:r>
      <w:r w:rsidR="008F2510">
        <w:rPr>
          <w:sz w:val="26"/>
          <w:szCs w:val="24"/>
        </w:rPr>
        <w:t xml:space="preserve">ALJ </w:t>
      </w:r>
      <w:r w:rsidR="00DA4C18">
        <w:rPr>
          <w:sz w:val="26"/>
          <w:szCs w:val="24"/>
        </w:rPr>
        <w:t>Long</w:t>
      </w:r>
      <w:r w:rsidR="008F2510">
        <w:rPr>
          <w:sz w:val="26"/>
          <w:szCs w:val="24"/>
        </w:rPr>
        <w:t xml:space="preserve"> conducted a</w:t>
      </w:r>
      <w:r w:rsidR="00FA5277">
        <w:rPr>
          <w:sz w:val="26"/>
          <w:szCs w:val="24"/>
        </w:rPr>
        <w:t xml:space="preserve"> telephonic hearing on September 27</w:t>
      </w:r>
      <w:r w:rsidRPr="0051475B">
        <w:rPr>
          <w:sz w:val="26"/>
          <w:szCs w:val="24"/>
        </w:rPr>
        <w:t>, 2011.</w:t>
      </w:r>
      <w:r w:rsidR="001D4A94">
        <w:rPr>
          <w:rStyle w:val="FootnoteReference"/>
          <w:sz w:val="26"/>
          <w:szCs w:val="24"/>
        </w:rPr>
        <w:footnoteReference w:id="1"/>
      </w:r>
      <w:r w:rsidRPr="0051475B">
        <w:rPr>
          <w:sz w:val="26"/>
          <w:szCs w:val="24"/>
        </w:rPr>
        <w:t xml:space="preserve">  </w:t>
      </w:r>
      <w:r w:rsidR="00377F25">
        <w:rPr>
          <w:sz w:val="26"/>
          <w:szCs w:val="24"/>
        </w:rPr>
        <w:t xml:space="preserve">The </w:t>
      </w:r>
      <w:r w:rsidRPr="0051475B">
        <w:rPr>
          <w:sz w:val="26"/>
          <w:szCs w:val="24"/>
        </w:rPr>
        <w:t xml:space="preserve">Complainant appeared </w:t>
      </w:r>
      <w:r w:rsidRPr="0051475B">
        <w:rPr>
          <w:i/>
          <w:sz w:val="26"/>
          <w:szCs w:val="24"/>
        </w:rPr>
        <w:t>pro se</w:t>
      </w:r>
      <w:r w:rsidRPr="0051475B">
        <w:rPr>
          <w:sz w:val="26"/>
          <w:szCs w:val="24"/>
        </w:rPr>
        <w:t xml:space="preserve">.  </w:t>
      </w:r>
      <w:r w:rsidR="00FA5277">
        <w:rPr>
          <w:sz w:val="26"/>
          <w:szCs w:val="24"/>
        </w:rPr>
        <w:t>Duquesne</w:t>
      </w:r>
      <w:r w:rsidR="00377F25">
        <w:rPr>
          <w:sz w:val="26"/>
          <w:szCs w:val="24"/>
        </w:rPr>
        <w:t xml:space="preserve"> was represented by counsel</w:t>
      </w:r>
      <w:r w:rsidRPr="0051475B">
        <w:rPr>
          <w:sz w:val="26"/>
          <w:szCs w:val="24"/>
        </w:rPr>
        <w:t xml:space="preserve"> </w:t>
      </w:r>
      <w:r w:rsidR="00377F25">
        <w:rPr>
          <w:sz w:val="26"/>
          <w:szCs w:val="24"/>
        </w:rPr>
        <w:t xml:space="preserve">and </w:t>
      </w:r>
      <w:r w:rsidR="0010366F">
        <w:rPr>
          <w:sz w:val="26"/>
          <w:szCs w:val="24"/>
        </w:rPr>
        <w:t>proffered</w:t>
      </w:r>
      <w:r w:rsidR="00FA5277">
        <w:rPr>
          <w:sz w:val="26"/>
          <w:szCs w:val="24"/>
        </w:rPr>
        <w:t xml:space="preserve"> the testimony of three witnesses.  Duquesne </w:t>
      </w:r>
      <w:r w:rsidR="00377F25">
        <w:rPr>
          <w:sz w:val="26"/>
          <w:szCs w:val="24"/>
        </w:rPr>
        <w:t xml:space="preserve">presented </w:t>
      </w:r>
      <w:r w:rsidR="00FA5277">
        <w:rPr>
          <w:sz w:val="26"/>
          <w:szCs w:val="24"/>
        </w:rPr>
        <w:t>seven</w:t>
      </w:r>
      <w:r w:rsidRPr="0051475B">
        <w:rPr>
          <w:sz w:val="26"/>
          <w:szCs w:val="24"/>
        </w:rPr>
        <w:t xml:space="preserve"> exhibits </w:t>
      </w:r>
      <w:r w:rsidR="00377F25">
        <w:rPr>
          <w:sz w:val="26"/>
          <w:szCs w:val="24"/>
        </w:rPr>
        <w:t xml:space="preserve">that were admitted into </w:t>
      </w:r>
      <w:r w:rsidRPr="0051475B">
        <w:rPr>
          <w:sz w:val="26"/>
          <w:szCs w:val="24"/>
        </w:rPr>
        <w:t xml:space="preserve">the record.  The hearing generated </w:t>
      </w:r>
      <w:r w:rsidR="00FA5277">
        <w:rPr>
          <w:sz w:val="26"/>
          <w:szCs w:val="24"/>
        </w:rPr>
        <w:t>a transcript of 102</w:t>
      </w:r>
      <w:r w:rsidRPr="0051475B">
        <w:rPr>
          <w:sz w:val="26"/>
          <w:szCs w:val="24"/>
        </w:rPr>
        <w:t xml:space="preserve"> pages.  No briefs were filed.  The record </w:t>
      </w:r>
      <w:r w:rsidR="00377F25">
        <w:rPr>
          <w:sz w:val="26"/>
          <w:szCs w:val="24"/>
        </w:rPr>
        <w:t xml:space="preserve">was </w:t>
      </w:r>
      <w:r w:rsidR="00FA5277">
        <w:rPr>
          <w:sz w:val="26"/>
          <w:szCs w:val="24"/>
        </w:rPr>
        <w:t>closed on Octo</w:t>
      </w:r>
      <w:r w:rsidRPr="0051475B">
        <w:rPr>
          <w:sz w:val="26"/>
          <w:szCs w:val="24"/>
        </w:rPr>
        <w:t xml:space="preserve">ber </w:t>
      </w:r>
      <w:r w:rsidR="00FA5277">
        <w:rPr>
          <w:sz w:val="26"/>
          <w:szCs w:val="24"/>
        </w:rPr>
        <w:t>17</w:t>
      </w:r>
      <w:r w:rsidRPr="0051475B">
        <w:rPr>
          <w:sz w:val="26"/>
          <w:szCs w:val="24"/>
        </w:rPr>
        <w:t>, 2011.</w:t>
      </w:r>
    </w:p>
    <w:p w:rsidR="00655657" w:rsidRDefault="00655657" w:rsidP="00A533C6">
      <w:pPr>
        <w:widowControl/>
        <w:spacing w:line="360" w:lineRule="auto"/>
        <w:rPr>
          <w:sz w:val="26"/>
          <w:szCs w:val="24"/>
        </w:rPr>
      </w:pPr>
    </w:p>
    <w:p w:rsidR="00A533C6" w:rsidRDefault="00655657" w:rsidP="00A533C6">
      <w:pPr>
        <w:widowControl/>
        <w:spacing w:line="360" w:lineRule="auto"/>
        <w:rPr>
          <w:sz w:val="26"/>
          <w:szCs w:val="24"/>
        </w:rPr>
      </w:pPr>
      <w:r>
        <w:rPr>
          <w:sz w:val="26"/>
          <w:szCs w:val="24"/>
        </w:rPr>
        <w:tab/>
      </w:r>
      <w:r>
        <w:rPr>
          <w:sz w:val="26"/>
          <w:szCs w:val="24"/>
        </w:rPr>
        <w:tab/>
      </w:r>
      <w:r w:rsidR="004931C7">
        <w:rPr>
          <w:sz w:val="26"/>
          <w:szCs w:val="24"/>
        </w:rPr>
        <w:t>In the Initia</w:t>
      </w:r>
      <w:r w:rsidR="009B22A2">
        <w:rPr>
          <w:sz w:val="26"/>
          <w:szCs w:val="24"/>
        </w:rPr>
        <w:t>l Decision, issued on December 20, 2011, ALJ Long</w:t>
      </w:r>
      <w:r w:rsidR="004931C7">
        <w:rPr>
          <w:sz w:val="26"/>
          <w:szCs w:val="24"/>
        </w:rPr>
        <w:t xml:space="preserve"> found that the</w:t>
      </w:r>
      <w:r w:rsidR="009B22A2">
        <w:rPr>
          <w:sz w:val="26"/>
          <w:szCs w:val="24"/>
        </w:rPr>
        <w:t>re was no evidence that Du</w:t>
      </w:r>
      <w:r w:rsidR="00932029">
        <w:rPr>
          <w:sz w:val="26"/>
          <w:szCs w:val="24"/>
        </w:rPr>
        <w:t>quesne had violated the Public U</w:t>
      </w:r>
      <w:r w:rsidR="009B22A2">
        <w:rPr>
          <w:sz w:val="26"/>
          <w:szCs w:val="24"/>
        </w:rPr>
        <w:t>tility Code or any rules, regulations or orders of the Commission.</w:t>
      </w:r>
      <w:r w:rsidR="004931C7">
        <w:rPr>
          <w:sz w:val="26"/>
          <w:szCs w:val="24"/>
        </w:rPr>
        <w:t xml:space="preserve"> </w:t>
      </w:r>
      <w:r w:rsidR="009B22A2">
        <w:rPr>
          <w:sz w:val="26"/>
          <w:szCs w:val="24"/>
        </w:rPr>
        <w:t xml:space="preserve"> The ALJ denied, in part, and gran</w:t>
      </w:r>
      <w:r w:rsidR="00932029">
        <w:rPr>
          <w:sz w:val="26"/>
          <w:szCs w:val="24"/>
        </w:rPr>
        <w:t>ted, in part, the Complaints.  T</w:t>
      </w:r>
      <w:r w:rsidR="009B22A2">
        <w:rPr>
          <w:sz w:val="26"/>
          <w:szCs w:val="24"/>
        </w:rPr>
        <w:t xml:space="preserve">he </w:t>
      </w:r>
      <w:r w:rsidR="00932029">
        <w:rPr>
          <w:sz w:val="26"/>
          <w:szCs w:val="24"/>
        </w:rPr>
        <w:t xml:space="preserve">ALJ </w:t>
      </w:r>
      <w:r w:rsidR="009B22A2">
        <w:rPr>
          <w:sz w:val="26"/>
          <w:szCs w:val="24"/>
        </w:rPr>
        <w:t xml:space="preserve">only granted that portion of the Complaints that requested a payment arrangement </w:t>
      </w:r>
      <w:r w:rsidR="004931C7">
        <w:rPr>
          <w:sz w:val="26"/>
          <w:szCs w:val="24"/>
        </w:rPr>
        <w:t>and denied the Complaint</w:t>
      </w:r>
      <w:r w:rsidR="009B22A2">
        <w:rPr>
          <w:sz w:val="26"/>
          <w:szCs w:val="24"/>
        </w:rPr>
        <w:t>s in all other respects</w:t>
      </w:r>
      <w:r w:rsidR="004931C7">
        <w:rPr>
          <w:sz w:val="26"/>
          <w:szCs w:val="24"/>
        </w:rPr>
        <w:t xml:space="preserve">.  </w:t>
      </w:r>
      <w:r>
        <w:rPr>
          <w:sz w:val="26"/>
          <w:szCs w:val="24"/>
        </w:rPr>
        <w:t xml:space="preserve">As previously </w:t>
      </w:r>
    </w:p>
    <w:p w:rsidR="00A533C6" w:rsidRDefault="00A533C6" w:rsidP="00A533C6">
      <w:pPr>
        <w:widowControl/>
        <w:spacing w:after="200" w:line="276" w:lineRule="auto"/>
        <w:rPr>
          <w:sz w:val="26"/>
          <w:szCs w:val="24"/>
        </w:rPr>
      </w:pPr>
      <w:r>
        <w:rPr>
          <w:sz w:val="26"/>
          <w:szCs w:val="24"/>
        </w:rPr>
        <w:br w:type="page"/>
      </w:r>
    </w:p>
    <w:p w:rsidR="00655657" w:rsidRDefault="00655657" w:rsidP="00A533C6">
      <w:pPr>
        <w:widowControl/>
        <w:spacing w:line="360" w:lineRule="auto"/>
        <w:rPr>
          <w:sz w:val="26"/>
          <w:szCs w:val="24"/>
        </w:rPr>
      </w:pPr>
      <w:r>
        <w:rPr>
          <w:sz w:val="26"/>
          <w:szCs w:val="24"/>
        </w:rPr>
        <w:lastRenderedPageBreak/>
        <w:t>indicated, the Complain</w:t>
      </w:r>
      <w:r w:rsidR="009B22A2">
        <w:rPr>
          <w:sz w:val="26"/>
          <w:szCs w:val="24"/>
        </w:rPr>
        <w:t>ant filed Exceptions on January 9, 20</w:t>
      </w:r>
      <w:r>
        <w:rPr>
          <w:sz w:val="26"/>
          <w:szCs w:val="24"/>
        </w:rPr>
        <w:t>1</w:t>
      </w:r>
      <w:r w:rsidR="009B22A2">
        <w:rPr>
          <w:sz w:val="26"/>
          <w:szCs w:val="24"/>
        </w:rPr>
        <w:t>2</w:t>
      </w:r>
      <w:r>
        <w:rPr>
          <w:sz w:val="26"/>
          <w:szCs w:val="24"/>
        </w:rPr>
        <w:t>.</w:t>
      </w:r>
      <w:r>
        <w:rPr>
          <w:rStyle w:val="FootnoteReference"/>
          <w:sz w:val="26"/>
          <w:szCs w:val="24"/>
        </w:rPr>
        <w:footnoteReference w:id="2"/>
      </w:r>
      <w:r w:rsidR="00A030DD">
        <w:rPr>
          <w:sz w:val="26"/>
          <w:szCs w:val="24"/>
        </w:rPr>
        <w:t xml:space="preserve">  </w:t>
      </w:r>
      <w:r w:rsidR="009B22A2">
        <w:rPr>
          <w:sz w:val="26"/>
          <w:szCs w:val="24"/>
        </w:rPr>
        <w:t>Duquesne filed Reply</w:t>
      </w:r>
      <w:r w:rsidR="00A030DD">
        <w:rPr>
          <w:sz w:val="26"/>
          <w:szCs w:val="24"/>
        </w:rPr>
        <w:t xml:space="preserve"> </w:t>
      </w:r>
      <w:r w:rsidR="009B22A2">
        <w:rPr>
          <w:sz w:val="26"/>
          <w:szCs w:val="24"/>
        </w:rPr>
        <w:t>Exceptions on January 18</w:t>
      </w:r>
      <w:r w:rsidR="00A030DD">
        <w:rPr>
          <w:sz w:val="26"/>
          <w:szCs w:val="24"/>
        </w:rPr>
        <w:t xml:space="preserve">, 2012.  </w:t>
      </w:r>
    </w:p>
    <w:p w:rsidR="00A533C6" w:rsidRDefault="00A533C6" w:rsidP="00A533C6">
      <w:pPr>
        <w:widowControl/>
        <w:spacing w:line="360" w:lineRule="auto"/>
        <w:jc w:val="center"/>
        <w:rPr>
          <w:b/>
          <w:sz w:val="26"/>
          <w:szCs w:val="26"/>
        </w:rPr>
      </w:pPr>
    </w:p>
    <w:p w:rsidR="00CA43A5" w:rsidRPr="00CA43A5" w:rsidRDefault="00CA43A5" w:rsidP="00A533C6">
      <w:pPr>
        <w:widowControl/>
        <w:spacing w:line="360" w:lineRule="auto"/>
        <w:jc w:val="center"/>
        <w:rPr>
          <w:sz w:val="26"/>
          <w:szCs w:val="26"/>
        </w:rPr>
      </w:pPr>
      <w:r w:rsidRPr="00CA43A5">
        <w:rPr>
          <w:b/>
          <w:sz w:val="26"/>
          <w:szCs w:val="26"/>
        </w:rPr>
        <w:t>Discussion</w:t>
      </w:r>
    </w:p>
    <w:p w:rsidR="0043592C" w:rsidRDefault="0043592C" w:rsidP="00A533C6">
      <w:pPr>
        <w:widowControl/>
        <w:spacing w:line="360" w:lineRule="auto"/>
        <w:ind w:firstLine="1440"/>
        <w:rPr>
          <w:sz w:val="26"/>
          <w:szCs w:val="26"/>
        </w:rPr>
      </w:pPr>
    </w:p>
    <w:p w:rsidR="0043592C" w:rsidRDefault="0043592C" w:rsidP="00A533C6">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sidR="00CE7C2C">
        <w:rPr>
          <w:sz w:val="26"/>
          <w:szCs w:val="26"/>
        </w:rPr>
        <w:t xml:space="preserve">Public Utility </w:t>
      </w:r>
      <w:r w:rsidRPr="00CA43A5">
        <w:rPr>
          <w:sz w:val="26"/>
          <w:szCs w:val="26"/>
        </w:rPr>
        <w:t>Code</w:t>
      </w:r>
      <w:r w:rsidR="00CE7C2C">
        <w:rPr>
          <w:sz w:val="26"/>
          <w:szCs w:val="26"/>
        </w:rPr>
        <w:t xml:space="preserve"> (Code),</w:t>
      </w:r>
      <w:r w:rsidRPr="00CA43A5">
        <w:rPr>
          <w:sz w:val="26"/>
          <w:szCs w:val="26"/>
        </w:rPr>
        <w:t xml:space="preserv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 xml:space="preserve">Samuel J. </w:t>
      </w:r>
      <w:proofErr w:type="spellStart"/>
      <w:r w:rsidRPr="00CA43A5">
        <w:rPr>
          <w:i/>
          <w:iCs/>
          <w:sz w:val="26"/>
          <w:szCs w:val="26"/>
        </w:rPr>
        <w:t>Lansberry</w:t>
      </w:r>
      <w:proofErr w:type="spellEnd"/>
      <w:r w:rsidRPr="00CA43A5">
        <w:rPr>
          <w:i/>
          <w:iCs/>
          <w:sz w:val="26"/>
          <w:szCs w:val="26"/>
        </w:rPr>
        <w:t>, Inc. v. Pa. PUC</w:t>
      </w:r>
      <w:r w:rsidRPr="00CA43A5">
        <w:rPr>
          <w:sz w:val="26"/>
          <w:szCs w:val="26"/>
        </w:rPr>
        <w:t xml:space="preserve">, 578 A.2d 600 (Pa. </w:t>
      </w:r>
      <w:proofErr w:type="spellStart"/>
      <w:r w:rsidRPr="00CA43A5">
        <w:rPr>
          <w:sz w:val="26"/>
          <w:szCs w:val="26"/>
        </w:rPr>
        <w:t>Cmwlth</w:t>
      </w:r>
      <w:proofErr w:type="spellEnd"/>
      <w:r w:rsidRPr="00CA43A5">
        <w:rPr>
          <w:sz w:val="26"/>
          <w:szCs w:val="26"/>
        </w:rPr>
        <w:t xml:space="preserve">. 1990), </w:t>
      </w:r>
      <w:proofErr w:type="spellStart"/>
      <w:r w:rsidRPr="00CA43A5">
        <w:rPr>
          <w:i/>
          <w:sz w:val="26"/>
          <w:szCs w:val="26"/>
        </w:rPr>
        <w:t>alloc</w:t>
      </w:r>
      <w:proofErr w:type="spellEnd"/>
      <w:r w:rsidRPr="00CA43A5">
        <w:rPr>
          <w:i/>
          <w:sz w:val="26"/>
          <w:szCs w:val="26"/>
        </w:rPr>
        <w:t>.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A533C6">
      <w:pPr>
        <w:widowControl/>
        <w:spacing w:line="360" w:lineRule="auto"/>
        <w:rPr>
          <w:sz w:val="26"/>
          <w:szCs w:val="26"/>
        </w:rPr>
      </w:pPr>
    </w:p>
    <w:p w:rsidR="00154CB6" w:rsidRDefault="00670BFD" w:rsidP="00A533C6">
      <w:pPr>
        <w:widowControl/>
        <w:spacing w:line="360" w:lineRule="auto"/>
        <w:ind w:firstLine="1440"/>
        <w:rPr>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 xml:space="preserve">of going forward with the evidence, sometimes called the burden of persuasion, to rebut the evidence of the </w:t>
      </w:r>
      <w:r w:rsidR="00D21E1C">
        <w:rPr>
          <w:sz w:val="26"/>
        </w:rPr>
        <w:t>complainant</w:t>
      </w:r>
      <w:r>
        <w:rPr>
          <w:sz w:val="26"/>
        </w:rPr>
        <w:t xml:space="preserve"> shifts</w:t>
      </w:r>
      <w:r w:rsidRPr="00472547">
        <w:rPr>
          <w:sz w:val="26"/>
        </w:rPr>
        <w:t xml:space="preserve"> to the </w:t>
      </w:r>
      <w:r w:rsidRPr="00472547">
        <w:rPr>
          <w:sz w:val="26"/>
        </w:rPr>
        <w:lastRenderedPageBreak/>
        <w:t xml:space="preserve">respondent. </w:t>
      </w:r>
      <w:r w:rsidR="002E23A4">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w:t>
      </w:r>
      <w:r w:rsidR="002E23A4">
        <w:rPr>
          <w:sz w:val="26"/>
        </w:rPr>
        <w:t xml:space="preserve"> </w:t>
      </w:r>
      <w:r w:rsidRPr="00472547">
        <w:rPr>
          <w:sz w:val="26"/>
        </w:rPr>
        <w:t>The complainant now has to provide some additional evidence to rebut that of the 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w:t>
        </w:r>
        <w:proofErr w:type="spellStart"/>
        <w:r w:rsidR="00195F2E" w:rsidRPr="00154CB6">
          <w:rPr>
            <w:rStyle w:val="Hyperlink"/>
            <w:rFonts w:ascii="Times New (W1)" w:hAnsi="Times New (W1)"/>
            <w:iCs/>
            <w:color w:val="auto"/>
            <w:sz w:val="26"/>
            <w:u w:val="none"/>
          </w:rPr>
          <w:t>Cmwlth</w:t>
        </w:r>
        <w:proofErr w:type="spellEnd"/>
        <w:r w:rsidR="00195F2E" w:rsidRPr="00154CB6">
          <w:rPr>
            <w:rStyle w:val="Hyperlink"/>
            <w:rFonts w:ascii="Times New (W1)" w:hAnsi="Times New (W1)"/>
            <w:iCs/>
            <w:color w:val="auto"/>
            <w:sz w:val="26"/>
            <w:u w:val="none"/>
          </w:rPr>
          <w:t xml:space="preserve">. 1982), </w:t>
        </w:r>
        <w:proofErr w:type="spellStart"/>
        <w:r w:rsidR="00195F2E" w:rsidRPr="00154CB6">
          <w:rPr>
            <w:rStyle w:val="Hyperlink"/>
            <w:rFonts w:ascii="Times New (W1)" w:hAnsi="Times New (W1)"/>
            <w:i/>
            <w:iCs/>
            <w:color w:val="auto"/>
            <w:sz w:val="26"/>
            <w:u w:val="none"/>
          </w:rPr>
          <w:t>aff’d</w:t>
        </w:r>
        <w:proofErr w:type="spellEnd"/>
        <w:r w:rsidR="00195F2E" w:rsidRPr="00154CB6">
          <w:rPr>
            <w:rStyle w:val="Hyperlink"/>
            <w:rFonts w:ascii="Times New (W1)" w:hAnsi="Times New (W1)"/>
            <w:i/>
            <w:iCs/>
            <w:color w:val="auto"/>
            <w:sz w:val="26"/>
            <w:u w:val="none"/>
          </w:rPr>
          <w:t>,</w:t>
        </w:r>
        <w:r w:rsidR="00195F2E" w:rsidRPr="00154CB6">
          <w:rPr>
            <w:rStyle w:val="Hyperlink"/>
            <w:rFonts w:ascii="Times New (W1)" w:hAnsi="Times New (W1)"/>
            <w:iCs/>
            <w:color w:val="auto"/>
            <w:sz w:val="26"/>
            <w:u w:val="none"/>
          </w:rPr>
          <w:t xml:space="preserve"> 501 Pa. 433, 461 A.2d 1234 (1983).</w:t>
        </w:r>
      </w:hyperlink>
      <w:r w:rsidR="00F93FC0">
        <w:rPr>
          <w:rStyle w:val="Hyperlink"/>
          <w:rFonts w:ascii="Times New (W1)" w:hAnsi="Times New (W1)"/>
          <w:iCs/>
          <w:color w:val="auto"/>
          <w:sz w:val="26"/>
          <w:u w:val="none"/>
        </w:rPr>
        <w:t xml:space="preserve">  </w:t>
      </w:r>
      <w:r w:rsidRPr="00182752">
        <w:rPr>
          <w:sz w:val="26"/>
        </w:rPr>
        <w:t xml:space="preserve">While the burden of persuasion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proofErr w:type="spellStart"/>
      <w:r w:rsidR="00154CB6">
        <w:rPr>
          <w:i/>
          <w:sz w:val="26"/>
        </w:rPr>
        <w:t>Milkie</w:t>
      </w:r>
      <w:proofErr w:type="spellEnd"/>
      <w:r w:rsidR="00154CB6">
        <w:rPr>
          <w:i/>
          <w:sz w:val="26"/>
        </w:rPr>
        <w:t xml:space="preserve"> v. Pa. PUC, </w:t>
      </w:r>
      <w:r w:rsidR="00154CB6">
        <w:rPr>
          <w:sz w:val="26"/>
        </w:rPr>
        <w:t xml:space="preserve">768 A.2d 1217 (Pa. </w:t>
      </w:r>
      <w:proofErr w:type="spellStart"/>
      <w:r w:rsidR="00154CB6">
        <w:rPr>
          <w:sz w:val="26"/>
        </w:rPr>
        <w:t>Cmwlth</w:t>
      </w:r>
      <w:proofErr w:type="spellEnd"/>
      <w:r w:rsidR="00154CB6">
        <w:rPr>
          <w:sz w:val="26"/>
        </w:rPr>
        <w:t>. 2001).</w:t>
      </w:r>
    </w:p>
    <w:p w:rsidR="00154CB6" w:rsidRPr="00CA43A5" w:rsidRDefault="00154CB6" w:rsidP="00A533C6">
      <w:pPr>
        <w:widowControl/>
        <w:spacing w:line="360" w:lineRule="auto"/>
        <w:rPr>
          <w:i/>
          <w:sz w:val="26"/>
          <w:szCs w:val="26"/>
        </w:rPr>
      </w:pPr>
    </w:p>
    <w:p w:rsidR="00CA43A5" w:rsidRPr="00CA43A5" w:rsidRDefault="00CA43A5" w:rsidP="00A533C6">
      <w:pPr>
        <w:widowControl/>
        <w:spacing w:line="360" w:lineRule="auto"/>
        <w:ind w:firstLine="1440"/>
        <w:rPr>
          <w:sz w:val="26"/>
          <w:szCs w:val="26"/>
        </w:rPr>
      </w:pPr>
      <w:r w:rsidRPr="00CA43A5">
        <w:rPr>
          <w:sz w:val="26"/>
          <w:szCs w:val="26"/>
        </w:rPr>
        <w:t xml:space="preserve">ALJ </w:t>
      </w:r>
      <w:r w:rsidR="00745B05">
        <w:rPr>
          <w:sz w:val="26"/>
          <w:szCs w:val="26"/>
        </w:rPr>
        <w:t>Long</w:t>
      </w:r>
      <w:r w:rsidRPr="00CA43A5">
        <w:rPr>
          <w:sz w:val="26"/>
          <w:szCs w:val="26"/>
        </w:rPr>
        <w:t xml:space="preserve"> made </w:t>
      </w:r>
      <w:r w:rsidR="00745B05">
        <w:rPr>
          <w:sz w:val="26"/>
          <w:szCs w:val="26"/>
        </w:rPr>
        <w:t>thir</w:t>
      </w:r>
      <w:r w:rsidR="002E23A4">
        <w:rPr>
          <w:sz w:val="26"/>
          <w:szCs w:val="26"/>
        </w:rPr>
        <w:t>teen</w:t>
      </w:r>
      <w:r w:rsidRPr="00CA43A5">
        <w:rPr>
          <w:sz w:val="26"/>
          <w:szCs w:val="26"/>
        </w:rPr>
        <w:t xml:space="preserve"> Findings of Fact and reached </w:t>
      </w:r>
      <w:r w:rsidR="002E23A4">
        <w:rPr>
          <w:sz w:val="26"/>
          <w:szCs w:val="26"/>
        </w:rPr>
        <w:t xml:space="preserve">three </w:t>
      </w:r>
      <w:r w:rsidRPr="00CA43A5">
        <w:rPr>
          <w:sz w:val="26"/>
          <w:szCs w:val="26"/>
        </w:rPr>
        <w:t xml:space="preserve">Conclusions of Law.  </w:t>
      </w:r>
      <w:r w:rsidR="00745B05">
        <w:rPr>
          <w:sz w:val="26"/>
          <w:szCs w:val="26"/>
        </w:rPr>
        <w:t>I.D. at 2-4, 7</w:t>
      </w:r>
      <w:r w:rsidR="002E23A4">
        <w:rPr>
          <w:sz w:val="26"/>
          <w:szCs w:val="26"/>
        </w:rPr>
        <w:t xml:space="preserve">.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A533C6">
      <w:pPr>
        <w:widowControl/>
        <w:spacing w:line="360" w:lineRule="auto"/>
        <w:rPr>
          <w:sz w:val="26"/>
          <w:szCs w:val="26"/>
        </w:rPr>
      </w:pPr>
    </w:p>
    <w:p w:rsidR="00214B3E" w:rsidRPr="002A6750" w:rsidRDefault="00006F35" w:rsidP="00A533C6">
      <w:pPr>
        <w:widowControl/>
        <w:spacing w:line="360" w:lineRule="auto"/>
        <w:ind w:firstLine="1440"/>
        <w:rPr>
          <w:sz w:val="26"/>
          <w:szCs w:val="26"/>
        </w:rPr>
      </w:pPr>
      <w:r w:rsidRPr="002A6750">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9C1BAD">
          <w:rPr>
            <w:rStyle w:val="Emphasis"/>
            <w:color w:val="000000"/>
            <w:sz w:val="26"/>
            <w:szCs w:val="26"/>
          </w:rPr>
          <w:t>Consolidated Rail Corp. v. Pa. </w:t>
        </w:r>
        <w:r w:rsidR="002A6750" w:rsidRPr="002A6750">
          <w:rPr>
            <w:rStyle w:val="Emphasis"/>
            <w:color w:val="000000"/>
            <w:sz w:val="26"/>
            <w:szCs w:val="26"/>
          </w:rPr>
          <w:t xml:space="preserve">PUC, </w:t>
        </w:r>
        <w:r w:rsidR="002A6750" w:rsidRPr="002A6750">
          <w:rPr>
            <w:rStyle w:val="Hyperlink"/>
            <w:color w:val="000000"/>
            <w:sz w:val="26"/>
            <w:szCs w:val="26"/>
            <w:u w:val="none"/>
          </w:rPr>
          <w:t xml:space="preserve">625 A.2d 741 (Pa. </w:t>
        </w:r>
        <w:proofErr w:type="spellStart"/>
        <w:r w:rsidR="002A6750" w:rsidRPr="002A6750">
          <w:rPr>
            <w:rStyle w:val="Hyperlink"/>
            <w:color w:val="000000"/>
            <w:sz w:val="26"/>
            <w:szCs w:val="26"/>
            <w:u w:val="none"/>
          </w:rPr>
          <w:t>Cmwlth</w:t>
        </w:r>
        <w:proofErr w:type="spellEnd"/>
        <w:r w:rsidR="002A6750" w:rsidRPr="002A6750">
          <w:rPr>
            <w:rStyle w:val="Hyperlink"/>
            <w:color w:val="000000"/>
            <w:sz w:val="26"/>
            <w:szCs w:val="26"/>
            <w:u w:val="none"/>
          </w:rPr>
          <w:t>.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xml:space="preserve">, 485 A.2d 1217 (Pa. </w:t>
        </w:r>
        <w:proofErr w:type="spellStart"/>
        <w:r w:rsidR="002A6750" w:rsidRPr="002A6750">
          <w:rPr>
            <w:rStyle w:val="Hyperlink"/>
            <w:color w:val="000000"/>
            <w:sz w:val="26"/>
            <w:szCs w:val="26"/>
            <w:u w:val="none"/>
          </w:rPr>
          <w:t>Cmwlth</w:t>
        </w:r>
        <w:proofErr w:type="spellEnd"/>
        <w:r w:rsidR="002A6750" w:rsidRPr="002A6750">
          <w:rPr>
            <w:rStyle w:val="Hyperlink"/>
            <w:color w:val="000000"/>
            <w:sz w:val="26"/>
            <w:szCs w:val="26"/>
            <w:u w:val="none"/>
          </w:rPr>
          <w:t>. 1984).</w:t>
        </w:r>
      </w:hyperlink>
      <w:r w:rsidR="00214B3E" w:rsidRPr="002A6750">
        <w:rPr>
          <w:sz w:val="26"/>
          <w:szCs w:val="26"/>
        </w:rPr>
        <w:t xml:space="preserve"> </w:t>
      </w:r>
    </w:p>
    <w:p w:rsidR="00006F35" w:rsidRDefault="00006F35" w:rsidP="00A533C6">
      <w:pPr>
        <w:widowControl/>
        <w:spacing w:line="360" w:lineRule="auto"/>
        <w:ind w:firstLine="1440"/>
        <w:rPr>
          <w:sz w:val="26"/>
          <w:szCs w:val="26"/>
        </w:rPr>
      </w:pPr>
    </w:p>
    <w:p w:rsidR="00006F35" w:rsidRDefault="00006F35" w:rsidP="00A533C6">
      <w:pPr>
        <w:widowControl/>
        <w:spacing w:line="360" w:lineRule="auto"/>
        <w:jc w:val="center"/>
        <w:rPr>
          <w:b/>
          <w:sz w:val="26"/>
          <w:szCs w:val="26"/>
        </w:rPr>
      </w:pPr>
      <w:r>
        <w:rPr>
          <w:b/>
          <w:sz w:val="26"/>
          <w:szCs w:val="26"/>
        </w:rPr>
        <w:t>ALJ’s Recommendation</w:t>
      </w:r>
    </w:p>
    <w:p w:rsidR="00006F35" w:rsidRDefault="00006F35" w:rsidP="00A533C6">
      <w:pPr>
        <w:widowControl/>
        <w:spacing w:line="360" w:lineRule="auto"/>
        <w:ind w:firstLine="1440"/>
        <w:rPr>
          <w:b/>
          <w:sz w:val="26"/>
          <w:szCs w:val="26"/>
        </w:rPr>
      </w:pPr>
    </w:p>
    <w:p w:rsidR="00006F35" w:rsidRDefault="00FC5E92" w:rsidP="00A533C6">
      <w:pPr>
        <w:widowControl/>
        <w:spacing w:line="360" w:lineRule="auto"/>
        <w:ind w:firstLine="1440"/>
        <w:rPr>
          <w:b/>
          <w:sz w:val="26"/>
          <w:szCs w:val="26"/>
        </w:rPr>
      </w:pPr>
      <w:r>
        <w:rPr>
          <w:sz w:val="26"/>
          <w:szCs w:val="26"/>
        </w:rPr>
        <w:t xml:space="preserve">In the Initial Decision, ALJ </w:t>
      </w:r>
      <w:r w:rsidR="002F6096">
        <w:rPr>
          <w:sz w:val="26"/>
          <w:szCs w:val="26"/>
        </w:rPr>
        <w:t>Long</w:t>
      </w:r>
      <w:r>
        <w:rPr>
          <w:sz w:val="26"/>
          <w:szCs w:val="26"/>
        </w:rPr>
        <w:t xml:space="preserve"> </w:t>
      </w:r>
      <w:r w:rsidR="00EB1383">
        <w:rPr>
          <w:sz w:val="26"/>
          <w:szCs w:val="26"/>
        </w:rPr>
        <w:t>determined</w:t>
      </w:r>
      <w:r>
        <w:rPr>
          <w:sz w:val="26"/>
          <w:szCs w:val="26"/>
        </w:rPr>
        <w:t xml:space="preserve"> that</w:t>
      </w:r>
      <w:r w:rsidR="00605A0F">
        <w:rPr>
          <w:sz w:val="26"/>
          <w:szCs w:val="26"/>
        </w:rPr>
        <w:t xml:space="preserve"> there was no evidence that the Complainant’s bills were improperly calculated or that he did not consume the electricity for which he was billed.</w:t>
      </w:r>
      <w:r w:rsidR="00B57849">
        <w:rPr>
          <w:sz w:val="26"/>
          <w:szCs w:val="26"/>
        </w:rPr>
        <w:t xml:space="preserve">  </w:t>
      </w:r>
      <w:r w:rsidR="00B6706C">
        <w:rPr>
          <w:sz w:val="26"/>
          <w:szCs w:val="26"/>
        </w:rPr>
        <w:t xml:space="preserve">I.D. at </w:t>
      </w:r>
      <w:r w:rsidR="00605A0F">
        <w:rPr>
          <w:sz w:val="26"/>
          <w:szCs w:val="26"/>
        </w:rPr>
        <w:t>5</w:t>
      </w:r>
      <w:r w:rsidR="00B6706C">
        <w:rPr>
          <w:sz w:val="26"/>
          <w:szCs w:val="26"/>
        </w:rPr>
        <w:t xml:space="preserve">.  </w:t>
      </w:r>
      <w:r w:rsidR="00B57849">
        <w:rPr>
          <w:sz w:val="26"/>
          <w:szCs w:val="26"/>
        </w:rPr>
        <w:t xml:space="preserve">The ALJ </w:t>
      </w:r>
      <w:r w:rsidR="00EB1383">
        <w:rPr>
          <w:sz w:val="26"/>
          <w:szCs w:val="26"/>
        </w:rPr>
        <w:t>concluded</w:t>
      </w:r>
      <w:r w:rsidR="00B57849">
        <w:rPr>
          <w:sz w:val="26"/>
          <w:szCs w:val="26"/>
        </w:rPr>
        <w:t xml:space="preserve"> that </w:t>
      </w:r>
      <w:r w:rsidR="00605A0F">
        <w:rPr>
          <w:sz w:val="26"/>
          <w:szCs w:val="26"/>
        </w:rPr>
        <w:t>while Duquesne’s rates and surcharges have changed significantly in the last several years, there was no evidence that the Complainant was charged the wrong rate for his consumption.  I.D. at 5.</w:t>
      </w:r>
      <w:r w:rsidR="00B6706C">
        <w:rPr>
          <w:sz w:val="26"/>
          <w:szCs w:val="26"/>
        </w:rPr>
        <w:t xml:space="preserve">  </w:t>
      </w:r>
      <w:r w:rsidR="00EB1383">
        <w:rPr>
          <w:sz w:val="26"/>
          <w:szCs w:val="26"/>
        </w:rPr>
        <w:t>The ALJ also concluded that</w:t>
      </w:r>
      <w:r w:rsidR="00BF43DA">
        <w:rPr>
          <w:sz w:val="26"/>
          <w:szCs w:val="26"/>
        </w:rPr>
        <w:t xml:space="preserve"> the</w:t>
      </w:r>
      <w:r w:rsidR="00605A0F">
        <w:rPr>
          <w:sz w:val="26"/>
          <w:szCs w:val="26"/>
        </w:rPr>
        <w:t>re is no evidence that the</w:t>
      </w:r>
      <w:r w:rsidR="00BF43DA">
        <w:rPr>
          <w:sz w:val="26"/>
          <w:szCs w:val="26"/>
        </w:rPr>
        <w:t xml:space="preserve"> Complainant</w:t>
      </w:r>
      <w:r w:rsidR="00605A0F">
        <w:rPr>
          <w:sz w:val="26"/>
          <w:szCs w:val="26"/>
        </w:rPr>
        <w:t xml:space="preserve">’s consumption recorded on his meter was incorrect as his meter was tested on two separate </w:t>
      </w:r>
      <w:r w:rsidR="00605A0F">
        <w:rPr>
          <w:sz w:val="26"/>
          <w:szCs w:val="26"/>
        </w:rPr>
        <w:lastRenderedPageBreak/>
        <w:t>occasions.</w:t>
      </w:r>
      <w:r w:rsidR="00A533C6">
        <w:rPr>
          <w:sz w:val="26"/>
          <w:szCs w:val="26"/>
        </w:rPr>
        <w:t>  </w:t>
      </w:r>
      <w:r w:rsidR="00BF43DA">
        <w:rPr>
          <w:sz w:val="26"/>
          <w:szCs w:val="26"/>
        </w:rPr>
        <w:t xml:space="preserve">I.D. at 6.  </w:t>
      </w:r>
      <w:r w:rsidR="00605A0F">
        <w:rPr>
          <w:sz w:val="26"/>
          <w:szCs w:val="26"/>
        </w:rPr>
        <w:t xml:space="preserve">The ALJ noted that both tests revealed that the meter was operating within an acceptable range and was registering the Complainant’s consumption accurately.  </w:t>
      </w:r>
      <w:r w:rsidR="00BF43DA">
        <w:rPr>
          <w:sz w:val="26"/>
          <w:szCs w:val="26"/>
        </w:rPr>
        <w:t xml:space="preserve">Furthermore, the ALJ stated that </w:t>
      </w:r>
      <w:r w:rsidR="001E2C66">
        <w:rPr>
          <w:sz w:val="26"/>
          <w:szCs w:val="26"/>
        </w:rPr>
        <w:t xml:space="preserve">the Complainant’s </w:t>
      </w:r>
      <w:r w:rsidR="00990546">
        <w:rPr>
          <w:sz w:val="26"/>
          <w:szCs w:val="26"/>
        </w:rPr>
        <w:t>household had the capacity to use the level of electricity that was recorded on his meter.</w:t>
      </w:r>
      <w:r w:rsidR="001E2C66">
        <w:rPr>
          <w:sz w:val="26"/>
          <w:szCs w:val="26"/>
        </w:rPr>
        <w:t xml:space="preserve">  I.D. at </w:t>
      </w:r>
      <w:r w:rsidR="00990546">
        <w:rPr>
          <w:sz w:val="26"/>
          <w:szCs w:val="26"/>
        </w:rPr>
        <w:t>6</w:t>
      </w:r>
      <w:r w:rsidR="001E2C66">
        <w:rPr>
          <w:sz w:val="26"/>
          <w:szCs w:val="26"/>
        </w:rPr>
        <w:t xml:space="preserve">. </w:t>
      </w:r>
      <w:r w:rsidR="00790E8E">
        <w:rPr>
          <w:sz w:val="26"/>
          <w:szCs w:val="26"/>
        </w:rPr>
        <w:t xml:space="preserve"> Lastly, the ALJ concluded that the Commission is authorized to grant the Complainant a payment arrangement with a repayment term of two years to repay the arrearage on his account.  I.D. at 6-7.</w:t>
      </w:r>
    </w:p>
    <w:p w:rsidR="00786734" w:rsidRPr="00006F35" w:rsidRDefault="00786734" w:rsidP="00A533C6">
      <w:pPr>
        <w:widowControl/>
        <w:spacing w:line="360" w:lineRule="auto"/>
        <w:ind w:firstLine="1440"/>
        <w:jc w:val="center"/>
        <w:rPr>
          <w:b/>
          <w:sz w:val="26"/>
          <w:szCs w:val="26"/>
        </w:rPr>
      </w:pPr>
    </w:p>
    <w:p w:rsidR="00D45FFE" w:rsidRDefault="00024D5A" w:rsidP="00A533C6">
      <w:pPr>
        <w:widowControl/>
        <w:spacing w:line="360" w:lineRule="auto"/>
        <w:ind w:firstLine="1440"/>
        <w:rPr>
          <w:sz w:val="26"/>
          <w:szCs w:val="26"/>
        </w:rPr>
      </w:pPr>
      <w:r>
        <w:rPr>
          <w:sz w:val="26"/>
          <w:szCs w:val="26"/>
        </w:rPr>
        <w:t xml:space="preserve">In his Exceptions, the Complainant avers that </w:t>
      </w:r>
      <w:r w:rsidR="00CF36CD">
        <w:rPr>
          <w:sz w:val="26"/>
          <w:szCs w:val="26"/>
        </w:rPr>
        <w:t>Duquesne</w:t>
      </w:r>
      <w:r>
        <w:rPr>
          <w:sz w:val="26"/>
          <w:szCs w:val="26"/>
        </w:rPr>
        <w:t xml:space="preserve"> </w:t>
      </w:r>
      <w:r w:rsidR="00F035B0">
        <w:rPr>
          <w:sz w:val="26"/>
          <w:szCs w:val="26"/>
        </w:rPr>
        <w:t>raises its prices at will by</w:t>
      </w:r>
      <w:r w:rsidR="00CF36CD">
        <w:rPr>
          <w:sz w:val="26"/>
          <w:szCs w:val="26"/>
        </w:rPr>
        <w:t xml:space="preserve"> using various surcharges</w:t>
      </w:r>
      <w:r w:rsidR="00F035B0">
        <w:rPr>
          <w:sz w:val="26"/>
          <w:szCs w:val="26"/>
        </w:rPr>
        <w:t xml:space="preserve"> for such items as transmission, universal service, supply and distribution which vary periodically</w:t>
      </w:r>
      <w:r>
        <w:rPr>
          <w:sz w:val="26"/>
          <w:szCs w:val="26"/>
        </w:rPr>
        <w:t xml:space="preserve"> </w:t>
      </w:r>
      <w:r w:rsidR="00F035B0">
        <w:rPr>
          <w:sz w:val="26"/>
          <w:szCs w:val="26"/>
        </w:rPr>
        <w:t xml:space="preserve">resulting in a consumer never knowing what his bill will be.  </w:t>
      </w:r>
      <w:r w:rsidR="00A533C6">
        <w:rPr>
          <w:sz w:val="26"/>
          <w:szCs w:val="26"/>
        </w:rPr>
        <w:t xml:space="preserve">The Complainant </w:t>
      </w:r>
      <w:r w:rsidR="00F035B0">
        <w:rPr>
          <w:sz w:val="26"/>
          <w:szCs w:val="26"/>
        </w:rPr>
        <w:t>questions how the Commission could allow Duquesne to change its residential prices twenty-nine times since 2007.  According to the Complainant, t</w:t>
      </w:r>
      <w:r>
        <w:rPr>
          <w:sz w:val="26"/>
          <w:szCs w:val="26"/>
        </w:rPr>
        <w:t>he</w:t>
      </w:r>
      <w:r w:rsidR="00F035B0">
        <w:rPr>
          <w:sz w:val="26"/>
          <w:szCs w:val="26"/>
        </w:rPr>
        <w:t xml:space="preserve"> various surcharges simply allow Duquesne convenient ways to add more to a customer’s bill.  </w:t>
      </w:r>
      <w:r w:rsidR="00A533C6">
        <w:rPr>
          <w:sz w:val="26"/>
          <w:szCs w:val="26"/>
        </w:rPr>
        <w:t xml:space="preserve">The </w:t>
      </w:r>
      <w:r>
        <w:rPr>
          <w:sz w:val="26"/>
          <w:szCs w:val="26"/>
        </w:rPr>
        <w:t xml:space="preserve">Complainant also avers that </w:t>
      </w:r>
      <w:r w:rsidR="002D3EBB">
        <w:rPr>
          <w:sz w:val="26"/>
          <w:szCs w:val="26"/>
        </w:rPr>
        <w:t>if the Commission really protected the public</w:t>
      </w:r>
      <w:r w:rsidR="007B30B2">
        <w:rPr>
          <w:sz w:val="26"/>
          <w:szCs w:val="26"/>
        </w:rPr>
        <w:t>,</w:t>
      </w:r>
      <w:r w:rsidR="002D3EBB">
        <w:rPr>
          <w:sz w:val="26"/>
          <w:szCs w:val="26"/>
        </w:rPr>
        <w:t xml:space="preserve"> electricity “would be one price for consumption period” which would allow a customer to know what he or she will be billed and would allow a person to budget and stop the unknown billing.  </w:t>
      </w:r>
      <w:r w:rsidR="00267BC2">
        <w:rPr>
          <w:sz w:val="26"/>
          <w:szCs w:val="26"/>
        </w:rPr>
        <w:t xml:space="preserve">The Complainant does not believe he is being properly billed for his consumption.  </w:t>
      </w:r>
      <w:r w:rsidR="00D45FFE">
        <w:rPr>
          <w:sz w:val="26"/>
          <w:szCs w:val="26"/>
        </w:rPr>
        <w:t>Furt</w:t>
      </w:r>
      <w:r w:rsidR="002D3EBB">
        <w:rPr>
          <w:sz w:val="26"/>
          <w:szCs w:val="26"/>
        </w:rPr>
        <w:t>hermore, the Compl</w:t>
      </w:r>
      <w:r w:rsidR="00B503C6">
        <w:rPr>
          <w:sz w:val="26"/>
          <w:szCs w:val="26"/>
        </w:rPr>
        <w:t>ainant avers that he installed residential all-</w:t>
      </w:r>
      <w:r w:rsidR="002D3EBB">
        <w:rPr>
          <w:sz w:val="26"/>
          <w:szCs w:val="26"/>
        </w:rPr>
        <w:t>electric heating because of Duquesne’s offer</w:t>
      </w:r>
      <w:r w:rsidR="00017036">
        <w:rPr>
          <w:sz w:val="26"/>
          <w:szCs w:val="26"/>
        </w:rPr>
        <w:t xml:space="preserve"> of a reduced rate and that the reduced</w:t>
      </w:r>
      <w:r w:rsidR="002D3EBB">
        <w:rPr>
          <w:sz w:val="26"/>
          <w:szCs w:val="26"/>
        </w:rPr>
        <w:t xml:space="preserve"> rate should have been grandfathered instead of being phased out.  Exc. at 2-6</w:t>
      </w:r>
      <w:r w:rsidR="00224218">
        <w:rPr>
          <w:sz w:val="26"/>
          <w:szCs w:val="26"/>
        </w:rPr>
        <w:t>.</w:t>
      </w:r>
    </w:p>
    <w:p w:rsidR="00D45FFE" w:rsidRDefault="00D45FFE" w:rsidP="00A533C6">
      <w:pPr>
        <w:widowControl/>
        <w:spacing w:line="360" w:lineRule="auto"/>
        <w:ind w:firstLine="1440"/>
        <w:rPr>
          <w:sz w:val="26"/>
          <w:szCs w:val="26"/>
        </w:rPr>
      </w:pPr>
    </w:p>
    <w:p w:rsidR="00017036" w:rsidRDefault="001F5292" w:rsidP="00A533C6">
      <w:pPr>
        <w:widowControl/>
        <w:spacing w:line="360" w:lineRule="auto"/>
        <w:ind w:firstLine="1440"/>
        <w:rPr>
          <w:sz w:val="26"/>
          <w:szCs w:val="26"/>
        </w:rPr>
      </w:pPr>
      <w:r>
        <w:rPr>
          <w:sz w:val="26"/>
          <w:szCs w:val="26"/>
        </w:rPr>
        <w:t xml:space="preserve">In its Replies to Exceptions, </w:t>
      </w:r>
      <w:r w:rsidR="00267BC2">
        <w:rPr>
          <w:sz w:val="26"/>
          <w:szCs w:val="26"/>
        </w:rPr>
        <w:t>Duquesne</w:t>
      </w:r>
      <w:r w:rsidR="00017036">
        <w:rPr>
          <w:sz w:val="26"/>
          <w:szCs w:val="26"/>
        </w:rPr>
        <w:t xml:space="preserve"> first notes that the Complainant has an extremely poor payment history and that his account balance has increased from $1,916.16 on May 4, 2010, to a current balance of $7,564.20</w:t>
      </w:r>
      <w:r w:rsidR="009419FA">
        <w:rPr>
          <w:sz w:val="26"/>
          <w:szCs w:val="26"/>
        </w:rPr>
        <w:t>.</w:t>
      </w:r>
      <w:r w:rsidR="00017036">
        <w:rPr>
          <w:sz w:val="26"/>
          <w:szCs w:val="26"/>
        </w:rPr>
        <w:t xml:space="preserve">  According to Duquesne, since the Complainant filed his first Complainant, he only made three payments totaling $340.00.</w:t>
      </w:r>
      <w:r w:rsidR="009419FA">
        <w:rPr>
          <w:sz w:val="26"/>
          <w:szCs w:val="26"/>
        </w:rPr>
        <w:t xml:space="preserve"> </w:t>
      </w:r>
      <w:r w:rsidR="00017036">
        <w:rPr>
          <w:sz w:val="26"/>
          <w:szCs w:val="26"/>
        </w:rPr>
        <w:t xml:space="preserve"> Duquesne Ex. 1 at 5-6.  Duquesne R. Exc. at 2.</w:t>
      </w:r>
    </w:p>
    <w:p w:rsidR="00017036" w:rsidRDefault="00017036" w:rsidP="00A533C6">
      <w:pPr>
        <w:widowControl/>
        <w:spacing w:line="360" w:lineRule="auto"/>
        <w:ind w:firstLine="1440"/>
        <w:rPr>
          <w:sz w:val="26"/>
          <w:szCs w:val="26"/>
        </w:rPr>
      </w:pPr>
    </w:p>
    <w:p w:rsidR="00BD48AB" w:rsidRDefault="007D4BBD" w:rsidP="00A533C6">
      <w:pPr>
        <w:widowControl/>
        <w:spacing w:line="360" w:lineRule="auto"/>
        <w:ind w:firstLine="1440"/>
        <w:rPr>
          <w:sz w:val="26"/>
          <w:szCs w:val="26"/>
        </w:rPr>
      </w:pPr>
      <w:r>
        <w:rPr>
          <w:sz w:val="26"/>
          <w:szCs w:val="26"/>
        </w:rPr>
        <w:lastRenderedPageBreak/>
        <w:t xml:space="preserve">Next, Duquesne avers that </w:t>
      </w:r>
      <w:r w:rsidR="00A533C6">
        <w:rPr>
          <w:sz w:val="26"/>
          <w:szCs w:val="26"/>
        </w:rPr>
        <w:t xml:space="preserve">the </w:t>
      </w:r>
      <w:r>
        <w:rPr>
          <w:sz w:val="26"/>
          <w:szCs w:val="26"/>
        </w:rPr>
        <w:t xml:space="preserve">Complainant was properly billed for the electricity that he consumed and that his meter recorded his consumption accurately.  Duquesne notes that </w:t>
      </w:r>
      <w:r w:rsidR="00A533C6">
        <w:rPr>
          <w:sz w:val="26"/>
          <w:szCs w:val="26"/>
        </w:rPr>
        <w:t xml:space="preserve">the </w:t>
      </w:r>
      <w:r>
        <w:rPr>
          <w:sz w:val="26"/>
          <w:szCs w:val="26"/>
        </w:rPr>
        <w:t>Complainant’s meter was tested on two separate occasions and both tests revealed that the meter was operating within an acceptable range.  Duquesne explains that the variation in monthly billing experienced by the Complainant was due to changes in the transmission rate, the customer education surcharge and the energy efficiency surcharge.  According to Duquesne, its monthly bills for residential electric service</w:t>
      </w:r>
      <w:r w:rsidR="00AD776F">
        <w:rPr>
          <w:sz w:val="26"/>
          <w:szCs w:val="26"/>
        </w:rPr>
        <w:t xml:space="preserve"> clearly indicate the dollar amount that a customer needs to pay, noting that Commission regulations require certain charges to be listed separately.  </w:t>
      </w:r>
      <w:r w:rsidR="00AD776F">
        <w:rPr>
          <w:i/>
          <w:sz w:val="26"/>
          <w:szCs w:val="26"/>
        </w:rPr>
        <w:t xml:space="preserve">See </w:t>
      </w:r>
      <w:r w:rsidR="009C1BAD">
        <w:rPr>
          <w:sz w:val="26"/>
          <w:szCs w:val="26"/>
        </w:rPr>
        <w:t>52 Pa. Code </w:t>
      </w:r>
      <w:r w:rsidR="00AD776F">
        <w:rPr>
          <w:sz w:val="26"/>
          <w:szCs w:val="26"/>
        </w:rPr>
        <w:t>§ 54.4.  Duquesne R. Exc. at 3-5.</w:t>
      </w:r>
    </w:p>
    <w:p w:rsidR="00BD48AB" w:rsidRDefault="00BD48AB" w:rsidP="00A533C6">
      <w:pPr>
        <w:widowControl/>
        <w:spacing w:line="360" w:lineRule="auto"/>
        <w:ind w:firstLine="1440"/>
        <w:rPr>
          <w:sz w:val="26"/>
          <w:szCs w:val="26"/>
        </w:rPr>
      </w:pPr>
    </w:p>
    <w:p w:rsidR="00F5724C" w:rsidRDefault="00FF6DC8" w:rsidP="00A533C6">
      <w:pPr>
        <w:widowControl/>
        <w:spacing w:line="360" w:lineRule="auto"/>
        <w:ind w:firstLine="1440"/>
        <w:rPr>
          <w:sz w:val="26"/>
          <w:szCs w:val="26"/>
        </w:rPr>
      </w:pPr>
      <w:r>
        <w:rPr>
          <w:sz w:val="26"/>
          <w:szCs w:val="26"/>
        </w:rPr>
        <w:t xml:space="preserve">Furthermore, Duquesne strongly disputes any suggestion that its rates are arbitrary or that they can be changed “at will.”  As the record reflects that its rates have been approved by the Commission, Duquesne avers that a presumption exists that </w:t>
      </w:r>
      <w:r w:rsidR="00F5724C">
        <w:rPr>
          <w:sz w:val="26"/>
          <w:szCs w:val="26"/>
        </w:rPr>
        <w:t>its</w:t>
      </w:r>
      <w:r>
        <w:rPr>
          <w:sz w:val="26"/>
          <w:szCs w:val="26"/>
        </w:rPr>
        <w:t xml:space="preserve"> rates are just and reasonable</w:t>
      </w:r>
      <w:r w:rsidR="00F5724C">
        <w:rPr>
          <w:sz w:val="26"/>
          <w:szCs w:val="26"/>
        </w:rPr>
        <w:t>.  Duquesne submits that the Complainant has not established by a preponderance of the evidence that Duquesne’s rates are no longer reasonable.</w:t>
      </w:r>
      <w:r w:rsidR="00AD776F">
        <w:rPr>
          <w:sz w:val="26"/>
          <w:szCs w:val="26"/>
        </w:rPr>
        <w:t xml:space="preserve"> </w:t>
      </w:r>
      <w:r w:rsidR="00994B9D">
        <w:rPr>
          <w:sz w:val="26"/>
          <w:szCs w:val="26"/>
        </w:rPr>
        <w:t xml:space="preserve"> </w:t>
      </w:r>
      <w:r w:rsidR="00F5724C">
        <w:rPr>
          <w:sz w:val="26"/>
          <w:szCs w:val="26"/>
        </w:rPr>
        <w:t>According to Duquesne, it has used the tools available to help the Complainant satisfy his balance as it has offered him payment arrangements and referred him to its universal service programs, including its Customer Assistance Program, Dollar Energy grants and Crisis grants.  Tr. at 56.  Duquesne R. Exc. at 5-6.</w:t>
      </w:r>
    </w:p>
    <w:p w:rsidR="00F5724C" w:rsidRDefault="00F5724C" w:rsidP="00A533C6">
      <w:pPr>
        <w:widowControl/>
        <w:spacing w:line="360" w:lineRule="auto"/>
        <w:ind w:firstLine="1440"/>
        <w:rPr>
          <w:sz w:val="26"/>
          <w:szCs w:val="26"/>
        </w:rPr>
      </w:pPr>
    </w:p>
    <w:p w:rsidR="00AE47DB" w:rsidRDefault="00F5724C" w:rsidP="00A533C6">
      <w:pPr>
        <w:widowControl/>
        <w:spacing w:line="360" w:lineRule="auto"/>
        <w:ind w:firstLine="1440"/>
        <w:rPr>
          <w:sz w:val="26"/>
          <w:szCs w:val="26"/>
        </w:rPr>
      </w:pPr>
      <w:r>
        <w:rPr>
          <w:sz w:val="26"/>
          <w:szCs w:val="26"/>
        </w:rPr>
        <w:t xml:space="preserve">Finally, Duquesne </w:t>
      </w:r>
      <w:r w:rsidR="00355ACA">
        <w:rPr>
          <w:sz w:val="26"/>
          <w:szCs w:val="26"/>
        </w:rPr>
        <w:t>posits that the Complainant’s request to be “grandfathered” into previous rates would provide h</w:t>
      </w:r>
      <w:r w:rsidR="00AA1E8F">
        <w:rPr>
          <w:sz w:val="26"/>
          <w:szCs w:val="26"/>
        </w:rPr>
        <w:t>i</w:t>
      </w:r>
      <w:r w:rsidR="00355ACA">
        <w:rPr>
          <w:sz w:val="26"/>
          <w:szCs w:val="26"/>
        </w:rPr>
        <w:t>m with an unreasonable discount compared to other customers in his rate class who are paying current, Commission approved rates.  Duquesne explains that the Complainant continues to be billed as a residential heating customer but that recent changes to its rates reflect an effort to bring customer rates in line with market rates.  According to Duq</w:t>
      </w:r>
      <w:r w:rsidR="00AA1E8F">
        <w:rPr>
          <w:sz w:val="26"/>
          <w:szCs w:val="26"/>
        </w:rPr>
        <w:t>u</w:t>
      </w:r>
      <w:r w:rsidR="00355ACA">
        <w:rPr>
          <w:sz w:val="26"/>
          <w:szCs w:val="26"/>
        </w:rPr>
        <w:t xml:space="preserve">esne, members of this rate class continue to receive a discount on distribution charges during the winter heating </w:t>
      </w:r>
      <w:r w:rsidR="00355ACA">
        <w:rPr>
          <w:sz w:val="26"/>
          <w:szCs w:val="26"/>
        </w:rPr>
        <w:lastRenderedPageBreak/>
        <w:t>months.  Tr. at 73.  Duquesne requests that the Complainant’s Exceptions be denied. Duquesne R. Exc. at 6-7.</w:t>
      </w:r>
    </w:p>
    <w:p w:rsidR="00AE47DB" w:rsidRDefault="00AE47DB" w:rsidP="00A533C6">
      <w:pPr>
        <w:widowControl/>
        <w:spacing w:line="360" w:lineRule="auto"/>
        <w:ind w:firstLine="1440"/>
        <w:rPr>
          <w:sz w:val="26"/>
          <w:szCs w:val="26"/>
        </w:rPr>
      </w:pPr>
    </w:p>
    <w:p w:rsidR="00006F35" w:rsidRPr="00006F35" w:rsidRDefault="00006F35" w:rsidP="00A533C6">
      <w:pPr>
        <w:widowControl/>
        <w:spacing w:line="360" w:lineRule="auto"/>
        <w:jc w:val="center"/>
        <w:rPr>
          <w:b/>
          <w:sz w:val="26"/>
          <w:szCs w:val="26"/>
        </w:rPr>
      </w:pPr>
      <w:r w:rsidRPr="00006F35">
        <w:rPr>
          <w:b/>
          <w:sz w:val="26"/>
          <w:szCs w:val="26"/>
        </w:rPr>
        <w:t>Disposition</w:t>
      </w:r>
    </w:p>
    <w:p w:rsidR="00006F35" w:rsidRDefault="00181F6E" w:rsidP="00A533C6">
      <w:pPr>
        <w:widowControl/>
        <w:spacing w:line="360" w:lineRule="auto"/>
        <w:rPr>
          <w:b/>
          <w:sz w:val="26"/>
          <w:szCs w:val="26"/>
        </w:rPr>
      </w:pPr>
      <w:r>
        <w:rPr>
          <w:b/>
          <w:sz w:val="26"/>
          <w:szCs w:val="26"/>
        </w:rPr>
        <w:tab/>
      </w:r>
      <w:r>
        <w:rPr>
          <w:b/>
          <w:sz w:val="26"/>
          <w:szCs w:val="26"/>
        </w:rPr>
        <w:tab/>
      </w:r>
    </w:p>
    <w:p w:rsidR="002A28B6" w:rsidRPr="002A28B6" w:rsidRDefault="007B30B2" w:rsidP="00A533C6">
      <w:pPr>
        <w:widowControl/>
        <w:spacing w:line="360" w:lineRule="auto"/>
        <w:ind w:firstLine="1440"/>
        <w:rPr>
          <w:sz w:val="26"/>
          <w:szCs w:val="26"/>
        </w:rPr>
      </w:pPr>
      <w:r w:rsidRPr="002A28B6">
        <w:rPr>
          <w:sz w:val="26"/>
          <w:szCs w:val="26"/>
        </w:rPr>
        <w:t>It is important to note that ov</w:t>
      </w:r>
      <w:r w:rsidR="002A28B6">
        <w:rPr>
          <w:sz w:val="26"/>
          <w:szCs w:val="26"/>
        </w:rPr>
        <w:t>erbilling or high bill complain</w:t>
      </w:r>
      <w:r w:rsidRPr="002A28B6">
        <w:rPr>
          <w:sz w:val="26"/>
          <w:szCs w:val="26"/>
        </w:rPr>
        <w:t xml:space="preserve">ts </w:t>
      </w:r>
      <w:r w:rsidR="002A28B6" w:rsidRPr="002A28B6">
        <w:rPr>
          <w:sz w:val="26"/>
          <w:szCs w:val="26"/>
        </w:rPr>
        <w:t>are generally governed by the “Waldron Rule.”</w:t>
      </w:r>
      <w:r w:rsidR="002A28B6">
        <w:rPr>
          <w:sz w:val="26"/>
          <w:szCs w:val="26"/>
        </w:rPr>
        <w:t xml:space="preserve">  </w:t>
      </w:r>
      <w:r w:rsidR="002A28B6" w:rsidRPr="002A28B6">
        <w:rPr>
          <w:sz w:val="26"/>
          <w:szCs w:val="26"/>
        </w:rPr>
        <w:t xml:space="preserve">In </w:t>
      </w:r>
      <w:r w:rsidR="002A28B6" w:rsidRPr="002A28B6">
        <w:rPr>
          <w:i/>
          <w:sz w:val="26"/>
          <w:szCs w:val="26"/>
        </w:rPr>
        <w:t>Waldron v. Philadelphia Electric Company</w:t>
      </w:r>
      <w:r w:rsidR="00067ED1">
        <w:rPr>
          <w:sz w:val="26"/>
          <w:szCs w:val="26"/>
        </w:rPr>
        <w:t>, 54 Pa. </w:t>
      </w:r>
      <w:r w:rsidR="002A28B6" w:rsidRPr="002A28B6">
        <w:rPr>
          <w:sz w:val="26"/>
          <w:szCs w:val="26"/>
        </w:rPr>
        <w:t>PUC 98 (1980)</w:t>
      </w:r>
      <w:r w:rsidR="00067ED1">
        <w:rPr>
          <w:sz w:val="26"/>
          <w:szCs w:val="26"/>
        </w:rPr>
        <w:t xml:space="preserve"> (</w:t>
      </w:r>
      <w:r w:rsidR="00067ED1" w:rsidRPr="00067ED1">
        <w:rPr>
          <w:i/>
          <w:sz w:val="26"/>
          <w:szCs w:val="26"/>
        </w:rPr>
        <w:t>Waldron</w:t>
      </w:r>
      <w:r w:rsidR="00067ED1">
        <w:rPr>
          <w:sz w:val="26"/>
          <w:szCs w:val="26"/>
        </w:rPr>
        <w:t>)</w:t>
      </w:r>
      <w:r w:rsidR="002A28B6" w:rsidRPr="002A28B6">
        <w:rPr>
          <w:sz w:val="26"/>
          <w:szCs w:val="26"/>
        </w:rPr>
        <w:t xml:space="preserve">, the Commission explained the process of meeting the burden of proof to establish inadequate service under 66 Pa. C.S. § 1501, due to overbilling.  In accordance with </w:t>
      </w:r>
      <w:r w:rsidR="002A28B6" w:rsidRPr="002A28B6">
        <w:rPr>
          <w:i/>
          <w:sz w:val="26"/>
          <w:szCs w:val="26"/>
        </w:rPr>
        <w:t>Waldron</w:t>
      </w:r>
      <w:r w:rsidR="002A28B6" w:rsidRPr="002A28B6">
        <w:rPr>
          <w:sz w:val="26"/>
          <w:szCs w:val="26"/>
        </w:rPr>
        <w:t xml:space="preserve">, a complainant has the burden to put forth evidence establishing a </w:t>
      </w:r>
      <w:r w:rsidR="002A28B6" w:rsidRPr="002A28B6">
        <w:rPr>
          <w:i/>
          <w:sz w:val="26"/>
          <w:szCs w:val="26"/>
        </w:rPr>
        <w:t>prima facie</w:t>
      </w:r>
      <w:r w:rsidR="002A28B6" w:rsidRPr="002A28B6">
        <w:rPr>
          <w:sz w:val="26"/>
          <w:szCs w:val="26"/>
        </w:rPr>
        <w:t xml:space="preserve"> case that he/she was overcharged for service.  Case law holds that when a complainant has presented testimony that:  (1) the number of occupants in a household has not changed; (2) the potential for energy utilization was low; and, (3) the complainant’s prior billing history showed no previous abnormalities, then </w:t>
      </w:r>
      <w:r w:rsidR="001B44DB">
        <w:rPr>
          <w:sz w:val="26"/>
          <w:szCs w:val="26"/>
        </w:rPr>
        <w:t>t</w:t>
      </w:r>
      <w:r w:rsidR="002A28B6" w:rsidRPr="002A28B6">
        <w:rPr>
          <w:sz w:val="26"/>
          <w:szCs w:val="26"/>
        </w:rPr>
        <w:t>he</w:t>
      </w:r>
      <w:r w:rsidR="001B44DB">
        <w:rPr>
          <w:sz w:val="26"/>
          <w:szCs w:val="26"/>
        </w:rPr>
        <w:t xml:space="preserve"> complainant</w:t>
      </w:r>
      <w:r w:rsidR="002A28B6" w:rsidRPr="002A28B6">
        <w:rPr>
          <w:sz w:val="26"/>
          <w:szCs w:val="26"/>
        </w:rPr>
        <w:t xml:space="preserve"> has established a </w:t>
      </w:r>
      <w:r w:rsidR="002A28B6" w:rsidRPr="002A28B6">
        <w:rPr>
          <w:i/>
          <w:sz w:val="26"/>
          <w:szCs w:val="26"/>
        </w:rPr>
        <w:t>prima facie</w:t>
      </w:r>
      <w:r w:rsidR="002A28B6" w:rsidRPr="002A28B6">
        <w:rPr>
          <w:sz w:val="26"/>
          <w:szCs w:val="26"/>
        </w:rPr>
        <w:t xml:space="preserve"> case.  </w:t>
      </w:r>
      <w:proofErr w:type="spellStart"/>
      <w:r w:rsidR="002A28B6" w:rsidRPr="002A28B6">
        <w:rPr>
          <w:i/>
          <w:sz w:val="26"/>
          <w:szCs w:val="26"/>
        </w:rPr>
        <w:t>Dyckman</w:t>
      </w:r>
      <w:proofErr w:type="spellEnd"/>
      <w:r w:rsidR="002A28B6" w:rsidRPr="002A28B6">
        <w:rPr>
          <w:i/>
          <w:sz w:val="26"/>
          <w:szCs w:val="26"/>
        </w:rPr>
        <w:t xml:space="preserve"> v. PPL Electric Utilities Corporation</w:t>
      </w:r>
      <w:r w:rsidR="002A28B6" w:rsidRPr="002A28B6">
        <w:rPr>
          <w:sz w:val="26"/>
          <w:szCs w:val="26"/>
        </w:rPr>
        <w:t xml:space="preserve">, Docket No. C-20030661 (Order entered December 16, 2004); </w:t>
      </w:r>
      <w:proofErr w:type="spellStart"/>
      <w:r w:rsidR="002A28B6" w:rsidRPr="002A28B6">
        <w:rPr>
          <w:i/>
          <w:sz w:val="26"/>
          <w:szCs w:val="26"/>
        </w:rPr>
        <w:t>Replogle</w:t>
      </w:r>
      <w:proofErr w:type="spellEnd"/>
      <w:r w:rsidR="002A28B6" w:rsidRPr="002A28B6">
        <w:rPr>
          <w:i/>
          <w:sz w:val="26"/>
          <w:szCs w:val="26"/>
        </w:rPr>
        <w:t xml:space="preserve"> v. Pennsylvania Electric Company</w:t>
      </w:r>
      <w:r w:rsidR="002A28B6" w:rsidRPr="002A28B6">
        <w:rPr>
          <w:sz w:val="26"/>
          <w:szCs w:val="26"/>
        </w:rPr>
        <w:t xml:space="preserve">, 54 Pa. PUC 528 (1980).  </w:t>
      </w:r>
    </w:p>
    <w:p w:rsidR="002A28B6" w:rsidRPr="002A28B6" w:rsidRDefault="002A28B6" w:rsidP="00A533C6">
      <w:pPr>
        <w:widowControl/>
        <w:spacing w:line="360" w:lineRule="auto"/>
      </w:pPr>
    </w:p>
    <w:p w:rsidR="002A28B6" w:rsidRPr="002A28B6" w:rsidRDefault="002A28B6" w:rsidP="00A533C6">
      <w:pPr>
        <w:widowControl/>
        <w:autoSpaceDE w:val="0"/>
        <w:autoSpaceDN w:val="0"/>
        <w:adjustRightInd w:val="0"/>
        <w:spacing w:line="360" w:lineRule="auto"/>
        <w:ind w:firstLine="1440"/>
        <w:rPr>
          <w:sz w:val="26"/>
        </w:rPr>
      </w:pPr>
      <w:r w:rsidRPr="002A28B6">
        <w:rPr>
          <w:sz w:val="26"/>
        </w:rPr>
        <w:t xml:space="preserve">Consistent with our holding in </w:t>
      </w:r>
      <w:r w:rsidRPr="002A28B6">
        <w:rPr>
          <w:i/>
          <w:sz w:val="26"/>
        </w:rPr>
        <w:t>Christine Bennett v. Peoples Natural Gas</w:t>
      </w:r>
      <w:r w:rsidR="00994B9D">
        <w:rPr>
          <w:i/>
          <w:sz w:val="26"/>
        </w:rPr>
        <w:t> </w:t>
      </w:r>
      <w:r w:rsidRPr="002A28B6">
        <w:rPr>
          <w:i/>
          <w:sz w:val="26"/>
        </w:rPr>
        <w:t>Co</w:t>
      </w:r>
      <w:r w:rsidRPr="002A28B6">
        <w:rPr>
          <w:sz w:val="26"/>
        </w:rPr>
        <w:t xml:space="preserve">., Docket No. C-2009-2122979 (Order entered October 13, 2010), the </w:t>
      </w:r>
      <w:r w:rsidRPr="00067ED1">
        <w:rPr>
          <w:i/>
          <w:sz w:val="26"/>
        </w:rPr>
        <w:t>Waldron Rule</w:t>
      </w:r>
      <w:r w:rsidRPr="002A28B6">
        <w:rPr>
          <w:sz w:val="26"/>
        </w:rPr>
        <w:t xml:space="preserve"> allows a complainant to establish a </w:t>
      </w:r>
      <w:r w:rsidRPr="002A28B6">
        <w:rPr>
          <w:i/>
          <w:sz w:val="26"/>
        </w:rPr>
        <w:t>prima facie</w:t>
      </w:r>
      <w:r w:rsidRPr="002A28B6">
        <w:rPr>
          <w:sz w:val="26"/>
        </w:rPr>
        <w:t xml:space="preserve"> case in a high bill complaint by showing that the disputed bill is abnormally high when compared to prior usage patterns and his or her pattern of usage has not changed </w:t>
      </w:r>
      <w:r w:rsidRPr="002A28B6">
        <w:rPr>
          <w:iCs/>
          <w:sz w:val="26"/>
        </w:rPr>
        <w:t>or by providing other relevant evidence showing that the disputed bill is unreasonably high</w:t>
      </w:r>
      <w:r w:rsidRPr="002A28B6">
        <w:rPr>
          <w:sz w:val="26"/>
        </w:rPr>
        <w:t>.  In evaluating a high bill complaint, the Commission may consider evidence such as the billing history of the account, any change in usage patterns (such as a change in the number of occupants residing in the household or potential energy utilization</w:t>
      </w:r>
      <w:r w:rsidRPr="002A28B6">
        <w:rPr>
          <w:i/>
          <w:sz w:val="26"/>
        </w:rPr>
        <w:t xml:space="preserve">), </w:t>
      </w:r>
      <w:r w:rsidRPr="002A28B6">
        <w:rPr>
          <w:iCs/>
          <w:sz w:val="26"/>
        </w:rPr>
        <w:t>and any other relevant facts or circumstances that come to light during the proceeding</w:t>
      </w:r>
      <w:r w:rsidRPr="002A28B6">
        <w:rPr>
          <w:sz w:val="26"/>
        </w:rPr>
        <w:t>.</w:t>
      </w:r>
    </w:p>
    <w:p w:rsidR="002A28B6" w:rsidRPr="002A28B6" w:rsidRDefault="002A28B6" w:rsidP="00A533C6">
      <w:pPr>
        <w:widowControl/>
        <w:spacing w:line="360" w:lineRule="auto"/>
        <w:ind w:firstLine="1440"/>
        <w:rPr>
          <w:sz w:val="26"/>
        </w:rPr>
      </w:pPr>
    </w:p>
    <w:p w:rsidR="002A28B6" w:rsidRDefault="002A28B6" w:rsidP="00A533C6">
      <w:pPr>
        <w:widowControl/>
        <w:spacing w:line="360" w:lineRule="auto"/>
        <w:ind w:firstLine="1440"/>
        <w:rPr>
          <w:sz w:val="26"/>
        </w:rPr>
      </w:pPr>
      <w:r w:rsidRPr="002A28B6">
        <w:rPr>
          <w:sz w:val="26"/>
        </w:rPr>
        <w:lastRenderedPageBreak/>
        <w:t xml:space="preserve">Once the complainant has established a </w:t>
      </w:r>
      <w:r w:rsidRPr="002A28B6">
        <w:rPr>
          <w:i/>
          <w:sz w:val="26"/>
        </w:rPr>
        <w:t>prima facie case</w:t>
      </w:r>
      <w:r w:rsidRPr="002A28B6">
        <w:rPr>
          <w:sz w:val="26"/>
        </w:rPr>
        <w:t xml:space="preserve">, the burden of going forward, but not the ultimate burden of proof, shifts to the utility to rebut the </w:t>
      </w:r>
      <w:r w:rsidRPr="002A28B6">
        <w:rPr>
          <w:i/>
          <w:sz w:val="26"/>
        </w:rPr>
        <w:t>prima facie</w:t>
      </w:r>
      <w:r w:rsidRPr="002A28B6">
        <w:rPr>
          <w:sz w:val="26"/>
        </w:rPr>
        <w:t xml:space="preserve"> case with evidence that is at least co-equal.  </w:t>
      </w:r>
      <w:r w:rsidRPr="002A28B6">
        <w:rPr>
          <w:i/>
          <w:sz w:val="26"/>
        </w:rPr>
        <w:t>Waldron, supra</w:t>
      </w:r>
      <w:r w:rsidRPr="002A28B6">
        <w:rPr>
          <w:sz w:val="26"/>
        </w:rPr>
        <w:t xml:space="preserve">.  If the utility rebuts a complainant’s evidence, the burden of going forward shifts back to the complainant, who must rebut the utility’s evidence by a preponderance of the evidence.  </w:t>
      </w:r>
      <w:proofErr w:type="spellStart"/>
      <w:r w:rsidRPr="002A28B6">
        <w:rPr>
          <w:i/>
          <w:sz w:val="26"/>
        </w:rPr>
        <w:t>Poorbaugh</w:t>
      </w:r>
      <w:proofErr w:type="spellEnd"/>
      <w:r w:rsidRPr="002A28B6">
        <w:rPr>
          <w:i/>
          <w:sz w:val="26"/>
        </w:rPr>
        <w:t xml:space="preserve"> v. West Penn Power Company</w:t>
      </w:r>
      <w:r w:rsidRPr="002A28B6">
        <w:rPr>
          <w:sz w:val="26"/>
        </w:rPr>
        <w:t>, 1994 Pa. PUC LEXIS 95.</w:t>
      </w:r>
    </w:p>
    <w:p w:rsidR="002A28B6" w:rsidRDefault="002A28B6" w:rsidP="00A533C6">
      <w:pPr>
        <w:widowControl/>
        <w:spacing w:line="360" w:lineRule="auto"/>
        <w:ind w:firstLine="1440"/>
        <w:rPr>
          <w:sz w:val="26"/>
        </w:rPr>
      </w:pPr>
    </w:p>
    <w:p w:rsidR="00FE3FFB" w:rsidRDefault="002A28B6" w:rsidP="00A533C6">
      <w:pPr>
        <w:widowControl/>
        <w:spacing w:line="360" w:lineRule="auto"/>
        <w:ind w:firstLine="1440"/>
        <w:rPr>
          <w:sz w:val="26"/>
        </w:rPr>
      </w:pPr>
      <w:r>
        <w:rPr>
          <w:sz w:val="26"/>
        </w:rPr>
        <w:t xml:space="preserve">In this case, the Complainant lives </w:t>
      </w:r>
      <w:r w:rsidR="00994B9D" w:rsidRPr="00994B9D">
        <w:rPr>
          <w:sz w:val="26"/>
        </w:rPr>
        <w:t>in a three bedroom single-family home</w:t>
      </w:r>
      <w:r w:rsidR="00994B9D">
        <w:rPr>
          <w:sz w:val="26"/>
        </w:rPr>
        <w:t xml:space="preserve"> </w:t>
      </w:r>
      <w:r>
        <w:rPr>
          <w:sz w:val="26"/>
        </w:rPr>
        <w:t xml:space="preserve">with his </w:t>
      </w:r>
      <w:r w:rsidR="001B44DB">
        <w:rPr>
          <w:sz w:val="26"/>
        </w:rPr>
        <w:t xml:space="preserve">nineteen </w:t>
      </w:r>
      <w:r w:rsidR="007D1482">
        <w:rPr>
          <w:sz w:val="26"/>
        </w:rPr>
        <w:t xml:space="preserve">year-old </w:t>
      </w:r>
      <w:r>
        <w:rPr>
          <w:sz w:val="26"/>
        </w:rPr>
        <w:t>daughter, who attends college but does not work</w:t>
      </w:r>
      <w:r w:rsidR="007D1482">
        <w:rPr>
          <w:sz w:val="26"/>
        </w:rPr>
        <w:t xml:space="preserve">.  Tr. at 28-29.  For electrical appliances, the </w:t>
      </w:r>
      <w:r w:rsidR="003E6658">
        <w:rPr>
          <w:sz w:val="26"/>
        </w:rPr>
        <w:t>Complainant has a grinder pump,</w:t>
      </w:r>
      <w:r w:rsidR="007D1482">
        <w:rPr>
          <w:sz w:val="26"/>
        </w:rPr>
        <w:t xml:space="preserve"> televisions, two Jacuzzi bath tubs</w:t>
      </w:r>
      <w:r w:rsidR="00994B9D">
        <w:rPr>
          <w:sz w:val="26"/>
        </w:rPr>
        <w:t>,</w:t>
      </w:r>
      <w:r w:rsidR="007D1482">
        <w:rPr>
          <w:rStyle w:val="FootnoteReference"/>
          <w:sz w:val="26"/>
        </w:rPr>
        <w:footnoteReference w:id="3"/>
      </w:r>
      <w:r w:rsidR="007D1482">
        <w:rPr>
          <w:sz w:val="26"/>
        </w:rPr>
        <w:t xml:space="preserve"> a computer, dishwasher, refrigerator, freezer, washer, dryer</w:t>
      </w:r>
      <w:r w:rsidR="003E6658">
        <w:rPr>
          <w:sz w:val="26"/>
        </w:rPr>
        <w:t>, stove, microwave and a heat pump.  Tr. at 30-33.  In the winter, the Complainant testified that he maintains the thermostat for his heat pump at 70 to 72 degrees, and has done so for the last five years.  Tr. at 40.  In the summer, he testified that he maintains the thermostat at the same temperature range as he does not “mess with the temperature.”  Tr. at 41.</w:t>
      </w:r>
    </w:p>
    <w:p w:rsidR="00FE3FFB" w:rsidRDefault="00FE3FFB" w:rsidP="00A533C6">
      <w:pPr>
        <w:widowControl/>
        <w:spacing w:line="360" w:lineRule="auto"/>
        <w:ind w:firstLine="1440"/>
        <w:rPr>
          <w:sz w:val="26"/>
        </w:rPr>
      </w:pPr>
    </w:p>
    <w:p w:rsidR="007B30B2" w:rsidRPr="000A3F6A" w:rsidRDefault="008761C7" w:rsidP="00A533C6">
      <w:pPr>
        <w:widowControl/>
        <w:spacing w:line="360" w:lineRule="auto"/>
        <w:ind w:firstLine="1440"/>
        <w:rPr>
          <w:sz w:val="26"/>
        </w:rPr>
      </w:pPr>
      <w:r>
        <w:rPr>
          <w:sz w:val="26"/>
        </w:rPr>
        <w:t xml:space="preserve">A review of the Complainant’s usage over the years in dispute reveals that the Complainant’s average consumption has only changed slightly.  For example, during 2011 his average consumption was 84.5 </w:t>
      </w:r>
      <w:r w:rsidR="0010366F">
        <w:rPr>
          <w:sz w:val="26"/>
        </w:rPr>
        <w:t>kilowatt-hours</w:t>
      </w:r>
      <w:r>
        <w:rPr>
          <w:sz w:val="26"/>
        </w:rPr>
        <w:t xml:space="preserve"> per day and his average consumption for 2008 was 84.8 </w:t>
      </w:r>
      <w:r w:rsidR="0010366F">
        <w:rPr>
          <w:sz w:val="26"/>
        </w:rPr>
        <w:t>kilowatt-hours</w:t>
      </w:r>
      <w:r w:rsidR="001B44DB">
        <w:rPr>
          <w:sz w:val="26"/>
        </w:rPr>
        <w:t xml:space="preserve"> per day.  Tr. at 51.</w:t>
      </w:r>
      <w:r>
        <w:rPr>
          <w:sz w:val="26"/>
        </w:rPr>
        <w:t xml:space="preserve"> </w:t>
      </w:r>
      <w:r w:rsidR="00994B9D">
        <w:rPr>
          <w:sz w:val="26"/>
        </w:rPr>
        <w:t xml:space="preserve"> </w:t>
      </w:r>
      <w:r w:rsidR="00C26204">
        <w:rPr>
          <w:sz w:val="26"/>
        </w:rPr>
        <w:t>D</w:t>
      </w:r>
      <w:r>
        <w:rPr>
          <w:sz w:val="26"/>
        </w:rPr>
        <w:t xml:space="preserve">uquesne </w:t>
      </w:r>
      <w:proofErr w:type="spellStart"/>
      <w:r>
        <w:rPr>
          <w:sz w:val="26"/>
        </w:rPr>
        <w:t>Exh</w:t>
      </w:r>
      <w:proofErr w:type="spellEnd"/>
      <w:r>
        <w:rPr>
          <w:sz w:val="26"/>
        </w:rPr>
        <w:t>. 4</w:t>
      </w:r>
      <w:r w:rsidR="000A3F6A">
        <w:rPr>
          <w:sz w:val="26"/>
        </w:rPr>
        <w:t>.</w:t>
      </w:r>
    </w:p>
    <w:p w:rsidR="007B30B2" w:rsidRDefault="007B30B2" w:rsidP="00A533C6">
      <w:pPr>
        <w:widowControl/>
        <w:spacing w:line="360" w:lineRule="auto"/>
        <w:rPr>
          <w:b/>
          <w:sz w:val="26"/>
          <w:szCs w:val="26"/>
        </w:rPr>
      </w:pPr>
    </w:p>
    <w:p w:rsidR="002F3B01" w:rsidRPr="00CD72F3" w:rsidRDefault="00B3341B" w:rsidP="00A533C6">
      <w:pPr>
        <w:widowControl/>
        <w:spacing w:line="360" w:lineRule="auto"/>
        <w:ind w:firstLine="1440"/>
        <w:rPr>
          <w:sz w:val="26"/>
          <w:szCs w:val="26"/>
        </w:rPr>
      </w:pPr>
      <w:r>
        <w:rPr>
          <w:sz w:val="26"/>
          <w:szCs w:val="26"/>
        </w:rPr>
        <w:t>Based upon t</w:t>
      </w:r>
      <w:r w:rsidR="00535AC0">
        <w:rPr>
          <w:sz w:val="26"/>
          <w:szCs w:val="26"/>
        </w:rPr>
        <w:t xml:space="preserve">he record of evidence, </w:t>
      </w:r>
      <w:r w:rsidR="00F94384">
        <w:rPr>
          <w:sz w:val="26"/>
          <w:szCs w:val="26"/>
        </w:rPr>
        <w:t>w</w:t>
      </w:r>
      <w:r w:rsidR="00A030DD">
        <w:rPr>
          <w:sz w:val="26"/>
          <w:szCs w:val="26"/>
        </w:rPr>
        <w:t xml:space="preserve">e agree with the ALJ’s </w:t>
      </w:r>
      <w:r w:rsidR="00535AC0">
        <w:rPr>
          <w:sz w:val="26"/>
          <w:szCs w:val="26"/>
        </w:rPr>
        <w:t xml:space="preserve">determination </w:t>
      </w:r>
      <w:r w:rsidR="00A030DD">
        <w:rPr>
          <w:sz w:val="26"/>
          <w:szCs w:val="26"/>
        </w:rPr>
        <w:t>that</w:t>
      </w:r>
      <w:r w:rsidR="00535AC0">
        <w:rPr>
          <w:sz w:val="26"/>
          <w:szCs w:val="26"/>
        </w:rPr>
        <w:t xml:space="preserve"> Duquesne has not violated the Public Utility Code or any rules, regulations or orders of the Commission.  Duquesne has adequately provided evidence that it properly calculated the Complainant’s bills and that the consumption as recorded on the Complainant’s meter was correct.  </w:t>
      </w:r>
      <w:r w:rsidR="00766EBB">
        <w:rPr>
          <w:sz w:val="26"/>
          <w:szCs w:val="26"/>
        </w:rPr>
        <w:t>Although we are of the opinion that the ultimate outcome of the Initial Decision is correct, we believe that the ALJ’</w:t>
      </w:r>
      <w:r w:rsidR="002F3B01">
        <w:rPr>
          <w:sz w:val="26"/>
          <w:szCs w:val="26"/>
        </w:rPr>
        <w:t>s Initial D</w:t>
      </w:r>
      <w:r w:rsidR="00766EBB">
        <w:rPr>
          <w:sz w:val="26"/>
          <w:szCs w:val="26"/>
        </w:rPr>
        <w:t xml:space="preserve">ecision </w:t>
      </w:r>
      <w:r w:rsidR="00766EBB">
        <w:rPr>
          <w:sz w:val="26"/>
          <w:szCs w:val="26"/>
        </w:rPr>
        <w:lastRenderedPageBreak/>
        <w:t>should have included a discussion of the standard</w:t>
      </w:r>
      <w:r w:rsidR="002F3B01">
        <w:rPr>
          <w:sz w:val="26"/>
          <w:szCs w:val="26"/>
        </w:rPr>
        <w:t>s</w:t>
      </w:r>
      <w:r w:rsidR="00766EBB">
        <w:rPr>
          <w:sz w:val="26"/>
          <w:szCs w:val="26"/>
        </w:rPr>
        <w:t xml:space="preserve"> set forth in </w:t>
      </w:r>
      <w:r w:rsidR="00766EBB">
        <w:rPr>
          <w:i/>
          <w:sz w:val="26"/>
          <w:szCs w:val="26"/>
        </w:rPr>
        <w:t>Waldron, supra</w:t>
      </w:r>
      <w:r w:rsidR="00766EBB">
        <w:rPr>
          <w:sz w:val="26"/>
          <w:szCs w:val="26"/>
        </w:rPr>
        <w:t>.</w:t>
      </w:r>
      <w:r w:rsidR="002F3B01">
        <w:rPr>
          <w:sz w:val="26"/>
          <w:szCs w:val="26"/>
        </w:rPr>
        <w:t xml:space="preserve"> Accordingly, we shall modify the ALJ’s decision to include a discussion of the burden of proof standards set forth in </w:t>
      </w:r>
      <w:r w:rsidR="001B44DB">
        <w:rPr>
          <w:i/>
          <w:sz w:val="26"/>
          <w:szCs w:val="26"/>
        </w:rPr>
        <w:t>Waldron</w:t>
      </w:r>
      <w:r w:rsidR="002F3B01" w:rsidRPr="002F3B01">
        <w:rPr>
          <w:i/>
          <w:sz w:val="26"/>
          <w:szCs w:val="26"/>
        </w:rPr>
        <w:t xml:space="preserve"> </w:t>
      </w:r>
      <w:r w:rsidR="002F3B01">
        <w:rPr>
          <w:sz w:val="26"/>
          <w:szCs w:val="26"/>
        </w:rPr>
        <w:t xml:space="preserve">and </w:t>
      </w:r>
      <w:r w:rsidR="002F3B01" w:rsidRPr="002F3B01">
        <w:rPr>
          <w:i/>
          <w:sz w:val="26"/>
          <w:szCs w:val="26"/>
        </w:rPr>
        <w:t>Bennett, supra</w:t>
      </w:r>
      <w:r w:rsidR="002F3B01">
        <w:rPr>
          <w:i/>
          <w:sz w:val="26"/>
          <w:szCs w:val="26"/>
        </w:rPr>
        <w:t>.</w:t>
      </w:r>
    </w:p>
    <w:p w:rsidR="00CD72F3" w:rsidRDefault="00CD72F3" w:rsidP="00A533C6">
      <w:pPr>
        <w:widowControl/>
        <w:spacing w:line="360" w:lineRule="auto"/>
        <w:rPr>
          <w:sz w:val="26"/>
          <w:szCs w:val="26"/>
        </w:rPr>
      </w:pPr>
    </w:p>
    <w:p w:rsidR="00CD72F3" w:rsidRDefault="00994B9D" w:rsidP="00A533C6">
      <w:pPr>
        <w:widowControl/>
        <w:spacing w:line="360" w:lineRule="auto"/>
        <w:ind w:firstLine="1440"/>
        <w:rPr>
          <w:sz w:val="26"/>
          <w:szCs w:val="26"/>
        </w:rPr>
      </w:pPr>
      <w:r w:rsidRPr="00994B9D">
        <w:rPr>
          <w:sz w:val="26"/>
          <w:szCs w:val="26"/>
        </w:rPr>
        <w:t>Nevertheless</w:t>
      </w:r>
      <w:r>
        <w:rPr>
          <w:sz w:val="26"/>
          <w:szCs w:val="26"/>
        </w:rPr>
        <w:t>, w</w:t>
      </w:r>
      <w:r w:rsidR="00CD72F3">
        <w:rPr>
          <w:sz w:val="26"/>
          <w:szCs w:val="26"/>
        </w:rPr>
        <w:t xml:space="preserve">e find that the Complainant failed to meet his burden of proof and thus, did not establish a </w:t>
      </w:r>
      <w:r w:rsidR="00CD72F3">
        <w:rPr>
          <w:i/>
          <w:sz w:val="26"/>
          <w:szCs w:val="26"/>
        </w:rPr>
        <w:t xml:space="preserve">prima facie </w:t>
      </w:r>
      <w:r w:rsidR="00CD72F3">
        <w:rPr>
          <w:sz w:val="26"/>
          <w:szCs w:val="26"/>
        </w:rPr>
        <w:t xml:space="preserve">case by presenting facts or circumstances envisioned under </w:t>
      </w:r>
      <w:r w:rsidR="00CD72F3" w:rsidRPr="00CD72F3">
        <w:rPr>
          <w:i/>
          <w:sz w:val="26"/>
          <w:szCs w:val="26"/>
        </w:rPr>
        <w:t>Waldron</w:t>
      </w:r>
      <w:r w:rsidR="00CD72F3">
        <w:rPr>
          <w:sz w:val="26"/>
          <w:szCs w:val="26"/>
        </w:rPr>
        <w:t xml:space="preserve">.  While the Complainant established the first criterion in </w:t>
      </w:r>
      <w:r w:rsidR="00CD72F3" w:rsidRPr="00A46E91">
        <w:rPr>
          <w:i/>
          <w:sz w:val="26"/>
          <w:szCs w:val="26"/>
        </w:rPr>
        <w:t>Waldron, supra</w:t>
      </w:r>
      <w:r w:rsidR="00CD72F3">
        <w:rPr>
          <w:sz w:val="26"/>
          <w:szCs w:val="26"/>
        </w:rPr>
        <w:t xml:space="preserve">, which is that the number of occupants did not change, he failed to establish that his potential for energy utilization was low, or at least lower than would justify his average electric bills during the disputed period.  Also, the Complainant was unable to establish the third criterion, which is that his prior billing history at his residence showed no previous abnormalities.  </w:t>
      </w:r>
      <w:r w:rsidR="006025FE">
        <w:rPr>
          <w:sz w:val="26"/>
          <w:szCs w:val="26"/>
        </w:rPr>
        <w:t xml:space="preserve">The Complainant did not produce any circumstantial evidence in support of his claim.  </w:t>
      </w:r>
      <w:r w:rsidR="00CD72F3">
        <w:rPr>
          <w:sz w:val="26"/>
          <w:szCs w:val="26"/>
        </w:rPr>
        <w:t>The Complainant’s entire argument was b</w:t>
      </w:r>
      <w:r w:rsidR="002F3B01">
        <w:rPr>
          <w:sz w:val="26"/>
          <w:szCs w:val="26"/>
        </w:rPr>
        <w:t>ased upon a subjective comparis</w:t>
      </w:r>
      <w:r w:rsidR="00CD72F3">
        <w:rPr>
          <w:sz w:val="26"/>
          <w:szCs w:val="26"/>
        </w:rPr>
        <w:t xml:space="preserve">on of monthly bills without taking into consideration </w:t>
      </w:r>
      <w:r w:rsidR="002F3B01">
        <w:rPr>
          <w:sz w:val="26"/>
          <w:szCs w:val="26"/>
        </w:rPr>
        <w:t xml:space="preserve">his </w:t>
      </w:r>
      <w:r w:rsidR="00CD72F3">
        <w:rPr>
          <w:sz w:val="26"/>
          <w:szCs w:val="26"/>
        </w:rPr>
        <w:t xml:space="preserve">monthly variation of usage or </w:t>
      </w:r>
      <w:r w:rsidR="002F3B01">
        <w:rPr>
          <w:sz w:val="26"/>
          <w:szCs w:val="26"/>
        </w:rPr>
        <w:t>the changes occurring in the various components making up his overall bills.  Therefore, the Complainant’s Exceptions are denied.</w:t>
      </w:r>
    </w:p>
    <w:p w:rsidR="00797F65" w:rsidRDefault="00797F65" w:rsidP="00A533C6">
      <w:pPr>
        <w:widowControl/>
        <w:spacing w:line="360" w:lineRule="auto"/>
        <w:ind w:firstLine="1440"/>
        <w:rPr>
          <w:sz w:val="26"/>
          <w:szCs w:val="26"/>
        </w:rPr>
      </w:pPr>
    </w:p>
    <w:p w:rsidR="00240E6F" w:rsidRPr="00667954" w:rsidRDefault="00797F65" w:rsidP="00A533C6">
      <w:pPr>
        <w:widowControl/>
        <w:spacing w:line="360" w:lineRule="auto"/>
        <w:ind w:firstLine="1440"/>
        <w:rPr>
          <w:sz w:val="26"/>
          <w:szCs w:val="26"/>
        </w:rPr>
      </w:pPr>
      <w:r>
        <w:rPr>
          <w:sz w:val="26"/>
          <w:szCs w:val="26"/>
        </w:rPr>
        <w:t xml:space="preserve">Additionally, we note that the ALJ recommended that the Commission grant the Complainant a payment arrangement with a repayment term of two years to repay the arrearage on his account.  No exceptions were filed in regard to this recommendation and we find that this recommendation is appropriate pursuant to </w:t>
      </w:r>
      <w:r w:rsidR="00401D1F">
        <w:rPr>
          <w:sz w:val="26"/>
          <w:szCs w:val="26"/>
        </w:rPr>
        <w:t xml:space="preserve">Section 1405(b) </w:t>
      </w:r>
      <w:r>
        <w:rPr>
          <w:sz w:val="26"/>
          <w:szCs w:val="26"/>
        </w:rPr>
        <w:t>of the Public Utility Code</w:t>
      </w:r>
      <w:r w:rsidR="00401D1F">
        <w:rPr>
          <w:sz w:val="26"/>
          <w:szCs w:val="26"/>
        </w:rPr>
        <w:t>,</w:t>
      </w:r>
      <w:r w:rsidR="00067ED1">
        <w:rPr>
          <w:sz w:val="26"/>
          <w:szCs w:val="26"/>
        </w:rPr>
        <w:t xml:space="preserve"> </w:t>
      </w:r>
      <w:r w:rsidR="001B44DB">
        <w:rPr>
          <w:sz w:val="26"/>
          <w:szCs w:val="26"/>
        </w:rPr>
        <w:t>66 Pa. C.S. § 1405(b).</w:t>
      </w:r>
    </w:p>
    <w:p w:rsidR="00240E6F" w:rsidRDefault="00240E6F" w:rsidP="00A533C6">
      <w:pPr>
        <w:widowControl/>
        <w:spacing w:line="360" w:lineRule="auto"/>
      </w:pPr>
    </w:p>
    <w:p w:rsidR="00CA43A5" w:rsidRPr="00CA43A5" w:rsidRDefault="00CA43A5" w:rsidP="00A533C6">
      <w:pPr>
        <w:widowControl/>
        <w:spacing w:line="360" w:lineRule="auto"/>
        <w:jc w:val="center"/>
        <w:rPr>
          <w:b/>
          <w:sz w:val="26"/>
          <w:szCs w:val="26"/>
        </w:rPr>
      </w:pPr>
      <w:r w:rsidRPr="00CA43A5">
        <w:rPr>
          <w:b/>
          <w:sz w:val="26"/>
          <w:szCs w:val="26"/>
        </w:rPr>
        <w:t>Conclusion</w:t>
      </w:r>
    </w:p>
    <w:p w:rsidR="00CA43A5" w:rsidRPr="00CA43A5" w:rsidRDefault="00CA43A5" w:rsidP="00A533C6">
      <w:pPr>
        <w:widowControl/>
        <w:spacing w:line="360" w:lineRule="auto"/>
        <w:ind w:firstLine="1440"/>
        <w:rPr>
          <w:sz w:val="26"/>
          <w:szCs w:val="26"/>
        </w:rPr>
      </w:pPr>
    </w:p>
    <w:p w:rsidR="00CA43A5" w:rsidRPr="00CA43A5" w:rsidRDefault="00CA43A5" w:rsidP="00A533C6">
      <w:pPr>
        <w:widowControl/>
        <w:spacing w:line="360" w:lineRule="auto"/>
        <w:ind w:firstLine="1440"/>
        <w:rPr>
          <w:sz w:val="26"/>
          <w:szCs w:val="26"/>
        </w:rPr>
      </w:pPr>
      <w:r w:rsidRPr="00CA43A5">
        <w:rPr>
          <w:sz w:val="26"/>
          <w:szCs w:val="26"/>
        </w:rPr>
        <w:t xml:space="preserve">Based upon the foregoing discussion, we shall </w:t>
      </w:r>
      <w:r w:rsidR="006E4254">
        <w:rPr>
          <w:sz w:val="26"/>
          <w:szCs w:val="26"/>
        </w:rPr>
        <w:t>deny the Complainant’s Exceptions</w:t>
      </w:r>
      <w:r w:rsidR="009D4C89">
        <w:rPr>
          <w:sz w:val="26"/>
          <w:szCs w:val="26"/>
        </w:rPr>
        <w:t xml:space="preserve"> and adopt the Initial Decision</w:t>
      </w:r>
      <w:r w:rsidRPr="00CA43A5">
        <w:rPr>
          <w:sz w:val="26"/>
          <w:szCs w:val="26"/>
        </w:rPr>
        <w:t>,</w:t>
      </w:r>
      <w:r w:rsidR="00797F65">
        <w:rPr>
          <w:sz w:val="26"/>
          <w:szCs w:val="26"/>
        </w:rPr>
        <w:t xml:space="preserve"> as modified,</w:t>
      </w:r>
      <w:r w:rsidRPr="00CA43A5">
        <w:rPr>
          <w:sz w:val="26"/>
          <w:szCs w:val="26"/>
        </w:rPr>
        <w:t xml:space="preserve"> consistent with th</w:t>
      </w:r>
      <w:r w:rsidR="0008598C">
        <w:rPr>
          <w:sz w:val="26"/>
          <w:szCs w:val="26"/>
        </w:rPr>
        <w:t>is Opinion and Order</w:t>
      </w:r>
      <w:r w:rsidRPr="00CA43A5">
        <w:rPr>
          <w:sz w:val="26"/>
          <w:szCs w:val="26"/>
        </w:rPr>
        <w:t xml:space="preserve">; </w:t>
      </w:r>
      <w:r w:rsidRPr="00CA43A5">
        <w:rPr>
          <w:b/>
          <w:sz w:val="26"/>
          <w:szCs w:val="26"/>
        </w:rPr>
        <w:t>THEREFORE,</w:t>
      </w:r>
      <w:r w:rsidRPr="00CA43A5">
        <w:rPr>
          <w:sz w:val="26"/>
          <w:szCs w:val="26"/>
        </w:rPr>
        <w:t xml:space="preserve"> </w:t>
      </w:r>
    </w:p>
    <w:p w:rsidR="00994B9D" w:rsidRDefault="00994B9D">
      <w:pPr>
        <w:widowControl/>
        <w:spacing w:after="200" w:line="276" w:lineRule="auto"/>
        <w:rPr>
          <w:sz w:val="26"/>
          <w:szCs w:val="26"/>
        </w:rPr>
      </w:pPr>
      <w:r>
        <w:rPr>
          <w:sz w:val="26"/>
          <w:szCs w:val="26"/>
        </w:rPr>
        <w:br w:type="page"/>
      </w:r>
    </w:p>
    <w:p w:rsidR="00CA43A5" w:rsidRPr="00CA43A5" w:rsidRDefault="00CA43A5" w:rsidP="00A533C6">
      <w:pPr>
        <w:widowControl/>
        <w:spacing w:line="360" w:lineRule="auto"/>
        <w:ind w:firstLine="1440"/>
        <w:rPr>
          <w:b/>
          <w:sz w:val="26"/>
          <w:szCs w:val="26"/>
        </w:rPr>
      </w:pPr>
      <w:r w:rsidRPr="00CA43A5">
        <w:rPr>
          <w:b/>
          <w:sz w:val="26"/>
          <w:szCs w:val="26"/>
        </w:rPr>
        <w:lastRenderedPageBreak/>
        <w:t>IT IS ORDERED:</w:t>
      </w:r>
    </w:p>
    <w:p w:rsidR="00CA43A5" w:rsidRPr="00CA43A5" w:rsidRDefault="00CA43A5" w:rsidP="00A533C6">
      <w:pPr>
        <w:widowControl/>
        <w:rPr>
          <w:sz w:val="26"/>
          <w:szCs w:val="26"/>
        </w:rPr>
      </w:pPr>
    </w:p>
    <w:p w:rsidR="009155F7" w:rsidRDefault="009155F7" w:rsidP="00A533C6">
      <w:pPr>
        <w:widowControl/>
        <w:numPr>
          <w:ilvl w:val="0"/>
          <w:numId w:val="1"/>
        </w:numPr>
        <w:tabs>
          <w:tab w:val="clear" w:pos="2160"/>
          <w:tab w:val="num" w:pos="0"/>
        </w:tabs>
        <w:spacing w:line="360" w:lineRule="auto"/>
        <w:ind w:left="0" w:firstLine="1440"/>
        <w:rPr>
          <w:sz w:val="26"/>
          <w:szCs w:val="26"/>
        </w:rPr>
      </w:pPr>
      <w:r>
        <w:rPr>
          <w:sz w:val="26"/>
          <w:szCs w:val="26"/>
        </w:rPr>
        <w:t>That the Exceptions of</w:t>
      </w:r>
      <w:r w:rsidR="009D4C89">
        <w:rPr>
          <w:sz w:val="26"/>
          <w:szCs w:val="26"/>
        </w:rPr>
        <w:t xml:space="preserve"> </w:t>
      </w:r>
      <w:r w:rsidR="00B3341B">
        <w:rPr>
          <w:sz w:val="26"/>
          <w:szCs w:val="26"/>
        </w:rPr>
        <w:t xml:space="preserve">Theodore </w:t>
      </w:r>
      <w:proofErr w:type="spellStart"/>
      <w:r w:rsidR="00B3341B">
        <w:rPr>
          <w:sz w:val="26"/>
          <w:szCs w:val="26"/>
        </w:rPr>
        <w:t>Presutti</w:t>
      </w:r>
      <w:proofErr w:type="spellEnd"/>
      <w:r w:rsidR="009D4C89">
        <w:rPr>
          <w:sz w:val="26"/>
          <w:szCs w:val="26"/>
        </w:rPr>
        <w:t xml:space="preserve"> </w:t>
      </w:r>
      <w:r w:rsidR="00797F65">
        <w:rPr>
          <w:sz w:val="26"/>
          <w:szCs w:val="26"/>
        </w:rPr>
        <w:t>to Administrative Law Judge Mary D. Long’s Initial Decision</w:t>
      </w:r>
      <w:r w:rsidR="009D4C89">
        <w:rPr>
          <w:sz w:val="26"/>
          <w:szCs w:val="26"/>
        </w:rPr>
        <w:t xml:space="preserve">, </w:t>
      </w:r>
      <w:r w:rsidR="00797F65">
        <w:rPr>
          <w:sz w:val="26"/>
          <w:szCs w:val="26"/>
        </w:rPr>
        <w:t xml:space="preserve">which was issued on December 20, 2011, </w:t>
      </w:r>
      <w:r>
        <w:rPr>
          <w:sz w:val="26"/>
          <w:szCs w:val="26"/>
        </w:rPr>
        <w:t xml:space="preserve">are </w:t>
      </w:r>
      <w:r w:rsidR="009D4C89">
        <w:rPr>
          <w:sz w:val="26"/>
          <w:szCs w:val="26"/>
        </w:rPr>
        <w:t>denied</w:t>
      </w:r>
      <w:r w:rsidR="003F51F4">
        <w:rPr>
          <w:sz w:val="26"/>
          <w:szCs w:val="26"/>
        </w:rPr>
        <w:t xml:space="preserve">, consistent with this Opinion </w:t>
      </w:r>
      <w:r w:rsidR="00B80C43">
        <w:rPr>
          <w:sz w:val="26"/>
          <w:szCs w:val="26"/>
        </w:rPr>
        <w:t>and Order</w:t>
      </w:r>
      <w:r>
        <w:rPr>
          <w:sz w:val="26"/>
          <w:szCs w:val="26"/>
        </w:rPr>
        <w:t>.</w:t>
      </w:r>
    </w:p>
    <w:p w:rsidR="0008598C" w:rsidRDefault="0008598C" w:rsidP="00A533C6">
      <w:pPr>
        <w:widowControl/>
        <w:spacing w:line="360" w:lineRule="auto"/>
        <w:ind w:left="1440"/>
        <w:rPr>
          <w:sz w:val="26"/>
          <w:szCs w:val="26"/>
        </w:rPr>
      </w:pPr>
    </w:p>
    <w:p w:rsidR="0008598C" w:rsidRDefault="009D4C89" w:rsidP="00A533C6">
      <w:pPr>
        <w:widowControl/>
        <w:spacing w:line="360" w:lineRule="auto"/>
        <w:ind w:firstLine="1440"/>
        <w:rPr>
          <w:sz w:val="26"/>
          <w:szCs w:val="26"/>
        </w:rPr>
      </w:pPr>
      <w:r>
        <w:rPr>
          <w:sz w:val="26"/>
          <w:szCs w:val="26"/>
        </w:rPr>
        <w:t>2.</w:t>
      </w:r>
      <w:r>
        <w:rPr>
          <w:sz w:val="26"/>
          <w:szCs w:val="26"/>
        </w:rPr>
        <w:tab/>
      </w:r>
      <w:r w:rsidR="00CA43A5" w:rsidRPr="009D4C89">
        <w:rPr>
          <w:sz w:val="26"/>
          <w:szCs w:val="26"/>
        </w:rPr>
        <w:t xml:space="preserve">That the Initial Decision of Administrative Law Judge </w:t>
      </w:r>
      <w:r w:rsidR="00797F65">
        <w:rPr>
          <w:sz w:val="26"/>
          <w:szCs w:val="26"/>
        </w:rPr>
        <w:t>Mary D. Long</w:t>
      </w:r>
      <w:r w:rsidR="00CA43A5" w:rsidRPr="009D4C89">
        <w:rPr>
          <w:sz w:val="26"/>
          <w:szCs w:val="26"/>
        </w:rPr>
        <w:t xml:space="preserve"> is </w:t>
      </w:r>
      <w:r w:rsidRPr="009D4C89">
        <w:rPr>
          <w:sz w:val="26"/>
          <w:szCs w:val="26"/>
        </w:rPr>
        <w:t>adopted</w:t>
      </w:r>
      <w:r w:rsidR="00CA43A5" w:rsidRPr="009D4C89">
        <w:rPr>
          <w:sz w:val="26"/>
          <w:szCs w:val="26"/>
        </w:rPr>
        <w:t xml:space="preserve">, </w:t>
      </w:r>
      <w:r w:rsidR="00797F65">
        <w:rPr>
          <w:sz w:val="26"/>
          <w:szCs w:val="26"/>
        </w:rPr>
        <w:t xml:space="preserve">as modified, </w:t>
      </w:r>
      <w:r w:rsidR="00CA43A5" w:rsidRPr="009D4C89">
        <w:rPr>
          <w:sz w:val="26"/>
          <w:szCs w:val="26"/>
        </w:rPr>
        <w:t>consistent with this Opinion and Order.</w:t>
      </w:r>
    </w:p>
    <w:p w:rsidR="0008598C" w:rsidRDefault="0008598C" w:rsidP="00A533C6">
      <w:pPr>
        <w:widowControl/>
        <w:spacing w:line="360" w:lineRule="auto"/>
        <w:ind w:firstLine="1440"/>
        <w:rPr>
          <w:sz w:val="26"/>
          <w:szCs w:val="26"/>
        </w:rPr>
      </w:pPr>
    </w:p>
    <w:p w:rsidR="009D4C89" w:rsidRDefault="009D4C89" w:rsidP="00A533C6">
      <w:pPr>
        <w:widowControl/>
        <w:spacing w:line="360" w:lineRule="auto"/>
        <w:ind w:firstLine="1440"/>
        <w:rPr>
          <w:sz w:val="26"/>
          <w:szCs w:val="26"/>
        </w:rPr>
      </w:pPr>
      <w:r>
        <w:rPr>
          <w:sz w:val="26"/>
          <w:szCs w:val="26"/>
        </w:rPr>
        <w:t>3.</w:t>
      </w:r>
      <w:r>
        <w:rPr>
          <w:sz w:val="26"/>
          <w:szCs w:val="26"/>
        </w:rPr>
        <w:tab/>
        <w:t>That</w:t>
      </w:r>
      <w:r w:rsidR="00B3341B">
        <w:rPr>
          <w:sz w:val="26"/>
          <w:szCs w:val="26"/>
        </w:rPr>
        <w:t xml:space="preserve"> the </w:t>
      </w:r>
      <w:r w:rsidR="00797F65">
        <w:rPr>
          <w:sz w:val="26"/>
          <w:szCs w:val="26"/>
        </w:rPr>
        <w:t xml:space="preserve">Formal </w:t>
      </w:r>
      <w:r w:rsidR="009331CB">
        <w:rPr>
          <w:sz w:val="26"/>
          <w:szCs w:val="26"/>
        </w:rPr>
        <w:t>Complaints filed by</w:t>
      </w:r>
      <w:r w:rsidR="00B3341B">
        <w:rPr>
          <w:sz w:val="26"/>
          <w:szCs w:val="26"/>
        </w:rPr>
        <w:t xml:space="preserve"> Theodore </w:t>
      </w:r>
      <w:proofErr w:type="spellStart"/>
      <w:r w:rsidR="00B3341B">
        <w:rPr>
          <w:sz w:val="26"/>
          <w:szCs w:val="26"/>
        </w:rPr>
        <w:t>Presutti</w:t>
      </w:r>
      <w:proofErr w:type="spellEnd"/>
      <w:r>
        <w:rPr>
          <w:sz w:val="26"/>
          <w:szCs w:val="26"/>
        </w:rPr>
        <w:t xml:space="preserve"> against </w:t>
      </w:r>
      <w:r w:rsidR="00B3341B">
        <w:rPr>
          <w:sz w:val="26"/>
          <w:szCs w:val="26"/>
        </w:rPr>
        <w:t>Duquesne Light Company</w:t>
      </w:r>
      <w:r w:rsidR="0008598C">
        <w:rPr>
          <w:sz w:val="26"/>
          <w:szCs w:val="26"/>
        </w:rPr>
        <w:t>,</w:t>
      </w:r>
      <w:r>
        <w:rPr>
          <w:sz w:val="26"/>
          <w:szCs w:val="26"/>
        </w:rPr>
        <w:t xml:space="preserve"> at Docket No</w:t>
      </w:r>
      <w:r w:rsidR="00B3341B">
        <w:rPr>
          <w:sz w:val="26"/>
          <w:szCs w:val="26"/>
        </w:rPr>
        <w:t>s</w:t>
      </w:r>
      <w:r>
        <w:rPr>
          <w:sz w:val="26"/>
          <w:szCs w:val="26"/>
        </w:rPr>
        <w:t xml:space="preserve">. </w:t>
      </w:r>
      <w:r w:rsidR="00B3341B">
        <w:rPr>
          <w:sz w:val="26"/>
          <w:szCs w:val="26"/>
        </w:rPr>
        <w:t xml:space="preserve">F-2010-2174509 and </w:t>
      </w:r>
      <w:r>
        <w:rPr>
          <w:sz w:val="26"/>
          <w:szCs w:val="26"/>
        </w:rPr>
        <w:t>C-2010-2</w:t>
      </w:r>
      <w:r w:rsidR="00B3341B">
        <w:rPr>
          <w:sz w:val="26"/>
          <w:szCs w:val="26"/>
        </w:rPr>
        <w:t>177251</w:t>
      </w:r>
      <w:r w:rsidR="0008598C">
        <w:rPr>
          <w:sz w:val="26"/>
          <w:szCs w:val="26"/>
        </w:rPr>
        <w:t>,</w:t>
      </w:r>
      <w:r>
        <w:rPr>
          <w:sz w:val="26"/>
          <w:szCs w:val="26"/>
        </w:rPr>
        <w:t xml:space="preserve"> </w:t>
      </w:r>
      <w:r w:rsidR="00B3341B">
        <w:rPr>
          <w:sz w:val="26"/>
          <w:szCs w:val="26"/>
        </w:rPr>
        <w:t>are</w:t>
      </w:r>
      <w:r>
        <w:rPr>
          <w:sz w:val="26"/>
          <w:szCs w:val="26"/>
        </w:rPr>
        <w:t xml:space="preserve"> denied</w:t>
      </w:r>
      <w:r w:rsidR="00B3341B">
        <w:rPr>
          <w:sz w:val="26"/>
          <w:szCs w:val="26"/>
        </w:rPr>
        <w:t>, in part, and granted, in part</w:t>
      </w:r>
      <w:r w:rsidR="00994B9D">
        <w:rPr>
          <w:sz w:val="26"/>
          <w:szCs w:val="26"/>
        </w:rPr>
        <w:t>, consistent with this Opinion and Order.</w:t>
      </w:r>
    </w:p>
    <w:p w:rsidR="00786734" w:rsidRDefault="00786734" w:rsidP="00A533C6">
      <w:pPr>
        <w:widowControl/>
        <w:spacing w:line="360" w:lineRule="auto"/>
        <w:ind w:firstLine="1440"/>
        <w:rPr>
          <w:sz w:val="26"/>
          <w:szCs w:val="26"/>
        </w:rPr>
      </w:pPr>
    </w:p>
    <w:p w:rsidR="00786734" w:rsidRPr="00786734" w:rsidRDefault="00786734" w:rsidP="00A533C6">
      <w:pPr>
        <w:widowControl/>
        <w:tabs>
          <w:tab w:val="left" w:pos="0"/>
        </w:tabs>
        <w:spacing w:line="360" w:lineRule="auto"/>
        <w:rPr>
          <w:sz w:val="26"/>
          <w:szCs w:val="26"/>
        </w:rPr>
      </w:pPr>
      <w:r>
        <w:rPr>
          <w:sz w:val="26"/>
          <w:szCs w:val="26"/>
        </w:rPr>
        <w:tab/>
      </w:r>
      <w:r>
        <w:rPr>
          <w:sz w:val="26"/>
          <w:szCs w:val="26"/>
        </w:rPr>
        <w:tab/>
        <w:t>4</w:t>
      </w:r>
      <w:r w:rsidR="001B44DB">
        <w:rPr>
          <w:sz w:val="26"/>
          <w:szCs w:val="26"/>
        </w:rPr>
        <w:t>.</w:t>
      </w:r>
      <w:r w:rsidR="001B44DB">
        <w:rPr>
          <w:sz w:val="26"/>
          <w:szCs w:val="26"/>
        </w:rPr>
        <w:tab/>
        <w:t>That within fifteen</w:t>
      </w:r>
      <w:r w:rsidRPr="00786734">
        <w:rPr>
          <w:sz w:val="26"/>
          <w:szCs w:val="26"/>
        </w:rPr>
        <w:t xml:space="preserve"> </w:t>
      </w:r>
      <w:r w:rsidR="00994B9D">
        <w:rPr>
          <w:sz w:val="26"/>
          <w:szCs w:val="26"/>
        </w:rPr>
        <w:t xml:space="preserve">(15) days from the date of entry of this Opinion and Order, </w:t>
      </w:r>
      <w:r w:rsidRPr="00786734">
        <w:rPr>
          <w:sz w:val="26"/>
          <w:szCs w:val="26"/>
        </w:rPr>
        <w:t xml:space="preserve">Duquesne Light Company shall tender a bill to Theodore </w:t>
      </w:r>
      <w:proofErr w:type="spellStart"/>
      <w:r w:rsidRPr="00786734">
        <w:rPr>
          <w:sz w:val="26"/>
          <w:szCs w:val="26"/>
        </w:rPr>
        <w:t>Presutti</w:t>
      </w:r>
      <w:proofErr w:type="spellEnd"/>
      <w:r w:rsidRPr="00786734">
        <w:rPr>
          <w:sz w:val="26"/>
          <w:szCs w:val="26"/>
        </w:rPr>
        <w:t xml:space="preserve"> for the net total amount that has accrued for missed consumption payments.</w:t>
      </w:r>
    </w:p>
    <w:p w:rsidR="00786734" w:rsidRPr="00786734" w:rsidRDefault="00786734" w:rsidP="00A533C6">
      <w:pPr>
        <w:widowControl/>
        <w:tabs>
          <w:tab w:val="left" w:pos="0"/>
        </w:tabs>
        <w:spacing w:line="360" w:lineRule="auto"/>
        <w:rPr>
          <w:sz w:val="26"/>
          <w:szCs w:val="26"/>
        </w:rPr>
      </w:pPr>
    </w:p>
    <w:p w:rsidR="00786734" w:rsidRPr="00786734" w:rsidRDefault="00786734" w:rsidP="00A533C6">
      <w:pPr>
        <w:widowControl/>
        <w:tabs>
          <w:tab w:val="left" w:pos="0"/>
        </w:tabs>
        <w:spacing w:line="360" w:lineRule="auto"/>
        <w:rPr>
          <w:sz w:val="26"/>
          <w:szCs w:val="26"/>
        </w:rPr>
      </w:pPr>
      <w:r w:rsidRPr="00786734">
        <w:rPr>
          <w:sz w:val="26"/>
          <w:szCs w:val="26"/>
        </w:rPr>
        <w:tab/>
      </w:r>
      <w:r w:rsidRPr="00786734">
        <w:rPr>
          <w:sz w:val="26"/>
          <w:szCs w:val="26"/>
        </w:rPr>
        <w:tab/>
      </w:r>
      <w:r>
        <w:rPr>
          <w:sz w:val="26"/>
          <w:szCs w:val="26"/>
        </w:rPr>
        <w:t>5</w:t>
      </w:r>
      <w:r w:rsidRPr="00786734">
        <w:rPr>
          <w:sz w:val="26"/>
          <w:szCs w:val="26"/>
        </w:rPr>
        <w:t>.</w:t>
      </w:r>
      <w:r w:rsidRPr="00786734">
        <w:rPr>
          <w:sz w:val="26"/>
          <w:szCs w:val="26"/>
        </w:rPr>
        <w:tab/>
        <w:t xml:space="preserve">That Theodore </w:t>
      </w:r>
      <w:proofErr w:type="spellStart"/>
      <w:r w:rsidRPr="00786734">
        <w:rPr>
          <w:sz w:val="26"/>
          <w:szCs w:val="26"/>
        </w:rPr>
        <w:t>Presutti</w:t>
      </w:r>
      <w:proofErr w:type="spellEnd"/>
      <w:r w:rsidRPr="00786734">
        <w:rPr>
          <w:sz w:val="26"/>
          <w:szCs w:val="26"/>
        </w:rPr>
        <w:t xml:space="preserve"> shall pay Duquesne Light on or before the due date for payment of each monthly bill, the monthly budget amount for current consumption, plus 1/24th of the arrearage owed on his account to be calculated as of the date </w:t>
      </w:r>
      <w:r w:rsidR="00C26204">
        <w:rPr>
          <w:sz w:val="26"/>
          <w:szCs w:val="26"/>
        </w:rPr>
        <w:t>of entry of this Opinion and Order</w:t>
      </w:r>
      <w:r w:rsidR="001B44DB">
        <w:rPr>
          <w:sz w:val="26"/>
          <w:szCs w:val="26"/>
        </w:rPr>
        <w:t>.</w:t>
      </w:r>
      <w:r w:rsidRPr="00786734">
        <w:rPr>
          <w:sz w:val="26"/>
          <w:szCs w:val="26"/>
        </w:rPr>
        <w:t xml:space="preserve"> </w:t>
      </w:r>
      <w:r w:rsidR="001B44DB">
        <w:rPr>
          <w:sz w:val="26"/>
          <w:szCs w:val="26"/>
        </w:rPr>
        <w:t xml:space="preserve"> T</w:t>
      </w:r>
      <w:r w:rsidRPr="00786734">
        <w:rPr>
          <w:sz w:val="26"/>
          <w:szCs w:val="26"/>
        </w:rPr>
        <w:t xml:space="preserve">hese payments shall commence with the first monthly bill received after </w:t>
      </w:r>
      <w:r w:rsidR="00994B9D">
        <w:rPr>
          <w:sz w:val="26"/>
          <w:szCs w:val="26"/>
        </w:rPr>
        <w:t xml:space="preserve">date of </w:t>
      </w:r>
      <w:r w:rsidRPr="00786734">
        <w:rPr>
          <w:sz w:val="26"/>
          <w:szCs w:val="26"/>
        </w:rPr>
        <w:t>entry of th</w:t>
      </w:r>
      <w:r w:rsidR="00994B9D">
        <w:rPr>
          <w:sz w:val="26"/>
          <w:szCs w:val="26"/>
        </w:rPr>
        <w:t xml:space="preserve">is Opinion and Order </w:t>
      </w:r>
      <w:r w:rsidRPr="00786734">
        <w:rPr>
          <w:sz w:val="26"/>
          <w:szCs w:val="26"/>
        </w:rPr>
        <w:t>and continue thereafter on the due date for the payment of each regular monthly bill, until the arrearage on this account has been paid in full.</w:t>
      </w:r>
    </w:p>
    <w:p w:rsidR="00786734" w:rsidRPr="00786734" w:rsidRDefault="00786734" w:rsidP="00A533C6">
      <w:pPr>
        <w:widowControl/>
        <w:tabs>
          <w:tab w:val="left" w:pos="0"/>
        </w:tabs>
        <w:spacing w:line="360" w:lineRule="auto"/>
        <w:rPr>
          <w:sz w:val="26"/>
          <w:szCs w:val="26"/>
        </w:rPr>
      </w:pPr>
    </w:p>
    <w:p w:rsidR="00786734" w:rsidRDefault="00786734" w:rsidP="00A533C6">
      <w:pPr>
        <w:widowControl/>
        <w:tabs>
          <w:tab w:val="left" w:pos="0"/>
        </w:tabs>
        <w:spacing w:line="360" w:lineRule="auto"/>
        <w:rPr>
          <w:sz w:val="26"/>
          <w:szCs w:val="26"/>
        </w:rPr>
      </w:pPr>
      <w:r>
        <w:rPr>
          <w:sz w:val="26"/>
          <w:szCs w:val="26"/>
        </w:rPr>
        <w:tab/>
      </w:r>
      <w:r>
        <w:rPr>
          <w:sz w:val="26"/>
          <w:szCs w:val="26"/>
        </w:rPr>
        <w:tab/>
        <w:t>6</w:t>
      </w:r>
      <w:r w:rsidRPr="00786734">
        <w:rPr>
          <w:sz w:val="26"/>
          <w:szCs w:val="26"/>
        </w:rPr>
        <w:t>.</w:t>
      </w:r>
      <w:r w:rsidRPr="00786734">
        <w:rPr>
          <w:sz w:val="26"/>
          <w:szCs w:val="26"/>
        </w:rPr>
        <w:tab/>
        <w:t xml:space="preserve">That, so long as Theodore </w:t>
      </w:r>
      <w:proofErr w:type="spellStart"/>
      <w:r w:rsidRPr="00786734">
        <w:rPr>
          <w:sz w:val="26"/>
          <w:szCs w:val="26"/>
        </w:rPr>
        <w:t>Presutti</w:t>
      </w:r>
      <w:proofErr w:type="spellEnd"/>
      <w:r w:rsidRPr="00786734">
        <w:rPr>
          <w:sz w:val="26"/>
          <w:szCs w:val="26"/>
        </w:rPr>
        <w:t xml:space="preserve"> adheres to the terms of this </w:t>
      </w:r>
      <w:r w:rsidR="00994B9D">
        <w:rPr>
          <w:sz w:val="26"/>
          <w:szCs w:val="26"/>
        </w:rPr>
        <w:t xml:space="preserve">Opinion and </w:t>
      </w:r>
      <w:r w:rsidRPr="00786734">
        <w:rPr>
          <w:sz w:val="26"/>
          <w:szCs w:val="26"/>
        </w:rPr>
        <w:t xml:space="preserve">Order, Duquesne Light shall not assess any late payment charges nor shall Duquesne Light terminate service to Theodore </w:t>
      </w:r>
      <w:proofErr w:type="spellStart"/>
      <w:r w:rsidRPr="00786734">
        <w:rPr>
          <w:sz w:val="26"/>
          <w:szCs w:val="26"/>
        </w:rPr>
        <w:t>Presutti</w:t>
      </w:r>
      <w:proofErr w:type="spellEnd"/>
      <w:r w:rsidRPr="00786734">
        <w:rPr>
          <w:sz w:val="26"/>
          <w:szCs w:val="26"/>
        </w:rPr>
        <w:t>, except for valid safety and/or emergency reasons.</w:t>
      </w:r>
    </w:p>
    <w:p w:rsidR="00786734" w:rsidRPr="00CA43A5" w:rsidRDefault="00786734" w:rsidP="00A533C6">
      <w:pPr>
        <w:widowControl/>
        <w:tabs>
          <w:tab w:val="left" w:pos="0"/>
        </w:tabs>
        <w:spacing w:line="360" w:lineRule="auto"/>
        <w:rPr>
          <w:sz w:val="26"/>
          <w:szCs w:val="26"/>
        </w:rPr>
      </w:pPr>
      <w:r>
        <w:rPr>
          <w:sz w:val="26"/>
          <w:szCs w:val="26"/>
        </w:rPr>
        <w:lastRenderedPageBreak/>
        <w:tab/>
      </w:r>
      <w:r>
        <w:rPr>
          <w:sz w:val="26"/>
          <w:szCs w:val="26"/>
        </w:rPr>
        <w:tab/>
      </w:r>
      <w:r w:rsidR="00994B9D">
        <w:rPr>
          <w:sz w:val="26"/>
          <w:szCs w:val="26"/>
        </w:rPr>
        <w:t>7.</w:t>
      </w:r>
      <w:r>
        <w:rPr>
          <w:sz w:val="26"/>
          <w:szCs w:val="26"/>
        </w:rPr>
        <w:tab/>
        <w:t>That this proceeding be marked closed.</w:t>
      </w:r>
    </w:p>
    <w:p w:rsidR="00CA43A5" w:rsidRDefault="00CA43A5" w:rsidP="00A533C6">
      <w:pPr>
        <w:widowControl/>
        <w:rPr>
          <w:sz w:val="26"/>
          <w:szCs w:val="26"/>
        </w:rPr>
      </w:pPr>
    </w:p>
    <w:p w:rsidR="00994B9D" w:rsidRPr="00CA43A5" w:rsidRDefault="00994B9D" w:rsidP="00A533C6">
      <w:pPr>
        <w:widowControl/>
        <w:rPr>
          <w:sz w:val="26"/>
          <w:szCs w:val="26"/>
        </w:rPr>
      </w:pPr>
    </w:p>
    <w:p w:rsidR="00CA43A5" w:rsidRPr="00CA43A5" w:rsidRDefault="00A2619E" w:rsidP="00A533C6">
      <w:pPr>
        <w:widowControl/>
        <w:tabs>
          <w:tab w:val="left" w:pos="-720"/>
        </w:tabs>
        <w:ind w:firstLine="5040"/>
        <w:rPr>
          <w:sz w:val="26"/>
          <w:szCs w:val="26"/>
        </w:rPr>
      </w:pPr>
      <w:bookmarkStart w:id="2" w:name="_GoBack"/>
      <w:r w:rsidRPr="00A4345F">
        <w:rPr>
          <w:noProof/>
        </w:rPr>
        <w:drawing>
          <wp:anchor distT="0" distB="0" distL="114300" distR="114300" simplePos="0" relativeHeight="251659264" behindDoc="1" locked="0" layoutInCell="1" allowOverlap="1" wp14:anchorId="709CFB00" wp14:editId="51562250">
            <wp:simplePos x="0" y="0"/>
            <wp:positionH relativeFrom="column">
              <wp:posOffset>2967990</wp:posOffset>
            </wp:positionH>
            <wp:positionV relativeFrom="paragraph">
              <wp:posOffset>74930</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r w:rsidR="00CA43A5" w:rsidRPr="00CA43A5">
        <w:rPr>
          <w:b/>
          <w:sz w:val="26"/>
          <w:szCs w:val="26"/>
        </w:rPr>
        <w:t>BY THE COMMISSION,</w:t>
      </w:r>
    </w:p>
    <w:p w:rsidR="00CA43A5" w:rsidRPr="00CA43A5" w:rsidRDefault="00CA43A5" w:rsidP="00A533C6">
      <w:pPr>
        <w:widowControl/>
        <w:tabs>
          <w:tab w:val="left" w:pos="-720"/>
        </w:tabs>
        <w:rPr>
          <w:sz w:val="26"/>
          <w:szCs w:val="26"/>
        </w:rPr>
      </w:pPr>
    </w:p>
    <w:p w:rsidR="00CA43A5" w:rsidRPr="00CA43A5" w:rsidRDefault="00CA43A5" w:rsidP="00A533C6">
      <w:pPr>
        <w:widowControl/>
        <w:tabs>
          <w:tab w:val="left" w:pos="-720"/>
        </w:tabs>
        <w:rPr>
          <w:sz w:val="26"/>
          <w:szCs w:val="26"/>
        </w:rPr>
      </w:pPr>
    </w:p>
    <w:p w:rsidR="00CA43A5" w:rsidRPr="00CA43A5" w:rsidRDefault="00CA43A5" w:rsidP="00A533C6">
      <w:pPr>
        <w:widowControl/>
        <w:tabs>
          <w:tab w:val="left" w:pos="-720"/>
        </w:tabs>
        <w:rPr>
          <w:sz w:val="26"/>
          <w:szCs w:val="26"/>
        </w:rPr>
      </w:pPr>
    </w:p>
    <w:p w:rsidR="00CA43A5" w:rsidRPr="00CA43A5" w:rsidRDefault="00564565" w:rsidP="00A533C6">
      <w:pPr>
        <w:widowControl/>
        <w:tabs>
          <w:tab w:val="left" w:pos="-720"/>
        </w:tabs>
        <w:ind w:firstLine="5040"/>
        <w:rPr>
          <w:b/>
          <w:sz w:val="26"/>
          <w:szCs w:val="26"/>
        </w:rPr>
      </w:pPr>
      <w:r>
        <w:rPr>
          <w:sz w:val="26"/>
          <w:szCs w:val="26"/>
        </w:rPr>
        <w:t>Rosemary Chiavetta</w:t>
      </w:r>
    </w:p>
    <w:p w:rsidR="00CA43A5" w:rsidRPr="00CA43A5" w:rsidRDefault="00CA43A5" w:rsidP="00A533C6">
      <w:pPr>
        <w:widowControl/>
        <w:tabs>
          <w:tab w:val="left" w:pos="-720"/>
        </w:tabs>
        <w:ind w:firstLine="5040"/>
        <w:rPr>
          <w:sz w:val="26"/>
          <w:szCs w:val="26"/>
        </w:rPr>
      </w:pPr>
      <w:r w:rsidRPr="00CA43A5">
        <w:rPr>
          <w:sz w:val="26"/>
          <w:szCs w:val="26"/>
        </w:rPr>
        <w:t>Secretary</w:t>
      </w:r>
    </w:p>
    <w:p w:rsidR="00CA43A5" w:rsidRPr="00CA43A5" w:rsidRDefault="00CA43A5" w:rsidP="00A533C6">
      <w:pPr>
        <w:widowControl/>
        <w:tabs>
          <w:tab w:val="left" w:pos="-720"/>
        </w:tabs>
        <w:rPr>
          <w:sz w:val="26"/>
          <w:szCs w:val="26"/>
        </w:rPr>
      </w:pPr>
    </w:p>
    <w:p w:rsidR="00CA43A5" w:rsidRPr="00CA43A5" w:rsidRDefault="00CA43A5" w:rsidP="00A533C6">
      <w:pPr>
        <w:widowControl/>
        <w:tabs>
          <w:tab w:val="left" w:pos="-720"/>
        </w:tabs>
        <w:rPr>
          <w:sz w:val="26"/>
          <w:szCs w:val="26"/>
        </w:rPr>
      </w:pPr>
      <w:r w:rsidRPr="00CA43A5">
        <w:rPr>
          <w:sz w:val="26"/>
          <w:szCs w:val="26"/>
        </w:rPr>
        <w:t>(SEAL)</w:t>
      </w:r>
    </w:p>
    <w:p w:rsidR="00CA43A5" w:rsidRPr="00CA43A5" w:rsidRDefault="00CA43A5" w:rsidP="00A533C6">
      <w:pPr>
        <w:widowControl/>
        <w:tabs>
          <w:tab w:val="left" w:pos="-720"/>
        </w:tabs>
        <w:rPr>
          <w:sz w:val="26"/>
          <w:szCs w:val="26"/>
        </w:rPr>
      </w:pPr>
    </w:p>
    <w:p w:rsidR="00CA43A5" w:rsidRPr="00CA43A5" w:rsidRDefault="00CA43A5" w:rsidP="00A533C6">
      <w:pPr>
        <w:widowControl/>
        <w:tabs>
          <w:tab w:val="left" w:pos="-720"/>
        </w:tabs>
        <w:rPr>
          <w:sz w:val="26"/>
          <w:szCs w:val="26"/>
        </w:rPr>
      </w:pPr>
      <w:r w:rsidRPr="00CA43A5">
        <w:rPr>
          <w:sz w:val="26"/>
          <w:szCs w:val="26"/>
        </w:rPr>
        <w:t>ORDER ADOPTED:</w:t>
      </w:r>
      <w:r w:rsidR="00B3341B">
        <w:rPr>
          <w:sz w:val="26"/>
          <w:szCs w:val="26"/>
        </w:rPr>
        <w:t xml:space="preserve">  March 29</w:t>
      </w:r>
      <w:r w:rsidR="009D4C89">
        <w:rPr>
          <w:sz w:val="26"/>
          <w:szCs w:val="26"/>
        </w:rPr>
        <w:t>, 2012</w:t>
      </w:r>
      <w:r w:rsidRPr="00CA43A5">
        <w:rPr>
          <w:sz w:val="26"/>
          <w:szCs w:val="26"/>
        </w:rPr>
        <w:t xml:space="preserve"> </w:t>
      </w:r>
    </w:p>
    <w:p w:rsidR="00857172" w:rsidRDefault="00857172" w:rsidP="00A533C6">
      <w:pPr>
        <w:widowControl/>
        <w:tabs>
          <w:tab w:val="left" w:pos="-720"/>
        </w:tabs>
        <w:rPr>
          <w:sz w:val="26"/>
          <w:szCs w:val="26"/>
        </w:rPr>
      </w:pPr>
    </w:p>
    <w:p w:rsidR="00CA43A5" w:rsidRPr="00CA43A5" w:rsidRDefault="00CA43A5" w:rsidP="00A533C6">
      <w:pPr>
        <w:widowControl/>
        <w:tabs>
          <w:tab w:val="left" w:pos="-720"/>
        </w:tabs>
        <w:rPr>
          <w:sz w:val="26"/>
          <w:szCs w:val="26"/>
        </w:rPr>
      </w:pPr>
      <w:r w:rsidRPr="00CA43A5">
        <w:rPr>
          <w:sz w:val="26"/>
          <w:szCs w:val="26"/>
        </w:rPr>
        <w:t xml:space="preserve">ORDER ENTERED:  </w:t>
      </w:r>
      <w:r w:rsidR="00A2619E">
        <w:rPr>
          <w:sz w:val="26"/>
          <w:szCs w:val="26"/>
        </w:rPr>
        <w:t>March 29, 2012</w:t>
      </w:r>
    </w:p>
    <w:sectPr w:rsidR="00CA43A5" w:rsidRPr="00CA43A5" w:rsidSect="00F9641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63B" w:rsidRDefault="00AD063B" w:rsidP="001B7DA2">
      <w:r>
        <w:separator/>
      </w:r>
    </w:p>
  </w:endnote>
  <w:endnote w:type="continuationSeparator" w:id="0">
    <w:p w:rsidR="00AD063B" w:rsidRDefault="00AD063B"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rPr>
    </w:sdtEndPr>
    <w:sdtContent>
      <w:p w:rsidR="00F9641D" w:rsidRDefault="00F9641D">
        <w:pPr>
          <w:pStyle w:val="Footer"/>
          <w:jc w:val="center"/>
        </w:pPr>
        <w:r>
          <w:fldChar w:fldCharType="begin"/>
        </w:r>
        <w:r>
          <w:instrText xml:space="preserve"> PAGE   \* MERGEFORMAT </w:instrText>
        </w:r>
        <w:r>
          <w:fldChar w:fldCharType="separate"/>
        </w:r>
        <w:r w:rsidR="00A2619E">
          <w:rPr>
            <w:noProof/>
          </w:rPr>
          <w:t>12</w:t>
        </w:r>
        <w:r>
          <w:rPr>
            <w:noProof/>
          </w:rPr>
          <w:fldChar w:fldCharType="end"/>
        </w:r>
      </w:p>
    </w:sdtContent>
  </w:sdt>
  <w:p w:rsidR="00F9641D" w:rsidRDefault="00F96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63B" w:rsidRDefault="00AD063B" w:rsidP="001B7DA2">
      <w:r>
        <w:separator/>
      </w:r>
    </w:p>
  </w:footnote>
  <w:footnote w:type="continuationSeparator" w:id="0">
    <w:p w:rsidR="00AD063B" w:rsidRDefault="00AD063B" w:rsidP="001B7DA2">
      <w:r>
        <w:continuationSeparator/>
      </w:r>
    </w:p>
  </w:footnote>
  <w:footnote w:id="1">
    <w:p w:rsidR="001D4A94" w:rsidRPr="001D4A94" w:rsidRDefault="001D4A94" w:rsidP="001D4A94">
      <w:pPr>
        <w:pStyle w:val="FootnoteText"/>
        <w:ind w:firstLine="720"/>
        <w:rPr>
          <w:sz w:val="26"/>
          <w:szCs w:val="26"/>
        </w:rPr>
      </w:pPr>
      <w:r w:rsidRPr="001D4A94">
        <w:rPr>
          <w:rStyle w:val="FootnoteReference"/>
          <w:sz w:val="26"/>
          <w:szCs w:val="26"/>
        </w:rPr>
        <w:footnoteRef/>
      </w:r>
      <w:r w:rsidRPr="001D4A94">
        <w:rPr>
          <w:sz w:val="26"/>
          <w:szCs w:val="26"/>
        </w:rPr>
        <w:t xml:space="preserve"> </w:t>
      </w:r>
      <w:r w:rsidRPr="001D4A94">
        <w:rPr>
          <w:sz w:val="26"/>
          <w:szCs w:val="26"/>
        </w:rPr>
        <w:tab/>
        <w:t>The initial hearing was originally sche</w:t>
      </w:r>
      <w:r>
        <w:rPr>
          <w:sz w:val="26"/>
          <w:szCs w:val="26"/>
        </w:rPr>
        <w:t>duled for July 20, 2011</w:t>
      </w:r>
      <w:r w:rsidR="00932029">
        <w:rPr>
          <w:sz w:val="26"/>
          <w:szCs w:val="26"/>
        </w:rPr>
        <w:t>,</w:t>
      </w:r>
      <w:r>
        <w:rPr>
          <w:sz w:val="26"/>
          <w:szCs w:val="26"/>
        </w:rPr>
        <w:t xml:space="preserve"> but was </w:t>
      </w:r>
      <w:r w:rsidRPr="001D4A94">
        <w:rPr>
          <w:sz w:val="26"/>
          <w:szCs w:val="26"/>
        </w:rPr>
        <w:t>rescheduled upon consideration of the request for a continuance filed by the Complainant.</w:t>
      </w:r>
    </w:p>
  </w:footnote>
  <w:footnote w:id="2">
    <w:p w:rsidR="00655657" w:rsidRPr="00655657" w:rsidRDefault="00655657" w:rsidP="00C16E76">
      <w:pPr>
        <w:pStyle w:val="FootnoteText"/>
        <w:tabs>
          <w:tab w:val="left" w:pos="720"/>
          <w:tab w:val="left" w:pos="1440"/>
        </w:tabs>
      </w:pPr>
      <w:r>
        <w:tab/>
      </w:r>
      <w:r w:rsidRPr="00655657">
        <w:rPr>
          <w:rStyle w:val="FootnoteReference"/>
          <w:sz w:val="22"/>
          <w:szCs w:val="22"/>
        </w:rPr>
        <w:footnoteRef/>
      </w:r>
      <w:r w:rsidRPr="00655657">
        <w:rPr>
          <w:sz w:val="22"/>
          <w:szCs w:val="22"/>
        </w:rPr>
        <w:t xml:space="preserve"> </w:t>
      </w:r>
      <w:r>
        <w:tab/>
      </w:r>
      <w:r w:rsidRPr="00655657">
        <w:rPr>
          <w:sz w:val="26"/>
        </w:rPr>
        <w:t xml:space="preserve">We acknowledge that the format of the Complainant’s Exceptions does not strictly comply with Section 5.533(b) of our Regulations, 52 Pa. Code § 5.533(b), which requires that exceptions be numbered, </w:t>
      </w:r>
      <w:proofErr w:type="gramStart"/>
      <w:r w:rsidRPr="00655657">
        <w:rPr>
          <w:sz w:val="26"/>
        </w:rPr>
        <w:t>identify</w:t>
      </w:r>
      <w:proofErr w:type="gramEnd"/>
      <w:r w:rsidRPr="00655657">
        <w:rPr>
          <w:sz w:val="26"/>
        </w:rPr>
        <w:t xml:space="preserve"> the finding of fact and conclusion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 Code</w:t>
      </w:r>
      <w:r w:rsidR="009C1BAD">
        <w:rPr>
          <w:sz w:val="26"/>
        </w:rPr>
        <w:t> § </w:t>
      </w:r>
      <w:r w:rsidRPr="00655657">
        <w:rPr>
          <w:sz w:val="26"/>
        </w:rPr>
        <w:t>1.2(c)</w:t>
      </w:r>
      <w:r>
        <w:rPr>
          <w:sz w:val="26"/>
        </w:rPr>
        <w:t>, in order to secure a just, speedy, and inexpensive determination</w:t>
      </w:r>
      <w:r w:rsidRPr="00655657">
        <w:rPr>
          <w:sz w:val="26"/>
        </w:rPr>
        <w:t>.</w:t>
      </w:r>
    </w:p>
    <w:p w:rsidR="00655657" w:rsidRDefault="00655657" w:rsidP="00655657">
      <w:pPr>
        <w:pStyle w:val="FootnoteText"/>
        <w:ind w:firstLine="720"/>
      </w:pPr>
    </w:p>
  </w:footnote>
  <w:footnote w:id="3">
    <w:p w:rsidR="007D1482" w:rsidRPr="007D1482" w:rsidRDefault="007D1482" w:rsidP="00A46E91">
      <w:pPr>
        <w:pStyle w:val="FootnoteText"/>
        <w:ind w:firstLine="720"/>
        <w:rPr>
          <w:sz w:val="26"/>
          <w:szCs w:val="26"/>
        </w:rPr>
      </w:pPr>
      <w:r w:rsidRPr="007D1482">
        <w:rPr>
          <w:rStyle w:val="FootnoteReference"/>
          <w:sz w:val="26"/>
          <w:szCs w:val="26"/>
        </w:rPr>
        <w:footnoteRef/>
      </w:r>
      <w:r w:rsidRPr="007D1482">
        <w:rPr>
          <w:sz w:val="26"/>
          <w:szCs w:val="26"/>
        </w:rPr>
        <w:tab/>
      </w:r>
      <w:r w:rsidR="00C26204">
        <w:rPr>
          <w:sz w:val="26"/>
          <w:szCs w:val="26"/>
        </w:rPr>
        <w:t xml:space="preserve">The </w:t>
      </w:r>
      <w:r w:rsidRPr="007D1482">
        <w:rPr>
          <w:sz w:val="26"/>
          <w:szCs w:val="26"/>
        </w:rPr>
        <w:t>Complainant testified incorrectly that he had two hot tubs, one in the master bedroom and one in his daughter’s room.  Tr. at 30, Exc. at</w:t>
      </w:r>
      <w:r w:rsidR="00A46E91">
        <w:rPr>
          <w:sz w:val="26"/>
          <w:szCs w:val="26"/>
        </w:rPr>
        <w:t xml:space="preserve"> 2</w:t>
      </w:r>
      <w:r w:rsidRPr="007D1482">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036"/>
    <w:rsid w:val="00017852"/>
    <w:rsid w:val="00021E46"/>
    <w:rsid w:val="00022B74"/>
    <w:rsid w:val="00024D5A"/>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67ED1"/>
    <w:rsid w:val="00072808"/>
    <w:rsid w:val="00074C07"/>
    <w:rsid w:val="00076F35"/>
    <w:rsid w:val="000819DC"/>
    <w:rsid w:val="00084573"/>
    <w:rsid w:val="00084AF9"/>
    <w:rsid w:val="0008598C"/>
    <w:rsid w:val="0008712B"/>
    <w:rsid w:val="000918D4"/>
    <w:rsid w:val="00093164"/>
    <w:rsid w:val="0009612D"/>
    <w:rsid w:val="00097504"/>
    <w:rsid w:val="000A365D"/>
    <w:rsid w:val="000A3F6A"/>
    <w:rsid w:val="000A490A"/>
    <w:rsid w:val="000B216D"/>
    <w:rsid w:val="000B2755"/>
    <w:rsid w:val="000B4EAE"/>
    <w:rsid w:val="000B5238"/>
    <w:rsid w:val="000B607A"/>
    <w:rsid w:val="000B6B15"/>
    <w:rsid w:val="000C2AE3"/>
    <w:rsid w:val="000C709A"/>
    <w:rsid w:val="000F0AD9"/>
    <w:rsid w:val="000F179E"/>
    <w:rsid w:val="000F4307"/>
    <w:rsid w:val="0010158F"/>
    <w:rsid w:val="00101F51"/>
    <w:rsid w:val="001026CA"/>
    <w:rsid w:val="0010366F"/>
    <w:rsid w:val="00104D9B"/>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74D3D"/>
    <w:rsid w:val="00181F6E"/>
    <w:rsid w:val="00182478"/>
    <w:rsid w:val="00186A97"/>
    <w:rsid w:val="0019530E"/>
    <w:rsid w:val="00195F2E"/>
    <w:rsid w:val="001B1DB4"/>
    <w:rsid w:val="001B44DB"/>
    <w:rsid w:val="001B7DA2"/>
    <w:rsid w:val="001C302E"/>
    <w:rsid w:val="001C4978"/>
    <w:rsid w:val="001D0ED2"/>
    <w:rsid w:val="001D4A94"/>
    <w:rsid w:val="001E0B61"/>
    <w:rsid w:val="001E1276"/>
    <w:rsid w:val="001E2C66"/>
    <w:rsid w:val="001F285E"/>
    <w:rsid w:val="001F5292"/>
    <w:rsid w:val="00202524"/>
    <w:rsid w:val="00210736"/>
    <w:rsid w:val="00210F81"/>
    <w:rsid w:val="00211622"/>
    <w:rsid w:val="00214B3E"/>
    <w:rsid w:val="00224218"/>
    <w:rsid w:val="0022698E"/>
    <w:rsid w:val="00227912"/>
    <w:rsid w:val="002311EE"/>
    <w:rsid w:val="002370F5"/>
    <w:rsid w:val="00240ACA"/>
    <w:rsid w:val="00240D7B"/>
    <w:rsid w:val="00240E6F"/>
    <w:rsid w:val="00241299"/>
    <w:rsid w:val="00252CDB"/>
    <w:rsid w:val="00255462"/>
    <w:rsid w:val="00260957"/>
    <w:rsid w:val="00264646"/>
    <w:rsid w:val="00267BC2"/>
    <w:rsid w:val="0027232D"/>
    <w:rsid w:val="002732AB"/>
    <w:rsid w:val="00274D0F"/>
    <w:rsid w:val="00277500"/>
    <w:rsid w:val="00281A5F"/>
    <w:rsid w:val="002916C2"/>
    <w:rsid w:val="00291F68"/>
    <w:rsid w:val="002A060A"/>
    <w:rsid w:val="002A28B6"/>
    <w:rsid w:val="002A4450"/>
    <w:rsid w:val="002A6750"/>
    <w:rsid w:val="002B2296"/>
    <w:rsid w:val="002B4407"/>
    <w:rsid w:val="002B67B7"/>
    <w:rsid w:val="002C0429"/>
    <w:rsid w:val="002C19E4"/>
    <w:rsid w:val="002C6CC4"/>
    <w:rsid w:val="002D13C4"/>
    <w:rsid w:val="002D275E"/>
    <w:rsid w:val="002D3EBB"/>
    <w:rsid w:val="002D6357"/>
    <w:rsid w:val="002D7584"/>
    <w:rsid w:val="002D78D7"/>
    <w:rsid w:val="002E0008"/>
    <w:rsid w:val="002E23A4"/>
    <w:rsid w:val="002E3026"/>
    <w:rsid w:val="002E3F06"/>
    <w:rsid w:val="002E5807"/>
    <w:rsid w:val="002E6FFA"/>
    <w:rsid w:val="002E79DE"/>
    <w:rsid w:val="002E7F8F"/>
    <w:rsid w:val="002F3B01"/>
    <w:rsid w:val="002F3F04"/>
    <w:rsid w:val="002F41BA"/>
    <w:rsid w:val="002F6096"/>
    <w:rsid w:val="003018AA"/>
    <w:rsid w:val="00303B99"/>
    <w:rsid w:val="00304757"/>
    <w:rsid w:val="00305D99"/>
    <w:rsid w:val="0030714F"/>
    <w:rsid w:val="003073E2"/>
    <w:rsid w:val="00307DDF"/>
    <w:rsid w:val="00314A43"/>
    <w:rsid w:val="00322040"/>
    <w:rsid w:val="003240B8"/>
    <w:rsid w:val="00325422"/>
    <w:rsid w:val="00325D89"/>
    <w:rsid w:val="00332DA2"/>
    <w:rsid w:val="00333FDA"/>
    <w:rsid w:val="003340DE"/>
    <w:rsid w:val="00340D19"/>
    <w:rsid w:val="00344804"/>
    <w:rsid w:val="003518C8"/>
    <w:rsid w:val="003533B5"/>
    <w:rsid w:val="00355ACA"/>
    <w:rsid w:val="003622CA"/>
    <w:rsid w:val="00363030"/>
    <w:rsid w:val="0036462C"/>
    <w:rsid w:val="00364A42"/>
    <w:rsid w:val="00373184"/>
    <w:rsid w:val="003755FB"/>
    <w:rsid w:val="0037577C"/>
    <w:rsid w:val="00377F25"/>
    <w:rsid w:val="00385502"/>
    <w:rsid w:val="00391A43"/>
    <w:rsid w:val="0039373D"/>
    <w:rsid w:val="003B0611"/>
    <w:rsid w:val="003B42D9"/>
    <w:rsid w:val="003C3140"/>
    <w:rsid w:val="003C3E02"/>
    <w:rsid w:val="003C3FE8"/>
    <w:rsid w:val="003C73F9"/>
    <w:rsid w:val="003D560B"/>
    <w:rsid w:val="003D5F07"/>
    <w:rsid w:val="003D6AB5"/>
    <w:rsid w:val="003E3FF5"/>
    <w:rsid w:val="003E5354"/>
    <w:rsid w:val="003E6658"/>
    <w:rsid w:val="003F51F4"/>
    <w:rsid w:val="003F52C6"/>
    <w:rsid w:val="003F558E"/>
    <w:rsid w:val="00401D1F"/>
    <w:rsid w:val="00403D6E"/>
    <w:rsid w:val="00407AC0"/>
    <w:rsid w:val="00412E30"/>
    <w:rsid w:val="004170AF"/>
    <w:rsid w:val="00432BB7"/>
    <w:rsid w:val="004331E9"/>
    <w:rsid w:val="00433E8D"/>
    <w:rsid w:val="0043592C"/>
    <w:rsid w:val="00441207"/>
    <w:rsid w:val="004422CA"/>
    <w:rsid w:val="00443807"/>
    <w:rsid w:val="004462F7"/>
    <w:rsid w:val="0046019D"/>
    <w:rsid w:val="00464536"/>
    <w:rsid w:val="0046514E"/>
    <w:rsid w:val="0046623C"/>
    <w:rsid w:val="00467739"/>
    <w:rsid w:val="00470D0C"/>
    <w:rsid w:val="00474E22"/>
    <w:rsid w:val="0047608F"/>
    <w:rsid w:val="00476554"/>
    <w:rsid w:val="004813D4"/>
    <w:rsid w:val="00491D91"/>
    <w:rsid w:val="004931C7"/>
    <w:rsid w:val="0049580C"/>
    <w:rsid w:val="0049768F"/>
    <w:rsid w:val="004A04E5"/>
    <w:rsid w:val="004A1495"/>
    <w:rsid w:val="004A2165"/>
    <w:rsid w:val="004A5F74"/>
    <w:rsid w:val="004B07B9"/>
    <w:rsid w:val="004B1052"/>
    <w:rsid w:val="004B6B14"/>
    <w:rsid w:val="004C7594"/>
    <w:rsid w:val="004E47EC"/>
    <w:rsid w:val="004E514F"/>
    <w:rsid w:val="004E737F"/>
    <w:rsid w:val="004F03DE"/>
    <w:rsid w:val="004F21B3"/>
    <w:rsid w:val="004F22DA"/>
    <w:rsid w:val="00502165"/>
    <w:rsid w:val="00504544"/>
    <w:rsid w:val="00504834"/>
    <w:rsid w:val="00504C7A"/>
    <w:rsid w:val="00505AEE"/>
    <w:rsid w:val="0050632E"/>
    <w:rsid w:val="0050752D"/>
    <w:rsid w:val="00511EF3"/>
    <w:rsid w:val="00514507"/>
    <w:rsid w:val="0051475B"/>
    <w:rsid w:val="00515B78"/>
    <w:rsid w:val="00521350"/>
    <w:rsid w:val="005351B9"/>
    <w:rsid w:val="00535AC0"/>
    <w:rsid w:val="00536011"/>
    <w:rsid w:val="00540506"/>
    <w:rsid w:val="00550B79"/>
    <w:rsid w:val="0055150B"/>
    <w:rsid w:val="005532F9"/>
    <w:rsid w:val="0055440B"/>
    <w:rsid w:val="0055708D"/>
    <w:rsid w:val="005606BE"/>
    <w:rsid w:val="00561CA6"/>
    <w:rsid w:val="00564565"/>
    <w:rsid w:val="005647BE"/>
    <w:rsid w:val="00566299"/>
    <w:rsid w:val="005725F6"/>
    <w:rsid w:val="00586817"/>
    <w:rsid w:val="00586D92"/>
    <w:rsid w:val="00587507"/>
    <w:rsid w:val="00594ABF"/>
    <w:rsid w:val="00596A0B"/>
    <w:rsid w:val="00596E05"/>
    <w:rsid w:val="00596F85"/>
    <w:rsid w:val="005970FA"/>
    <w:rsid w:val="005A0176"/>
    <w:rsid w:val="005A088E"/>
    <w:rsid w:val="005A2298"/>
    <w:rsid w:val="005A28C1"/>
    <w:rsid w:val="005A5E63"/>
    <w:rsid w:val="005A72FC"/>
    <w:rsid w:val="005B0388"/>
    <w:rsid w:val="005B109A"/>
    <w:rsid w:val="005C2FD5"/>
    <w:rsid w:val="005C5378"/>
    <w:rsid w:val="005D2AB9"/>
    <w:rsid w:val="005D34E2"/>
    <w:rsid w:val="005D496E"/>
    <w:rsid w:val="005D7C20"/>
    <w:rsid w:val="005E3378"/>
    <w:rsid w:val="005E6960"/>
    <w:rsid w:val="005E7EB8"/>
    <w:rsid w:val="005F18D6"/>
    <w:rsid w:val="006025FE"/>
    <w:rsid w:val="00603024"/>
    <w:rsid w:val="00605A0F"/>
    <w:rsid w:val="00606A76"/>
    <w:rsid w:val="006116E3"/>
    <w:rsid w:val="0061780F"/>
    <w:rsid w:val="00624400"/>
    <w:rsid w:val="00624E51"/>
    <w:rsid w:val="00626162"/>
    <w:rsid w:val="00634719"/>
    <w:rsid w:val="006410B5"/>
    <w:rsid w:val="006503E8"/>
    <w:rsid w:val="00654A4A"/>
    <w:rsid w:val="0065545A"/>
    <w:rsid w:val="00655657"/>
    <w:rsid w:val="006556A7"/>
    <w:rsid w:val="006661CF"/>
    <w:rsid w:val="00670BFD"/>
    <w:rsid w:val="00671E4C"/>
    <w:rsid w:val="00674295"/>
    <w:rsid w:val="006818A8"/>
    <w:rsid w:val="00681A51"/>
    <w:rsid w:val="00682469"/>
    <w:rsid w:val="00683D97"/>
    <w:rsid w:val="00684FCA"/>
    <w:rsid w:val="00686B5C"/>
    <w:rsid w:val="00696997"/>
    <w:rsid w:val="006A224F"/>
    <w:rsid w:val="006A758C"/>
    <w:rsid w:val="006B22C2"/>
    <w:rsid w:val="006B346F"/>
    <w:rsid w:val="006C1EEC"/>
    <w:rsid w:val="006C3CB9"/>
    <w:rsid w:val="006C3FEA"/>
    <w:rsid w:val="006C69E7"/>
    <w:rsid w:val="006D10AE"/>
    <w:rsid w:val="006D29F2"/>
    <w:rsid w:val="006D7CA2"/>
    <w:rsid w:val="006E065B"/>
    <w:rsid w:val="006E09D3"/>
    <w:rsid w:val="006E1E6C"/>
    <w:rsid w:val="006E4254"/>
    <w:rsid w:val="006E5505"/>
    <w:rsid w:val="006F240A"/>
    <w:rsid w:val="006F2FB3"/>
    <w:rsid w:val="006F531B"/>
    <w:rsid w:val="006F5717"/>
    <w:rsid w:val="006F62BC"/>
    <w:rsid w:val="00701370"/>
    <w:rsid w:val="00702493"/>
    <w:rsid w:val="00714F3B"/>
    <w:rsid w:val="00715FA6"/>
    <w:rsid w:val="007166F7"/>
    <w:rsid w:val="00716AEF"/>
    <w:rsid w:val="00717076"/>
    <w:rsid w:val="00717296"/>
    <w:rsid w:val="00723FB6"/>
    <w:rsid w:val="00727370"/>
    <w:rsid w:val="00735D9E"/>
    <w:rsid w:val="0074109C"/>
    <w:rsid w:val="00742335"/>
    <w:rsid w:val="00742842"/>
    <w:rsid w:val="00745B05"/>
    <w:rsid w:val="00753376"/>
    <w:rsid w:val="007543B0"/>
    <w:rsid w:val="007568A9"/>
    <w:rsid w:val="00761514"/>
    <w:rsid w:val="00763CE7"/>
    <w:rsid w:val="00766EBB"/>
    <w:rsid w:val="00770A31"/>
    <w:rsid w:val="0077128B"/>
    <w:rsid w:val="00772177"/>
    <w:rsid w:val="00775C65"/>
    <w:rsid w:val="0077639A"/>
    <w:rsid w:val="0078100C"/>
    <w:rsid w:val="00781571"/>
    <w:rsid w:val="0078157F"/>
    <w:rsid w:val="00786734"/>
    <w:rsid w:val="00786F48"/>
    <w:rsid w:val="0078772C"/>
    <w:rsid w:val="007878E4"/>
    <w:rsid w:val="00790E8E"/>
    <w:rsid w:val="007963BD"/>
    <w:rsid w:val="00797F65"/>
    <w:rsid w:val="007A4783"/>
    <w:rsid w:val="007A5191"/>
    <w:rsid w:val="007B0500"/>
    <w:rsid w:val="007B111B"/>
    <w:rsid w:val="007B30B2"/>
    <w:rsid w:val="007B3AE8"/>
    <w:rsid w:val="007B4418"/>
    <w:rsid w:val="007B5F62"/>
    <w:rsid w:val="007B66B3"/>
    <w:rsid w:val="007B7077"/>
    <w:rsid w:val="007C3003"/>
    <w:rsid w:val="007C455B"/>
    <w:rsid w:val="007C6B60"/>
    <w:rsid w:val="007C6F85"/>
    <w:rsid w:val="007D1482"/>
    <w:rsid w:val="007D1612"/>
    <w:rsid w:val="007D3AA0"/>
    <w:rsid w:val="007D3FE2"/>
    <w:rsid w:val="007D4BBD"/>
    <w:rsid w:val="007D5690"/>
    <w:rsid w:val="007D69FA"/>
    <w:rsid w:val="007E1600"/>
    <w:rsid w:val="007F271A"/>
    <w:rsid w:val="00810603"/>
    <w:rsid w:val="00814283"/>
    <w:rsid w:val="00820209"/>
    <w:rsid w:val="00820F35"/>
    <w:rsid w:val="00820FEC"/>
    <w:rsid w:val="00823529"/>
    <w:rsid w:val="0082393D"/>
    <w:rsid w:val="0082730A"/>
    <w:rsid w:val="0083324D"/>
    <w:rsid w:val="00841733"/>
    <w:rsid w:val="00844D38"/>
    <w:rsid w:val="00844D85"/>
    <w:rsid w:val="00846E83"/>
    <w:rsid w:val="008524BE"/>
    <w:rsid w:val="008537DB"/>
    <w:rsid w:val="00853BC2"/>
    <w:rsid w:val="00854278"/>
    <w:rsid w:val="00856063"/>
    <w:rsid w:val="00857172"/>
    <w:rsid w:val="0086236A"/>
    <w:rsid w:val="0087035A"/>
    <w:rsid w:val="0087282C"/>
    <w:rsid w:val="0087347D"/>
    <w:rsid w:val="008761C7"/>
    <w:rsid w:val="0087708E"/>
    <w:rsid w:val="00882DAD"/>
    <w:rsid w:val="00885263"/>
    <w:rsid w:val="00892DA5"/>
    <w:rsid w:val="008949B1"/>
    <w:rsid w:val="0089713E"/>
    <w:rsid w:val="008A10F3"/>
    <w:rsid w:val="008A11D2"/>
    <w:rsid w:val="008A5C0F"/>
    <w:rsid w:val="008B1596"/>
    <w:rsid w:val="008C09C4"/>
    <w:rsid w:val="008C1F44"/>
    <w:rsid w:val="008C646F"/>
    <w:rsid w:val="008D3B80"/>
    <w:rsid w:val="008D4748"/>
    <w:rsid w:val="008E3E4B"/>
    <w:rsid w:val="008E4EF9"/>
    <w:rsid w:val="008E6DFC"/>
    <w:rsid w:val="008E7710"/>
    <w:rsid w:val="008F2510"/>
    <w:rsid w:val="00900D4D"/>
    <w:rsid w:val="00903F34"/>
    <w:rsid w:val="00905C0A"/>
    <w:rsid w:val="00911BC6"/>
    <w:rsid w:val="009122F8"/>
    <w:rsid w:val="009154CD"/>
    <w:rsid w:val="00915520"/>
    <w:rsid w:val="009155F7"/>
    <w:rsid w:val="00921131"/>
    <w:rsid w:val="009247F5"/>
    <w:rsid w:val="00926AB2"/>
    <w:rsid w:val="00932029"/>
    <w:rsid w:val="009331CB"/>
    <w:rsid w:val="009356E6"/>
    <w:rsid w:val="009407FE"/>
    <w:rsid w:val="00940BD4"/>
    <w:rsid w:val="009419FA"/>
    <w:rsid w:val="00942436"/>
    <w:rsid w:val="00957603"/>
    <w:rsid w:val="009579E7"/>
    <w:rsid w:val="00957A1D"/>
    <w:rsid w:val="0096487B"/>
    <w:rsid w:val="009757D1"/>
    <w:rsid w:val="00980754"/>
    <w:rsid w:val="00981535"/>
    <w:rsid w:val="009825C8"/>
    <w:rsid w:val="0098409F"/>
    <w:rsid w:val="00985537"/>
    <w:rsid w:val="00990546"/>
    <w:rsid w:val="00991698"/>
    <w:rsid w:val="00991C17"/>
    <w:rsid w:val="00992D1E"/>
    <w:rsid w:val="00994B9D"/>
    <w:rsid w:val="00997EB2"/>
    <w:rsid w:val="009A06F5"/>
    <w:rsid w:val="009A0788"/>
    <w:rsid w:val="009A0E92"/>
    <w:rsid w:val="009A17EC"/>
    <w:rsid w:val="009B03DF"/>
    <w:rsid w:val="009B22A2"/>
    <w:rsid w:val="009B6AF0"/>
    <w:rsid w:val="009C1BAD"/>
    <w:rsid w:val="009C292D"/>
    <w:rsid w:val="009C5F0C"/>
    <w:rsid w:val="009C67C0"/>
    <w:rsid w:val="009D1035"/>
    <w:rsid w:val="009D13D0"/>
    <w:rsid w:val="009D2068"/>
    <w:rsid w:val="009D4C89"/>
    <w:rsid w:val="009D7D33"/>
    <w:rsid w:val="009E4DD4"/>
    <w:rsid w:val="009E4E3F"/>
    <w:rsid w:val="009E698B"/>
    <w:rsid w:val="009F1547"/>
    <w:rsid w:val="009F4ABA"/>
    <w:rsid w:val="00A030DD"/>
    <w:rsid w:val="00A066AE"/>
    <w:rsid w:val="00A10DD9"/>
    <w:rsid w:val="00A12C6B"/>
    <w:rsid w:val="00A14117"/>
    <w:rsid w:val="00A149FA"/>
    <w:rsid w:val="00A17DF0"/>
    <w:rsid w:val="00A20F78"/>
    <w:rsid w:val="00A218F1"/>
    <w:rsid w:val="00A2619E"/>
    <w:rsid w:val="00A27DEE"/>
    <w:rsid w:val="00A31B93"/>
    <w:rsid w:val="00A375EF"/>
    <w:rsid w:val="00A46E91"/>
    <w:rsid w:val="00A528C2"/>
    <w:rsid w:val="00A53114"/>
    <w:rsid w:val="00A533C6"/>
    <w:rsid w:val="00A54AFD"/>
    <w:rsid w:val="00A54E69"/>
    <w:rsid w:val="00A6006E"/>
    <w:rsid w:val="00A61B06"/>
    <w:rsid w:val="00A62113"/>
    <w:rsid w:val="00A6759C"/>
    <w:rsid w:val="00A67923"/>
    <w:rsid w:val="00A713ED"/>
    <w:rsid w:val="00A714B8"/>
    <w:rsid w:val="00A74901"/>
    <w:rsid w:val="00A75733"/>
    <w:rsid w:val="00A76308"/>
    <w:rsid w:val="00A77C08"/>
    <w:rsid w:val="00A81527"/>
    <w:rsid w:val="00A82058"/>
    <w:rsid w:val="00A84AE7"/>
    <w:rsid w:val="00A869B0"/>
    <w:rsid w:val="00A9289F"/>
    <w:rsid w:val="00A92C1D"/>
    <w:rsid w:val="00AA0C77"/>
    <w:rsid w:val="00AA1D27"/>
    <w:rsid w:val="00AA1E8F"/>
    <w:rsid w:val="00AA204C"/>
    <w:rsid w:val="00AA2403"/>
    <w:rsid w:val="00AA2D57"/>
    <w:rsid w:val="00AA3941"/>
    <w:rsid w:val="00AA56D0"/>
    <w:rsid w:val="00AB0C9F"/>
    <w:rsid w:val="00AB143A"/>
    <w:rsid w:val="00AB36ED"/>
    <w:rsid w:val="00AC003C"/>
    <w:rsid w:val="00AC0103"/>
    <w:rsid w:val="00AC1404"/>
    <w:rsid w:val="00AD039F"/>
    <w:rsid w:val="00AD063B"/>
    <w:rsid w:val="00AD3902"/>
    <w:rsid w:val="00AD6010"/>
    <w:rsid w:val="00AD776F"/>
    <w:rsid w:val="00AE33FF"/>
    <w:rsid w:val="00AE47DB"/>
    <w:rsid w:val="00AF06D5"/>
    <w:rsid w:val="00AF09DD"/>
    <w:rsid w:val="00B02655"/>
    <w:rsid w:val="00B05102"/>
    <w:rsid w:val="00B1377D"/>
    <w:rsid w:val="00B16A34"/>
    <w:rsid w:val="00B25453"/>
    <w:rsid w:val="00B311F2"/>
    <w:rsid w:val="00B31B9C"/>
    <w:rsid w:val="00B3341B"/>
    <w:rsid w:val="00B34D6C"/>
    <w:rsid w:val="00B378C2"/>
    <w:rsid w:val="00B503C6"/>
    <w:rsid w:val="00B5544F"/>
    <w:rsid w:val="00B55E5D"/>
    <w:rsid w:val="00B57849"/>
    <w:rsid w:val="00B60A36"/>
    <w:rsid w:val="00B66867"/>
    <w:rsid w:val="00B66994"/>
    <w:rsid w:val="00B6706C"/>
    <w:rsid w:val="00B71AFB"/>
    <w:rsid w:val="00B71F3A"/>
    <w:rsid w:val="00B73C97"/>
    <w:rsid w:val="00B76340"/>
    <w:rsid w:val="00B80275"/>
    <w:rsid w:val="00B80C43"/>
    <w:rsid w:val="00B94786"/>
    <w:rsid w:val="00B94AEC"/>
    <w:rsid w:val="00BA78B6"/>
    <w:rsid w:val="00BB26AD"/>
    <w:rsid w:val="00BB79BD"/>
    <w:rsid w:val="00BC7208"/>
    <w:rsid w:val="00BD0B48"/>
    <w:rsid w:val="00BD2A0A"/>
    <w:rsid w:val="00BD48AB"/>
    <w:rsid w:val="00BD5D0F"/>
    <w:rsid w:val="00BD7C68"/>
    <w:rsid w:val="00BE10C3"/>
    <w:rsid w:val="00BE1CBC"/>
    <w:rsid w:val="00BE29DC"/>
    <w:rsid w:val="00BE7B14"/>
    <w:rsid w:val="00BF43DA"/>
    <w:rsid w:val="00BF697A"/>
    <w:rsid w:val="00BF6ADB"/>
    <w:rsid w:val="00C03776"/>
    <w:rsid w:val="00C11A68"/>
    <w:rsid w:val="00C13821"/>
    <w:rsid w:val="00C13CA4"/>
    <w:rsid w:val="00C14051"/>
    <w:rsid w:val="00C15F73"/>
    <w:rsid w:val="00C16E76"/>
    <w:rsid w:val="00C2037B"/>
    <w:rsid w:val="00C22FF7"/>
    <w:rsid w:val="00C26204"/>
    <w:rsid w:val="00C27F76"/>
    <w:rsid w:val="00C30DA4"/>
    <w:rsid w:val="00C44719"/>
    <w:rsid w:val="00C50108"/>
    <w:rsid w:val="00C51056"/>
    <w:rsid w:val="00C56F6E"/>
    <w:rsid w:val="00C6572C"/>
    <w:rsid w:val="00C70CFF"/>
    <w:rsid w:val="00C75655"/>
    <w:rsid w:val="00C837C3"/>
    <w:rsid w:val="00C84497"/>
    <w:rsid w:val="00C868F6"/>
    <w:rsid w:val="00C9137C"/>
    <w:rsid w:val="00C91644"/>
    <w:rsid w:val="00C9663B"/>
    <w:rsid w:val="00CA43A5"/>
    <w:rsid w:val="00CA7C0B"/>
    <w:rsid w:val="00CB4762"/>
    <w:rsid w:val="00CB6E2B"/>
    <w:rsid w:val="00CB6FF7"/>
    <w:rsid w:val="00CB7302"/>
    <w:rsid w:val="00CC1E9F"/>
    <w:rsid w:val="00CC5896"/>
    <w:rsid w:val="00CD72F3"/>
    <w:rsid w:val="00CE0C35"/>
    <w:rsid w:val="00CE3810"/>
    <w:rsid w:val="00CE3EC9"/>
    <w:rsid w:val="00CE52B4"/>
    <w:rsid w:val="00CE5DCD"/>
    <w:rsid w:val="00CE701C"/>
    <w:rsid w:val="00CE7599"/>
    <w:rsid w:val="00CE7C2C"/>
    <w:rsid w:val="00CF36CD"/>
    <w:rsid w:val="00CF414A"/>
    <w:rsid w:val="00CF4FF0"/>
    <w:rsid w:val="00CF5B35"/>
    <w:rsid w:val="00CF5B47"/>
    <w:rsid w:val="00D051BD"/>
    <w:rsid w:val="00D104F9"/>
    <w:rsid w:val="00D14323"/>
    <w:rsid w:val="00D16008"/>
    <w:rsid w:val="00D166D4"/>
    <w:rsid w:val="00D21E1C"/>
    <w:rsid w:val="00D30254"/>
    <w:rsid w:val="00D33768"/>
    <w:rsid w:val="00D33D87"/>
    <w:rsid w:val="00D35077"/>
    <w:rsid w:val="00D35A6E"/>
    <w:rsid w:val="00D408A8"/>
    <w:rsid w:val="00D45FFE"/>
    <w:rsid w:val="00D4672C"/>
    <w:rsid w:val="00D46DAE"/>
    <w:rsid w:val="00D51C8F"/>
    <w:rsid w:val="00D5204B"/>
    <w:rsid w:val="00D54C10"/>
    <w:rsid w:val="00D55191"/>
    <w:rsid w:val="00D55CD0"/>
    <w:rsid w:val="00D57544"/>
    <w:rsid w:val="00D57973"/>
    <w:rsid w:val="00D60CE2"/>
    <w:rsid w:val="00D612EC"/>
    <w:rsid w:val="00D6153E"/>
    <w:rsid w:val="00D623C4"/>
    <w:rsid w:val="00D722DF"/>
    <w:rsid w:val="00D84675"/>
    <w:rsid w:val="00D84707"/>
    <w:rsid w:val="00D8491F"/>
    <w:rsid w:val="00D8526A"/>
    <w:rsid w:val="00D86252"/>
    <w:rsid w:val="00D917F3"/>
    <w:rsid w:val="00D97BAA"/>
    <w:rsid w:val="00DA3AF3"/>
    <w:rsid w:val="00DA4C18"/>
    <w:rsid w:val="00DA5455"/>
    <w:rsid w:val="00DA5C2B"/>
    <w:rsid w:val="00DB5EFB"/>
    <w:rsid w:val="00DB6EF1"/>
    <w:rsid w:val="00DC19BB"/>
    <w:rsid w:val="00DC3789"/>
    <w:rsid w:val="00DC6404"/>
    <w:rsid w:val="00DD7FDF"/>
    <w:rsid w:val="00DE1703"/>
    <w:rsid w:val="00DE25AC"/>
    <w:rsid w:val="00DF568D"/>
    <w:rsid w:val="00E00CCB"/>
    <w:rsid w:val="00E042C7"/>
    <w:rsid w:val="00E0781A"/>
    <w:rsid w:val="00E11475"/>
    <w:rsid w:val="00E175A7"/>
    <w:rsid w:val="00E20168"/>
    <w:rsid w:val="00E20740"/>
    <w:rsid w:val="00E20E92"/>
    <w:rsid w:val="00E245DA"/>
    <w:rsid w:val="00E24645"/>
    <w:rsid w:val="00E31BCB"/>
    <w:rsid w:val="00E32963"/>
    <w:rsid w:val="00E337BC"/>
    <w:rsid w:val="00E350CD"/>
    <w:rsid w:val="00E372A9"/>
    <w:rsid w:val="00E4001B"/>
    <w:rsid w:val="00E51FDE"/>
    <w:rsid w:val="00E534B2"/>
    <w:rsid w:val="00E56B66"/>
    <w:rsid w:val="00E579AF"/>
    <w:rsid w:val="00E6720F"/>
    <w:rsid w:val="00E705B7"/>
    <w:rsid w:val="00E7086E"/>
    <w:rsid w:val="00E70ECC"/>
    <w:rsid w:val="00E71A89"/>
    <w:rsid w:val="00E77197"/>
    <w:rsid w:val="00E81B1A"/>
    <w:rsid w:val="00E846BF"/>
    <w:rsid w:val="00E84FB3"/>
    <w:rsid w:val="00E87037"/>
    <w:rsid w:val="00EA0F03"/>
    <w:rsid w:val="00EA1EF9"/>
    <w:rsid w:val="00EA2CA0"/>
    <w:rsid w:val="00EA7237"/>
    <w:rsid w:val="00EB055B"/>
    <w:rsid w:val="00EB112A"/>
    <w:rsid w:val="00EB1383"/>
    <w:rsid w:val="00EC1212"/>
    <w:rsid w:val="00EC1D3D"/>
    <w:rsid w:val="00EC3331"/>
    <w:rsid w:val="00EC677E"/>
    <w:rsid w:val="00EC7E67"/>
    <w:rsid w:val="00ED5B5C"/>
    <w:rsid w:val="00ED70BD"/>
    <w:rsid w:val="00EE0B3E"/>
    <w:rsid w:val="00EE37BB"/>
    <w:rsid w:val="00EF4099"/>
    <w:rsid w:val="00EF6BDC"/>
    <w:rsid w:val="00F01C4C"/>
    <w:rsid w:val="00F02786"/>
    <w:rsid w:val="00F035B0"/>
    <w:rsid w:val="00F0434F"/>
    <w:rsid w:val="00F0670F"/>
    <w:rsid w:val="00F07FA6"/>
    <w:rsid w:val="00F11BB3"/>
    <w:rsid w:val="00F13036"/>
    <w:rsid w:val="00F21D1A"/>
    <w:rsid w:val="00F22865"/>
    <w:rsid w:val="00F24D75"/>
    <w:rsid w:val="00F261E3"/>
    <w:rsid w:val="00F34B2F"/>
    <w:rsid w:val="00F34F33"/>
    <w:rsid w:val="00F36D1F"/>
    <w:rsid w:val="00F3769E"/>
    <w:rsid w:val="00F40F06"/>
    <w:rsid w:val="00F42418"/>
    <w:rsid w:val="00F42669"/>
    <w:rsid w:val="00F438D0"/>
    <w:rsid w:val="00F4749B"/>
    <w:rsid w:val="00F514FB"/>
    <w:rsid w:val="00F56CE9"/>
    <w:rsid w:val="00F5724C"/>
    <w:rsid w:val="00F61151"/>
    <w:rsid w:val="00F64ECE"/>
    <w:rsid w:val="00F67B6E"/>
    <w:rsid w:val="00F77765"/>
    <w:rsid w:val="00F77EC3"/>
    <w:rsid w:val="00F85E98"/>
    <w:rsid w:val="00F93FC0"/>
    <w:rsid w:val="00F94384"/>
    <w:rsid w:val="00F9641D"/>
    <w:rsid w:val="00FA33ED"/>
    <w:rsid w:val="00FA5277"/>
    <w:rsid w:val="00FA7C8B"/>
    <w:rsid w:val="00FB0249"/>
    <w:rsid w:val="00FB793A"/>
    <w:rsid w:val="00FC5D6D"/>
    <w:rsid w:val="00FC5E92"/>
    <w:rsid w:val="00FD6657"/>
    <w:rsid w:val="00FD7C75"/>
    <w:rsid w:val="00FE3FFB"/>
    <w:rsid w:val="00FF03B3"/>
    <w:rsid w:val="00FF1A54"/>
    <w:rsid w:val="00FF6DC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paragraph" w:styleId="Revision">
    <w:name w:val="Revision"/>
    <w:hidden/>
    <w:uiPriority w:val="99"/>
    <w:semiHidden/>
    <w:rsid w:val="00D21E1C"/>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paragraph" w:styleId="Revision">
    <w:name w:val="Revision"/>
    <w:hidden/>
    <w:uiPriority w:val="99"/>
    <w:semiHidden/>
    <w:rsid w:val="00D21E1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A75E6-24A1-4A94-8420-DF33E1B3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3072</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3</cp:revision>
  <cp:lastPrinted>2012-03-29T17:10:00Z</cp:lastPrinted>
  <dcterms:created xsi:type="dcterms:W3CDTF">2012-03-28T14:42:00Z</dcterms:created>
  <dcterms:modified xsi:type="dcterms:W3CDTF">2012-03-29T17:10:00Z</dcterms:modified>
</cp:coreProperties>
</file>