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9717D">
        <w:trPr>
          <w:trHeight w:val="990"/>
        </w:trPr>
        <w:tc>
          <w:tcPr>
            <w:tcW w:w="1363" w:type="dxa"/>
          </w:tcPr>
          <w:p w:rsidR="00E9717D" w:rsidRDefault="00D92653" w:rsidP="00E9717D">
            <w:pPr>
              <w:jc w:val="right"/>
            </w:pPr>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Default="00E9717D" w:rsidP="00E9717D">
            <w:pPr>
              <w:suppressAutoHyphens/>
              <w:spacing w:line="204" w:lineRule="auto"/>
              <w:jc w:val="center"/>
              <w:rPr>
                <w:rFonts w:ascii="Arial" w:hAnsi="Arial"/>
                <w:color w:val="000080"/>
                <w:spacing w:val="-3"/>
                <w:sz w:val="26"/>
              </w:rPr>
            </w:pPr>
          </w:p>
          <w:p w:rsidR="00E9717D" w:rsidRDefault="00E9717D" w:rsidP="00E9717D">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E9717D" w:rsidRDefault="00E9717D" w:rsidP="00E9717D">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E9717D" w:rsidRDefault="00E9717D" w:rsidP="00E9717D">
            <w:pPr>
              <w:jc w:val="center"/>
              <w:rPr>
                <w:rFonts w:ascii="Arial" w:hAnsi="Arial"/>
                <w:sz w:val="12"/>
              </w:rPr>
            </w:pPr>
            <w:r>
              <w:rPr>
                <w:rFonts w:ascii="Arial" w:hAnsi="Arial"/>
                <w:color w:val="000080"/>
                <w:spacing w:val="-3"/>
                <w:sz w:val="26"/>
              </w:rPr>
              <w:t>P.O. BOX 3265, HARRISBURG, PA 17105-3265</w:t>
            </w:r>
          </w:p>
        </w:tc>
        <w:tc>
          <w:tcPr>
            <w:tcW w:w="1452" w:type="dxa"/>
          </w:tcPr>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r>
              <w:rPr>
                <w:rFonts w:ascii="Arial" w:hAnsi="Arial"/>
                <w:b/>
                <w:spacing w:val="-1"/>
                <w:sz w:val="12"/>
              </w:rPr>
              <w:t>IN REPLY PLEASE REFER TO OUR FILE</w:t>
            </w:r>
          </w:p>
        </w:tc>
      </w:tr>
    </w:tbl>
    <w:p w:rsidR="00E9717D" w:rsidRDefault="00E9717D" w:rsidP="00E9717D">
      <w:pPr>
        <w:pStyle w:val="Heading1"/>
        <w:ind w:left="5310" w:firstLine="270"/>
        <w:jc w:val="center"/>
        <w:rPr>
          <w:sz w:val="24"/>
          <w:szCs w:val="24"/>
        </w:rPr>
        <w:sectPr w:rsidR="00E9717D" w:rsidSect="005D0EA3">
          <w:footerReference w:type="default" r:id="rId10"/>
          <w:type w:val="continuous"/>
          <w:pgSz w:w="12240" w:h="15840"/>
          <w:pgMar w:top="720" w:right="1440" w:bottom="1440" w:left="1440" w:header="720" w:footer="720" w:gutter="0"/>
          <w:cols w:space="720"/>
        </w:sectPr>
      </w:pPr>
    </w:p>
    <w:p w:rsidR="00E9717D" w:rsidRPr="00C03C98" w:rsidRDefault="00DC39C8" w:rsidP="00532482">
      <w:pPr>
        <w:jc w:val="center"/>
        <w:rPr>
          <w:szCs w:val="24"/>
        </w:rPr>
      </w:pPr>
      <w:r>
        <w:rPr>
          <w:szCs w:val="24"/>
        </w:rPr>
        <w:lastRenderedPageBreak/>
        <w:t>April 3, 2012</w:t>
      </w:r>
    </w:p>
    <w:p w:rsidR="00125405" w:rsidRPr="00C03C98" w:rsidRDefault="00125405" w:rsidP="00125405">
      <w:pPr>
        <w:jc w:val="right"/>
        <w:rPr>
          <w:szCs w:val="24"/>
        </w:rPr>
      </w:pPr>
      <w:r w:rsidRPr="00C03C98">
        <w:rPr>
          <w:rFonts w:ascii="Calibri" w:eastAsia="Calibri" w:hAnsi="Calibri"/>
          <w:b/>
          <w:szCs w:val="24"/>
        </w:rPr>
        <w:t>M-2012-2291824</w:t>
      </w:r>
    </w:p>
    <w:p w:rsidR="00FE394D" w:rsidRPr="00A078F4" w:rsidRDefault="00FE394D" w:rsidP="00532482">
      <w:pPr>
        <w:jc w:val="center"/>
        <w:rPr>
          <w:sz w:val="20"/>
        </w:rPr>
      </w:pPr>
    </w:p>
    <w:p w:rsidR="00125405" w:rsidRDefault="00125405" w:rsidP="00400F0E">
      <w:pPr>
        <w:ind w:left="720" w:right="576" w:hanging="720"/>
        <w:rPr>
          <w:sz w:val="26"/>
          <w:szCs w:val="26"/>
        </w:rPr>
      </w:pPr>
    </w:p>
    <w:p w:rsidR="00C03C98" w:rsidRDefault="00C03C98" w:rsidP="00400F0E">
      <w:pPr>
        <w:ind w:left="720" w:right="576" w:hanging="720"/>
        <w:rPr>
          <w:sz w:val="26"/>
          <w:szCs w:val="26"/>
        </w:rPr>
      </w:pPr>
    </w:p>
    <w:p w:rsidR="00C03C98" w:rsidRDefault="00C03C98" w:rsidP="00400F0E">
      <w:pPr>
        <w:ind w:left="720" w:right="576" w:hanging="720"/>
        <w:rPr>
          <w:sz w:val="26"/>
          <w:szCs w:val="26"/>
        </w:rPr>
      </w:pPr>
    </w:p>
    <w:p w:rsidR="00400F0E" w:rsidRPr="005C5530" w:rsidRDefault="00400F0E" w:rsidP="00400F0E">
      <w:pPr>
        <w:ind w:left="720" w:right="576" w:hanging="720"/>
        <w:rPr>
          <w:b/>
          <w:sz w:val="26"/>
          <w:szCs w:val="26"/>
        </w:rPr>
      </w:pPr>
      <w:r w:rsidRPr="005C5530">
        <w:rPr>
          <w:sz w:val="26"/>
          <w:szCs w:val="26"/>
        </w:rPr>
        <w:t>Re:</w:t>
      </w:r>
      <w:r w:rsidRPr="005C5530">
        <w:rPr>
          <w:b/>
          <w:sz w:val="26"/>
          <w:szCs w:val="26"/>
        </w:rPr>
        <w:tab/>
      </w:r>
      <w:r>
        <w:rPr>
          <w:sz w:val="26"/>
          <w:szCs w:val="26"/>
        </w:rPr>
        <w:t xml:space="preserve">Implementation of the Federal Communications Commission’s Order of November 18, 2011 As Amended </w:t>
      </w:r>
      <w:proofErr w:type="gramStart"/>
      <w:r>
        <w:rPr>
          <w:sz w:val="26"/>
          <w:szCs w:val="26"/>
        </w:rPr>
        <w:t>Or</w:t>
      </w:r>
      <w:proofErr w:type="gramEnd"/>
      <w:r>
        <w:rPr>
          <w:sz w:val="26"/>
          <w:szCs w:val="26"/>
        </w:rPr>
        <w:t xml:space="preserve"> Revised</w:t>
      </w:r>
    </w:p>
    <w:p w:rsidR="00400F0E" w:rsidRPr="004D20C4" w:rsidRDefault="00400F0E" w:rsidP="00400F0E">
      <w:pPr>
        <w:rPr>
          <w:szCs w:val="24"/>
        </w:rPr>
      </w:pPr>
    </w:p>
    <w:p w:rsidR="00400F0E" w:rsidRDefault="00400F0E" w:rsidP="00400F0E">
      <w:pPr>
        <w:rPr>
          <w:szCs w:val="24"/>
        </w:rPr>
      </w:pPr>
      <w:r w:rsidRPr="00D802EE">
        <w:rPr>
          <w:szCs w:val="24"/>
        </w:rPr>
        <w:t>To:</w:t>
      </w:r>
      <w:r w:rsidRPr="00D802EE">
        <w:rPr>
          <w:szCs w:val="24"/>
        </w:rPr>
        <w:tab/>
      </w:r>
      <w:r w:rsidRPr="004D20C4">
        <w:rPr>
          <w:szCs w:val="24"/>
        </w:rPr>
        <w:t xml:space="preserve">Specified </w:t>
      </w:r>
      <w:r>
        <w:rPr>
          <w:szCs w:val="24"/>
        </w:rPr>
        <w:t xml:space="preserve">Incumbent </w:t>
      </w:r>
      <w:r w:rsidRPr="004D20C4">
        <w:rPr>
          <w:szCs w:val="24"/>
        </w:rPr>
        <w:t>Local Exchange Carriers</w:t>
      </w:r>
      <w:r>
        <w:rPr>
          <w:szCs w:val="24"/>
        </w:rPr>
        <w:t xml:space="preserve"> and Competitive Local Exchange Carriers</w:t>
      </w:r>
      <w:r>
        <w:rPr>
          <w:szCs w:val="24"/>
        </w:rPr>
        <w:tab/>
      </w:r>
    </w:p>
    <w:p w:rsidR="00532482" w:rsidRDefault="00400F0E" w:rsidP="00C03C98">
      <w:r>
        <w:rPr>
          <w:szCs w:val="24"/>
        </w:rPr>
        <w:tab/>
        <w:t>(ILECs and CLECs</w:t>
      </w:r>
      <w:r w:rsidR="00773D1A">
        <w:rPr>
          <w:szCs w:val="24"/>
        </w:rPr>
        <w:t>, collectively LECs</w:t>
      </w:r>
      <w:r w:rsidRPr="00D802EE">
        <w:rPr>
          <w:szCs w:val="24"/>
        </w:rPr>
        <w:t>)</w:t>
      </w:r>
    </w:p>
    <w:p w:rsidR="00C03C98" w:rsidRPr="00532482" w:rsidRDefault="00C03C98" w:rsidP="00532482">
      <w:pPr>
        <w:jc w:val="center"/>
        <w:sectPr w:rsidR="00C03C98" w:rsidRPr="00532482" w:rsidSect="0008427B">
          <w:type w:val="continuous"/>
          <w:pgSz w:w="12240" w:h="15840"/>
          <w:pgMar w:top="432" w:right="1440" w:bottom="720" w:left="1440" w:header="720" w:footer="720" w:gutter="0"/>
          <w:cols w:space="720"/>
        </w:sectPr>
      </w:pPr>
    </w:p>
    <w:p w:rsidR="00F82EEB" w:rsidRDefault="00F82EEB" w:rsidP="009575BA">
      <w:pPr>
        <w:pStyle w:val="BodyText"/>
        <w:rPr>
          <w:color w:val="000000" w:themeColor="text1"/>
          <w:szCs w:val="24"/>
        </w:rPr>
      </w:pPr>
    </w:p>
    <w:p w:rsidR="00AB7A51" w:rsidRPr="00F82EEB" w:rsidRDefault="00AB7A51" w:rsidP="009575BA">
      <w:pPr>
        <w:pStyle w:val="BodyText"/>
        <w:rPr>
          <w:color w:val="000000" w:themeColor="text1"/>
          <w:szCs w:val="24"/>
        </w:rPr>
      </w:pPr>
    </w:p>
    <w:p w:rsidR="00D31121" w:rsidRDefault="00F82EEB" w:rsidP="00D31121">
      <w:pPr>
        <w:pStyle w:val="BodyText"/>
      </w:pPr>
      <w:r w:rsidRPr="00F82EEB">
        <w:rPr>
          <w:color w:val="000000" w:themeColor="text1"/>
          <w:szCs w:val="24"/>
        </w:rPr>
        <w:tab/>
      </w:r>
      <w:r w:rsidR="00BD2F6C">
        <w:rPr>
          <w:color w:val="000000" w:themeColor="text1"/>
          <w:szCs w:val="24"/>
        </w:rPr>
        <w:t>A new regime is outlined within t</w:t>
      </w:r>
      <w:r w:rsidR="00BD2F6C" w:rsidRPr="00F82EEB">
        <w:rPr>
          <w:color w:val="000000" w:themeColor="text1"/>
          <w:szCs w:val="24"/>
        </w:rPr>
        <w:t>he Federal Communications Commission (FCC)</w:t>
      </w:r>
      <w:r w:rsidR="00BD2F6C">
        <w:rPr>
          <w:color w:val="000000" w:themeColor="text1"/>
          <w:szCs w:val="24"/>
        </w:rPr>
        <w:t xml:space="preserve"> Order</w:t>
      </w:r>
      <w:r w:rsidR="00BD2F6C">
        <w:rPr>
          <w:rStyle w:val="FootnoteReference"/>
          <w:color w:val="000000" w:themeColor="text1"/>
          <w:szCs w:val="24"/>
        </w:rPr>
        <w:footnoteReference w:id="1"/>
      </w:r>
      <w:r w:rsidR="00BD2F6C" w:rsidRPr="00BD2F6C">
        <w:rPr>
          <w:color w:val="000000" w:themeColor="text1"/>
          <w:szCs w:val="24"/>
        </w:rPr>
        <w:t xml:space="preserve"> </w:t>
      </w:r>
      <w:r w:rsidR="00BD2F6C">
        <w:rPr>
          <w:color w:val="000000" w:themeColor="text1"/>
          <w:szCs w:val="24"/>
        </w:rPr>
        <w:t xml:space="preserve">for the transition of </w:t>
      </w:r>
      <w:proofErr w:type="spellStart"/>
      <w:r w:rsidR="00BD2F6C">
        <w:rPr>
          <w:color w:val="000000" w:themeColor="text1"/>
          <w:szCs w:val="24"/>
        </w:rPr>
        <w:t>intercarrier</w:t>
      </w:r>
      <w:proofErr w:type="spellEnd"/>
      <w:r w:rsidR="00BD2F6C">
        <w:rPr>
          <w:color w:val="000000" w:themeColor="text1"/>
          <w:szCs w:val="24"/>
        </w:rPr>
        <w:t xml:space="preserve"> compensation to bill-and-keep.</w:t>
      </w:r>
      <w:r w:rsidR="00BB7115">
        <w:rPr>
          <w:color w:val="000000" w:themeColor="text1"/>
          <w:szCs w:val="24"/>
        </w:rPr>
        <w:t xml:space="preserve">  The FCC Order states </w:t>
      </w:r>
      <w:r w:rsidR="00707EE9">
        <w:rPr>
          <w:color w:val="000000" w:themeColor="text1"/>
          <w:szCs w:val="24"/>
        </w:rPr>
        <w:t>that at the outset of this transition</w:t>
      </w:r>
      <w:r w:rsidR="00AB7A51">
        <w:rPr>
          <w:color w:val="000000" w:themeColor="text1"/>
          <w:szCs w:val="24"/>
        </w:rPr>
        <w:t xml:space="preserve"> all interstate switched access rates and reciprocal compensation rates are capped at their levels in effect as of De</w:t>
      </w:r>
      <w:r w:rsidR="00BD2F6C">
        <w:rPr>
          <w:color w:val="000000" w:themeColor="text1"/>
          <w:szCs w:val="24"/>
        </w:rPr>
        <w:t>cember 29, 2011.  Correspondingly</w:t>
      </w:r>
      <w:r w:rsidR="00AB7A51">
        <w:rPr>
          <w:color w:val="000000" w:themeColor="text1"/>
          <w:szCs w:val="24"/>
        </w:rPr>
        <w:t xml:space="preserve">, </w:t>
      </w:r>
      <w:r w:rsidR="00D31121">
        <w:rPr>
          <w:color w:val="000000" w:themeColor="text1"/>
          <w:szCs w:val="24"/>
        </w:rPr>
        <w:t xml:space="preserve">the </w:t>
      </w:r>
      <w:r w:rsidR="00773D1A">
        <w:rPr>
          <w:color w:val="000000" w:themeColor="text1"/>
          <w:szCs w:val="24"/>
        </w:rPr>
        <w:t>O</w:t>
      </w:r>
      <w:r w:rsidR="00D31121">
        <w:rPr>
          <w:color w:val="000000" w:themeColor="text1"/>
          <w:szCs w:val="24"/>
        </w:rPr>
        <w:t>rder caps all intrastate rates for Companies classified as price cap carriers at the federal level and caps all terminating intrastate access rates for Companies classified as rate-of-return carriers at the federal level</w:t>
      </w:r>
      <w:r w:rsidR="00BB7115">
        <w:rPr>
          <w:color w:val="000000" w:themeColor="text1"/>
          <w:szCs w:val="24"/>
        </w:rPr>
        <w:t>.</w:t>
      </w:r>
      <w:r w:rsidR="00D31121">
        <w:rPr>
          <w:color w:val="000000" w:themeColor="text1"/>
          <w:szCs w:val="24"/>
        </w:rPr>
        <w:t xml:space="preserve">  Subsequent to this, </w:t>
      </w:r>
      <w:r w:rsidR="00773D1A">
        <w:rPr>
          <w:color w:val="000000" w:themeColor="text1"/>
          <w:szCs w:val="24"/>
        </w:rPr>
        <w:t>Local Exchange Carriers (LECs)</w:t>
      </w:r>
      <w:r w:rsidR="00D31121">
        <w:rPr>
          <w:color w:val="000000" w:themeColor="text1"/>
          <w:szCs w:val="24"/>
        </w:rPr>
        <w:t xml:space="preserve"> will make filings </w:t>
      </w:r>
      <w:r w:rsidR="00125405">
        <w:rPr>
          <w:color w:val="000000" w:themeColor="text1"/>
          <w:szCs w:val="24"/>
        </w:rPr>
        <w:t>effective</w:t>
      </w:r>
      <w:r w:rsidR="00D31121">
        <w:rPr>
          <w:color w:val="000000" w:themeColor="text1"/>
          <w:szCs w:val="24"/>
        </w:rPr>
        <w:t xml:space="preserve"> July 1 of each year for the next severa</w:t>
      </w:r>
      <w:r w:rsidR="00773D1A">
        <w:rPr>
          <w:color w:val="000000" w:themeColor="text1"/>
          <w:szCs w:val="24"/>
        </w:rPr>
        <w:t xml:space="preserve">l years to gradually transition certain interstate and intrastate Switched Access Rates </w:t>
      </w:r>
      <w:r w:rsidR="00D31121">
        <w:rPr>
          <w:color w:val="000000" w:themeColor="text1"/>
          <w:szCs w:val="24"/>
        </w:rPr>
        <w:t>to bill-and-keep.</w:t>
      </w:r>
      <w:r w:rsidR="00532482">
        <w:rPr>
          <w:rStyle w:val="FootnoteReference"/>
          <w:color w:val="000000" w:themeColor="text1"/>
          <w:szCs w:val="24"/>
        </w:rPr>
        <w:footnoteReference w:id="2"/>
      </w:r>
      <w:r w:rsidR="00A15953">
        <w:rPr>
          <w:color w:val="000000" w:themeColor="text1"/>
          <w:szCs w:val="24"/>
        </w:rPr>
        <w:t xml:space="preserve">  </w:t>
      </w:r>
      <w:r w:rsidR="00BB7115">
        <w:rPr>
          <w:color w:val="000000" w:themeColor="text1"/>
          <w:szCs w:val="24"/>
        </w:rPr>
        <w:t xml:space="preserve"> </w:t>
      </w:r>
    </w:p>
    <w:p w:rsidR="00D31121" w:rsidRDefault="00D31121" w:rsidP="00D73AE3">
      <w:pPr>
        <w:ind w:left="1080" w:right="576"/>
      </w:pPr>
    </w:p>
    <w:p w:rsidR="00DF143B" w:rsidRDefault="00DF143B" w:rsidP="00DF143B">
      <w:pPr>
        <w:ind w:right="576" w:firstLine="720"/>
      </w:pPr>
      <w:r>
        <w:t>As set forth in the FCC Order, under Step 1 of the transition of carrier access charges to bill-and-keep, LECs are to file tariff revisions with state Commissions setting forth the rates that are applicable to transitional access services.  These rates are to be calculated as follows:</w:t>
      </w:r>
    </w:p>
    <w:p w:rsidR="00DF143B" w:rsidRDefault="00DF143B" w:rsidP="00DF143B">
      <w:pPr>
        <w:ind w:right="576" w:firstLine="720"/>
      </w:pPr>
    </w:p>
    <w:p w:rsidR="00DF143B" w:rsidRDefault="00DF143B" w:rsidP="00DF143B">
      <w:pPr>
        <w:pStyle w:val="ListParagraph"/>
        <w:numPr>
          <w:ilvl w:val="0"/>
          <w:numId w:val="2"/>
        </w:numPr>
        <w:ind w:right="576"/>
      </w:pPr>
      <w:r>
        <w:t>Calculate the total revenue from Transitional Intrastate Access Service at the LEC’s interstate access rates in effect on December 29, 2011 using Federal Fiscal Year 2011 (October 1, 2010 – September 30, 2011) intrastate switched access demand for each rate element</w:t>
      </w:r>
    </w:p>
    <w:p w:rsidR="00DF143B" w:rsidRDefault="00DF143B" w:rsidP="00DF143B">
      <w:pPr>
        <w:pStyle w:val="ListParagraph"/>
        <w:ind w:left="1080" w:right="576"/>
      </w:pPr>
    </w:p>
    <w:p w:rsidR="00DF143B" w:rsidRDefault="00DF143B" w:rsidP="00DF143B">
      <w:pPr>
        <w:pStyle w:val="ListParagraph"/>
        <w:numPr>
          <w:ilvl w:val="0"/>
          <w:numId w:val="2"/>
        </w:numPr>
        <w:ind w:right="576"/>
      </w:pPr>
      <w:r>
        <w:lastRenderedPageBreak/>
        <w:t>Calculate the total revenue from Transitional Intrastate Access Service at the LEC’s intrastate access rates in effect on December 29, 2011 using Federal Fiscal Year 2011 (October 1, 2010 – September 30, 2011) intrastate switched access demand for each rate element.</w:t>
      </w:r>
    </w:p>
    <w:p w:rsidR="00DF143B" w:rsidRDefault="00DF143B" w:rsidP="00DF143B">
      <w:pPr>
        <w:pStyle w:val="ListParagraph"/>
        <w:ind w:left="1080" w:right="576"/>
      </w:pPr>
    </w:p>
    <w:p w:rsidR="00DF143B" w:rsidRDefault="00DF143B" w:rsidP="00DF143B">
      <w:pPr>
        <w:pStyle w:val="ListParagraph"/>
        <w:numPr>
          <w:ilvl w:val="0"/>
          <w:numId w:val="2"/>
        </w:numPr>
        <w:ind w:right="576"/>
      </w:pPr>
      <w:r>
        <w:t>The Step 1 Access Revenue Reduction is equal to one-half of the difference between the amounts calculated in points 1 and 2 above.</w:t>
      </w:r>
    </w:p>
    <w:p w:rsidR="00DF143B" w:rsidRDefault="00DF143B" w:rsidP="00DF143B">
      <w:pPr>
        <w:pStyle w:val="ListParagraph"/>
        <w:ind w:left="1080" w:right="576"/>
      </w:pPr>
    </w:p>
    <w:p w:rsidR="00DF143B" w:rsidRDefault="00DF143B" w:rsidP="00DF143B">
      <w:pPr>
        <w:pStyle w:val="ListParagraph"/>
        <w:numPr>
          <w:ilvl w:val="0"/>
          <w:numId w:val="2"/>
        </w:numPr>
        <w:ind w:right="576"/>
      </w:pPr>
      <w:r>
        <w:t>In the event that a LEC’s intrastate switched access rates are lower than its functionally equivalent interstate switched access rates, the LEC may not make any tariff filing to increase these intrastate rates.</w:t>
      </w:r>
    </w:p>
    <w:p w:rsidR="00DF143B" w:rsidRDefault="00DF143B" w:rsidP="00DF143B">
      <w:pPr>
        <w:pStyle w:val="ListParagraph"/>
        <w:ind w:left="1080" w:right="576"/>
      </w:pPr>
    </w:p>
    <w:p w:rsidR="00DF143B" w:rsidRDefault="00DF143B" w:rsidP="00DF143B">
      <w:pPr>
        <w:pStyle w:val="ListParagraph"/>
        <w:numPr>
          <w:ilvl w:val="0"/>
          <w:numId w:val="2"/>
        </w:numPr>
        <w:ind w:right="576"/>
      </w:pPr>
      <w:r>
        <w:t>These rates will be effective on July 1, 2012.</w:t>
      </w:r>
      <w:r>
        <w:rPr>
          <w:rStyle w:val="FootnoteReference"/>
        </w:rPr>
        <w:footnoteReference w:id="3"/>
      </w:r>
      <w:r>
        <w:t xml:space="preserve">  </w:t>
      </w:r>
    </w:p>
    <w:p w:rsidR="00DF143B" w:rsidRDefault="00DF143B" w:rsidP="00DF143B">
      <w:pPr>
        <w:ind w:left="720" w:right="576"/>
      </w:pPr>
    </w:p>
    <w:p w:rsidR="00DF143B" w:rsidRDefault="00DF143B" w:rsidP="00DF143B">
      <w:pPr>
        <w:pStyle w:val="FootnoteText"/>
        <w:spacing w:before="240"/>
      </w:pPr>
      <w:r>
        <w:tab/>
        <w:t xml:space="preserve">In accordance with the FCC Order, LECs are hereby directed to file tariff supplements to their respective Intrastate Switched Access Tariffs to revise rates with the PA Public Utility Commission (Commission) as outlined under Step 1 of the FCC transition of access charges noted above.  These supplements shall be filed with the Commission no later than May 14, 2012 and will carry an effective date of July 1, 2012.  These supplements are to reference the Commission’s generic FCC Order Implementation proceeding at Docket No. </w:t>
      </w:r>
      <w:proofErr w:type="gramStart"/>
      <w:r>
        <w:t>M</w:t>
      </w:r>
      <w:r>
        <w:noBreakHyphen/>
        <w:t>2012-2291824.</w:t>
      </w:r>
      <w:proofErr w:type="gramEnd"/>
      <w:r>
        <w:rPr>
          <w:rStyle w:val="FootnoteReference"/>
        </w:rPr>
        <w:footnoteReference w:id="4"/>
      </w:r>
      <w:r>
        <w:t xml:space="preserve">  In addition, each filing will be assigned a unique R-Docket number.  </w:t>
      </w:r>
      <w:r w:rsidRPr="00304C05">
        <w:rPr>
          <w:b/>
        </w:rPr>
        <w:t>Please note that in accordance with 66 PA C.S. § 3301(a)&amp;(b), failure to file these tariff supplements may be subject to civil penalties of up to $1,000 per violation per day payable to the Commonwealth of Pennsylvania</w:t>
      </w:r>
      <w:r w:rsidRPr="00E53283">
        <w:t>.</w:t>
      </w:r>
    </w:p>
    <w:p w:rsidR="00DF143B" w:rsidRDefault="00DF143B" w:rsidP="00DF143B">
      <w:pPr>
        <w:pStyle w:val="FootnoteText"/>
        <w:spacing w:before="240"/>
      </w:pPr>
      <w:r>
        <w:tab/>
        <w:t>LECs are further directed to file with their tariff supplements supporting information used for the calculation of the rates contained in these supplements.  To aid the LECs, the Commission will create a template, which will be available on the Commission’s website no later than April 13, 2012.  The template will set forth the format and outline what supporting information is required by the Commission.  LECs are invited to file comments regarding this template by April 19, 2012.  These comments are subject to discussion during the on-the-record collaborative session that the Commission has created in its generic FCC Order Implementation proceeding that has been scheduled for April 20, 2012.</w:t>
      </w:r>
      <w:r>
        <w:rPr>
          <w:rStyle w:val="FootnoteReference"/>
        </w:rPr>
        <w:footnoteReference w:id="5"/>
      </w:r>
      <w:r>
        <w:t xml:space="preserve">  Following this collaborative session, a final version of the template will be available to the LECs on the Commission’s website no later than May 4, 2012.  A protective order related to this matter </w:t>
      </w:r>
      <w:r w:rsidRPr="00125405">
        <w:t xml:space="preserve">will be available on the Commission website </w:t>
      </w:r>
      <w:r>
        <w:t>no later than</w:t>
      </w:r>
      <w:r w:rsidRPr="00125405">
        <w:t xml:space="preserve"> April 9</w:t>
      </w:r>
      <w:r>
        <w:t>, 2012</w:t>
      </w:r>
      <w:r w:rsidRPr="00125405">
        <w:t xml:space="preserve">.  </w:t>
      </w:r>
      <w:r>
        <w:t xml:space="preserve"> </w:t>
      </w:r>
    </w:p>
    <w:p w:rsidR="00DF143B" w:rsidRPr="00207851" w:rsidRDefault="00DF143B" w:rsidP="00DF143B">
      <w:pPr>
        <w:pStyle w:val="FootnoteText"/>
        <w:spacing w:before="240"/>
        <w:rPr>
          <w:szCs w:val="24"/>
        </w:rPr>
      </w:pPr>
      <w:r>
        <w:lastRenderedPageBreak/>
        <w:tab/>
      </w:r>
      <w:r w:rsidRPr="00207851">
        <w:rPr>
          <w:szCs w:val="24"/>
        </w:rPr>
        <w:t>Questions regarding this matter may be directed to Andrew Showers (</w:t>
      </w:r>
      <w:hyperlink r:id="rId11" w:history="1">
        <w:r w:rsidRPr="00207851">
          <w:rPr>
            <w:rStyle w:val="Hyperlink"/>
            <w:color w:val="auto"/>
            <w:szCs w:val="24"/>
          </w:rPr>
          <w:t>ashowers@pa.gov</w:t>
        </w:r>
      </w:hyperlink>
      <w:r w:rsidRPr="00207851">
        <w:rPr>
          <w:szCs w:val="24"/>
        </w:rPr>
        <w:t>; 717-214-2186), Derek Vogelsong (</w:t>
      </w:r>
      <w:hyperlink r:id="rId12" w:history="1">
        <w:r w:rsidRPr="00207851">
          <w:rPr>
            <w:rStyle w:val="Hyperlink"/>
            <w:color w:val="auto"/>
            <w:szCs w:val="24"/>
          </w:rPr>
          <w:t>devogelson@pa.gov</w:t>
        </w:r>
      </w:hyperlink>
      <w:r w:rsidRPr="00207851">
        <w:rPr>
          <w:szCs w:val="24"/>
        </w:rPr>
        <w:t>; 717-787-3861), or Joe Spandra (</w:t>
      </w:r>
      <w:hyperlink r:id="rId13" w:history="1">
        <w:r w:rsidRPr="00207851">
          <w:rPr>
            <w:rStyle w:val="Hyperlink"/>
            <w:color w:val="auto"/>
            <w:szCs w:val="24"/>
          </w:rPr>
          <w:t>jospandra@pa.gov</w:t>
        </w:r>
      </w:hyperlink>
      <w:r w:rsidRPr="00207851">
        <w:rPr>
          <w:szCs w:val="24"/>
        </w:rPr>
        <w:t>; 717-787-6489) of the Commission’s Bureau of Technical Utility Services.</w:t>
      </w:r>
    </w:p>
    <w:p w:rsidR="00DF143B" w:rsidRPr="00207851" w:rsidRDefault="00DF143B" w:rsidP="00DF143B">
      <w:pPr>
        <w:pStyle w:val="FootnoteText"/>
        <w:spacing w:before="240"/>
        <w:rPr>
          <w:szCs w:val="24"/>
        </w:rPr>
      </w:pPr>
    </w:p>
    <w:p w:rsidR="00DF143B" w:rsidRDefault="00DF143B" w:rsidP="00DF143B">
      <w:pPr>
        <w:pStyle w:val="BodyText"/>
        <w:ind w:firstLine="720"/>
        <w:rPr>
          <w:color w:val="FF00FF"/>
          <w:szCs w:val="24"/>
        </w:rPr>
      </w:pPr>
    </w:p>
    <w:p w:rsidR="00DF143B" w:rsidRDefault="00DF143B" w:rsidP="00DF143B">
      <w:pPr>
        <w:pStyle w:val="BodyText"/>
        <w:ind w:firstLine="720"/>
        <w:rPr>
          <w:color w:val="FF00FF"/>
          <w:szCs w:val="24"/>
        </w:rPr>
      </w:pPr>
    </w:p>
    <w:p w:rsidR="00DF143B" w:rsidRPr="00E9717D" w:rsidRDefault="00DF143B" w:rsidP="00DF143B">
      <w:pPr>
        <w:pStyle w:val="BodyText"/>
        <w:ind w:firstLine="720"/>
        <w:rPr>
          <w:color w:val="FF00FF"/>
          <w:szCs w:val="24"/>
        </w:rPr>
      </w:pPr>
      <w:r w:rsidRPr="00E9717D">
        <w:rPr>
          <w:color w:val="FF00FF"/>
          <w:szCs w:val="24"/>
        </w:rPr>
        <w:t xml:space="preserve"> </w:t>
      </w:r>
    </w:p>
    <w:p w:rsidR="00DF143B" w:rsidRPr="00E9717D" w:rsidRDefault="00DC39C8" w:rsidP="00DF143B">
      <w:pPr>
        <w:rPr>
          <w:szCs w:val="24"/>
        </w:rPr>
      </w:pPr>
      <w:r>
        <w:rPr>
          <w:noProof/>
        </w:rPr>
        <w:drawing>
          <wp:anchor distT="0" distB="0" distL="114300" distR="114300" simplePos="0" relativeHeight="251658240" behindDoc="1" locked="0" layoutInCell="1" allowOverlap="1" wp14:anchorId="6B696EEA" wp14:editId="46D0FD9F">
            <wp:simplePos x="0" y="0"/>
            <wp:positionH relativeFrom="column">
              <wp:posOffset>2203450</wp:posOffset>
            </wp:positionH>
            <wp:positionV relativeFrom="paragraph">
              <wp:posOffset>157480</wp:posOffset>
            </wp:positionV>
            <wp:extent cx="2200275" cy="838200"/>
            <wp:effectExtent l="0" t="0" r="0"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F143B" w:rsidRPr="00E9717D" w:rsidRDefault="00DF143B" w:rsidP="00DF143B">
      <w:pPr>
        <w:rPr>
          <w:szCs w:val="24"/>
        </w:rPr>
      </w:pPr>
      <w:r w:rsidRPr="00E9717D">
        <w:rPr>
          <w:szCs w:val="24"/>
        </w:rPr>
        <w:tab/>
      </w:r>
      <w:r w:rsidRPr="00E9717D">
        <w:rPr>
          <w:szCs w:val="24"/>
        </w:rPr>
        <w:tab/>
      </w:r>
      <w:r w:rsidRPr="00E9717D">
        <w:rPr>
          <w:szCs w:val="24"/>
        </w:rPr>
        <w:tab/>
      </w:r>
      <w:r w:rsidRPr="00E9717D">
        <w:rPr>
          <w:szCs w:val="24"/>
        </w:rPr>
        <w:tab/>
      </w:r>
      <w:r w:rsidRPr="00E9717D">
        <w:rPr>
          <w:szCs w:val="24"/>
        </w:rPr>
        <w:tab/>
      </w:r>
      <w:r w:rsidRPr="00E9717D">
        <w:rPr>
          <w:szCs w:val="24"/>
        </w:rPr>
        <w:tab/>
        <w:t>Sincerely,</w:t>
      </w:r>
    </w:p>
    <w:p w:rsidR="00DF143B" w:rsidRDefault="00DF143B" w:rsidP="00DF143B">
      <w:pPr>
        <w:rPr>
          <w:szCs w:val="24"/>
        </w:rPr>
      </w:pPr>
    </w:p>
    <w:p w:rsidR="00DF143B" w:rsidRPr="00E9717D" w:rsidRDefault="00DF143B" w:rsidP="00DF143B">
      <w:pPr>
        <w:rPr>
          <w:szCs w:val="24"/>
        </w:rPr>
      </w:pPr>
      <w:bookmarkStart w:id="0" w:name="_GoBack"/>
      <w:bookmarkEnd w:id="0"/>
    </w:p>
    <w:p w:rsidR="00DF143B" w:rsidRPr="00E9717D" w:rsidRDefault="00DF143B" w:rsidP="00DF143B">
      <w:pPr>
        <w:rPr>
          <w:szCs w:val="24"/>
        </w:rPr>
      </w:pPr>
    </w:p>
    <w:p w:rsidR="00DF143B" w:rsidRPr="00E9717D" w:rsidRDefault="00DF143B" w:rsidP="00DF143B">
      <w:pPr>
        <w:pStyle w:val="Heading2"/>
        <w:tabs>
          <w:tab w:val="left" w:pos="4320"/>
        </w:tabs>
        <w:ind w:left="0" w:firstLine="0"/>
        <w:rPr>
          <w:szCs w:val="24"/>
        </w:rPr>
      </w:pPr>
      <w:r w:rsidRPr="00E9717D">
        <w:rPr>
          <w:szCs w:val="24"/>
        </w:rPr>
        <w:tab/>
      </w:r>
      <w:r>
        <w:rPr>
          <w:szCs w:val="24"/>
        </w:rPr>
        <w:t>Rosemary Chiavetta</w:t>
      </w:r>
    </w:p>
    <w:p w:rsidR="00DF143B" w:rsidRPr="00E9717D" w:rsidRDefault="00DF143B" w:rsidP="00DF143B">
      <w:pPr>
        <w:pStyle w:val="Heading2"/>
        <w:tabs>
          <w:tab w:val="left" w:pos="4320"/>
        </w:tabs>
        <w:ind w:left="0" w:firstLine="0"/>
        <w:rPr>
          <w:szCs w:val="24"/>
        </w:rPr>
      </w:pPr>
      <w:r w:rsidRPr="00E9717D">
        <w:rPr>
          <w:szCs w:val="24"/>
        </w:rPr>
        <w:tab/>
        <w:t>Secretary</w:t>
      </w:r>
    </w:p>
    <w:p w:rsidR="00DF143B" w:rsidRPr="00E9717D" w:rsidRDefault="00DF143B" w:rsidP="00DF143B">
      <w:pPr>
        <w:rPr>
          <w:szCs w:val="24"/>
        </w:rPr>
      </w:pPr>
    </w:p>
    <w:p w:rsidR="009575BA" w:rsidRPr="00E9717D" w:rsidRDefault="009575BA" w:rsidP="00DF143B">
      <w:pPr>
        <w:ind w:right="576" w:firstLine="720"/>
        <w:rPr>
          <w:szCs w:val="24"/>
        </w:rPr>
      </w:pPr>
    </w:p>
    <w:sectPr w:rsidR="009575BA" w:rsidRPr="00E9717D"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DF7" w:rsidRDefault="008C7DF7">
      <w:r>
        <w:separator/>
      </w:r>
    </w:p>
  </w:endnote>
  <w:endnote w:type="continuationSeparator" w:id="0">
    <w:p w:rsidR="008C7DF7" w:rsidRDefault="008C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409231"/>
      <w:docPartObj>
        <w:docPartGallery w:val="Page Numbers (Bottom of Page)"/>
        <w:docPartUnique/>
      </w:docPartObj>
    </w:sdtPr>
    <w:sdtEndPr>
      <w:rPr>
        <w:noProof/>
      </w:rPr>
    </w:sdtEndPr>
    <w:sdtContent>
      <w:p w:rsidR="00DA6CCE" w:rsidRDefault="00DA6CCE">
        <w:pPr>
          <w:pStyle w:val="Footer"/>
          <w:jc w:val="center"/>
        </w:pPr>
        <w:r>
          <w:fldChar w:fldCharType="begin"/>
        </w:r>
        <w:r>
          <w:instrText xml:space="preserve"> PAGE   \* MERGEFORMAT </w:instrText>
        </w:r>
        <w:r>
          <w:fldChar w:fldCharType="separate"/>
        </w:r>
        <w:r w:rsidR="00DC39C8">
          <w:rPr>
            <w:noProof/>
          </w:rPr>
          <w:t>3</w:t>
        </w:r>
        <w:r>
          <w:rPr>
            <w:noProof/>
          </w:rPr>
          <w:fldChar w:fldCharType="end"/>
        </w:r>
      </w:p>
    </w:sdtContent>
  </w:sdt>
  <w:p w:rsidR="00DA6CCE" w:rsidRDefault="00DA6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DF7" w:rsidRDefault="008C7DF7">
      <w:r>
        <w:separator/>
      </w:r>
    </w:p>
  </w:footnote>
  <w:footnote w:type="continuationSeparator" w:id="0">
    <w:p w:rsidR="008C7DF7" w:rsidRDefault="008C7DF7">
      <w:r>
        <w:continuationSeparator/>
      </w:r>
    </w:p>
  </w:footnote>
  <w:footnote w:id="1">
    <w:p w:rsidR="00BD2F6C" w:rsidRPr="00A74F0A" w:rsidRDefault="00BD2F6C" w:rsidP="00BD2F6C">
      <w:pPr>
        <w:pStyle w:val="FootnoteText"/>
        <w:rPr>
          <w:sz w:val="20"/>
        </w:rPr>
      </w:pPr>
      <w:r>
        <w:rPr>
          <w:rStyle w:val="FootnoteReference"/>
          <w:sz w:val="20"/>
        </w:rPr>
        <w:t>1</w:t>
      </w:r>
      <w:r w:rsidRPr="00A74F0A">
        <w:rPr>
          <w:sz w:val="20"/>
        </w:rPr>
        <w:t xml:space="preserve"> </w:t>
      </w:r>
      <w:r w:rsidRPr="00A74F0A">
        <w:rPr>
          <w:i/>
          <w:sz w:val="20"/>
        </w:rPr>
        <w:t xml:space="preserve">See </w:t>
      </w:r>
      <w:r w:rsidRPr="00A74F0A">
        <w:rPr>
          <w:sz w:val="20"/>
        </w:rPr>
        <w:t xml:space="preserve">FCC Order adopted October 27, 2011, and Released November 18, 2011 and further revised and clarified by Order February 3, 2012: In the Matter of Connect America Fund, WC Docket No. 10-90; A National Broadband Plan for Our Future, GN Docket No. 09-51; Establishing Just and Reasonable Rates for Local Exchange Carriers, W Docket No. 07-135;  High-Cost Universal Service Support, WC Docket No. 05-337; Developing a Unified </w:t>
      </w:r>
      <w:proofErr w:type="spellStart"/>
      <w:r w:rsidRPr="00A74F0A">
        <w:rPr>
          <w:sz w:val="20"/>
        </w:rPr>
        <w:t>Intercarrier</w:t>
      </w:r>
      <w:proofErr w:type="spellEnd"/>
      <w:r w:rsidRPr="00A74F0A">
        <w:rPr>
          <w:sz w:val="20"/>
        </w:rPr>
        <w:t xml:space="preserve"> Compensation Regime, CC Docket No. 01-92; Federal-state Joint Board on Universal Service, CC Docket No. 96-45; Lifeline and Link-Up, WC Docket No. 03-109; Universal Service Reform - Mobility Fund, WT Docket No. 10-208.</w:t>
      </w:r>
    </w:p>
  </w:footnote>
  <w:footnote w:id="2">
    <w:p w:rsidR="00DA6CCE" w:rsidRPr="00A74F0A" w:rsidRDefault="00DA6CCE" w:rsidP="00A15953">
      <w:pPr>
        <w:pStyle w:val="FootnoteText"/>
        <w:spacing w:before="240"/>
        <w:rPr>
          <w:sz w:val="20"/>
        </w:rPr>
      </w:pPr>
      <w:r w:rsidRPr="00A74F0A">
        <w:rPr>
          <w:rStyle w:val="FootnoteReference"/>
          <w:sz w:val="20"/>
        </w:rPr>
        <w:footnoteRef/>
      </w:r>
      <w:r w:rsidRPr="00A74F0A">
        <w:rPr>
          <w:sz w:val="20"/>
        </w:rPr>
        <w:t xml:space="preserve"> </w:t>
      </w:r>
      <w:r w:rsidRPr="00A74F0A">
        <w:rPr>
          <w:i/>
          <w:sz w:val="20"/>
        </w:rPr>
        <w:t xml:space="preserve">Id., </w:t>
      </w:r>
      <w:r w:rsidRPr="00A74F0A">
        <w:rPr>
          <w:sz w:val="20"/>
        </w:rPr>
        <w:t>¶</w:t>
      </w:r>
      <w:r w:rsidR="00707EE9" w:rsidRPr="00A74F0A">
        <w:rPr>
          <w:sz w:val="20"/>
        </w:rPr>
        <w:t>801</w:t>
      </w:r>
      <w:r w:rsidRPr="00A74F0A">
        <w:rPr>
          <w:sz w:val="20"/>
        </w:rPr>
        <w:t xml:space="preserve"> </w:t>
      </w:r>
      <w:r w:rsidR="00D31121" w:rsidRPr="00A74F0A">
        <w:rPr>
          <w:sz w:val="20"/>
        </w:rPr>
        <w:t>states that there will be a six-year transition</w:t>
      </w:r>
      <w:r w:rsidR="00773D1A" w:rsidRPr="00A74F0A">
        <w:rPr>
          <w:sz w:val="20"/>
        </w:rPr>
        <w:t xml:space="preserve"> to bi</w:t>
      </w:r>
      <w:r w:rsidR="004D6D9F">
        <w:rPr>
          <w:sz w:val="20"/>
        </w:rPr>
        <w:t>l</w:t>
      </w:r>
      <w:r w:rsidR="00773D1A" w:rsidRPr="00A74F0A">
        <w:rPr>
          <w:sz w:val="20"/>
        </w:rPr>
        <w:t>l-and-keep</w:t>
      </w:r>
      <w:r w:rsidR="00D31121" w:rsidRPr="00A74F0A">
        <w:rPr>
          <w:sz w:val="20"/>
        </w:rPr>
        <w:t xml:space="preserve"> for price cap carriers and competitive LECs that benchmark to price cap carrier rates and a nine-year transition</w:t>
      </w:r>
      <w:r w:rsidR="00773D1A" w:rsidRPr="00A74F0A">
        <w:rPr>
          <w:sz w:val="20"/>
        </w:rPr>
        <w:t xml:space="preserve"> to bill-and-k</w:t>
      </w:r>
      <w:r w:rsidR="004D6D9F">
        <w:rPr>
          <w:sz w:val="20"/>
        </w:rPr>
        <w:t>e</w:t>
      </w:r>
      <w:r w:rsidR="00773D1A" w:rsidRPr="00A74F0A">
        <w:rPr>
          <w:sz w:val="20"/>
        </w:rPr>
        <w:t>ep</w:t>
      </w:r>
      <w:r w:rsidR="00D31121" w:rsidRPr="00A74F0A">
        <w:rPr>
          <w:sz w:val="20"/>
        </w:rPr>
        <w:t xml:space="preserve"> for rate-of-return carriers and competitive LECs that benchmark to rate-of-return carrier rates</w:t>
      </w:r>
      <w:r w:rsidRPr="00A74F0A">
        <w:rPr>
          <w:sz w:val="20"/>
        </w:rPr>
        <w:t xml:space="preserve">.  </w:t>
      </w:r>
    </w:p>
  </w:footnote>
  <w:footnote w:id="3">
    <w:p w:rsidR="00DF143B" w:rsidRPr="00A74F0A" w:rsidRDefault="00DF143B" w:rsidP="00DF143B">
      <w:pPr>
        <w:pStyle w:val="FootnoteText"/>
        <w:rPr>
          <w:sz w:val="20"/>
        </w:rPr>
      </w:pPr>
      <w:r>
        <w:rPr>
          <w:rStyle w:val="FootnoteReference"/>
          <w:sz w:val="20"/>
        </w:rPr>
        <w:t>3</w:t>
      </w:r>
      <w:r w:rsidRPr="00A74F0A">
        <w:rPr>
          <w:sz w:val="20"/>
        </w:rPr>
        <w:t xml:space="preserve"> </w:t>
      </w:r>
      <w:r w:rsidRPr="002F0601">
        <w:rPr>
          <w:i/>
          <w:sz w:val="20"/>
        </w:rPr>
        <w:t>Id.</w:t>
      </w:r>
      <w:r w:rsidRPr="00A74F0A">
        <w:rPr>
          <w:sz w:val="20"/>
        </w:rPr>
        <w:t>, Appendix A, 47 C.F.R. § 51.907(b) and § 51.909(b)</w:t>
      </w:r>
      <w:r>
        <w:rPr>
          <w:sz w:val="20"/>
        </w:rPr>
        <w:t>.</w:t>
      </w:r>
    </w:p>
  </w:footnote>
  <w:footnote w:id="4">
    <w:p w:rsidR="00DF143B" w:rsidRDefault="00DF143B" w:rsidP="00DF143B">
      <w:pPr>
        <w:pStyle w:val="FootnoteText"/>
        <w:spacing w:before="240"/>
        <w:rPr>
          <w:sz w:val="20"/>
        </w:rPr>
      </w:pPr>
      <w:r>
        <w:rPr>
          <w:rStyle w:val="FootnoteReference"/>
          <w:sz w:val="20"/>
        </w:rPr>
        <w:t>4</w:t>
      </w:r>
      <w:r w:rsidRPr="00A74F0A">
        <w:rPr>
          <w:sz w:val="20"/>
        </w:rPr>
        <w:t xml:space="preserve"> </w:t>
      </w:r>
      <w:r w:rsidRPr="00A74F0A">
        <w:rPr>
          <w:i/>
          <w:sz w:val="20"/>
        </w:rPr>
        <w:t xml:space="preserve">Implementation of the Federal Communications Commission’s Order of November 18, 2011 As Amended </w:t>
      </w:r>
      <w:proofErr w:type="gramStart"/>
      <w:r w:rsidRPr="00A74F0A">
        <w:rPr>
          <w:i/>
          <w:sz w:val="20"/>
        </w:rPr>
        <w:t>Or</w:t>
      </w:r>
      <w:proofErr w:type="gramEnd"/>
      <w:r w:rsidRPr="00A74F0A">
        <w:rPr>
          <w:i/>
          <w:sz w:val="20"/>
        </w:rPr>
        <w:t xml:space="preserve"> Revised And Coordination With Certain Intrastate Matters</w:t>
      </w:r>
      <w:r>
        <w:rPr>
          <w:sz w:val="20"/>
        </w:rPr>
        <w:t>.</w:t>
      </w:r>
      <w:r w:rsidRPr="00A74F0A">
        <w:rPr>
          <w:sz w:val="20"/>
        </w:rPr>
        <w:t xml:space="preserve"> Docket No. </w:t>
      </w:r>
      <w:proofErr w:type="gramStart"/>
      <w:r w:rsidRPr="00A74F0A">
        <w:rPr>
          <w:sz w:val="20"/>
        </w:rPr>
        <w:t>M-2012-2291824</w:t>
      </w:r>
      <w:r>
        <w:rPr>
          <w:sz w:val="20"/>
        </w:rPr>
        <w:t>.</w:t>
      </w:r>
      <w:proofErr w:type="gramEnd"/>
      <w:r w:rsidRPr="00A74F0A">
        <w:rPr>
          <w:sz w:val="20"/>
        </w:rPr>
        <w:t xml:space="preserve"> Order Entered March 22, 2012</w:t>
      </w:r>
      <w:r>
        <w:rPr>
          <w:sz w:val="20"/>
        </w:rPr>
        <w:t>.</w:t>
      </w:r>
    </w:p>
    <w:p w:rsidR="00DF143B" w:rsidRPr="00A74F0A" w:rsidRDefault="00DF143B" w:rsidP="00DF143B">
      <w:pPr>
        <w:pStyle w:val="NoSpacing"/>
      </w:pPr>
    </w:p>
  </w:footnote>
  <w:footnote w:id="5">
    <w:p w:rsidR="00DF143B" w:rsidRPr="002F0601" w:rsidRDefault="00DF143B" w:rsidP="00DF143B">
      <w:pPr>
        <w:pStyle w:val="FootnoteText"/>
        <w:rPr>
          <w:sz w:val="20"/>
        </w:rPr>
      </w:pPr>
      <w:r>
        <w:rPr>
          <w:rStyle w:val="FootnoteReference"/>
          <w:sz w:val="20"/>
        </w:rPr>
        <w:t>5</w:t>
      </w:r>
      <w:r w:rsidRPr="002F0601">
        <w:rPr>
          <w:sz w:val="20"/>
        </w:rPr>
        <w:t xml:space="preserve"> </w:t>
      </w:r>
      <w:r w:rsidRPr="002F0601">
        <w:rPr>
          <w:i/>
          <w:sz w:val="20"/>
        </w:rPr>
        <w:t>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B278F"/>
    <w:multiLevelType w:val="hybridMultilevel"/>
    <w:tmpl w:val="00AE78EA"/>
    <w:lvl w:ilvl="0" w:tplc="9F04E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9B2A44"/>
    <w:multiLevelType w:val="hybridMultilevel"/>
    <w:tmpl w:val="7E843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7770C"/>
    <w:rsid w:val="0000558D"/>
    <w:rsid w:val="00010B34"/>
    <w:rsid w:val="00010B7E"/>
    <w:rsid w:val="00014AB8"/>
    <w:rsid w:val="00026F1F"/>
    <w:rsid w:val="00046098"/>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C1530"/>
    <w:rsid w:val="000D01DF"/>
    <w:rsid w:val="000D03CA"/>
    <w:rsid w:val="000D0FD9"/>
    <w:rsid w:val="000D1178"/>
    <w:rsid w:val="000E07BF"/>
    <w:rsid w:val="000E3B2C"/>
    <w:rsid w:val="000E6A31"/>
    <w:rsid w:val="00102935"/>
    <w:rsid w:val="00125405"/>
    <w:rsid w:val="00125BCA"/>
    <w:rsid w:val="001264B6"/>
    <w:rsid w:val="00131DDA"/>
    <w:rsid w:val="00132E60"/>
    <w:rsid w:val="001334FC"/>
    <w:rsid w:val="00142BA3"/>
    <w:rsid w:val="00150A3B"/>
    <w:rsid w:val="00150F8B"/>
    <w:rsid w:val="001535C8"/>
    <w:rsid w:val="00157C40"/>
    <w:rsid w:val="00162439"/>
    <w:rsid w:val="0016278E"/>
    <w:rsid w:val="0017540A"/>
    <w:rsid w:val="0017760B"/>
    <w:rsid w:val="0018720B"/>
    <w:rsid w:val="00191FE1"/>
    <w:rsid w:val="001A1A45"/>
    <w:rsid w:val="001A2153"/>
    <w:rsid w:val="001A2F6D"/>
    <w:rsid w:val="001B4A58"/>
    <w:rsid w:val="001D1712"/>
    <w:rsid w:val="001F4A76"/>
    <w:rsid w:val="00207851"/>
    <w:rsid w:val="00212299"/>
    <w:rsid w:val="00227576"/>
    <w:rsid w:val="002311CC"/>
    <w:rsid w:val="00231244"/>
    <w:rsid w:val="00244511"/>
    <w:rsid w:val="00256182"/>
    <w:rsid w:val="00266BF8"/>
    <w:rsid w:val="00272D3C"/>
    <w:rsid w:val="00294B4B"/>
    <w:rsid w:val="002C13FB"/>
    <w:rsid w:val="002D043D"/>
    <w:rsid w:val="002D29EB"/>
    <w:rsid w:val="002E5260"/>
    <w:rsid w:val="002E699B"/>
    <w:rsid w:val="002F1221"/>
    <w:rsid w:val="002F2CF3"/>
    <w:rsid w:val="00303F21"/>
    <w:rsid w:val="00304C05"/>
    <w:rsid w:val="003107D6"/>
    <w:rsid w:val="003212C6"/>
    <w:rsid w:val="00323D97"/>
    <w:rsid w:val="00331BA5"/>
    <w:rsid w:val="0033489B"/>
    <w:rsid w:val="00345278"/>
    <w:rsid w:val="0034777A"/>
    <w:rsid w:val="00352AFA"/>
    <w:rsid w:val="00363FE7"/>
    <w:rsid w:val="003B1057"/>
    <w:rsid w:val="003B1A94"/>
    <w:rsid w:val="003C1936"/>
    <w:rsid w:val="003C2ACF"/>
    <w:rsid w:val="003D021C"/>
    <w:rsid w:val="003D659F"/>
    <w:rsid w:val="003E6E97"/>
    <w:rsid w:val="003F44B6"/>
    <w:rsid w:val="003F5383"/>
    <w:rsid w:val="003F7CE2"/>
    <w:rsid w:val="00400F0E"/>
    <w:rsid w:val="00401C75"/>
    <w:rsid w:val="004159C6"/>
    <w:rsid w:val="00420E46"/>
    <w:rsid w:val="004376E3"/>
    <w:rsid w:val="0045061B"/>
    <w:rsid w:val="00466AD7"/>
    <w:rsid w:val="00470AE3"/>
    <w:rsid w:val="00471C2A"/>
    <w:rsid w:val="004728E1"/>
    <w:rsid w:val="00485BE8"/>
    <w:rsid w:val="00486A7A"/>
    <w:rsid w:val="004A6903"/>
    <w:rsid w:val="004B1DC5"/>
    <w:rsid w:val="004B3F1D"/>
    <w:rsid w:val="004B6F33"/>
    <w:rsid w:val="004C4A7F"/>
    <w:rsid w:val="004C7A5F"/>
    <w:rsid w:val="004D2C06"/>
    <w:rsid w:val="004D6D9F"/>
    <w:rsid w:val="004E0233"/>
    <w:rsid w:val="0050315F"/>
    <w:rsid w:val="00513B3B"/>
    <w:rsid w:val="00515CB8"/>
    <w:rsid w:val="00522057"/>
    <w:rsid w:val="00527E1A"/>
    <w:rsid w:val="00531804"/>
    <w:rsid w:val="00532482"/>
    <w:rsid w:val="00533855"/>
    <w:rsid w:val="00541572"/>
    <w:rsid w:val="0054596A"/>
    <w:rsid w:val="0054688F"/>
    <w:rsid w:val="005519DE"/>
    <w:rsid w:val="005548F3"/>
    <w:rsid w:val="005553DC"/>
    <w:rsid w:val="00571CC5"/>
    <w:rsid w:val="00574F8B"/>
    <w:rsid w:val="005758E5"/>
    <w:rsid w:val="005777E8"/>
    <w:rsid w:val="00583A30"/>
    <w:rsid w:val="0058733C"/>
    <w:rsid w:val="00597EC1"/>
    <w:rsid w:val="005A7275"/>
    <w:rsid w:val="005A7E07"/>
    <w:rsid w:val="005D0EA3"/>
    <w:rsid w:val="005D298F"/>
    <w:rsid w:val="005D669C"/>
    <w:rsid w:val="005D7822"/>
    <w:rsid w:val="005F3F27"/>
    <w:rsid w:val="00600756"/>
    <w:rsid w:val="006011EB"/>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85C37"/>
    <w:rsid w:val="006901A9"/>
    <w:rsid w:val="006A0190"/>
    <w:rsid w:val="006A19DE"/>
    <w:rsid w:val="006B1842"/>
    <w:rsid w:val="006E1263"/>
    <w:rsid w:val="006F7BD8"/>
    <w:rsid w:val="00701979"/>
    <w:rsid w:val="0070664E"/>
    <w:rsid w:val="00707EE9"/>
    <w:rsid w:val="007166E9"/>
    <w:rsid w:val="00727178"/>
    <w:rsid w:val="00727E82"/>
    <w:rsid w:val="00732A26"/>
    <w:rsid w:val="007331FA"/>
    <w:rsid w:val="00734009"/>
    <w:rsid w:val="00736988"/>
    <w:rsid w:val="007415A2"/>
    <w:rsid w:val="00747AED"/>
    <w:rsid w:val="007533A6"/>
    <w:rsid w:val="00756A92"/>
    <w:rsid w:val="00767AD3"/>
    <w:rsid w:val="00773D1A"/>
    <w:rsid w:val="00774679"/>
    <w:rsid w:val="00777420"/>
    <w:rsid w:val="00786713"/>
    <w:rsid w:val="00794AEA"/>
    <w:rsid w:val="007979C9"/>
    <w:rsid w:val="007A2F47"/>
    <w:rsid w:val="007C3C93"/>
    <w:rsid w:val="007C5683"/>
    <w:rsid w:val="007D0340"/>
    <w:rsid w:val="007F16BF"/>
    <w:rsid w:val="007F36B4"/>
    <w:rsid w:val="007F512E"/>
    <w:rsid w:val="007F7700"/>
    <w:rsid w:val="007F78A1"/>
    <w:rsid w:val="008031FB"/>
    <w:rsid w:val="00806CB9"/>
    <w:rsid w:val="008159FD"/>
    <w:rsid w:val="00833958"/>
    <w:rsid w:val="00834BEC"/>
    <w:rsid w:val="00841BD1"/>
    <w:rsid w:val="00856AB4"/>
    <w:rsid w:val="00862F80"/>
    <w:rsid w:val="008704FE"/>
    <w:rsid w:val="00882E3F"/>
    <w:rsid w:val="008834E0"/>
    <w:rsid w:val="00885F07"/>
    <w:rsid w:val="00897392"/>
    <w:rsid w:val="008A6E17"/>
    <w:rsid w:val="008B3037"/>
    <w:rsid w:val="008B4EAD"/>
    <w:rsid w:val="008B53AC"/>
    <w:rsid w:val="008B66F2"/>
    <w:rsid w:val="008B7249"/>
    <w:rsid w:val="008B7B5D"/>
    <w:rsid w:val="008C2E2F"/>
    <w:rsid w:val="008C37D1"/>
    <w:rsid w:val="008C470F"/>
    <w:rsid w:val="008C5915"/>
    <w:rsid w:val="008C7DF7"/>
    <w:rsid w:val="008D56BF"/>
    <w:rsid w:val="008E0D47"/>
    <w:rsid w:val="008E2D0E"/>
    <w:rsid w:val="008E73B0"/>
    <w:rsid w:val="008F1759"/>
    <w:rsid w:val="008F3AEB"/>
    <w:rsid w:val="008F4B6C"/>
    <w:rsid w:val="00900849"/>
    <w:rsid w:val="00901BD4"/>
    <w:rsid w:val="00905ACF"/>
    <w:rsid w:val="00914CFE"/>
    <w:rsid w:val="0091795D"/>
    <w:rsid w:val="009417CD"/>
    <w:rsid w:val="0095390B"/>
    <w:rsid w:val="00955C6D"/>
    <w:rsid w:val="009575BA"/>
    <w:rsid w:val="00960081"/>
    <w:rsid w:val="009612BE"/>
    <w:rsid w:val="00961A05"/>
    <w:rsid w:val="009847E8"/>
    <w:rsid w:val="009877CD"/>
    <w:rsid w:val="00990D57"/>
    <w:rsid w:val="009925D5"/>
    <w:rsid w:val="00993F00"/>
    <w:rsid w:val="00994D8F"/>
    <w:rsid w:val="009A0779"/>
    <w:rsid w:val="009A4A48"/>
    <w:rsid w:val="009C2EDE"/>
    <w:rsid w:val="009C7E2D"/>
    <w:rsid w:val="009D4442"/>
    <w:rsid w:val="009F49F6"/>
    <w:rsid w:val="009F6AF1"/>
    <w:rsid w:val="009F77FB"/>
    <w:rsid w:val="00A0093B"/>
    <w:rsid w:val="00A078F4"/>
    <w:rsid w:val="00A07E5F"/>
    <w:rsid w:val="00A10484"/>
    <w:rsid w:val="00A12DE2"/>
    <w:rsid w:val="00A15953"/>
    <w:rsid w:val="00A171DB"/>
    <w:rsid w:val="00A24641"/>
    <w:rsid w:val="00A31208"/>
    <w:rsid w:val="00A46305"/>
    <w:rsid w:val="00A47D19"/>
    <w:rsid w:val="00A74F0A"/>
    <w:rsid w:val="00A76C55"/>
    <w:rsid w:val="00A8716D"/>
    <w:rsid w:val="00A965DF"/>
    <w:rsid w:val="00A97571"/>
    <w:rsid w:val="00AA4F00"/>
    <w:rsid w:val="00AB0C2C"/>
    <w:rsid w:val="00AB556F"/>
    <w:rsid w:val="00AB5F58"/>
    <w:rsid w:val="00AB67BC"/>
    <w:rsid w:val="00AB6D43"/>
    <w:rsid w:val="00AB7A51"/>
    <w:rsid w:val="00AC597D"/>
    <w:rsid w:val="00AC62AC"/>
    <w:rsid w:val="00AE4FCE"/>
    <w:rsid w:val="00AF0D8C"/>
    <w:rsid w:val="00AF5BD4"/>
    <w:rsid w:val="00B0488D"/>
    <w:rsid w:val="00B10D25"/>
    <w:rsid w:val="00B11DA5"/>
    <w:rsid w:val="00B13ECF"/>
    <w:rsid w:val="00B16E7A"/>
    <w:rsid w:val="00B23F5E"/>
    <w:rsid w:val="00B264D5"/>
    <w:rsid w:val="00B27394"/>
    <w:rsid w:val="00B32990"/>
    <w:rsid w:val="00B4715B"/>
    <w:rsid w:val="00B472C6"/>
    <w:rsid w:val="00B800F7"/>
    <w:rsid w:val="00B8278F"/>
    <w:rsid w:val="00B95752"/>
    <w:rsid w:val="00B977B2"/>
    <w:rsid w:val="00BA064B"/>
    <w:rsid w:val="00BA0E50"/>
    <w:rsid w:val="00BB59E1"/>
    <w:rsid w:val="00BB7115"/>
    <w:rsid w:val="00BC0F4E"/>
    <w:rsid w:val="00BC76A3"/>
    <w:rsid w:val="00BD13EF"/>
    <w:rsid w:val="00BD24A2"/>
    <w:rsid w:val="00BD2F6C"/>
    <w:rsid w:val="00BD6B09"/>
    <w:rsid w:val="00BD7BA4"/>
    <w:rsid w:val="00BE46FD"/>
    <w:rsid w:val="00BE4859"/>
    <w:rsid w:val="00BE51E5"/>
    <w:rsid w:val="00BE7C84"/>
    <w:rsid w:val="00BF0CE9"/>
    <w:rsid w:val="00C03C98"/>
    <w:rsid w:val="00C22074"/>
    <w:rsid w:val="00C25A0A"/>
    <w:rsid w:val="00C33E42"/>
    <w:rsid w:val="00C3562A"/>
    <w:rsid w:val="00C70A0F"/>
    <w:rsid w:val="00C72B8A"/>
    <w:rsid w:val="00C7770C"/>
    <w:rsid w:val="00C92AAA"/>
    <w:rsid w:val="00C97AC7"/>
    <w:rsid w:val="00CB3A5E"/>
    <w:rsid w:val="00CF103F"/>
    <w:rsid w:val="00CF57C9"/>
    <w:rsid w:val="00CF7CEF"/>
    <w:rsid w:val="00D02C14"/>
    <w:rsid w:val="00D15212"/>
    <w:rsid w:val="00D15C97"/>
    <w:rsid w:val="00D23E68"/>
    <w:rsid w:val="00D31121"/>
    <w:rsid w:val="00D4608E"/>
    <w:rsid w:val="00D50808"/>
    <w:rsid w:val="00D5571A"/>
    <w:rsid w:val="00D6758E"/>
    <w:rsid w:val="00D73AE3"/>
    <w:rsid w:val="00D83F25"/>
    <w:rsid w:val="00D847C6"/>
    <w:rsid w:val="00D875A6"/>
    <w:rsid w:val="00D90DA2"/>
    <w:rsid w:val="00D92653"/>
    <w:rsid w:val="00DA168C"/>
    <w:rsid w:val="00DA6CCE"/>
    <w:rsid w:val="00DA7314"/>
    <w:rsid w:val="00DB6062"/>
    <w:rsid w:val="00DB7502"/>
    <w:rsid w:val="00DC1C1F"/>
    <w:rsid w:val="00DC28DA"/>
    <w:rsid w:val="00DC39C8"/>
    <w:rsid w:val="00DC3ACB"/>
    <w:rsid w:val="00DC6980"/>
    <w:rsid w:val="00DD0701"/>
    <w:rsid w:val="00DD0892"/>
    <w:rsid w:val="00DD1390"/>
    <w:rsid w:val="00DD4C9A"/>
    <w:rsid w:val="00DD71BF"/>
    <w:rsid w:val="00DE34B0"/>
    <w:rsid w:val="00DF143B"/>
    <w:rsid w:val="00DF2E12"/>
    <w:rsid w:val="00E060EE"/>
    <w:rsid w:val="00E11251"/>
    <w:rsid w:val="00E200A1"/>
    <w:rsid w:val="00E22A88"/>
    <w:rsid w:val="00E2671D"/>
    <w:rsid w:val="00E31FD0"/>
    <w:rsid w:val="00E36AE3"/>
    <w:rsid w:val="00E36D68"/>
    <w:rsid w:val="00E37DE5"/>
    <w:rsid w:val="00E4351A"/>
    <w:rsid w:val="00E50F8B"/>
    <w:rsid w:val="00E52FF2"/>
    <w:rsid w:val="00E53283"/>
    <w:rsid w:val="00E5456F"/>
    <w:rsid w:val="00E579D8"/>
    <w:rsid w:val="00E73F89"/>
    <w:rsid w:val="00E806E1"/>
    <w:rsid w:val="00E86FC9"/>
    <w:rsid w:val="00E965F7"/>
    <w:rsid w:val="00E9717D"/>
    <w:rsid w:val="00EA42F2"/>
    <w:rsid w:val="00EA6E47"/>
    <w:rsid w:val="00EB3229"/>
    <w:rsid w:val="00EB5A51"/>
    <w:rsid w:val="00EB6E43"/>
    <w:rsid w:val="00ED021A"/>
    <w:rsid w:val="00ED78C6"/>
    <w:rsid w:val="00EE2764"/>
    <w:rsid w:val="00EE3DC3"/>
    <w:rsid w:val="00EE5D1E"/>
    <w:rsid w:val="00EF21CF"/>
    <w:rsid w:val="00EF3697"/>
    <w:rsid w:val="00EF6B14"/>
    <w:rsid w:val="00EF7CCD"/>
    <w:rsid w:val="00F007AF"/>
    <w:rsid w:val="00F10C7F"/>
    <w:rsid w:val="00F11F75"/>
    <w:rsid w:val="00F12B60"/>
    <w:rsid w:val="00F15A67"/>
    <w:rsid w:val="00F20234"/>
    <w:rsid w:val="00F25353"/>
    <w:rsid w:val="00F3436F"/>
    <w:rsid w:val="00F408CF"/>
    <w:rsid w:val="00F46970"/>
    <w:rsid w:val="00F50CBC"/>
    <w:rsid w:val="00F5665E"/>
    <w:rsid w:val="00F61260"/>
    <w:rsid w:val="00F721B6"/>
    <w:rsid w:val="00F7367E"/>
    <w:rsid w:val="00F743A5"/>
    <w:rsid w:val="00F82EEB"/>
    <w:rsid w:val="00F851EF"/>
    <w:rsid w:val="00F93B8B"/>
    <w:rsid w:val="00F94022"/>
    <w:rsid w:val="00FA5234"/>
    <w:rsid w:val="00FB1170"/>
    <w:rsid w:val="00FB3F71"/>
    <w:rsid w:val="00FC2784"/>
    <w:rsid w:val="00FC56E0"/>
    <w:rsid w:val="00FC7EFA"/>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link w:val="FootnoteTextChar"/>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paragraph" w:styleId="ListParagraph">
    <w:name w:val="List Paragraph"/>
    <w:basedOn w:val="Normal"/>
    <w:uiPriority w:val="34"/>
    <w:qFormat/>
    <w:rsid w:val="00D73AE3"/>
    <w:pPr>
      <w:spacing w:after="200"/>
      <w:ind w:left="720"/>
      <w:contextualSpacing/>
    </w:pPr>
    <w:rPr>
      <w:rFonts w:eastAsiaTheme="minorHAnsi" w:cstheme="minorBidi"/>
      <w:szCs w:val="22"/>
    </w:rPr>
  </w:style>
  <w:style w:type="paragraph" w:customStyle="1" w:styleId="default0">
    <w:name w:val="default0"/>
    <w:basedOn w:val="Normal"/>
    <w:rsid w:val="00363FE7"/>
    <w:pPr>
      <w:autoSpaceDE w:val="0"/>
      <w:autoSpaceDN w:val="0"/>
    </w:pPr>
    <w:rPr>
      <w:color w:val="000000"/>
      <w:szCs w:val="24"/>
    </w:rPr>
  </w:style>
  <w:style w:type="character" w:customStyle="1" w:styleId="FooterChar">
    <w:name w:val="Footer Char"/>
    <w:basedOn w:val="DefaultParagraphFont"/>
    <w:link w:val="Footer"/>
    <w:uiPriority w:val="99"/>
    <w:rsid w:val="00DD4C9A"/>
    <w:rPr>
      <w:sz w:val="24"/>
    </w:rPr>
  </w:style>
  <w:style w:type="character" w:customStyle="1" w:styleId="FootnoteTextChar">
    <w:name w:val="Footnote Text Char"/>
    <w:basedOn w:val="DefaultParagraphFont"/>
    <w:link w:val="FootnoteText"/>
    <w:semiHidden/>
    <w:rsid w:val="00786713"/>
    <w:rPr>
      <w:sz w:val="24"/>
    </w:rPr>
  </w:style>
  <w:style w:type="paragraph" w:styleId="NoSpacing">
    <w:name w:val="No Spacing"/>
    <w:uiPriority w:val="1"/>
    <w:qFormat/>
    <w:rsid w:val="00BD2F6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775711082">
      <w:bodyDiv w:val="1"/>
      <w:marLeft w:val="0"/>
      <w:marRight w:val="0"/>
      <w:marTop w:val="0"/>
      <w:marBottom w:val="0"/>
      <w:divBdr>
        <w:top w:val="none" w:sz="0" w:space="0" w:color="auto"/>
        <w:left w:val="none" w:sz="0" w:space="0" w:color="auto"/>
        <w:bottom w:val="none" w:sz="0" w:space="0" w:color="auto"/>
        <w:right w:val="none" w:sz="0" w:space="0" w:color="auto"/>
      </w:divBdr>
    </w:div>
    <w:div w:id="955212519">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236696825">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spandra@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vogelson@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howers@p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1F8A2-12D4-4D41-BB90-56C68F9D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4706</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dc:creator>
  <cp:lastModifiedBy>Hinds, Margaret</cp:lastModifiedBy>
  <cp:revision>18</cp:revision>
  <cp:lastPrinted>2012-04-03T15:36:00Z</cp:lastPrinted>
  <dcterms:created xsi:type="dcterms:W3CDTF">2012-03-29T13:35:00Z</dcterms:created>
  <dcterms:modified xsi:type="dcterms:W3CDTF">2012-04-03T15:36:00Z</dcterms:modified>
</cp:coreProperties>
</file>