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99F" w:rsidRPr="007C4E34" w:rsidRDefault="00E7599F" w:rsidP="007C4E34">
      <w:pPr>
        <w:widowControl w:val="0"/>
        <w:spacing w:line="240" w:lineRule="auto"/>
        <w:jc w:val="center"/>
        <w:rPr>
          <w:b/>
          <w:bCs/>
          <w:szCs w:val="24"/>
        </w:rPr>
      </w:pPr>
      <w:r w:rsidRPr="007C4E34">
        <w:rPr>
          <w:b/>
          <w:bCs/>
          <w:szCs w:val="24"/>
        </w:rPr>
        <w:t>BEFORE THE</w:t>
      </w:r>
    </w:p>
    <w:p w:rsidR="00E7599F" w:rsidRPr="007C4E34" w:rsidRDefault="00E7599F" w:rsidP="007C4E34">
      <w:pPr>
        <w:widowControl w:val="0"/>
        <w:spacing w:line="240" w:lineRule="auto"/>
        <w:jc w:val="center"/>
        <w:rPr>
          <w:b/>
          <w:bCs/>
          <w:szCs w:val="24"/>
        </w:rPr>
      </w:pPr>
      <w:r w:rsidRPr="007C4E34">
        <w:rPr>
          <w:b/>
          <w:bCs/>
          <w:szCs w:val="24"/>
        </w:rPr>
        <w:t>PENNSYLVANIA PUBLIC UTILITY COMMISSION</w:t>
      </w:r>
    </w:p>
    <w:p w:rsidR="00E7599F" w:rsidRPr="007C4E34" w:rsidRDefault="00E7599F" w:rsidP="007C4E34">
      <w:pPr>
        <w:widowControl w:val="0"/>
        <w:spacing w:line="240" w:lineRule="auto"/>
        <w:jc w:val="center"/>
        <w:rPr>
          <w:b/>
          <w:bCs/>
          <w:szCs w:val="24"/>
        </w:rPr>
      </w:pPr>
    </w:p>
    <w:p w:rsidR="00E7599F" w:rsidRPr="007C4E34" w:rsidRDefault="00E7599F" w:rsidP="007C4E34">
      <w:pPr>
        <w:widowControl w:val="0"/>
        <w:spacing w:line="240" w:lineRule="auto"/>
        <w:jc w:val="center"/>
        <w:rPr>
          <w:b/>
          <w:bCs/>
          <w:szCs w:val="24"/>
        </w:rPr>
      </w:pPr>
    </w:p>
    <w:p w:rsidR="007C4E34" w:rsidRPr="007C4E34" w:rsidRDefault="007C4E34" w:rsidP="007C4E34">
      <w:pPr>
        <w:widowControl w:val="0"/>
        <w:spacing w:line="240" w:lineRule="auto"/>
        <w:jc w:val="center"/>
        <w:rPr>
          <w:b/>
          <w:bCs/>
          <w:szCs w:val="24"/>
        </w:rPr>
      </w:pPr>
    </w:p>
    <w:p w:rsidR="00E7599F" w:rsidRPr="007C4E34" w:rsidRDefault="00E7599F" w:rsidP="007C4E34">
      <w:pPr>
        <w:widowControl w:val="0"/>
        <w:spacing w:line="240" w:lineRule="auto"/>
        <w:rPr>
          <w:bCs/>
          <w:szCs w:val="24"/>
        </w:rPr>
      </w:pPr>
      <w:r w:rsidRPr="007C4E34">
        <w:rPr>
          <w:bCs/>
          <w:szCs w:val="24"/>
        </w:rPr>
        <w:t>Petition of PPL Electric Utilities Corporation</w:t>
      </w:r>
      <w:r w:rsidRPr="007C4E34">
        <w:rPr>
          <w:bCs/>
          <w:szCs w:val="24"/>
        </w:rPr>
        <w:tab/>
        <w:t>:</w:t>
      </w:r>
    </w:p>
    <w:p w:rsidR="00E7599F" w:rsidRPr="007C4E34" w:rsidRDefault="00E7599F" w:rsidP="00522FE7">
      <w:pPr>
        <w:widowControl w:val="0"/>
        <w:tabs>
          <w:tab w:val="left" w:pos="5040"/>
        </w:tabs>
        <w:spacing w:line="240" w:lineRule="auto"/>
        <w:rPr>
          <w:bCs/>
          <w:szCs w:val="24"/>
        </w:rPr>
      </w:pPr>
      <w:r w:rsidRPr="007C4E34">
        <w:rPr>
          <w:bCs/>
          <w:szCs w:val="24"/>
        </w:rPr>
        <w:t>For Approva</w:t>
      </w:r>
      <w:r w:rsidR="00522FE7">
        <w:rPr>
          <w:bCs/>
          <w:szCs w:val="24"/>
        </w:rPr>
        <w:t>l to Implement a Reconciliation</w:t>
      </w:r>
      <w:r w:rsidR="00522FE7">
        <w:rPr>
          <w:bCs/>
          <w:szCs w:val="24"/>
        </w:rPr>
        <w:tab/>
      </w:r>
      <w:r w:rsidRPr="007C4E34">
        <w:rPr>
          <w:bCs/>
          <w:szCs w:val="24"/>
        </w:rPr>
        <w:t>:</w:t>
      </w:r>
      <w:r w:rsidRPr="007C4E34">
        <w:rPr>
          <w:bCs/>
          <w:szCs w:val="24"/>
        </w:rPr>
        <w:tab/>
      </w:r>
      <w:r w:rsidRPr="007C4E34">
        <w:rPr>
          <w:bCs/>
          <w:szCs w:val="24"/>
        </w:rPr>
        <w:tab/>
      </w:r>
      <w:r w:rsidR="00FC223B">
        <w:rPr>
          <w:bCs/>
          <w:szCs w:val="24"/>
        </w:rPr>
        <w:tab/>
      </w:r>
      <w:r w:rsidRPr="007C4E34">
        <w:rPr>
          <w:bCs/>
          <w:szCs w:val="24"/>
        </w:rPr>
        <w:t>P-2011-2256365</w:t>
      </w:r>
    </w:p>
    <w:p w:rsidR="00E7599F" w:rsidRPr="007C4E34" w:rsidRDefault="00E7599F" w:rsidP="007C4E34">
      <w:pPr>
        <w:widowControl w:val="0"/>
        <w:spacing w:line="240" w:lineRule="auto"/>
        <w:rPr>
          <w:bCs/>
          <w:szCs w:val="24"/>
        </w:rPr>
      </w:pPr>
      <w:r w:rsidRPr="007C4E34">
        <w:rPr>
          <w:bCs/>
          <w:szCs w:val="24"/>
        </w:rPr>
        <w:t>Rider for Default Supply Service</w:t>
      </w:r>
      <w:r w:rsidRPr="007C4E34">
        <w:rPr>
          <w:bCs/>
          <w:szCs w:val="24"/>
        </w:rPr>
        <w:tab/>
      </w:r>
      <w:r w:rsidRPr="007C4E34">
        <w:rPr>
          <w:bCs/>
          <w:szCs w:val="24"/>
        </w:rPr>
        <w:tab/>
      </w:r>
      <w:r w:rsidRPr="007C4E34">
        <w:rPr>
          <w:bCs/>
          <w:szCs w:val="24"/>
        </w:rPr>
        <w:tab/>
        <w:t>:</w:t>
      </w:r>
    </w:p>
    <w:p w:rsidR="00E7599F" w:rsidRPr="007C4E34" w:rsidRDefault="00E7599F" w:rsidP="007C4E34">
      <w:pPr>
        <w:widowControl w:val="0"/>
        <w:spacing w:line="240" w:lineRule="auto"/>
        <w:rPr>
          <w:bCs/>
          <w:szCs w:val="24"/>
        </w:rPr>
      </w:pPr>
    </w:p>
    <w:p w:rsidR="00E7599F" w:rsidRPr="007C4E34" w:rsidRDefault="00E7599F" w:rsidP="00E7599F">
      <w:pPr>
        <w:widowControl w:val="0"/>
        <w:spacing w:line="240" w:lineRule="auto"/>
        <w:rPr>
          <w:bCs/>
          <w:szCs w:val="24"/>
        </w:rPr>
      </w:pPr>
    </w:p>
    <w:p w:rsidR="00E7599F" w:rsidRPr="007C4E34" w:rsidRDefault="00E7599F" w:rsidP="00E7599F">
      <w:pPr>
        <w:widowControl w:val="0"/>
        <w:spacing w:line="240" w:lineRule="auto"/>
        <w:rPr>
          <w:bCs/>
          <w:szCs w:val="24"/>
        </w:rPr>
      </w:pPr>
    </w:p>
    <w:p w:rsidR="00E7599F" w:rsidRPr="0018435C" w:rsidRDefault="00E7599F" w:rsidP="007C4E34">
      <w:pPr>
        <w:spacing w:line="240" w:lineRule="auto"/>
        <w:jc w:val="center"/>
        <w:rPr>
          <w:b/>
          <w:szCs w:val="24"/>
          <w:u w:val="single"/>
        </w:rPr>
      </w:pPr>
      <w:r w:rsidRPr="0018435C">
        <w:rPr>
          <w:b/>
          <w:szCs w:val="24"/>
          <w:u w:val="single"/>
        </w:rPr>
        <w:t>RECOMMENDED DECISION</w:t>
      </w:r>
    </w:p>
    <w:p w:rsidR="007C4E34" w:rsidRPr="007C4E34" w:rsidRDefault="007C4E34" w:rsidP="007C4E34">
      <w:pPr>
        <w:spacing w:line="240" w:lineRule="auto"/>
        <w:jc w:val="center"/>
        <w:rPr>
          <w:b/>
          <w:szCs w:val="24"/>
        </w:rPr>
      </w:pPr>
    </w:p>
    <w:p w:rsidR="007C4E34" w:rsidRPr="007C4E34" w:rsidRDefault="007C4E34" w:rsidP="007C4E34">
      <w:pPr>
        <w:spacing w:line="240" w:lineRule="auto"/>
        <w:jc w:val="center"/>
        <w:rPr>
          <w:b/>
          <w:szCs w:val="24"/>
        </w:rPr>
      </w:pPr>
    </w:p>
    <w:p w:rsidR="00E7599F" w:rsidRPr="007C4E34" w:rsidRDefault="00E7599F" w:rsidP="007C4E34">
      <w:pPr>
        <w:spacing w:line="240" w:lineRule="auto"/>
        <w:contextualSpacing/>
        <w:jc w:val="center"/>
        <w:rPr>
          <w:szCs w:val="24"/>
        </w:rPr>
      </w:pPr>
      <w:r w:rsidRPr="007C4E34">
        <w:rPr>
          <w:szCs w:val="24"/>
        </w:rPr>
        <w:t>Before</w:t>
      </w:r>
    </w:p>
    <w:p w:rsidR="00E7599F" w:rsidRPr="007C4E34" w:rsidRDefault="00E7599F" w:rsidP="007C4E34">
      <w:pPr>
        <w:spacing w:line="240" w:lineRule="auto"/>
        <w:contextualSpacing/>
        <w:jc w:val="center"/>
        <w:rPr>
          <w:szCs w:val="24"/>
        </w:rPr>
      </w:pPr>
      <w:r w:rsidRPr="007C4E34">
        <w:rPr>
          <w:szCs w:val="24"/>
        </w:rPr>
        <w:t>Susan D. Colwell</w:t>
      </w:r>
    </w:p>
    <w:p w:rsidR="00E7599F" w:rsidRPr="007C4E34" w:rsidRDefault="00E7599F" w:rsidP="007C4E34">
      <w:pPr>
        <w:spacing w:line="240" w:lineRule="auto"/>
        <w:contextualSpacing/>
        <w:jc w:val="center"/>
        <w:rPr>
          <w:szCs w:val="24"/>
        </w:rPr>
      </w:pPr>
      <w:r w:rsidRPr="007C4E34">
        <w:rPr>
          <w:szCs w:val="24"/>
        </w:rPr>
        <w:t>Administrative Law Judge</w:t>
      </w:r>
    </w:p>
    <w:p w:rsidR="007C4E34" w:rsidRPr="007C4E34" w:rsidRDefault="007C4E34" w:rsidP="007C4E34">
      <w:pPr>
        <w:spacing w:line="240" w:lineRule="auto"/>
        <w:contextualSpacing/>
        <w:jc w:val="center"/>
        <w:rPr>
          <w:szCs w:val="24"/>
        </w:rPr>
      </w:pPr>
    </w:p>
    <w:p w:rsidR="00E7599F" w:rsidRPr="007C4E34" w:rsidRDefault="00E7599F" w:rsidP="007C4E34">
      <w:pPr>
        <w:spacing w:line="240" w:lineRule="auto"/>
        <w:jc w:val="center"/>
        <w:rPr>
          <w:szCs w:val="24"/>
        </w:rPr>
      </w:pPr>
    </w:p>
    <w:p w:rsidR="0018435C" w:rsidRDefault="0018435C" w:rsidP="0018435C">
      <w:pPr>
        <w:spacing w:line="240" w:lineRule="auto"/>
        <w:jc w:val="center"/>
        <w:rPr>
          <w:szCs w:val="24"/>
          <w:u w:val="single"/>
        </w:rPr>
        <w:sectPr w:rsidR="0018435C" w:rsidSect="00C763D7">
          <w:footerReference w:type="default" r:id="rId9"/>
          <w:footerReference w:type="first" r:id="rId10"/>
          <w:pgSz w:w="12240" w:h="15840"/>
          <w:pgMar w:top="1440" w:right="1440" w:bottom="1440" w:left="1440" w:header="720" w:footer="720" w:gutter="0"/>
          <w:cols w:space="720"/>
          <w:titlePg/>
          <w:docGrid w:linePitch="360"/>
        </w:sectPr>
      </w:pPr>
    </w:p>
    <w:p w:rsidR="0018435C" w:rsidRPr="0018435C" w:rsidRDefault="0018435C" w:rsidP="0018435C">
      <w:pPr>
        <w:spacing w:line="240" w:lineRule="auto"/>
        <w:jc w:val="center"/>
        <w:rPr>
          <w:b/>
          <w:szCs w:val="24"/>
        </w:rPr>
      </w:pPr>
      <w:r>
        <w:rPr>
          <w:szCs w:val="24"/>
          <w:u w:val="single"/>
        </w:rPr>
        <w:lastRenderedPageBreak/>
        <w:t>TABLE OF CONTENTS</w:t>
      </w:r>
    </w:p>
    <w:p w:rsidR="0018435C" w:rsidRDefault="0018435C" w:rsidP="0018435C">
      <w:pPr>
        <w:spacing w:line="240" w:lineRule="auto"/>
        <w:jc w:val="center"/>
        <w:rPr>
          <w:szCs w:val="24"/>
          <w:u w:val="single"/>
        </w:rPr>
      </w:pPr>
    </w:p>
    <w:p w:rsidR="0018435C" w:rsidRDefault="0018435C" w:rsidP="0018435C">
      <w:pPr>
        <w:spacing w:line="240" w:lineRule="auto"/>
        <w:jc w:val="center"/>
        <w:rPr>
          <w:szCs w:val="24"/>
          <w:u w:val="single"/>
        </w:rPr>
      </w:pPr>
    </w:p>
    <w:p w:rsidR="00A37C47" w:rsidRDefault="00A37C47">
      <w:pPr>
        <w:pStyle w:val="TOC1"/>
        <w:rPr>
          <w:rFonts w:asciiTheme="minorHAnsi" w:eastAsiaTheme="minorEastAsia" w:hAnsiTheme="minorHAnsi" w:cstheme="minorBidi"/>
          <w:noProof/>
          <w:sz w:val="22"/>
          <w:szCs w:val="22"/>
        </w:rPr>
      </w:pPr>
      <w:r>
        <w:rPr>
          <w:szCs w:val="24"/>
          <w:u w:val="single"/>
        </w:rPr>
        <w:fldChar w:fldCharType="begin"/>
      </w:r>
      <w:r>
        <w:rPr>
          <w:szCs w:val="24"/>
          <w:u w:val="single"/>
        </w:rPr>
        <w:instrText xml:space="preserve"> TOC \f \h \z </w:instrText>
      </w:r>
      <w:r>
        <w:rPr>
          <w:szCs w:val="24"/>
          <w:u w:val="single"/>
        </w:rPr>
        <w:fldChar w:fldCharType="separate"/>
      </w:r>
      <w:hyperlink w:anchor="_Toc320265358" w:history="1">
        <w:r w:rsidRPr="00A4499C">
          <w:rPr>
            <w:rStyle w:val="Hyperlink"/>
            <w:noProof/>
          </w:rPr>
          <w:t>I.</w:t>
        </w:r>
        <w:r>
          <w:rPr>
            <w:rFonts w:asciiTheme="minorHAnsi" w:eastAsiaTheme="minorEastAsia" w:hAnsiTheme="minorHAnsi" w:cstheme="minorBidi"/>
            <w:noProof/>
            <w:sz w:val="22"/>
            <w:szCs w:val="22"/>
          </w:rPr>
          <w:tab/>
        </w:r>
        <w:r w:rsidRPr="00A4499C">
          <w:rPr>
            <w:rStyle w:val="Hyperlink"/>
            <w:noProof/>
          </w:rPr>
          <w:t>HISTORY OF THE PROCEEDING</w:t>
        </w:r>
        <w:r>
          <w:rPr>
            <w:noProof/>
            <w:webHidden/>
          </w:rPr>
          <w:tab/>
        </w:r>
        <w:r>
          <w:rPr>
            <w:noProof/>
            <w:webHidden/>
          </w:rPr>
          <w:fldChar w:fldCharType="begin"/>
        </w:r>
        <w:r>
          <w:rPr>
            <w:noProof/>
            <w:webHidden/>
          </w:rPr>
          <w:instrText xml:space="preserve"> PAGEREF _Toc320265358 \h </w:instrText>
        </w:r>
        <w:r>
          <w:rPr>
            <w:noProof/>
            <w:webHidden/>
          </w:rPr>
        </w:r>
        <w:r>
          <w:rPr>
            <w:noProof/>
            <w:webHidden/>
          </w:rPr>
          <w:fldChar w:fldCharType="separate"/>
        </w:r>
        <w:r w:rsidR="007D6B90">
          <w:rPr>
            <w:noProof/>
            <w:webHidden/>
          </w:rPr>
          <w:t>1</w:t>
        </w:r>
        <w:r>
          <w:rPr>
            <w:noProof/>
            <w:webHidden/>
          </w:rPr>
          <w:fldChar w:fldCharType="end"/>
        </w:r>
      </w:hyperlink>
    </w:p>
    <w:p w:rsidR="00A37C47" w:rsidRDefault="002F46BE">
      <w:pPr>
        <w:pStyle w:val="TOC1"/>
        <w:rPr>
          <w:rFonts w:asciiTheme="minorHAnsi" w:eastAsiaTheme="minorEastAsia" w:hAnsiTheme="minorHAnsi" w:cstheme="minorBidi"/>
          <w:noProof/>
          <w:sz w:val="22"/>
          <w:szCs w:val="22"/>
        </w:rPr>
      </w:pPr>
      <w:hyperlink w:anchor="_Toc320265359" w:history="1">
        <w:r w:rsidR="00A37C47" w:rsidRPr="00A4499C">
          <w:rPr>
            <w:rStyle w:val="Hyperlink"/>
            <w:noProof/>
          </w:rPr>
          <w:t>II.</w:t>
        </w:r>
        <w:r w:rsidR="00A37C47">
          <w:rPr>
            <w:rFonts w:asciiTheme="minorHAnsi" w:eastAsiaTheme="minorEastAsia" w:hAnsiTheme="minorHAnsi" w:cstheme="minorBidi"/>
            <w:noProof/>
            <w:sz w:val="22"/>
            <w:szCs w:val="22"/>
          </w:rPr>
          <w:tab/>
        </w:r>
        <w:r w:rsidR="00A37C47" w:rsidRPr="00A4499C">
          <w:rPr>
            <w:rStyle w:val="Hyperlink"/>
            <w:noProof/>
          </w:rPr>
          <w:t>FINDINGS OF FACT</w:t>
        </w:r>
        <w:r w:rsidR="00A37C47">
          <w:rPr>
            <w:noProof/>
            <w:webHidden/>
          </w:rPr>
          <w:tab/>
        </w:r>
        <w:r w:rsidR="00A37C47">
          <w:rPr>
            <w:noProof/>
            <w:webHidden/>
          </w:rPr>
          <w:fldChar w:fldCharType="begin"/>
        </w:r>
        <w:r w:rsidR="00A37C47">
          <w:rPr>
            <w:noProof/>
            <w:webHidden/>
          </w:rPr>
          <w:instrText xml:space="preserve"> PAGEREF _Toc320265359 \h </w:instrText>
        </w:r>
        <w:r w:rsidR="00A37C47">
          <w:rPr>
            <w:noProof/>
            <w:webHidden/>
          </w:rPr>
        </w:r>
        <w:r w:rsidR="00A37C47">
          <w:rPr>
            <w:noProof/>
            <w:webHidden/>
          </w:rPr>
          <w:fldChar w:fldCharType="separate"/>
        </w:r>
        <w:r w:rsidR="007D6B90">
          <w:rPr>
            <w:noProof/>
            <w:webHidden/>
          </w:rPr>
          <w:t>3</w:t>
        </w:r>
        <w:r w:rsidR="00A37C47">
          <w:rPr>
            <w:noProof/>
            <w:webHidden/>
          </w:rPr>
          <w:fldChar w:fldCharType="end"/>
        </w:r>
      </w:hyperlink>
    </w:p>
    <w:p w:rsidR="00A37C47" w:rsidRDefault="002F46BE">
      <w:pPr>
        <w:pStyle w:val="TOC1"/>
        <w:rPr>
          <w:rFonts w:asciiTheme="minorHAnsi" w:eastAsiaTheme="minorEastAsia" w:hAnsiTheme="minorHAnsi" w:cstheme="minorBidi"/>
          <w:noProof/>
          <w:sz w:val="22"/>
          <w:szCs w:val="22"/>
        </w:rPr>
      </w:pPr>
      <w:hyperlink w:anchor="_Toc320265360" w:history="1">
        <w:r w:rsidR="00A37C47" w:rsidRPr="00A4499C">
          <w:rPr>
            <w:rStyle w:val="Hyperlink"/>
            <w:noProof/>
          </w:rPr>
          <w:t>III.</w:t>
        </w:r>
        <w:r w:rsidR="00A37C47">
          <w:rPr>
            <w:rFonts w:asciiTheme="minorHAnsi" w:eastAsiaTheme="minorEastAsia" w:hAnsiTheme="minorHAnsi" w:cstheme="minorBidi"/>
            <w:noProof/>
            <w:sz w:val="22"/>
            <w:szCs w:val="22"/>
          </w:rPr>
          <w:tab/>
        </w:r>
        <w:r w:rsidR="00A37C47" w:rsidRPr="00A4499C">
          <w:rPr>
            <w:rStyle w:val="Hyperlink"/>
            <w:noProof/>
          </w:rPr>
          <w:t>DISCUSSION</w:t>
        </w:r>
        <w:r w:rsidR="00A37C47">
          <w:rPr>
            <w:noProof/>
            <w:webHidden/>
          </w:rPr>
          <w:tab/>
        </w:r>
        <w:r w:rsidR="00A37C47">
          <w:rPr>
            <w:noProof/>
            <w:webHidden/>
          </w:rPr>
          <w:fldChar w:fldCharType="begin"/>
        </w:r>
        <w:r w:rsidR="00A37C47">
          <w:rPr>
            <w:noProof/>
            <w:webHidden/>
          </w:rPr>
          <w:instrText xml:space="preserve"> PAGEREF _Toc320265360 \h </w:instrText>
        </w:r>
        <w:r w:rsidR="00A37C47">
          <w:rPr>
            <w:noProof/>
            <w:webHidden/>
          </w:rPr>
        </w:r>
        <w:r w:rsidR="00A37C47">
          <w:rPr>
            <w:noProof/>
            <w:webHidden/>
          </w:rPr>
          <w:fldChar w:fldCharType="separate"/>
        </w:r>
        <w:r w:rsidR="007D6B90">
          <w:rPr>
            <w:noProof/>
            <w:webHidden/>
          </w:rPr>
          <w:t>11</w:t>
        </w:r>
        <w:r w:rsidR="00A37C47">
          <w:rPr>
            <w:noProof/>
            <w:webHidden/>
          </w:rPr>
          <w:fldChar w:fldCharType="end"/>
        </w:r>
      </w:hyperlink>
    </w:p>
    <w:p w:rsidR="00A37C47" w:rsidRDefault="002F46BE">
      <w:pPr>
        <w:pStyle w:val="TOC2"/>
        <w:rPr>
          <w:rFonts w:asciiTheme="minorHAnsi" w:eastAsiaTheme="minorEastAsia" w:hAnsiTheme="minorHAnsi" w:cstheme="minorBidi"/>
          <w:noProof/>
          <w:sz w:val="22"/>
          <w:szCs w:val="22"/>
        </w:rPr>
      </w:pPr>
      <w:hyperlink w:anchor="_Toc320265361" w:history="1">
        <w:r w:rsidR="00A37C47" w:rsidRPr="00A4499C">
          <w:rPr>
            <w:rStyle w:val="Hyperlink"/>
            <w:b/>
            <w:noProof/>
          </w:rPr>
          <w:t>A.</w:t>
        </w:r>
        <w:r w:rsidR="00A37C47">
          <w:rPr>
            <w:rFonts w:asciiTheme="minorHAnsi" w:eastAsiaTheme="minorEastAsia" w:hAnsiTheme="minorHAnsi" w:cstheme="minorBidi"/>
            <w:noProof/>
            <w:sz w:val="22"/>
            <w:szCs w:val="22"/>
          </w:rPr>
          <w:tab/>
        </w:r>
        <w:r w:rsidR="00A37C47" w:rsidRPr="00A4499C">
          <w:rPr>
            <w:rStyle w:val="Hyperlink"/>
            <w:b/>
            <w:noProof/>
          </w:rPr>
          <w:t>Burden of Proof</w:t>
        </w:r>
        <w:r w:rsidR="00A37C47">
          <w:rPr>
            <w:noProof/>
            <w:webHidden/>
          </w:rPr>
          <w:tab/>
        </w:r>
        <w:r w:rsidR="00A37C47">
          <w:rPr>
            <w:noProof/>
            <w:webHidden/>
          </w:rPr>
          <w:fldChar w:fldCharType="begin"/>
        </w:r>
        <w:r w:rsidR="00A37C47">
          <w:rPr>
            <w:noProof/>
            <w:webHidden/>
          </w:rPr>
          <w:instrText xml:space="preserve"> PAGEREF _Toc320265361 \h </w:instrText>
        </w:r>
        <w:r w:rsidR="00A37C47">
          <w:rPr>
            <w:noProof/>
            <w:webHidden/>
          </w:rPr>
        </w:r>
        <w:r w:rsidR="00A37C47">
          <w:rPr>
            <w:noProof/>
            <w:webHidden/>
          </w:rPr>
          <w:fldChar w:fldCharType="separate"/>
        </w:r>
        <w:r w:rsidR="007D6B90">
          <w:rPr>
            <w:noProof/>
            <w:webHidden/>
          </w:rPr>
          <w:t>11</w:t>
        </w:r>
        <w:r w:rsidR="00A37C47">
          <w:rPr>
            <w:noProof/>
            <w:webHidden/>
          </w:rPr>
          <w:fldChar w:fldCharType="end"/>
        </w:r>
      </w:hyperlink>
    </w:p>
    <w:p w:rsidR="00A37C47" w:rsidRDefault="002F46BE">
      <w:pPr>
        <w:pStyle w:val="TOC2"/>
        <w:rPr>
          <w:rFonts w:asciiTheme="minorHAnsi" w:eastAsiaTheme="minorEastAsia" w:hAnsiTheme="minorHAnsi" w:cstheme="minorBidi"/>
          <w:noProof/>
          <w:sz w:val="22"/>
          <w:szCs w:val="22"/>
        </w:rPr>
      </w:pPr>
      <w:hyperlink w:anchor="_Toc320265362" w:history="1">
        <w:r w:rsidR="00A37C47" w:rsidRPr="00A4499C">
          <w:rPr>
            <w:rStyle w:val="Hyperlink"/>
            <w:b/>
            <w:noProof/>
          </w:rPr>
          <w:t>B.</w:t>
        </w:r>
        <w:r w:rsidR="00A37C47">
          <w:rPr>
            <w:rFonts w:asciiTheme="minorHAnsi" w:eastAsiaTheme="minorEastAsia" w:hAnsiTheme="minorHAnsi" w:cstheme="minorBidi"/>
            <w:noProof/>
            <w:sz w:val="22"/>
            <w:szCs w:val="22"/>
          </w:rPr>
          <w:tab/>
        </w:r>
        <w:r w:rsidR="00A37C47" w:rsidRPr="00A4499C">
          <w:rPr>
            <w:rStyle w:val="Hyperlink"/>
            <w:b/>
            <w:noProof/>
          </w:rPr>
          <w:t>Events leading up to this Petition</w:t>
        </w:r>
        <w:r w:rsidR="00A37C47">
          <w:rPr>
            <w:noProof/>
            <w:webHidden/>
          </w:rPr>
          <w:tab/>
        </w:r>
        <w:r w:rsidR="00A37C47">
          <w:rPr>
            <w:noProof/>
            <w:webHidden/>
          </w:rPr>
          <w:fldChar w:fldCharType="begin"/>
        </w:r>
        <w:r w:rsidR="00A37C47">
          <w:rPr>
            <w:noProof/>
            <w:webHidden/>
          </w:rPr>
          <w:instrText xml:space="preserve"> PAGEREF _Toc320265362 \h </w:instrText>
        </w:r>
        <w:r w:rsidR="00A37C47">
          <w:rPr>
            <w:noProof/>
            <w:webHidden/>
          </w:rPr>
        </w:r>
        <w:r w:rsidR="00A37C47">
          <w:rPr>
            <w:noProof/>
            <w:webHidden/>
          </w:rPr>
          <w:fldChar w:fldCharType="separate"/>
        </w:r>
        <w:r w:rsidR="007D6B90">
          <w:rPr>
            <w:noProof/>
            <w:webHidden/>
          </w:rPr>
          <w:t>13</w:t>
        </w:r>
        <w:r w:rsidR="00A37C47">
          <w:rPr>
            <w:noProof/>
            <w:webHidden/>
          </w:rPr>
          <w:fldChar w:fldCharType="end"/>
        </w:r>
      </w:hyperlink>
    </w:p>
    <w:p w:rsidR="00A37C47" w:rsidRDefault="002F46BE">
      <w:pPr>
        <w:pStyle w:val="TOC2"/>
        <w:rPr>
          <w:rFonts w:asciiTheme="minorHAnsi" w:eastAsiaTheme="minorEastAsia" w:hAnsiTheme="minorHAnsi" w:cstheme="minorBidi"/>
          <w:noProof/>
          <w:sz w:val="22"/>
          <w:szCs w:val="22"/>
        </w:rPr>
      </w:pPr>
      <w:hyperlink w:anchor="_Toc320265363" w:history="1">
        <w:r w:rsidR="00A37C47" w:rsidRPr="00A4499C">
          <w:rPr>
            <w:rStyle w:val="Hyperlink"/>
            <w:b/>
            <w:noProof/>
          </w:rPr>
          <w:t>C.</w:t>
        </w:r>
        <w:r w:rsidR="00A37C47">
          <w:rPr>
            <w:rFonts w:asciiTheme="minorHAnsi" w:eastAsiaTheme="minorEastAsia" w:hAnsiTheme="minorHAnsi" w:cstheme="minorBidi"/>
            <w:noProof/>
            <w:sz w:val="22"/>
            <w:szCs w:val="22"/>
          </w:rPr>
          <w:tab/>
        </w:r>
        <w:r w:rsidR="00A37C47" w:rsidRPr="00A4499C">
          <w:rPr>
            <w:rStyle w:val="Hyperlink"/>
            <w:b/>
            <w:noProof/>
          </w:rPr>
          <w:t>Company Proposals</w:t>
        </w:r>
        <w:r w:rsidR="00A37C47">
          <w:rPr>
            <w:noProof/>
            <w:webHidden/>
          </w:rPr>
          <w:tab/>
        </w:r>
        <w:r w:rsidR="00A37C47">
          <w:rPr>
            <w:noProof/>
            <w:webHidden/>
          </w:rPr>
          <w:fldChar w:fldCharType="begin"/>
        </w:r>
        <w:r w:rsidR="00A37C47">
          <w:rPr>
            <w:noProof/>
            <w:webHidden/>
          </w:rPr>
          <w:instrText xml:space="preserve"> PAGEREF _Toc320265363 \h </w:instrText>
        </w:r>
        <w:r w:rsidR="00A37C47">
          <w:rPr>
            <w:noProof/>
            <w:webHidden/>
          </w:rPr>
        </w:r>
        <w:r w:rsidR="00A37C47">
          <w:rPr>
            <w:noProof/>
            <w:webHidden/>
          </w:rPr>
          <w:fldChar w:fldCharType="separate"/>
        </w:r>
        <w:r w:rsidR="007D6B90">
          <w:rPr>
            <w:noProof/>
            <w:webHidden/>
          </w:rPr>
          <w:t>17</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64" w:history="1">
        <w:r w:rsidR="00A37C47" w:rsidRPr="00A4499C">
          <w:rPr>
            <w:rStyle w:val="Hyperlink"/>
            <w:b/>
            <w:noProof/>
          </w:rPr>
          <w:t>1.</w:t>
        </w:r>
        <w:r w:rsidR="00A37C47">
          <w:rPr>
            <w:rFonts w:asciiTheme="minorHAnsi" w:eastAsiaTheme="minorEastAsia" w:hAnsiTheme="minorHAnsi" w:cstheme="minorBidi"/>
            <w:noProof/>
            <w:sz w:val="22"/>
            <w:szCs w:val="22"/>
          </w:rPr>
          <w:tab/>
        </w:r>
        <w:r w:rsidR="00A37C47" w:rsidRPr="00A4499C">
          <w:rPr>
            <w:rStyle w:val="Hyperlink"/>
            <w:b/>
            <w:noProof/>
          </w:rPr>
          <w:t>Reconciliation Rider</w:t>
        </w:r>
        <w:r w:rsidR="00A37C47">
          <w:rPr>
            <w:noProof/>
            <w:webHidden/>
          </w:rPr>
          <w:tab/>
        </w:r>
        <w:r w:rsidR="00A37C47">
          <w:rPr>
            <w:noProof/>
            <w:webHidden/>
          </w:rPr>
          <w:fldChar w:fldCharType="begin"/>
        </w:r>
        <w:r w:rsidR="00A37C47">
          <w:rPr>
            <w:noProof/>
            <w:webHidden/>
          </w:rPr>
          <w:instrText xml:space="preserve"> PAGEREF _Toc320265364 \h </w:instrText>
        </w:r>
        <w:r w:rsidR="00A37C47">
          <w:rPr>
            <w:noProof/>
            <w:webHidden/>
          </w:rPr>
        </w:r>
        <w:r w:rsidR="00A37C47">
          <w:rPr>
            <w:noProof/>
            <w:webHidden/>
          </w:rPr>
          <w:fldChar w:fldCharType="separate"/>
        </w:r>
        <w:r w:rsidR="007D6B90">
          <w:rPr>
            <w:noProof/>
            <w:webHidden/>
          </w:rPr>
          <w:t>18</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65" w:history="1">
        <w:r w:rsidR="00A37C47" w:rsidRPr="00A4499C">
          <w:rPr>
            <w:rStyle w:val="Hyperlink"/>
            <w:b/>
            <w:noProof/>
          </w:rPr>
          <w:t>a.</w:t>
        </w:r>
        <w:r w:rsidR="00A37C47">
          <w:rPr>
            <w:rFonts w:asciiTheme="minorHAnsi" w:eastAsiaTheme="minorEastAsia" w:hAnsiTheme="minorHAnsi" w:cstheme="minorBidi"/>
            <w:noProof/>
            <w:sz w:val="22"/>
            <w:szCs w:val="22"/>
          </w:rPr>
          <w:tab/>
        </w:r>
        <w:r w:rsidR="00A37C47" w:rsidRPr="00A4499C">
          <w:rPr>
            <w:rStyle w:val="Hyperlink"/>
            <w:b/>
            <w:noProof/>
          </w:rPr>
          <w:t>Description</w:t>
        </w:r>
        <w:r w:rsidR="00A37C47">
          <w:rPr>
            <w:noProof/>
            <w:webHidden/>
          </w:rPr>
          <w:tab/>
        </w:r>
        <w:r w:rsidR="00A37C47">
          <w:rPr>
            <w:noProof/>
            <w:webHidden/>
          </w:rPr>
          <w:fldChar w:fldCharType="begin"/>
        </w:r>
        <w:r w:rsidR="00A37C47">
          <w:rPr>
            <w:noProof/>
            <w:webHidden/>
          </w:rPr>
          <w:instrText xml:space="preserve"> PAGEREF _Toc320265365 \h </w:instrText>
        </w:r>
        <w:r w:rsidR="00A37C47">
          <w:rPr>
            <w:noProof/>
            <w:webHidden/>
          </w:rPr>
        </w:r>
        <w:r w:rsidR="00A37C47">
          <w:rPr>
            <w:noProof/>
            <w:webHidden/>
          </w:rPr>
          <w:fldChar w:fldCharType="separate"/>
        </w:r>
        <w:r w:rsidR="007D6B90">
          <w:rPr>
            <w:noProof/>
            <w:webHidden/>
          </w:rPr>
          <w:t>18</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66" w:history="1">
        <w:r w:rsidR="00A37C47" w:rsidRPr="00A4499C">
          <w:rPr>
            <w:rStyle w:val="Hyperlink"/>
            <w:b/>
            <w:noProof/>
          </w:rPr>
          <w:t>b.</w:t>
        </w:r>
        <w:r w:rsidR="00A37C47">
          <w:rPr>
            <w:rFonts w:asciiTheme="minorHAnsi" w:eastAsiaTheme="minorEastAsia" w:hAnsiTheme="minorHAnsi" w:cstheme="minorBidi"/>
            <w:noProof/>
            <w:sz w:val="22"/>
            <w:szCs w:val="22"/>
          </w:rPr>
          <w:tab/>
        </w:r>
        <w:r w:rsidR="00A37C47" w:rsidRPr="00A4499C">
          <w:rPr>
            <w:rStyle w:val="Hyperlink"/>
            <w:b/>
            <w:noProof/>
          </w:rPr>
          <w:t>Party Positions</w:t>
        </w:r>
        <w:r w:rsidR="00A37C47">
          <w:rPr>
            <w:noProof/>
            <w:webHidden/>
          </w:rPr>
          <w:tab/>
        </w:r>
        <w:r w:rsidR="00A37C47">
          <w:rPr>
            <w:noProof/>
            <w:webHidden/>
          </w:rPr>
          <w:fldChar w:fldCharType="begin"/>
        </w:r>
        <w:r w:rsidR="00A37C47">
          <w:rPr>
            <w:noProof/>
            <w:webHidden/>
          </w:rPr>
          <w:instrText xml:space="preserve"> PAGEREF _Toc320265366 \h </w:instrText>
        </w:r>
        <w:r w:rsidR="00A37C47">
          <w:rPr>
            <w:noProof/>
            <w:webHidden/>
          </w:rPr>
        </w:r>
        <w:r w:rsidR="00A37C47">
          <w:rPr>
            <w:noProof/>
            <w:webHidden/>
          </w:rPr>
          <w:fldChar w:fldCharType="separate"/>
        </w:r>
        <w:r w:rsidR="007D6B90">
          <w:rPr>
            <w:noProof/>
            <w:webHidden/>
          </w:rPr>
          <w:t>20</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67" w:history="1">
        <w:r w:rsidR="00A37C47" w:rsidRPr="00A4499C">
          <w:rPr>
            <w:rStyle w:val="Hyperlink"/>
            <w:b/>
            <w:noProof/>
          </w:rPr>
          <w:t>c.</w:t>
        </w:r>
        <w:r w:rsidR="00A37C47">
          <w:rPr>
            <w:rFonts w:asciiTheme="minorHAnsi" w:eastAsiaTheme="minorEastAsia" w:hAnsiTheme="minorHAnsi" w:cstheme="minorBidi"/>
            <w:noProof/>
            <w:sz w:val="22"/>
            <w:szCs w:val="22"/>
          </w:rPr>
          <w:tab/>
        </w:r>
        <w:r w:rsidR="00A37C47" w:rsidRPr="00A4499C">
          <w:rPr>
            <w:rStyle w:val="Hyperlink"/>
            <w:b/>
            <w:noProof/>
          </w:rPr>
          <w:t>Recommendation</w:t>
        </w:r>
        <w:r w:rsidR="00A37C47">
          <w:rPr>
            <w:noProof/>
            <w:webHidden/>
          </w:rPr>
          <w:tab/>
        </w:r>
        <w:r w:rsidR="00A37C47">
          <w:rPr>
            <w:noProof/>
            <w:webHidden/>
          </w:rPr>
          <w:fldChar w:fldCharType="begin"/>
        </w:r>
        <w:r w:rsidR="00A37C47">
          <w:rPr>
            <w:noProof/>
            <w:webHidden/>
          </w:rPr>
          <w:instrText xml:space="preserve"> PAGEREF _Toc320265367 \h </w:instrText>
        </w:r>
        <w:r w:rsidR="00A37C47">
          <w:rPr>
            <w:noProof/>
            <w:webHidden/>
          </w:rPr>
        </w:r>
        <w:r w:rsidR="00A37C47">
          <w:rPr>
            <w:noProof/>
            <w:webHidden/>
          </w:rPr>
          <w:fldChar w:fldCharType="separate"/>
        </w:r>
        <w:r w:rsidR="007D6B90">
          <w:rPr>
            <w:noProof/>
            <w:webHidden/>
          </w:rPr>
          <w:t>29</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68" w:history="1">
        <w:r w:rsidR="00A37C47" w:rsidRPr="00A4499C">
          <w:rPr>
            <w:rStyle w:val="Hyperlink"/>
            <w:b/>
            <w:noProof/>
          </w:rPr>
          <w:t>2.</w:t>
        </w:r>
        <w:r w:rsidR="00A37C47">
          <w:rPr>
            <w:rFonts w:asciiTheme="minorHAnsi" w:eastAsiaTheme="minorEastAsia" w:hAnsiTheme="minorHAnsi" w:cstheme="minorBidi"/>
            <w:noProof/>
            <w:sz w:val="22"/>
            <w:szCs w:val="22"/>
          </w:rPr>
          <w:tab/>
        </w:r>
        <w:r w:rsidR="00A37C47" w:rsidRPr="00A4499C">
          <w:rPr>
            <w:rStyle w:val="Hyperlink"/>
            <w:b/>
            <w:noProof/>
          </w:rPr>
          <w:t>Competitive Transition Rider</w:t>
        </w:r>
        <w:r w:rsidR="00A37C47">
          <w:rPr>
            <w:noProof/>
            <w:webHidden/>
          </w:rPr>
          <w:tab/>
        </w:r>
        <w:r w:rsidR="00A37C47">
          <w:rPr>
            <w:noProof/>
            <w:webHidden/>
          </w:rPr>
          <w:fldChar w:fldCharType="begin"/>
        </w:r>
        <w:r w:rsidR="00A37C47">
          <w:rPr>
            <w:noProof/>
            <w:webHidden/>
          </w:rPr>
          <w:instrText xml:space="preserve"> PAGEREF _Toc320265368 \h </w:instrText>
        </w:r>
        <w:r w:rsidR="00A37C47">
          <w:rPr>
            <w:noProof/>
            <w:webHidden/>
          </w:rPr>
        </w:r>
        <w:r w:rsidR="00A37C47">
          <w:rPr>
            <w:noProof/>
            <w:webHidden/>
          </w:rPr>
          <w:fldChar w:fldCharType="separate"/>
        </w:r>
        <w:r w:rsidR="007D6B90">
          <w:rPr>
            <w:noProof/>
            <w:webHidden/>
          </w:rPr>
          <w:t>36</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69" w:history="1">
        <w:r w:rsidR="00A37C47" w:rsidRPr="00A4499C">
          <w:rPr>
            <w:rStyle w:val="Hyperlink"/>
            <w:b/>
            <w:noProof/>
          </w:rPr>
          <w:t>a.</w:t>
        </w:r>
        <w:r w:rsidR="00A37C47">
          <w:rPr>
            <w:rFonts w:asciiTheme="minorHAnsi" w:eastAsiaTheme="minorEastAsia" w:hAnsiTheme="minorHAnsi" w:cstheme="minorBidi"/>
            <w:noProof/>
            <w:sz w:val="22"/>
            <w:szCs w:val="22"/>
          </w:rPr>
          <w:tab/>
        </w:r>
        <w:r w:rsidR="00A37C47" w:rsidRPr="00A4499C">
          <w:rPr>
            <w:rStyle w:val="Hyperlink"/>
            <w:b/>
            <w:noProof/>
          </w:rPr>
          <w:t>Description</w:t>
        </w:r>
        <w:r w:rsidR="00A37C47">
          <w:rPr>
            <w:noProof/>
            <w:webHidden/>
          </w:rPr>
          <w:tab/>
        </w:r>
        <w:r w:rsidR="00A37C47">
          <w:rPr>
            <w:noProof/>
            <w:webHidden/>
          </w:rPr>
          <w:fldChar w:fldCharType="begin"/>
        </w:r>
        <w:r w:rsidR="00A37C47">
          <w:rPr>
            <w:noProof/>
            <w:webHidden/>
          </w:rPr>
          <w:instrText xml:space="preserve"> PAGEREF _Toc320265369 \h </w:instrText>
        </w:r>
        <w:r w:rsidR="00A37C47">
          <w:rPr>
            <w:noProof/>
            <w:webHidden/>
          </w:rPr>
        </w:r>
        <w:r w:rsidR="00A37C47">
          <w:rPr>
            <w:noProof/>
            <w:webHidden/>
          </w:rPr>
          <w:fldChar w:fldCharType="separate"/>
        </w:r>
        <w:r w:rsidR="007D6B90">
          <w:rPr>
            <w:noProof/>
            <w:webHidden/>
          </w:rPr>
          <w:t>36</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0" w:history="1">
        <w:r w:rsidR="00A37C47" w:rsidRPr="00A4499C">
          <w:rPr>
            <w:rStyle w:val="Hyperlink"/>
            <w:b/>
            <w:noProof/>
          </w:rPr>
          <w:t>b.</w:t>
        </w:r>
        <w:r w:rsidR="00A37C47">
          <w:rPr>
            <w:rFonts w:asciiTheme="minorHAnsi" w:eastAsiaTheme="minorEastAsia" w:hAnsiTheme="minorHAnsi" w:cstheme="minorBidi"/>
            <w:noProof/>
            <w:sz w:val="22"/>
            <w:szCs w:val="22"/>
          </w:rPr>
          <w:tab/>
        </w:r>
        <w:r w:rsidR="00A37C47" w:rsidRPr="00A4499C">
          <w:rPr>
            <w:rStyle w:val="Hyperlink"/>
            <w:b/>
            <w:noProof/>
          </w:rPr>
          <w:t>Party positions</w:t>
        </w:r>
        <w:r w:rsidR="00A37C47">
          <w:rPr>
            <w:noProof/>
            <w:webHidden/>
          </w:rPr>
          <w:tab/>
        </w:r>
        <w:r w:rsidR="00A37C47">
          <w:rPr>
            <w:noProof/>
            <w:webHidden/>
          </w:rPr>
          <w:fldChar w:fldCharType="begin"/>
        </w:r>
        <w:r w:rsidR="00A37C47">
          <w:rPr>
            <w:noProof/>
            <w:webHidden/>
          </w:rPr>
          <w:instrText xml:space="preserve"> PAGEREF _Toc320265370 \h </w:instrText>
        </w:r>
        <w:r w:rsidR="00A37C47">
          <w:rPr>
            <w:noProof/>
            <w:webHidden/>
          </w:rPr>
        </w:r>
        <w:r w:rsidR="00A37C47">
          <w:rPr>
            <w:noProof/>
            <w:webHidden/>
          </w:rPr>
          <w:fldChar w:fldCharType="separate"/>
        </w:r>
        <w:r w:rsidR="007D6B90">
          <w:rPr>
            <w:noProof/>
            <w:webHidden/>
          </w:rPr>
          <w:t>37</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1" w:history="1">
        <w:r w:rsidR="00A37C47" w:rsidRPr="00A4499C">
          <w:rPr>
            <w:rStyle w:val="Hyperlink"/>
            <w:b/>
            <w:noProof/>
          </w:rPr>
          <w:t>c.</w:t>
        </w:r>
        <w:r w:rsidR="00A37C47">
          <w:rPr>
            <w:rFonts w:asciiTheme="minorHAnsi" w:eastAsiaTheme="minorEastAsia" w:hAnsiTheme="minorHAnsi" w:cstheme="minorBidi"/>
            <w:noProof/>
            <w:sz w:val="22"/>
            <w:szCs w:val="22"/>
          </w:rPr>
          <w:tab/>
        </w:r>
        <w:r w:rsidR="00A37C47" w:rsidRPr="00A4499C">
          <w:rPr>
            <w:rStyle w:val="Hyperlink"/>
            <w:b/>
            <w:noProof/>
          </w:rPr>
          <w:t>Recommendation</w:t>
        </w:r>
        <w:r w:rsidR="00A37C47">
          <w:rPr>
            <w:noProof/>
            <w:webHidden/>
          </w:rPr>
          <w:tab/>
        </w:r>
        <w:r w:rsidR="00A37C47">
          <w:rPr>
            <w:noProof/>
            <w:webHidden/>
          </w:rPr>
          <w:fldChar w:fldCharType="begin"/>
        </w:r>
        <w:r w:rsidR="00A37C47">
          <w:rPr>
            <w:noProof/>
            <w:webHidden/>
          </w:rPr>
          <w:instrText xml:space="preserve"> PAGEREF _Toc320265371 \h </w:instrText>
        </w:r>
        <w:r w:rsidR="00A37C47">
          <w:rPr>
            <w:noProof/>
            <w:webHidden/>
          </w:rPr>
        </w:r>
        <w:r w:rsidR="00A37C47">
          <w:rPr>
            <w:noProof/>
            <w:webHidden/>
          </w:rPr>
          <w:fldChar w:fldCharType="separate"/>
        </w:r>
        <w:r w:rsidR="007D6B90">
          <w:rPr>
            <w:noProof/>
            <w:webHidden/>
          </w:rPr>
          <w:t>42</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72" w:history="1">
        <w:r w:rsidR="00A37C47" w:rsidRPr="00A4499C">
          <w:rPr>
            <w:rStyle w:val="Hyperlink"/>
            <w:b/>
            <w:noProof/>
          </w:rPr>
          <w:t>3.</w:t>
        </w:r>
        <w:r w:rsidR="00A37C47">
          <w:rPr>
            <w:rFonts w:asciiTheme="minorHAnsi" w:eastAsiaTheme="minorEastAsia" w:hAnsiTheme="minorHAnsi" w:cstheme="minorBidi"/>
            <w:noProof/>
            <w:sz w:val="22"/>
            <w:szCs w:val="22"/>
          </w:rPr>
          <w:tab/>
        </w:r>
        <w:r w:rsidR="00A37C47" w:rsidRPr="00A4499C">
          <w:rPr>
            <w:rStyle w:val="Hyperlink"/>
            <w:b/>
            <w:noProof/>
          </w:rPr>
          <w:t>Inclusion of the Residential and Small C&amp;I TOU program over and under collections in the RR and CTR rates applicable to the respective Residential and Small C&amp;I customer classes</w:t>
        </w:r>
        <w:r w:rsidR="00A37C47">
          <w:rPr>
            <w:noProof/>
            <w:webHidden/>
          </w:rPr>
          <w:tab/>
        </w:r>
        <w:r w:rsidR="00A37C47">
          <w:rPr>
            <w:noProof/>
            <w:webHidden/>
          </w:rPr>
          <w:fldChar w:fldCharType="begin"/>
        </w:r>
        <w:r w:rsidR="00A37C47">
          <w:rPr>
            <w:noProof/>
            <w:webHidden/>
          </w:rPr>
          <w:instrText xml:space="preserve"> PAGEREF _Toc320265372 \h </w:instrText>
        </w:r>
        <w:r w:rsidR="00A37C47">
          <w:rPr>
            <w:noProof/>
            <w:webHidden/>
          </w:rPr>
        </w:r>
        <w:r w:rsidR="00A37C47">
          <w:rPr>
            <w:noProof/>
            <w:webHidden/>
          </w:rPr>
          <w:fldChar w:fldCharType="separate"/>
        </w:r>
        <w:r w:rsidR="007D6B90">
          <w:rPr>
            <w:noProof/>
            <w:webHidden/>
          </w:rPr>
          <w:t>43</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3" w:history="1">
        <w:r w:rsidR="00A37C47" w:rsidRPr="00A4499C">
          <w:rPr>
            <w:rStyle w:val="Hyperlink"/>
            <w:b/>
            <w:noProof/>
          </w:rPr>
          <w:t>a.</w:t>
        </w:r>
        <w:r w:rsidR="00A37C47">
          <w:rPr>
            <w:rFonts w:asciiTheme="minorHAnsi" w:eastAsiaTheme="minorEastAsia" w:hAnsiTheme="minorHAnsi" w:cstheme="minorBidi"/>
            <w:noProof/>
            <w:sz w:val="22"/>
            <w:szCs w:val="22"/>
          </w:rPr>
          <w:tab/>
        </w:r>
        <w:r w:rsidR="00A37C47" w:rsidRPr="00A4499C">
          <w:rPr>
            <w:rStyle w:val="Hyperlink"/>
            <w:b/>
            <w:noProof/>
          </w:rPr>
          <w:t>Description</w:t>
        </w:r>
        <w:r w:rsidR="00A37C47">
          <w:rPr>
            <w:noProof/>
            <w:webHidden/>
          </w:rPr>
          <w:tab/>
        </w:r>
        <w:r w:rsidR="00A37C47">
          <w:rPr>
            <w:noProof/>
            <w:webHidden/>
          </w:rPr>
          <w:fldChar w:fldCharType="begin"/>
        </w:r>
        <w:r w:rsidR="00A37C47">
          <w:rPr>
            <w:noProof/>
            <w:webHidden/>
          </w:rPr>
          <w:instrText xml:space="preserve"> PAGEREF _Toc320265373 \h </w:instrText>
        </w:r>
        <w:r w:rsidR="00A37C47">
          <w:rPr>
            <w:noProof/>
            <w:webHidden/>
          </w:rPr>
        </w:r>
        <w:r w:rsidR="00A37C47">
          <w:rPr>
            <w:noProof/>
            <w:webHidden/>
          </w:rPr>
          <w:fldChar w:fldCharType="separate"/>
        </w:r>
        <w:r w:rsidR="007D6B90">
          <w:rPr>
            <w:noProof/>
            <w:webHidden/>
          </w:rPr>
          <w:t>43</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4" w:history="1">
        <w:r w:rsidR="00A37C47" w:rsidRPr="00A4499C">
          <w:rPr>
            <w:rStyle w:val="Hyperlink"/>
            <w:b/>
            <w:noProof/>
          </w:rPr>
          <w:t>b.</w:t>
        </w:r>
        <w:r w:rsidR="00A37C47">
          <w:rPr>
            <w:rFonts w:asciiTheme="minorHAnsi" w:eastAsiaTheme="minorEastAsia" w:hAnsiTheme="minorHAnsi" w:cstheme="minorBidi"/>
            <w:noProof/>
            <w:sz w:val="22"/>
            <w:szCs w:val="22"/>
          </w:rPr>
          <w:tab/>
        </w:r>
        <w:r w:rsidR="00A37C47" w:rsidRPr="00A4499C">
          <w:rPr>
            <w:rStyle w:val="Hyperlink"/>
            <w:b/>
            <w:noProof/>
          </w:rPr>
          <w:t>Party positions</w:t>
        </w:r>
        <w:r w:rsidR="00A37C47">
          <w:rPr>
            <w:noProof/>
            <w:webHidden/>
          </w:rPr>
          <w:tab/>
        </w:r>
        <w:r w:rsidR="00A37C47">
          <w:rPr>
            <w:noProof/>
            <w:webHidden/>
          </w:rPr>
          <w:fldChar w:fldCharType="begin"/>
        </w:r>
        <w:r w:rsidR="00A37C47">
          <w:rPr>
            <w:noProof/>
            <w:webHidden/>
          </w:rPr>
          <w:instrText xml:space="preserve"> PAGEREF _Toc320265374 \h </w:instrText>
        </w:r>
        <w:r w:rsidR="00A37C47">
          <w:rPr>
            <w:noProof/>
            <w:webHidden/>
          </w:rPr>
        </w:r>
        <w:r w:rsidR="00A37C47">
          <w:rPr>
            <w:noProof/>
            <w:webHidden/>
          </w:rPr>
          <w:fldChar w:fldCharType="separate"/>
        </w:r>
        <w:r w:rsidR="007D6B90">
          <w:rPr>
            <w:noProof/>
            <w:webHidden/>
          </w:rPr>
          <w:t>44</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5" w:history="1">
        <w:r w:rsidR="00A37C47" w:rsidRPr="00A4499C">
          <w:rPr>
            <w:rStyle w:val="Hyperlink"/>
            <w:b/>
            <w:noProof/>
          </w:rPr>
          <w:t>c.</w:t>
        </w:r>
        <w:r w:rsidR="00A37C47">
          <w:rPr>
            <w:rFonts w:asciiTheme="minorHAnsi" w:eastAsiaTheme="minorEastAsia" w:hAnsiTheme="minorHAnsi" w:cstheme="minorBidi"/>
            <w:noProof/>
            <w:sz w:val="22"/>
            <w:szCs w:val="22"/>
          </w:rPr>
          <w:tab/>
        </w:r>
        <w:r w:rsidR="00A37C47" w:rsidRPr="00A4499C">
          <w:rPr>
            <w:rStyle w:val="Hyperlink"/>
            <w:b/>
            <w:noProof/>
          </w:rPr>
          <w:t>Recommendation</w:t>
        </w:r>
        <w:r w:rsidR="00A37C47">
          <w:rPr>
            <w:noProof/>
            <w:webHidden/>
          </w:rPr>
          <w:tab/>
        </w:r>
        <w:r w:rsidR="00A37C47">
          <w:rPr>
            <w:noProof/>
            <w:webHidden/>
          </w:rPr>
          <w:fldChar w:fldCharType="begin"/>
        </w:r>
        <w:r w:rsidR="00A37C47">
          <w:rPr>
            <w:noProof/>
            <w:webHidden/>
          </w:rPr>
          <w:instrText xml:space="preserve"> PAGEREF _Toc320265375 \h </w:instrText>
        </w:r>
        <w:r w:rsidR="00A37C47">
          <w:rPr>
            <w:noProof/>
            <w:webHidden/>
          </w:rPr>
        </w:r>
        <w:r w:rsidR="00A37C47">
          <w:rPr>
            <w:noProof/>
            <w:webHidden/>
          </w:rPr>
          <w:fldChar w:fldCharType="separate"/>
        </w:r>
        <w:r w:rsidR="007D6B90">
          <w:rPr>
            <w:noProof/>
            <w:webHidden/>
          </w:rPr>
          <w:t>46</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76" w:history="1">
        <w:r w:rsidR="00A37C47" w:rsidRPr="00A4499C">
          <w:rPr>
            <w:rStyle w:val="Hyperlink"/>
            <w:b/>
            <w:noProof/>
          </w:rPr>
          <w:t>4.</w:t>
        </w:r>
        <w:r w:rsidR="00A37C47">
          <w:rPr>
            <w:rFonts w:asciiTheme="minorHAnsi" w:eastAsiaTheme="minorEastAsia" w:hAnsiTheme="minorHAnsi" w:cstheme="minorBidi"/>
            <w:noProof/>
            <w:sz w:val="22"/>
            <w:szCs w:val="22"/>
          </w:rPr>
          <w:tab/>
        </w:r>
        <w:r w:rsidR="00A37C47" w:rsidRPr="00A4499C">
          <w:rPr>
            <w:rStyle w:val="Hyperlink"/>
            <w:b/>
            <w:noProof/>
          </w:rPr>
          <w:t>Ability to net the over and under collections of the respective GSC-1 and GSC-2 with the TSC reconciliations for each customer class</w:t>
        </w:r>
        <w:r w:rsidR="00A37C47">
          <w:rPr>
            <w:noProof/>
            <w:webHidden/>
          </w:rPr>
          <w:tab/>
        </w:r>
        <w:r w:rsidR="00A37C47">
          <w:rPr>
            <w:noProof/>
            <w:webHidden/>
          </w:rPr>
          <w:fldChar w:fldCharType="begin"/>
        </w:r>
        <w:r w:rsidR="00A37C47">
          <w:rPr>
            <w:noProof/>
            <w:webHidden/>
          </w:rPr>
          <w:instrText xml:space="preserve"> PAGEREF _Toc320265376 \h </w:instrText>
        </w:r>
        <w:r w:rsidR="00A37C47">
          <w:rPr>
            <w:noProof/>
            <w:webHidden/>
          </w:rPr>
        </w:r>
        <w:r w:rsidR="00A37C47">
          <w:rPr>
            <w:noProof/>
            <w:webHidden/>
          </w:rPr>
          <w:fldChar w:fldCharType="separate"/>
        </w:r>
        <w:r w:rsidR="007D6B90">
          <w:rPr>
            <w:noProof/>
            <w:webHidden/>
          </w:rPr>
          <w:t>49</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7" w:history="1">
        <w:r w:rsidR="00A37C47" w:rsidRPr="00A4499C">
          <w:rPr>
            <w:rStyle w:val="Hyperlink"/>
            <w:b/>
            <w:noProof/>
          </w:rPr>
          <w:t>Description</w:t>
        </w:r>
        <w:r w:rsidR="00A37C47">
          <w:rPr>
            <w:noProof/>
            <w:webHidden/>
          </w:rPr>
          <w:tab/>
        </w:r>
        <w:r w:rsidR="00A37C47">
          <w:rPr>
            <w:noProof/>
            <w:webHidden/>
          </w:rPr>
          <w:fldChar w:fldCharType="begin"/>
        </w:r>
        <w:r w:rsidR="00A37C47">
          <w:rPr>
            <w:noProof/>
            <w:webHidden/>
          </w:rPr>
          <w:instrText xml:space="preserve"> PAGEREF _Toc320265377 \h </w:instrText>
        </w:r>
        <w:r w:rsidR="00A37C47">
          <w:rPr>
            <w:noProof/>
            <w:webHidden/>
          </w:rPr>
        </w:r>
        <w:r w:rsidR="00A37C47">
          <w:rPr>
            <w:noProof/>
            <w:webHidden/>
          </w:rPr>
          <w:fldChar w:fldCharType="separate"/>
        </w:r>
        <w:r w:rsidR="007D6B90">
          <w:rPr>
            <w:noProof/>
            <w:webHidden/>
          </w:rPr>
          <w:t>49</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78" w:history="1">
        <w:r w:rsidR="00A37C47" w:rsidRPr="00A4499C">
          <w:rPr>
            <w:rStyle w:val="Hyperlink"/>
            <w:b/>
            <w:noProof/>
          </w:rPr>
          <w:t>5.</w:t>
        </w:r>
        <w:r w:rsidR="00A37C47">
          <w:rPr>
            <w:rFonts w:asciiTheme="minorHAnsi" w:eastAsiaTheme="minorEastAsia" w:hAnsiTheme="minorHAnsi" w:cstheme="minorBidi"/>
            <w:noProof/>
            <w:sz w:val="22"/>
            <w:szCs w:val="22"/>
          </w:rPr>
          <w:tab/>
        </w:r>
        <w:r w:rsidR="00A37C47" w:rsidRPr="00A4499C">
          <w:rPr>
            <w:rStyle w:val="Hyperlink"/>
            <w:b/>
            <w:noProof/>
          </w:rPr>
          <w:t>Modification of the provisions of the GSC-1 to permit reconciliation on an annual PJM Planning Year basis.</w:t>
        </w:r>
        <w:r w:rsidR="00A37C47">
          <w:rPr>
            <w:noProof/>
            <w:webHidden/>
          </w:rPr>
          <w:tab/>
        </w:r>
        <w:r w:rsidR="00A37C47">
          <w:rPr>
            <w:noProof/>
            <w:webHidden/>
          </w:rPr>
          <w:fldChar w:fldCharType="begin"/>
        </w:r>
        <w:r w:rsidR="00A37C47">
          <w:rPr>
            <w:noProof/>
            <w:webHidden/>
          </w:rPr>
          <w:instrText xml:space="preserve"> PAGEREF _Toc320265378 \h </w:instrText>
        </w:r>
        <w:r w:rsidR="00A37C47">
          <w:rPr>
            <w:noProof/>
            <w:webHidden/>
          </w:rPr>
        </w:r>
        <w:r w:rsidR="00A37C47">
          <w:rPr>
            <w:noProof/>
            <w:webHidden/>
          </w:rPr>
          <w:fldChar w:fldCharType="separate"/>
        </w:r>
        <w:r w:rsidR="007D6B90">
          <w:rPr>
            <w:noProof/>
            <w:webHidden/>
          </w:rPr>
          <w:t>50</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79" w:history="1">
        <w:r w:rsidR="00A37C47" w:rsidRPr="00A4499C">
          <w:rPr>
            <w:rStyle w:val="Hyperlink"/>
            <w:b/>
            <w:noProof/>
          </w:rPr>
          <w:t>a.</w:t>
        </w:r>
        <w:r w:rsidR="00A37C47">
          <w:rPr>
            <w:rFonts w:asciiTheme="minorHAnsi" w:eastAsiaTheme="minorEastAsia" w:hAnsiTheme="minorHAnsi" w:cstheme="minorBidi"/>
            <w:noProof/>
            <w:sz w:val="22"/>
            <w:szCs w:val="22"/>
          </w:rPr>
          <w:tab/>
        </w:r>
        <w:r w:rsidR="00A37C47" w:rsidRPr="00A4499C">
          <w:rPr>
            <w:rStyle w:val="Hyperlink"/>
            <w:b/>
            <w:noProof/>
          </w:rPr>
          <w:t>Description</w:t>
        </w:r>
        <w:r w:rsidR="00A37C47">
          <w:rPr>
            <w:noProof/>
            <w:webHidden/>
          </w:rPr>
          <w:tab/>
        </w:r>
        <w:r w:rsidR="00A37C47">
          <w:rPr>
            <w:noProof/>
            <w:webHidden/>
          </w:rPr>
          <w:fldChar w:fldCharType="begin"/>
        </w:r>
        <w:r w:rsidR="00A37C47">
          <w:rPr>
            <w:noProof/>
            <w:webHidden/>
          </w:rPr>
          <w:instrText xml:space="preserve"> PAGEREF _Toc320265379 \h </w:instrText>
        </w:r>
        <w:r w:rsidR="00A37C47">
          <w:rPr>
            <w:noProof/>
            <w:webHidden/>
          </w:rPr>
        </w:r>
        <w:r w:rsidR="00A37C47">
          <w:rPr>
            <w:noProof/>
            <w:webHidden/>
          </w:rPr>
          <w:fldChar w:fldCharType="separate"/>
        </w:r>
        <w:r w:rsidR="007D6B90">
          <w:rPr>
            <w:noProof/>
            <w:webHidden/>
          </w:rPr>
          <w:t>50</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80" w:history="1">
        <w:r w:rsidR="00A37C47" w:rsidRPr="00A4499C">
          <w:rPr>
            <w:rStyle w:val="Hyperlink"/>
            <w:b/>
            <w:noProof/>
          </w:rPr>
          <w:t>b.</w:t>
        </w:r>
        <w:r w:rsidR="00A37C47">
          <w:rPr>
            <w:rFonts w:asciiTheme="minorHAnsi" w:eastAsiaTheme="minorEastAsia" w:hAnsiTheme="minorHAnsi" w:cstheme="minorBidi"/>
            <w:noProof/>
            <w:sz w:val="22"/>
            <w:szCs w:val="22"/>
          </w:rPr>
          <w:tab/>
        </w:r>
        <w:r w:rsidR="00A37C47" w:rsidRPr="00A4499C">
          <w:rPr>
            <w:rStyle w:val="Hyperlink"/>
            <w:b/>
            <w:noProof/>
          </w:rPr>
          <w:t>Party positions</w:t>
        </w:r>
        <w:r w:rsidR="00A37C47">
          <w:rPr>
            <w:noProof/>
            <w:webHidden/>
          </w:rPr>
          <w:tab/>
        </w:r>
        <w:r w:rsidR="00A37C47">
          <w:rPr>
            <w:noProof/>
            <w:webHidden/>
          </w:rPr>
          <w:fldChar w:fldCharType="begin"/>
        </w:r>
        <w:r w:rsidR="00A37C47">
          <w:rPr>
            <w:noProof/>
            <w:webHidden/>
          </w:rPr>
          <w:instrText xml:space="preserve"> PAGEREF _Toc320265380 \h </w:instrText>
        </w:r>
        <w:r w:rsidR="00A37C47">
          <w:rPr>
            <w:noProof/>
            <w:webHidden/>
          </w:rPr>
        </w:r>
        <w:r w:rsidR="00A37C47">
          <w:rPr>
            <w:noProof/>
            <w:webHidden/>
          </w:rPr>
          <w:fldChar w:fldCharType="separate"/>
        </w:r>
        <w:r w:rsidR="007D6B90">
          <w:rPr>
            <w:noProof/>
            <w:webHidden/>
          </w:rPr>
          <w:t>51</w:t>
        </w:r>
        <w:r w:rsidR="00A37C47">
          <w:rPr>
            <w:noProof/>
            <w:webHidden/>
          </w:rPr>
          <w:fldChar w:fldCharType="end"/>
        </w:r>
      </w:hyperlink>
    </w:p>
    <w:p w:rsidR="00A37C47" w:rsidRDefault="002F46BE">
      <w:pPr>
        <w:pStyle w:val="TOC4"/>
        <w:rPr>
          <w:rFonts w:asciiTheme="minorHAnsi" w:eastAsiaTheme="minorEastAsia" w:hAnsiTheme="minorHAnsi" w:cstheme="minorBidi"/>
          <w:noProof/>
          <w:sz w:val="22"/>
          <w:szCs w:val="22"/>
        </w:rPr>
      </w:pPr>
      <w:hyperlink w:anchor="_Toc320265381" w:history="1">
        <w:r w:rsidR="00A37C47" w:rsidRPr="00A4499C">
          <w:rPr>
            <w:rStyle w:val="Hyperlink"/>
            <w:b/>
            <w:noProof/>
          </w:rPr>
          <w:t>c.</w:t>
        </w:r>
        <w:r w:rsidR="00A37C47">
          <w:rPr>
            <w:rFonts w:asciiTheme="minorHAnsi" w:eastAsiaTheme="minorEastAsia" w:hAnsiTheme="minorHAnsi" w:cstheme="minorBidi"/>
            <w:noProof/>
            <w:sz w:val="22"/>
            <w:szCs w:val="22"/>
          </w:rPr>
          <w:tab/>
        </w:r>
        <w:r w:rsidR="00A37C47" w:rsidRPr="00A4499C">
          <w:rPr>
            <w:rStyle w:val="Hyperlink"/>
            <w:b/>
            <w:noProof/>
          </w:rPr>
          <w:t>Recommendation</w:t>
        </w:r>
        <w:r w:rsidR="00A37C47">
          <w:rPr>
            <w:noProof/>
            <w:webHidden/>
          </w:rPr>
          <w:tab/>
        </w:r>
        <w:r w:rsidR="00A37C47">
          <w:rPr>
            <w:noProof/>
            <w:webHidden/>
          </w:rPr>
          <w:fldChar w:fldCharType="begin"/>
        </w:r>
        <w:r w:rsidR="00A37C47">
          <w:rPr>
            <w:noProof/>
            <w:webHidden/>
          </w:rPr>
          <w:instrText xml:space="preserve"> PAGEREF _Toc320265381 \h </w:instrText>
        </w:r>
        <w:r w:rsidR="00A37C47">
          <w:rPr>
            <w:noProof/>
            <w:webHidden/>
          </w:rPr>
        </w:r>
        <w:r w:rsidR="00A37C47">
          <w:rPr>
            <w:noProof/>
            <w:webHidden/>
          </w:rPr>
          <w:fldChar w:fldCharType="separate"/>
        </w:r>
        <w:r w:rsidR="007D6B90">
          <w:rPr>
            <w:noProof/>
            <w:webHidden/>
          </w:rPr>
          <w:t>52</w:t>
        </w:r>
        <w:r w:rsidR="00A37C47">
          <w:rPr>
            <w:noProof/>
            <w:webHidden/>
          </w:rPr>
          <w:fldChar w:fldCharType="end"/>
        </w:r>
      </w:hyperlink>
    </w:p>
    <w:p w:rsidR="00A37C47" w:rsidRDefault="002F46BE">
      <w:pPr>
        <w:pStyle w:val="TOC2"/>
        <w:rPr>
          <w:rFonts w:asciiTheme="minorHAnsi" w:eastAsiaTheme="minorEastAsia" w:hAnsiTheme="minorHAnsi" w:cstheme="minorBidi"/>
          <w:noProof/>
          <w:sz w:val="22"/>
          <w:szCs w:val="22"/>
        </w:rPr>
      </w:pPr>
      <w:hyperlink w:anchor="_Toc320265382" w:history="1">
        <w:r w:rsidR="00A37C47" w:rsidRPr="00A4499C">
          <w:rPr>
            <w:rStyle w:val="Hyperlink"/>
            <w:b/>
            <w:noProof/>
          </w:rPr>
          <w:t>6.</w:t>
        </w:r>
        <w:r w:rsidR="00A37C47">
          <w:rPr>
            <w:rFonts w:asciiTheme="minorHAnsi" w:eastAsiaTheme="minorEastAsia" w:hAnsiTheme="minorHAnsi" w:cstheme="minorBidi"/>
            <w:noProof/>
            <w:sz w:val="22"/>
            <w:szCs w:val="22"/>
          </w:rPr>
          <w:tab/>
        </w:r>
        <w:r w:rsidR="00A37C47" w:rsidRPr="00A4499C">
          <w:rPr>
            <w:rStyle w:val="Hyperlink"/>
            <w:b/>
            <w:noProof/>
          </w:rPr>
          <w:t>Interest Rate for Undercollections</w:t>
        </w:r>
        <w:r w:rsidR="00A37C47">
          <w:rPr>
            <w:noProof/>
            <w:webHidden/>
          </w:rPr>
          <w:tab/>
        </w:r>
        <w:r w:rsidR="00A37C47">
          <w:rPr>
            <w:noProof/>
            <w:webHidden/>
          </w:rPr>
          <w:fldChar w:fldCharType="begin"/>
        </w:r>
        <w:r w:rsidR="00A37C47">
          <w:rPr>
            <w:noProof/>
            <w:webHidden/>
          </w:rPr>
          <w:instrText xml:space="preserve"> PAGEREF _Toc320265382 \h </w:instrText>
        </w:r>
        <w:r w:rsidR="00A37C47">
          <w:rPr>
            <w:noProof/>
            <w:webHidden/>
          </w:rPr>
        </w:r>
        <w:r w:rsidR="00A37C47">
          <w:rPr>
            <w:noProof/>
            <w:webHidden/>
          </w:rPr>
          <w:fldChar w:fldCharType="separate"/>
        </w:r>
        <w:r w:rsidR="007D6B90">
          <w:rPr>
            <w:noProof/>
            <w:webHidden/>
          </w:rPr>
          <w:t>53</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83" w:history="1">
        <w:r w:rsidR="00A37C47" w:rsidRPr="00A4499C">
          <w:rPr>
            <w:rStyle w:val="Hyperlink"/>
            <w:b/>
            <w:noProof/>
          </w:rPr>
          <w:t>Description</w:t>
        </w:r>
        <w:r w:rsidR="00A37C47">
          <w:rPr>
            <w:noProof/>
            <w:webHidden/>
          </w:rPr>
          <w:tab/>
        </w:r>
        <w:r w:rsidR="00A37C47">
          <w:rPr>
            <w:noProof/>
            <w:webHidden/>
          </w:rPr>
          <w:fldChar w:fldCharType="begin"/>
        </w:r>
        <w:r w:rsidR="00A37C47">
          <w:rPr>
            <w:noProof/>
            <w:webHidden/>
          </w:rPr>
          <w:instrText xml:space="preserve"> PAGEREF _Toc320265383 \h </w:instrText>
        </w:r>
        <w:r w:rsidR="00A37C47">
          <w:rPr>
            <w:noProof/>
            <w:webHidden/>
          </w:rPr>
        </w:r>
        <w:r w:rsidR="00A37C47">
          <w:rPr>
            <w:noProof/>
            <w:webHidden/>
          </w:rPr>
          <w:fldChar w:fldCharType="separate"/>
        </w:r>
        <w:r w:rsidR="007D6B90">
          <w:rPr>
            <w:noProof/>
            <w:webHidden/>
          </w:rPr>
          <w:t>53</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84" w:history="1">
        <w:r w:rsidR="00A37C47" w:rsidRPr="00A4499C">
          <w:rPr>
            <w:rStyle w:val="Hyperlink"/>
            <w:b/>
            <w:noProof/>
          </w:rPr>
          <w:t>2.</w:t>
        </w:r>
        <w:r w:rsidR="00A37C47">
          <w:rPr>
            <w:rFonts w:asciiTheme="minorHAnsi" w:eastAsiaTheme="minorEastAsia" w:hAnsiTheme="minorHAnsi" w:cstheme="minorBidi"/>
            <w:noProof/>
            <w:sz w:val="22"/>
            <w:szCs w:val="22"/>
          </w:rPr>
          <w:tab/>
        </w:r>
        <w:r w:rsidR="00A37C47" w:rsidRPr="00A4499C">
          <w:rPr>
            <w:rStyle w:val="Hyperlink"/>
            <w:b/>
            <w:noProof/>
          </w:rPr>
          <w:t>Recommendation</w:t>
        </w:r>
        <w:r w:rsidR="00A37C47">
          <w:rPr>
            <w:noProof/>
            <w:webHidden/>
          </w:rPr>
          <w:tab/>
        </w:r>
        <w:r w:rsidR="00A37C47">
          <w:rPr>
            <w:noProof/>
            <w:webHidden/>
          </w:rPr>
          <w:fldChar w:fldCharType="begin"/>
        </w:r>
        <w:r w:rsidR="00A37C47">
          <w:rPr>
            <w:noProof/>
            <w:webHidden/>
          </w:rPr>
          <w:instrText xml:space="preserve"> PAGEREF _Toc320265384 \h </w:instrText>
        </w:r>
        <w:r w:rsidR="00A37C47">
          <w:rPr>
            <w:noProof/>
            <w:webHidden/>
          </w:rPr>
        </w:r>
        <w:r w:rsidR="00A37C47">
          <w:rPr>
            <w:noProof/>
            <w:webHidden/>
          </w:rPr>
          <w:fldChar w:fldCharType="separate"/>
        </w:r>
        <w:r w:rsidR="007D6B90">
          <w:rPr>
            <w:noProof/>
            <w:webHidden/>
          </w:rPr>
          <w:t>54</w:t>
        </w:r>
        <w:r w:rsidR="00A37C47">
          <w:rPr>
            <w:noProof/>
            <w:webHidden/>
          </w:rPr>
          <w:fldChar w:fldCharType="end"/>
        </w:r>
      </w:hyperlink>
    </w:p>
    <w:p w:rsidR="00A37C47" w:rsidRDefault="002F46BE">
      <w:pPr>
        <w:pStyle w:val="TOC3"/>
        <w:rPr>
          <w:rFonts w:asciiTheme="minorHAnsi" w:eastAsiaTheme="minorEastAsia" w:hAnsiTheme="minorHAnsi" w:cstheme="minorBidi"/>
          <w:noProof/>
          <w:sz w:val="22"/>
          <w:szCs w:val="22"/>
        </w:rPr>
      </w:pPr>
      <w:hyperlink w:anchor="_Toc320265385" w:history="1">
        <w:r w:rsidR="00A37C47" w:rsidRPr="00A4499C">
          <w:rPr>
            <w:rStyle w:val="Hyperlink"/>
            <w:b/>
            <w:noProof/>
          </w:rPr>
          <w:t>3.</w:t>
        </w:r>
        <w:r w:rsidR="00A37C47">
          <w:rPr>
            <w:rFonts w:asciiTheme="minorHAnsi" w:eastAsiaTheme="minorEastAsia" w:hAnsiTheme="minorHAnsi" w:cstheme="minorBidi"/>
            <w:noProof/>
            <w:sz w:val="22"/>
            <w:szCs w:val="22"/>
          </w:rPr>
          <w:tab/>
        </w:r>
        <w:r w:rsidR="00A37C47" w:rsidRPr="00A4499C">
          <w:rPr>
            <w:rStyle w:val="Hyperlink"/>
            <w:b/>
            <w:noProof/>
          </w:rPr>
          <w:t>CONCLUSION</w:t>
        </w:r>
        <w:r w:rsidR="00A37C47">
          <w:rPr>
            <w:noProof/>
            <w:webHidden/>
          </w:rPr>
          <w:tab/>
        </w:r>
        <w:r w:rsidR="00A37C47">
          <w:rPr>
            <w:noProof/>
            <w:webHidden/>
          </w:rPr>
          <w:fldChar w:fldCharType="begin"/>
        </w:r>
        <w:r w:rsidR="00A37C47">
          <w:rPr>
            <w:noProof/>
            <w:webHidden/>
          </w:rPr>
          <w:instrText xml:space="preserve"> PAGEREF _Toc320265385 \h </w:instrText>
        </w:r>
        <w:r w:rsidR="00A37C47">
          <w:rPr>
            <w:noProof/>
            <w:webHidden/>
          </w:rPr>
        </w:r>
        <w:r w:rsidR="00A37C47">
          <w:rPr>
            <w:noProof/>
            <w:webHidden/>
          </w:rPr>
          <w:fldChar w:fldCharType="separate"/>
        </w:r>
        <w:r w:rsidR="007D6B90">
          <w:rPr>
            <w:noProof/>
            <w:webHidden/>
          </w:rPr>
          <w:t>54</w:t>
        </w:r>
        <w:r w:rsidR="00A37C47">
          <w:rPr>
            <w:noProof/>
            <w:webHidden/>
          </w:rPr>
          <w:fldChar w:fldCharType="end"/>
        </w:r>
      </w:hyperlink>
    </w:p>
    <w:p w:rsidR="00A37C47" w:rsidRDefault="002F46BE">
      <w:pPr>
        <w:pStyle w:val="TOC1"/>
        <w:rPr>
          <w:rFonts w:asciiTheme="minorHAnsi" w:eastAsiaTheme="minorEastAsia" w:hAnsiTheme="minorHAnsi" w:cstheme="minorBidi"/>
          <w:noProof/>
          <w:sz w:val="22"/>
          <w:szCs w:val="22"/>
        </w:rPr>
      </w:pPr>
      <w:hyperlink w:anchor="_Toc320265386" w:history="1">
        <w:r w:rsidR="00A37C47" w:rsidRPr="00A4499C">
          <w:rPr>
            <w:rStyle w:val="Hyperlink"/>
            <w:noProof/>
          </w:rPr>
          <w:t>IV.</w:t>
        </w:r>
        <w:r w:rsidR="00A37C47">
          <w:rPr>
            <w:rFonts w:asciiTheme="minorHAnsi" w:eastAsiaTheme="minorEastAsia" w:hAnsiTheme="minorHAnsi" w:cstheme="minorBidi"/>
            <w:noProof/>
            <w:sz w:val="22"/>
            <w:szCs w:val="22"/>
          </w:rPr>
          <w:tab/>
        </w:r>
        <w:r w:rsidR="00A37C47" w:rsidRPr="00A4499C">
          <w:rPr>
            <w:rStyle w:val="Hyperlink"/>
            <w:noProof/>
          </w:rPr>
          <w:t>CONCLUSIONS OF LAW</w:t>
        </w:r>
        <w:r w:rsidR="00A37C47">
          <w:rPr>
            <w:noProof/>
            <w:webHidden/>
          </w:rPr>
          <w:tab/>
        </w:r>
        <w:r w:rsidR="00A37C47">
          <w:rPr>
            <w:noProof/>
            <w:webHidden/>
          </w:rPr>
          <w:fldChar w:fldCharType="begin"/>
        </w:r>
        <w:r w:rsidR="00A37C47">
          <w:rPr>
            <w:noProof/>
            <w:webHidden/>
          </w:rPr>
          <w:instrText xml:space="preserve"> PAGEREF _Toc320265386 \h </w:instrText>
        </w:r>
        <w:r w:rsidR="00A37C47">
          <w:rPr>
            <w:noProof/>
            <w:webHidden/>
          </w:rPr>
        </w:r>
        <w:r w:rsidR="00A37C47">
          <w:rPr>
            <w:noProof/>
            <w:webHidden/>
          </w:rPr>
          <w:fldChar w:fldCharType="separate"/>
        </w:r>
        <w:r w:rsidR="007D6B90">
          <w:rPr>
            <w:noProof/>
            <w:webHidden/>
          </w:rPr>
          <w:t>55</w:t>
        </w:r>
        <w:r w:rsidR="00A37C47">
          <w:rPr>
            <w:noProof/>
            <w:webHidden/>
          </w:rPr>
          <w:fldChar w:fldCharType="end"/>
        </w:r>
      </w:hyperlink>
    </w:p>
    <w:p w:rsidR="00A37C47" w:rsidRDefault="002F46BE">
      <w:pPr>
        <w:pStyle w:val="TOC1"/>
        <w:rPr>
          <w:rFonts w:asciiTheme="minorHAnsi" w:eastAsiaTheme="minorEastAsia" w:hAnsiTheme="minorHAnsi" w:cstheme="minorBidi"/>
          <w:noProof/>
          <w:sz w:val="22"/>
          <w:szCs w:val="22"/>
        </w:rPr>
      </w:pPr>
      <w:hyperlink w:anchor="_Toc320265387" w:history="1">
        <w:r w:rsidR="00A37C47" w:rsidRPr="00A4499C">
          <w:rPr>
            <w:rStyle w:val="Hyperlink"/>
            <w:noProof/>
          </w:rPr>
          <w:t>V.</w:t>
        </w:r>
        <w:r w:rsidR="00A37C47">
          <w:rPr>
            <w:rFonts w:asciiTheme="minorHAnsi" w:eastAsiaTheme="minorEastAsia" w:hAnsiTheme="minorHAnsi" w:cstheme="minorBidi"/>
            <w:noProof/>
            <w:sz w:val="22"/>
            <w:szCs w:val="22"/>
          </w:rPr>
          <w:tab/>
        </w:r>
        <w:r w:rsidR="00A37C47" w:rsidRPr="00A4499C">
          <w:rPr>
            <w:rStyle w:val="Hyperlink"/>
            <w:noProof/>
          </w:rPr>
          <w:t>ORDER</w:t>
        </w:r>
        <w:r w:rsidR="00A37C47">
          <w:rPr>
            <w:noProof/>
            <w:webHidden/>
          </w:rPr>
          <w:tab/>
        </w:r>
        <w:r w:rsidR="00A37C47">
          <w:rPr>
            <w:noProof/>
            <w:webHidden/>
          </w:rPr>
          <w:fldChar w:fldCharType="begin"/>
        </w:r>
        <w:r w:rsidR="00A37C47">
          <w:rPr>
            <w:noProof/>
            <w:webHidden/>
          </w:rPr>
          <w:instrText xml:space="preserve"> PAGEREF _Toc320265387 \h </w:instrText>
        </w:r>
        <w:r w:rsidR="00A37C47">
          <w:rPr>
            <w:noProof/>
            <w:webHidden/>
          </w:rPr>
        </w:r>
        <w:r w:rsidR="00A37C47">
          <w:rPr>
            <w:noProof/>
            <w:webHidden/>
          </w:rPr>
          <w:fldChar w:fldCharType="separate"/>
        </w:r>
        <w:r w:rsidR="007D6B90">
          <w:rPr>
            <w:noProof/>
            <w:webHidden/>
          </w:rPr>
          <w:t>59</w:t>
        </w:r>
        <w:r w:rsidR="00A37C47">
          <w:rPr>
            <w:noProof/>
            <w:webHidden/>
          </w:rPr>
          <w:fldChar w:fldCharType="end"/>
        </w:r>
      </w:hyperlink>
    </w:p>
    <w:p w:rsidR="0018435C" w:rsidRDefault="00A37C47" w:rsidP="007C2F55">
      <w:pPr>
        <w:spacing w:line="240" w:lineRule="auto"/>
        <w:rPr>
          <w:szCs w:val="24"/>
          <w:u w:val="single"/>
        </w:rPr>
      </w:pPr>
      <w:r>
        <w:rPr>
          <w:szCs w:val="24"/>
          <w:u w:val="single"/>
        </w:rPr>
        <w:fldChar w:fldCharType="end"/>
      </w:r>
    </w:p>
    <w:p w:rsidR="0018435C" w:rsidRDefault="0018435C" w:rsidP="0018435C">
      <w:pPr>
        <w:spacing w:line="240" w:lineRule="auto"/>
        <w:jc w:val="center"/>
        <w:rPr>
          <w:szCs w:val="24"/>
          <w:u w:val="single"/>
        </w:rPr>
      </w:pPr>
    </w:p>
    <w:p w:rsidR="0018435C" w:rsidRDefault="0018435C" w:rsidP="0018435C">
      <w:pPr>
        <w:spacing w:line="240" w:lineRule="auto"/>
        <w:jc w:val="center"/>
        <w:rPr>
          <w:szCs w:val="24"/>
          <w:u w:val="single"/>
        </w:rPr>
      </w:pPr>
    </w:p>
    <w:p w:rsidR="0018435C" w:rsidRDefault="0018435C" w:rsidP="0018435C">
      <w:pPr>
        <w:spacing w:line="240" w:lineRule="auto"/>
        <w:jc w:val="center"/>
        <w:rPr>
          <w:szCs w:val="24"/>
          <w:u w:val="single"/>
        </w:rPr>
      </w:pPr>
    </w:p>
    <w:p w:rsidR="0018435C" w:rsidRPr="0018435C" w:rsidRDefault="0018435C" w:rsidP="0018435C">
      <w:pPr>
        <w:spacing w:line="240" w:lineRule="auto"/>
        <w:jc w:val="center"/>
        <w:rPr>
          <w:szCs w:val="24"/>
          <w:u w:val="single"/>
        </w:rPr>
        <w:sectPr w:rsidR="0018435C" w:rsidRPr="0018435C" w:rsidSect="00487E4E">
          <w:footerReference w:type="first" r:id="rId11"/>
          <w:pgSz w:w="12240" w:h="15840"/>
          <w:pgMar w:top="1440" w:right="1440" w:bottom="1440" w:left="1440" w:header="720" w:footer="720" w:gutter="0"/>
          <w:pgNumType w:fmt="lowerRoman" w:start="1"/>
          <w:cols w:space="720"/>
          <w:titlePg/>
          <w:docGrid w:linePitch="360"/>
        </w:sectPr>
      </w:pPr>
    </w:p>
    <w:p w:rsidR="007C4E34" w:rsidRPr="00DF7E2A" w:rsidRDefault="00DF7E2A" w:rsidP="00DF7E2A">
      <w:pPr>
        <w:spacing w:line="240" w:lineRule="auto"/>
        <w:jc w:val="center"/>
        <w:rPr>
          <w:szCs w:val="24"/>
        </w:rPr>
      </w:pPr>
      <w:r w:rsidRPr="00DF7E2A">
        <w:rPr>
          <w:szCs w:val="24"/>
        </w:rPr>
        <w:t>I.</w:t>
      </w:r>
      <w:r w:rsidRPr="00DF7E2A">
        <w:rPr>
          <w:szCs w:val="24"/>
        </w:rPr>
        <w:tab/>
      </w:r>
      <w:r w:rsidR="00E7599F" w:rsidRPr="00DF7E2A">
        <w:rPr>
          <w:szCs w:val="24"/>
          <w:u w:val="single"/>
        </w:rPr>
        <w:t>HISTORY OF THE PROCEEDING</w:t>
      </w:r>
      <w:r>
        <w:rPr>
          <w:szCs w:val="24"/>
          <w:u w:val="single"/>
        </w:rPr>
        <w:fldChar w:fldCharType="begin"/>
      </w:r>
      <w:r>
        <w:instrText xml:space="preserve"> TC "</w:instrText>
      </w:r>
      <w:bookmarkStart w:id="0" w:name="_Toc320265358"/>
      <w:r w:rsidRPr="00892090">
        <w:rPr>
          <w:szCs w:val="24"/>
        </w:rPr>
        <w:instrText>I.</w:instrText>
      </w:r>
      <w:r w:rsidRPr="00892090">
        <w:rPr>
          <w:szCs w:val="24"/>
        </w:rPr>
        <w:tab/>
      </w:r>
      <w:r w:rsidRPr="00892090">
        <w:rPr>
          <w:szCs w:val="24"/>
          <w:u w:val="single"/>
        </w:rPr>
        <w:instrText>HISTORY OF THE PROCEEDING</w:instrText>
      </w:r>
      <w:bookmarkEnd w:id="0"/>
      <w:r>
        <w:instrText xml:space="preserve">" \f C \l "1" </w:instrText>
      </w:r>
      <w:r>
        <w:rPr>
          <w:szCs w:val="24"/>
          <w:u w:val="single"/>
        </w:rPr>
        <w:fldChar w:fldCharType="end"/>
      </w:r>
    </w:p>
    <w:p w:rsidR="00DF7E2A" w:rsidRPr="00DF7E2A" w:rsidRDefault="00DF7E2A" w:rsidP="00DF7E2A">
      <w:pPr>
        <w:spacing w:line="240" w:lineRule="auto"/>
        <w:jc w:val="center"/>
        <w:rPr>
          <w:szCs w:val="24"/>
        </w:rPr>
      </w:pPr>
    </w:p>
    <w:p w:rsidR="00E7599F" w:rsidRPr="007C4E34" w:rsidRDefault="00E7599F" w:rsidP="007C4E34">
      <w:pPr>
        <w:spacing w:line="240" w:lineRule="auto"/>
        <w:jc w:val="center"/>
        <w:rPr>
          <w:szCs w:val="24"/>
        </w:rPr>
      </w:pPr>
    </w:p>
    <w:p w:rsidR="00E7599F" w:rsidRPr="007C4E34" w:rsidRDefault="00E7599F" w:rsidP="00E7599F">
      <w:pPr>
        <w:rPr>
          <w:szCs w:val="24"/>
        </w:rPr>
      </w:pPr>
      <w:r w:rsidRPr="007C4E34">
        <w:rPr>
          <w:szCs w:val="24"/>
        </w:rPr>
        <w:tab/>
      </w:r>
      <w:r w:rsidRPr="007C4E34">
        <w:rPr>
          <w:szCs w:val="24"/>
        </w:rPr>
        <w:tab/>
        <w:t xml:space="preserve">On August 3, 2011, PPL Electric Utilities Corporation (PPL Electric or the Company) filed its Petition for Approval to Implement a Reconciliation Rider and Competitive Transition Rider for Default Supply Service.  On August 25, 2011, PPL Electric filed its Amended Petition for Approval to Implement a Reconciliation Rider and Competitive Transition Rider for Default Supply Service.  Copies of the Petition were served on the list of parties from the Company’s </w:t>
      </w:r>
      <w:r w:rsidRPr="007C4E34">
        <w:rPr>
          <w:i/>
          <w:szCs w:val="24"/>
        </w:rPr>
        <w:t xml:space="preserve">Petition for Approval of a Default Service Program and Procurement Plan for the period January 1, 2011 through May 31, 2013, </w:t>
      </w:r>
      <w:r w:rsidRPr="007C4E34">
        <w:rPr>
          <w:szCs w:val="24"/>
        </w:rPr>
        <w:t xml:space="preserve">at Docket No. P-2008-2060309.     </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On August 29, 2011, a notice of prehearing conference was issued which set the prehearing conference for October 5, 2011 and assigned the matter to me.  Also on August 29, 2011, I issued a prehearing order</w:t>
      </w:r>
      <w:r w:rsidRPr="007C4E34">
        <w:rPr>
          <w:rStyle w:val="FootnoteReference"/>
          <w:szCs w:val="24"/>
        </w:rPr>
        <w:footnoteReference w:id="1"/>
      </w:r>
      <w:r w:rsidRPr="007C4E34">
        <w:rPr>
          <w:szCs w:val="24"/>
        </w:rPr>
        <w:t xml:space="preserve"> which stated, among other things, that the entities on the service list were not automatically parties to this docket.  Rather, those intending to participate were required to file an appropriate pleading in order to participate.  The prehearing order stated that those who did not file an appropriate pleading would be dropped from the service list.  The deadline for interventions and protests was set for September 14, 2011.  </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Petitions to intervene were filed by the following entities on the specified dates:</w:t>
      </w:r>
    </w:p>
    <w:p w:rsidR="00E7599F" w:rsidRPr="007C4E34" w:rsidRDefault="00E7599F" w:rsidP="00E7599F">
      <w:pPr>
        <w:rPr>
          <w:szCs w:val="24"/>
        </w:rPr>
      </w:pPr>
      <w:r w:rsidRPr="007C4E34">
        <w:rPr>
          <w:szCs w:val="24"/>
        </w:rPr>
        <w:t>Richards Energy Group, Inc. (REG) on September 1, 2011; Retail Energy Supply Association (RESA) on September 14, 2011; Dominion Retail, Inc. on September 15, 2011; Wal-Mart Stores East, LP and Sam’s East, Inc. on September 23, 2011</w:t>
      </w:r>
      <w:r w:rsidRPr="007C4E34">
        <w:rPr>
          <w:rStyle w:val="FootnoteReference"/>
          <w:szCs w:val="24"/>
        </w:rPr>
        <w:footnoteReference w:id="2"/>
      </w:r>
      <w:r w:rsidRPr="007C4E34">
        <w:rPr>
          <w:szCs w:val="24"/>
        </w:rPr>
        <w:t xml:space="preserve">;  </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 xml:space="preserve">Answers were filed by PPLICA, August 24, 2011 and September 19, 2011 to the Amended Petition; OSBA, September 14, 2011; Dominion Retail on August 12, 2011 and September 14, 2011 to the Amended Petition; and RESA on August 23, 2011.  </w:t>
      </w:r>
    </w:p>
    <w:p w:rsidR="00E7599F" w:rsidRPr="007C4E34" w:rsidRDefault="00E7599F" w:rsidP="00E7599F">
      <w:pPr>
        <w:rPr>
          <w:szCs w:val="24"/>
        </w:rPr>
      </w:pPr>
      <w:r w:rsidRPr="007C4E34">
        <w:rPr>
          <w:szCs w:val="24"/>
        </w:rPr>
        <w:tab/>
      </w:r>
      <w:r w:rsidRPr="007C4E34">
        <w:rPr>
          <w:szCs w:val="24"/>
        </w:rPr>
        <w:tab/>
        <w:t>The Office of Small Business Advocate (OSBA) filed its Notice of intervention, Answer, Verification, Public Statement and Notice of Appearance on August 18, 2011.  The Office of Consumer Advocate (OCA) filed its Notice of Intervention and Public Statement on August 23, 2011.</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On October 3, 2011, PPL Electric filed the direct t</w:t>
      </w:r>
      <w:r w:rsidR="006E34B8">
        <w:rPr>
          <w:szCs w:val="24"/>
        </w:rPr>
        <w:t>estimony of its witness, Joseph </w:t>
      </w:r>
      <w:r w:rsidRPr="007C4E34">
        <w:rPr>
          <w:szCs w:val="24"/>
        </w:rPr>
        <w:t xml:space="preserve">M. Kleha, PPL Stmt. No. 1.  </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On October 5, 2011, the prehearing conference was held as scheduled.  Attending were the following:  David B. MacGregor, Esq., Paul E. Russell, Esq., and Christopher T. Wright, Esq., on behalf of PPL Electric; Holly Rachel Smith, Esq., on behalf of Wal-Mart; Richard Kanaskie, Esq., on behalf of the Commission’s Bureau of Investigation and Enforcement; Aron Beatty, Esq., on behalf of OCA; Sharon Webb, Esq., on behalf of OSBA; Todd Stewart, Esq., on behalf of Dominion Retail, Inc.; Adeolu Bakare, Esq., on behalf of PPLICA; and Deanne O’Dell, Esq., on behalf of RESA.</w:t>
      </w:r>
      <w:r w:rsidRPr="007C4E34">
        <w:rPr>
          <w:rStyle w:val="FootnoteReference"/>
          <w:szCs w:val="24"/>
        </w:rPr>
        <w:footnoteReference w:id="3"/>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 xml:space="preserve">Prehearing memos were filed by the Company, OSBA, OCA, I&amp;E, Wal-Mart, PPLICA, Dominion Retail, REG, and RESA.  </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The parties agreed upon a litigation schedule and one discovery modification which was included in the ordering paragraphs of the Scheduling Order issued October 5, 2011.  The Scheduling Order also granted the Petitions to Intervene of RESA, Richards Energy Group, Inc., PP&amp;L Industrial Customers Alliance, Dominion Retail, Inc., Wal-Mart Stores East, LP and Sam’s East, Inc., as unopposed.</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The agreed upon litigation schedule provided for the filing of prepared testimony and the evidentiary hearing, held December 5, 2011.  Main Briefs were filed on or before January 9, 2012, and Reply Briefs were filed on or before January 23, 2012.</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A transcript from pages 14 to 172 was generated, and the record closed upon the receipt of Reply Briefs on January 23, 2012.</w:t>
      </w:r>
    </w:p>
    <w:p w:rsidR="00E7599F" w:rsidRPr="007C4E34" w:rsidRDefault="00E7599F" w:rsidP="00E7599F">
      <w:pPr>
        <w:rPr>
          <w:szCs w:val="24"/>
        </w:rPr>
      </w:pPr>
    </w:p>
    <w:p w:rsidR="00E7599F" w:rsidRPr="007C4E34" w:rsidRDefault="00E7599F" w:rsidP="00E7599F">
      <w:pPr>
        <w:rPr>
          <w:szCs w:val="24"/>
        </w:rPr>
      </w:pPr>
      <w:r w:rsidRPr="007C4E34">
        <w:rPr>
          <w:szCs w:val="24"/>
        </w:rPr>
        <w:tab/>
      </w:r>
      <w:r w:rsidRPr="007C4E34">
        <w:rPr>
          <w:szCs w:val="24"/>
        </w:rPr>
        <w:tab/>
        <w:t>The matter is now ready for recommendation.</w:t>
      </w:r>
    </w:p>
    <w:p w:rsidR="00E7599F" w:rsidRPr="007C4E34" w:rsidRDefault="00E7599F" w:rsidP="00E7599F">
      <w:pPr>
        <w:rPr>
          <w:szCs w:val="24"/>
        </w:rPr>
      </w:pPr>
    </w:p>
    <w:p w:rsidR="00E7599F" w:rsidRPr="007C4E34" w:rsidRDefault="00DF7E2A" w:rsidP="00DF7E2A">
      <w:pPr>
        <w:pStyle w:val="ListParagraph"/>
        <w:ind w:left="0"/>
        <w:jc w:val="center"/>
        <w:rPr>
          <w:szCs w:val="24"/>
          <w:u w:val="single"/>
        </w:rPr>
      </w:pPr>
      <w:r w:rsidRPr="00DF7E2A">
        <w:rPr>
          <w:szCs w:val="24"/>
        </w:rPr>
        <w:t>II.</w:t>
      </w:r>
      <w:r w:rsidRPr="00DF7E2A">
        <w:rPr>
          <w:szCs w:val="24"/>
        </w:rPr>
        <w:tab/>
      </w:r>
      <w:r w:rsidR="00E7599F" w:rsidRPr="007C4E34">
        <w:rPr>
          <w:szCs w:val="24"/>
          <w:u w:val="single"/>
        </w:rPr>
        <w:t>FINDINGS OF FACT</w:t>
      </w:r>
      <w:r>
        <w:rPr>
          <w:szCs w:val="24"/>
          <w:u w:val="single"/>
        </w:rPr>
        <w:fldChar w:fldCharType="begin"/>
      </w:r>
      <w:r>
        <w:instrText xml:space="preserve"> TC "</w:instrText>
      </w:r>
      <w:bookmarkStart w:id="1" w:name="_Toc320265359"/>
      <w:r w:rsidRPr="00892090">
        <w:rPr>
          <w:szCs w:val="24"/>
        </w:rPr>
        <w:instrText>II.</w:instrText>
      </w:r>
      <w:r w:rsidRPr="00892090">
        <w:rPr>
          <w:szCs w:val="24"/>
        </w:rPr>
        <w:tab/>
      </w:r>
      <w:r w:rsidRPr="00892090">
        <w:rPr>
          <w:szCs w:val="24"/>
          <w:u w:val="single"/>
        </w:rPr>
        <w:instrText>FINDINGS OF FACT</w:instrText>
      </w:r>
      <w:bookmarkEnd w:id="1"/>
      <w:r>
        <w:instrText xml:space="preserve">" \f C \l "1" </w:instrText>
      </w:r>
      <w:r>
        <w:rPr>
          <w:szCs w:val="24"/>
          <w:u w:val="single"/>
        </w:rPr>
        <w:fldChar w:fldCharType="end"/>
      </w:r>
    </w:p>
    <w:p w:rsidR="00E7599F" w:rsidRPr="007C4E34" w:rsidRDefault="00E7599F" w:rsidP="00E7599F">
      <w:pPr>
        <w:jc w:val="center"/>
        <w:rPr>
          <w:szCs w:val="24"/>
          <w:u w:val="single"/>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1.</w:t>
      </w:r>
      <w:r w:rsidRPr="007C4E34">
        <w:rPr>
          <w:szCs w:val="24"/>
        </w:rPr>
        <w:tab/>
        <w:t>PPL Electric Utilities Corporation is an electric distribution company providing service to approximately 1.4 million customers in its certificated service territory over about 10,000 square miles in 29 counties of the Commonwealth.  PPL Initial Brief at 1 (citations omitted).</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2.</w:t>
      </w:r>
      <w:r w:rsidRPr="007C4E34">
        <w:rPr>
          <w:szCs w:val="24"/>
        </w:rPr>
        <w:tab/>
        <w:t xml:space="preserve">OCA is a statutorily created public advocate empowered to represent the interests of consumers before the Public Utility Commission pursuant to Act 161 of the General Assembly, as amended, 71 P.S. §§ 309-1 </w:t>
      </w:r>
      <w:r w:rsidRPr="007C4E34">
        <w:rPr>
          <w:i/>
          <w:szCs w:val="24"/>
        </w:rPr>
        <w:t>et seq.</w:t>
      </w:r>
      <w:r w:rsidRPr="007C4E34">
        <w:rPr>
          <w:szCs w:val="24"/>
        </w:rPr>
        <w:t xml:space="preserve">  OCA Complaint and Notice of Intervention.</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3</w:t>
      </w:r>
      <w:r w:rsidRPr="007C4E34">
        <w:rPr>
          <w:szCs w:val="24"/>
        </w:rPr>
        <w:t>.</w:t>
      </w:r>
      <w:r w:rsidRPr="007C4E34">
        <w:rPr>
          <w:szCs w:val="24"/>
        </w:rPr>
        <w:tab/>
      </w:r>
      <w:r w:rsidR="007F4F20" w:rsidRPr="007C4E34">
        <w:rPr>
          <w:szCs w:val="24"/>
        </w:rPr>
        <w:t xml:space="preserve">The Commission's Office of Trial Staff filed its Notice of Appearance.  The name of this Commission office was renamed pursuant to an internal reorganization and is known as the Bureau of Investigation &amp; Enforcement (I&amp;E).  </w:t>
      </w:r>
      <w:r w:rsidR="007F4F20" w:rsidRPr="007C4E34">
        <w:rPr>
          <w:i/>
          <w:szCs w:val="24"/>
        </w:rPr>
        <w:t xml:space="preserve">Implementation of Act 129 of 2008 Organization of Bureaus and Offices, </w:t>
      </w:r>
      <w:r w:rsidR="007F4F20" w:rsidRPr="007C4E34">
        <w:rPr>
          <w:szCs w:val="24"/>
        </w:rPr>
        <w:t>Docket No. M-2008-2071852 (Order entered August 11, 2011).</w:t>
      </w:r>
    </w:p>
    <w:p w:rsidR="00C15974" w:rsidRPr="007C4E34" w:rsidRDefault="00C15974"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4</w:t>
      </w:r>
      <w:r w:rsidRPr="007C4E34">
        <w:rPr>
          <w:szCs w:val="24"/>
        </w:rPr>
        <w:t>.</w:t>
      </w:r>
      <w:r w:rsidRPr="007C4E34">
        <w:rPr>
          <w:szCs w:val="24"/>
        </w:rPr>
        <w:tab/>
        <w:t>OSBA is authorized to represent the interests of small business customers of utility services before the Commission pursuant to the provisions of the Small Business Advocate Act, Act 181 of 1988, 73 P.S. §§ 399.41-399.50.  OSBA Prehearing Memo at 1.</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5.</w:t>
      </w:r>
      <w:r w:rsidRPr="007C4E34">
        <w:rPr>
          <w:szCs w:val="24"/>
        </w:rPr>
        <w:tab/>
        <w:t>Richards Energy Group, Inc</w:t>
      </w:r>
      <w:r w:rsidR="006C2742" w:rsidRPr="007C4E34">
        <w:rPr>
          <w:szCs w:val="24"/>
        </w:rPr>
        <w:t>.</w:t>
      </w:r>
      <w:r w:rsidRPr="007C4E34">
        <w:rPr>
          <w:szCs w:val="24"/>
        </w:rPr>
        <w:t xml:space="preserve"> is a licensed </w:t>
      </w:r>
      <w:r w:rsidR="006E34B8">
        <w:rPr>
          <w:szCs w:val="24"/>
        </w:rPr>
        <w:t>electric generation supplier, A</w:t>
      </w:r>
      <w:r w:rsidR="006E34B8">
        <w:rPr>
          <w:szCs w:val="24"/>
        </w:rPr>
        <w:noBreakHyphen/>
      </w:r>
      <w:r w:rsidRPr="007C4E34">
        <w:rPr>
          <w:szCs w:val="24"/>
        </w:rPr>
        <w:t xml:space="preserve">110072, authorized to provide service to commercial, industrial, and institutional customers within the Commonwealth.  REG Petition to Intervene at 2. </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6</w:t>
      </w:r>
      <w:r w:rsidRPr="007C4E34">
        <w:rPr>
          <w:szCs w:val="24"/>
        </w:rPr>
        <w:t>.</w:t>
      </w:r>
      <w:r w:rsidRPr="007C4E34">
        <w:rPr>
          <w:szCs w:val="24"/>
        </w:rPr>
        <w:tab/>
        <w:t xml:space="preserve">RESA is a trade association of power marketers, independent power producers, and a broad range of companies within the Mid-Atlantic marketplace, whose members at the time of filing included </w:t>
      </w:r>
      <w:r w:rsidR="00081171" w:rsidRPr="007C4E34">
        <w:rPr>
          <w:szCs w:val="24"/>
        </w:rPr>
        <w:t>C</w:t>
      </w:r>
      <w:r w:rsidRPr="007C4E34">
        <w:rPr>
          <w:szCs w:val="24"/>
        </w:rPr>
        <w:t>onEd Solutions; Constellation NewEnergy, Inc.; Direct Energy Servi</w:t>
      </w:r>
      <w:r w:rsidR="00081171" w:rsidRPr="007C4E34">
        <w:rPr>
          <w:szCs w:val="24"/>
        </w:rPr>
        <w:t>ces, LLC; Exelon Energy Company;</w:t>
      </w:r>
      <w:r w:rsidRPr="007C4E34">
        <w:rPr>
          <w:szCs w:val="24"/>
        </w:rPr>
        <w:t xml:space="preserve"> GDF SUEZ Energy Resources NA, Inc.; GEXA Energy; Green Mountain Energy Company; Hess Corporation; Integrys Energy Services, Inc.; Just Energy; Liberty Power; PPL EnergyPlus; and Sempra Energy Solutions LLC.  RESA Petition to Intervene at 1.</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7</w:t>
      </w:r>
      <w:r w:rsidRPr="007C4E34">
        <w:rPr>
          <w:szCs w:val="24"/>
        </w:rPr>
        <w:t>.</w:t>
      </w:r>
      <w:r w:rsidRPr="007C4E34">
        <w:rPr>
          <w:szCs w:val="24"/>
        </w:rPr>
        <w:tab/>
        <w:t xml:space="preserve">PPLICA is a an organization of industrial and commercial users which included the following at the time of filing:  Air Products and Chemicals, Inc.; Armstrong </w:t>
      </w:r>
      <w:r w:rsidR="00081171" w:rsidRPr="007C4E34">
        <w:rPr>
          <w:szCs w:val="24"/>
        </w:rPr>
        <w:t>World Industries, Inc.; Cinram M</w:t>
      </w:r>
      <w:r w:rsidRPr="007C4E34">
        <w:rPr>
          <w:szCs w:val="24"/>
        </w:rPr>
        <w:t>anufacturing Inc.; Donsco, Inc.; General Dynamics-OTS Scranton; Hercules Cement Company; High Industries, Inc.; Lafarge North America; Linde LLC; Rieter Automotive North America, Carpet; SAPA Extrusions, Inc.; The Hershey Company; TIMET North America; and Wegmans Food Markets, Inc.  PPLICA Complaint.</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8</w:t>
      </w:r>
      <w:r w:rsidRPr="007C4E34">
        <w:rPr>
          <w:szCs w:val="24"/>
        </w:rPr>
        <w:t>.</w:t>
      </w:r>
      <w:r w:rsidRPr="007C4E34">
        <w:rPr>
          <w:szCs w:val="24"/>
        </w:rPr>
        <w:tab/>
        <w:t xml:space="preserve">Dominion Retail, Inc., is a licensed electric generation supplier in PPL Electric’s service territory and currently serves over 200,000 residential, commercial and industrial customers in that territory.  Dominion Retail Petition to Intervene at 1. </w:t>
      </w:r>
    </w:p>
    <w:p w:rsidR="000E373F" w:rsidRPr="007C4E34" w:rsidRDefault="000E373F" w:rsidP="00E75189">
      <w:pPr>
        <w:pStyle w:val="Pleading2L3"/>
        <w:numPr>
          <w:ilvl w:val="0"/>
          <w:numId w:val="0"/>
        </w:numPr>
        <w:tabs>
          <w:tab w:val="num" w:pos="0"/>
        </w:tabs>
        <w:spacing w:line="360" w:lineRule="auto"/>
        <w:contextualSpacing/>
        <w:rPr>
          <w:szCs w:val="24"/>
        </w:rPr>
      </w:pPr>
    </w:p>
    <w:p w:rsidR="000E373F" w:rsidRPr="007C4E34" w:rsidRDefault="000E373F" w:rsidP="00E75189">
      <w:pPr>
        <w:pStyle w:val="Pleading2L3"/>
        <w:numPr>
          <w:ilvl w:val="0"/>
          <w:numId w:val="0"/>
        </w:numPr>
        <w:tabs>
          <w:tab w:val="num" w:pos="0"/>
        </w:tabs>
        <w:spacing w:line="360" w:lineRule="auto"/>
        <w:contextualSpacing/>
        <w:rPr>
          <w:szCs w:val="24"/>
        </w:rPr>
      </w:pPr>
      <w:r w:rsidRPr="007C4E34">
        <w:rPr>
          <w:szCs w:val="24"/>
        </w:rPr>
        <w:tab/>
      </w:r>
      <w:r w:rsidRPr="007C4E34">
        <w:rPr>
          <w:szCs w:val="24"/>
        </w:rPr>
        <w:tab/>
      </w:r>
      <w:r w:rsidR="009664B9" w:rsidRPr="007C4E34">
        <w:rPr>
          <w:szCs w:val="24"/>
        </w:rPr>
        <w:t>9</w:t>
      </w:r>
      <w:r w:rsidRPr="007C4E34">
        <w:rPr>
          <w:szCs w:val="24"/>
        </w:rPr>
        <w:t>.</w:t>
      </w:r>
      <w:r w:rsidRPr="007C4E34">
        <w:rPr>
          <w:szCs w:val="24"/>
        </w:rPr>
        <w:tab/>
      </w:r>
      <w:r w:rsidR="00496768" w:rsidRPr="007C4E34">
        <w:rPr>
          <w:szCs w:val="24"/>
        </w:rPr>
        <w:t>Wal-Mart Stores Eas</w:t>
      </w:r>
      <w:r w:rsidR="009664B9" w:rsidRPr="007C4E34">
        <w:rPr>
          <w:szCs w:val="24"/>
        </w:rPr>
        <w:t>t</w:t>
      </w:r>
      <w:r w:rsidR="00496768" w:rsidRPr="007C4E34">
        <w:rPr>
          <w:szCs w:val="24"/>
        </w:rPr>
        <w:t xml:space="preserve">, LP </w:t>
      </w:r>
      <w:r w:rsidR="009664B9" w:rsidRPr="007C4E34">
        <w:rPr>
          <w:szCs w:val="24"/>
        </w:rPr>
        <w:t>is a national retaile</w:t>
      </w:r>
      <w:r w:rsidR="00280A74" w:rsidRPr="007C4E34">
        <w:rPr>
          <w:szCs w:val="24"/>
        </w:rPr>
        <w:t>r of goods and services through</w:t>
      </w:r>
      <w:r w:rsidR="009664B9" w:rsidRPr="007C4E34">
        <w:rPr>
          <w:szCs w:val="24"/>
        </w:rPr>
        <w:t xml:space="preserve"> the United States, including in the Commonwealth of Pennsylvania.  Walmart has approximately 45 facilities in PPL's service territory, including Supercenters, Sam's Clubs, Discount Stores, distribution centers and gas stations, taking delivery of approximately 160,000,000 kWh annually from PPL Electric.  Walmart Petition to Intervene at 3.  </w:t>
      </w:r>
      <w:r w:rsidR="00496768" w:rsidRPr="007C4E34">
        <w:rPr>
          <w:szCs w:val="24"/>
        </w:rPr>
        <w:t xml:space="preserve"> </w:t>
      </w:r>
    </w:p>
    <w:p w:rsidR="000E373F" w:rsidRPr="007C4E34" w:rsidRDefault="000E373F" w:rsidP="00E75189">
      <w:pPr>
        <w:pStyle w:val="Pleading2L3"/>
        <w:numPr>
          <w:ilvl w:val="0"/>
          <w:numId w:val="0"/>
        </w:numPr>
        <w:tabs>
          <w:tab w:val="num" w:pos="0"/>
        </w:tabs>
        <w:spacing w:line="360" w:lineRule="auto"/>
        <w:contextualSpacing/>
        <w:rPr>
          <w:szCs w:val="24"/>
        </w:rPr>
      </w:pPr>
    </w:p>
    <w:p w:rsidR="00E75189" w:rsidRPr="007C4E34" w:rsidRDefault="00E75189" w:rsidP="00E75189">
      <w:pPr>
        <w:pStyle w:val="ListNumber"/>
        <w:numPr>
          <w:ilvl w:val="0"/>
          <w:numId w:val="0"/>
        </w:numPr>
        <w:spacing w:line="360" w:lineRule="auto"/>
        <w:contextualSpacing/>
      </w:pPr>
      <w:r w:rsidRPr="007C4E34">
        <w:tab/>
        <w:t>10.</w:t>
      </w:r>
      <w:r w:rsidRPr="007C4E34">
        <w:tab/>
        <w:t>Under its currently effective tariff, PPL Electric recovers any applicable over or under collections related to the Transmission Service Charge (“TSC”), Generation Supply Charge-1 (“GSC-1”), and Generation Supply Charge-2 (“GSC-2”) through the E-factor applied to the transmission and generation rates paid by customers that take default service from PPL Electric in the next application period.  PPL St. 1, pp. 5-6.</w:t>
      </w:r>
    </w:p>
    <w:p w:rsidR="00E75189" w:rsidRPr="007C4E34" w:rsidRDefault="00E75189" w:rsidP="00E75189">
      <w:pPr>
        <w:pStyle w:val="ListNumber"/>
        <w:numPr>
          <w:ilvl w:val="0"/>
          <w:numId w:val="0"/>
        </w:numPr>
        <w:spacing w:line="360" w:lineRule="auto"/>
        <w:contextualSpacing/>
      </w:pPr>
    </w:p>
    <w:p w:rsidR="00E75189" w:rsidRPr="007C4E34" w:rsidRDefault="00E75189" w:rsidP="00E75189">
      <w:pPr>
        <w:pStyle w:val="ListNumber"/>
        <w:numPr>
          <w:ilvl w:val="0"/>
          <w:numId w:val="0"/>
        </w:numPr>
        <w:spacing w:line="360" w:lineRule="auto"/>
        <w:contextualSpacing/>
      </w:pPr>
      <w:r w:rsidRPr="007C4E34">
        <w:tab/>
        <w:t>11.</w:t>
      </w:r>
      <w:r w:rsidRPr="007C4E34">
        <w:tab/>
        <w:t xml:space="preserve">PPL Electric has experienced significant under collection balances related to the TSC, GSC-1 and GSC-2.  These under collection balances arose primarily as a result of the proration of customer bills between the revenue related to electric service provided in December 2009 and the revenue related to electric service provided in January 2010.  PPL St. 1, p. 13.  </w:t>
      </w:r>
    </w:p>
    <w:p w:rsidR="00E75189" w:rsidRPr="007C4E34" w:rsidRDefault="00E75189" w:rsidP="00E75189">
      <w:pPr>
        <w:pStyle w:val="ListNumber"/>
        <w:numPr>
          <w:ilvl w:val="0"/>
          <w:numId w:val="0"/>
        </w:numPr>
        <w:spacing w:line="360" w:lineRule="auto"/>
        <w:contextualSpacing/>
      </w:pPr>
    </w:p>
    <w:p w:rsidR="00E75189" w:rsidRPr="007C4E34" w:rsidRDefault="00E75189" w:rsidP="00E75189">
      <w:pPr>
        <w:pStyle w:val="ListNumber"/>
        <w:numPr>
          <w:ilvl w:val="0"/>
          <w:numId w:val="0"/>
        </w:numPr>
        <w:spacing w:line="360" w:lineRule="auto"/>
        <w:contextualSpacing/>
      </w:pPr>
      <w:r w:rsidRPr="007C4E34">
        <w:tab/>
        <w:t>12.</w:t>
      </w:r>
      <w:r w:rsidRPr="007C4E34">
        <w:tab/>
        <w:t>PPL Electric has experienced significant over collection balances related to the TSC, GSC-1 and GSC-2.  These over collections arose primarily as a result of the quarterly reconciliation of the GSC-1 and weather-related increased usage during the applicable reconciliation periods.  PPL St. 1-SR, pp. 7, 9-10.</w:t>
      </w:r>
    </w:p>
    <w:p w:rsidR="00E75189" w:rsidRPr="007C4E34" w:rsidRDefault="00E75189" w:rsidP="00E75189">
      <w:pPr>
        <w:pStyle w:val="ListNumber"/>
        <w:numPr>
          <w:ilvl w:val="0"/>
          <w:numId w:val="0"/>
        </w:numPr>
        <w:spacing w:line="360" w:lineRule="auto"/>
        <w:contextualSpacing/>
      </w:pPr>
    </w:p>
    <w:p w:rsidR="00E75189" w:rsidRPr="007C4E34" w:rsidRDefault="00E75189" w:rsidP="00E75189">
      <w:pPr>
        <w:pStyle w:val="ListNumber"/>
        <w:numPr>
          <w:ilvl w:val="0"/>
          <w:numId w:val="0"/>
        </w:numPr>
        <w:spacing w:line="360" w:lineRule="auto"/>
        <w:contextualSpacing/>
      </w:pPr>
      <w:r w:rsidRPr="007C4E34">
        <w:tab/>
        <w:t>13.</w:t>
      </w:r>
      <w:r w:rsidRPr="007C4E34">
        <w:tab/>
        <w:t xml:space="preserve">Under PPL Electric’s current tariff, the reconciliation of over and under collection balances for the TSC, GSC-1 and GSC-2 currently is only charged or credited to those customers who take default service during the applicable reconciliation period regardless of whether or not they were default service customers during the application period in which the over or under collection was created.  PPL St. 1, pp. 11-12.  </w:t>
      </w:r>
    </w:p>
    <w:p w:rsidR="00E75189" w:rsidRPr="007C4E34" w:rsidRDefault="00E75189" w:rsidP="00E75189">
      <w:pPr>
        <w:pStyle w:val="ListNumber"/>
        <w:numPr>
          <w:ilvl w:val="0"/>
          <w:numId w:val="0"/>
        </w:numPr>
        <w:spacing w:line="360" w:lineRule="auto"/>
        <w:contextualSpacing/>
      </w:pPr>
    </w:p>
    <w:p w:rsidR="00E75189" w:rsidRPr="007C4E34" w:rsidRDefault="00E75189" w:rsidP="00E75189">
      <w:pPr>
        <w:pStyle w:val="ListNumber"/>
        <w:numPr>
          <w:ilvl w:val="0"/>
          <w:numId w:val="0"/>
        </w:numPr>
        <w:spacing w:line="360" w:lineRule="auto"/>
        <w:contextualSpacing/>
      </w:pPr>
      <w:r w:rsidRPr="007C4E34">
        <w:tab/>
        <w:t>14.</w:t>
      </w:r>
      <w:r w:rsidRPr="007C4E34">
        <w:tab/>
        <w:t xml:space="preserve">PPL Electric’s current tariff does not contain a mechanism to recover or credit such over and under collection balances from customers who were default service customers when an over/under collection was created, but are shopping customers when the over/under collection is refunded or recouped.  PPL St. 1, pp. 11-12.  </w:t>
      </w:r>
    </w:p>
    <w:p w:rsidR="00E75189" w:rsidRPr="007C4E34" w:rsidRDefault="00E75189" w:rsidP="00E75189">
      <w:pPr>
        <w:pStyle w:val="ListNumber"/>
        <w:numPr>
          <w:ilvl w:val="0"/>
          <w:numId w:val="0"/>
        </w:numPr>
        <w:spacing w:line="360" w:lineRule="auto"/>
        <w:contextualSpacing/>
      </w:pPr>
    </w:p>
    <w:p w:rsidR="00E75189" w:rsidRPr="007C4E34" w:rsidRDefault="00E75189" w:rsidP="00E75189">
      <w:pPr>
        <w:pStyle w:val="ListNumber"/>
        <w:numPr>
          <w:ilvl w:val="0"/>
          <w:numId w:val="0"/>
        </w:numPr>
        <w:spacing w:line="360" w:lineRule="auto"/>
        <w:contextualSpacing/>
      </w:pPr>
      <w:r w:rsidRPr="007C4E34">
        <w:tab/>
        <w:t>15.</w:t>
      </w:r>
      <w:r w:rsidRPr="007C4E34">
        <w:tab/>
        <w:t>Customers can shop or leave default service at any time.  PPL St. 1-R, pp.</w:t>
      </w:r>
      <w:r w:rsidR="007C4E34">
        <w:t> </w:t>
      </w:r>
      <w:r w:rsidRPr="007C4E34">
        <w:t>5-6.</w:t>
      </w:r>
    </w:p>
    <w:p w:rsidR="00E75189" w:rsidRPr="007C4E34" w:rsidRDefault="00E75189" w:rsidP="00E75189">
      <w:pPr>
        <w:pStyle w:val="ListNumber"/>
        <w:numPr>
          <w:ilvl w:val="0"/>
          <w:numId w:val="0"/>
        </w:numPr>
        <w:spacing w:line="360" w:lineRule="auto"/>
        <w:contextualSpacing/>
      </w:pPr>
    </w:p>
    <w:p w:rsidR="00E75189" w:rsidRPr="007C4E34" w:rsidRDefault="00E75189" w:rsidP="00E75189">
      <w:pPr>
        <w:pStyle w:val="ListNumber"/>
        <w:numPr>
          <w:ilvl w:val="0"/>
          <w:numId w:val="0"/>
        </w:numPr>
        <w:spacing w:line="360" w:lineRule="auto"/>
        <w:contextualSpacing/>
      </w:pPr>
      <w:r w:rsidRPr="007C4E34">
        <w:tab/>
        <w:t>16.</w:t>
      </w:r>
      <w:r w:rsidRPr="007C4E34">
        <w:tab/>
        <w:t xml:space="preserve">PPL Electric has experienced a significant number of customers that have switched from default service to competitive supply.  At the time PPL Electric submitted its direct testimony, approximately 86% of PPL Electric’s Large C&amp;I customers, who represent 97% of Large C&amp;I class’ load, took competitive supply from electric generation supplies (“EGSs”).  Approximately 486,787 Residential customers (or 40% of the total number of residential customers and 45% of the class’ load) and 90,614 Small C&amp;I customers (or 51% of the total number of Small C&amp;I customers and 93% of the class’ load) in PPL Electric’s service territory were either taking service from an EGS or signed up to begin competitive supply pending the issuance of their next bill.  PPL St. 1, pp. 12-13.  </w:t>
      </w:r>
    </w:p>
    <w:p w:rsidR="006024EE" w:rsidRPr="007C4E34" w:rsidRDefault="006024EE" w:rsidP="00E75189">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17.</w:t>
      </w:r>
      <w:r w:rsidRPr="007C4E34">
        <w:tab/>
      </w:r>
      <w:r w:rsidR="00E75189" w:rsidRPr="007C4E34">
        <w:t xml:space="preserve">Recovering under collection balances related to transmission service and generation supply charges from a small number of remaining non-shopping default service customers can inflate the Price to Compare, which has significant impact on customers who are unable or unwilling to shop for whatever reason or who are returned to default service.  PPL St. 1, pp. 15-16.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18.</w:t>
      </w:r>
      <w:r w:rsidRPr="007C4E34">
        <w:tab/>
      </w:r>
      <w:r w:rsidR="00E75189" w:rsidRPr="007C4E34">
        <w:t xml:space="preserve">The refund of over collection balances related to transmission service and generation supply charges from a small number of remaining non-shopping default service customers can deflate the applicable Price to Compare, which could encourage shopping customers to return to default service.  PPL St. 1, pp. 16-17.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19.</w:t>
      </w:r>
      <w:r w:rsidRPr="007C4E34">
        <w:tab/>
      </w:r>
      <w:r w:rsidR="00E75189" w:rsidRPr="007C4E34">
        <w:t xml:space="preserve">The volatility of the over and under collection balances experienced by PPL Electric continues to have a significant impact on the rates paid by the remaining default service customers.  Tr. 50; OSBA Hearing Exhibit No. 1.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20.</w:t>
      </w:r>
      <w:r w:rsidRPr="007C4E34">
        <w:tab/>
      </w:r>
      <w:r w:rsidR="00E75189" w:rsidRPr="007C4E34">
        <w:t>PPL Electric seeks to implement the RR, to become effective on June 1, 2012.  The RR is a refinement of PPL Electric’s current default service recovery mechanisms.  The RR will refund or recoup over or under collection balances associated with default service provided on and after its effective date.  PPL St. 1, p. 18.</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21.</w:t>
      </w:r>
      <w:r w:rsidRPr="007C4E34">
        <w:tab/>
      </w:r>
      <w:r w:rsidR="00E75189" w:rsidRPr="007C4E34">
        <w:t>The RR will be calculated and reconciled on a rolling twelve-month annual basis.  Tr. 31-32.</w:t>
      </w:r>
    </w:p>
    <w:p w:rsidR="006024EE" w:rsidRPr="007C4E34" w:rsidRDefault="006024EE" w:rsidP="006024EE">
      <w:pPr>
        <w:pStyle w:val="ListNumber"/>
        <w:numPr>
          <w:ilvl w:val="0"/>
          <w:numId w:val="0"/>
        </w:numPr>
        <w:spacing w:line="360" w:lineRule="auto"/>
        <w:contextualSpacing/>
      </w:pPr>
    </w:p>
    <w:p w:rsidR="006024EE" w:rsidRPr="007C4E34" w:rsidRDefault="006024EE" w:rsidP="006024EE">
      <w:pPr>
        <w:pStyle w:val="ListNumber"/>
        <w:numPr>
          <w:ilvl w:val="0"/>
          <w:numId w:val="0"/>
        </w:numPr>
        <w:spacing w:line="360" w:lineRule="auto"/>
        <w:contextualSpacing/>
      </w:pPr>
      <w:r w:rsidRPr="007C4E34">
        <w:tab/>
        <w:t>22.</w:t>
      </w:r>
      <w:r w:rsidRPr="007C4E34">
        <w:tab/>
      </w:r>
      <w:r w:rsidR="00E75189" w:rsidRPr="007C4E34">
        <w:t>The RR will be either an additional charge or a credit on the customer’s monthly bill under the applicable rate schedule depending on whether PPL Electric is reconciling an under or over collection of transmission service and generation supply charges.  PPL St. 1, p.</w:t>
      </w:r>
      <w:r w:rsidR="007C4E34">
        <w:t> </w:t>
      </w:r>
      <w:r w:rsidR="00E75189" w:rsidRPr="007C4E34">
        <w:t xml:space="preserve">19.  </w:t>
      </w:r>
    </w:p>
    <w:p w:rsidR="00E75189" w:rsidRPr="007C4E34" w:rsidRDefault="006024EE" w:rsidP="006024EE">
      <w:pPr>
        <w:pStyle w:val="ListNumber"/>
        <w:numPr>
          <w:ilvl w:val="0"/>
          <w:numId w:val="0"/>
        </w:numPr>
        <w:spacing w:line="360" w:lineRule="auto"/>
        <w:contextualSpacing/>
      </w:pPr>
      <w:r w:rsidRPr="007C4E34">
        <w:tab/>
        <w:t>23.</w:t>
      </w:r>
      <w:r w:rsidRPr="007C4E34">
        <w:tab/>
        <w:t>T</w:t>
      </w:r>
      <w:r w:rsidR="00E75189" w:rsidRPr="007C4E34">
        <w:t>he RR will be shown as a separate line item on customers’ bills and will not be a part of PPL Electric’s Price to Compare.  PPL St. 1, p. 18.</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24.</w:t>
      </w:r>
      <w:r w:rsidRPr="007C4E34">
        <w:tab/>
      </w:r>
      <w:r w:rsidR="00E75189" w:rsidRPr="007C4E34">
        <w:t xml:space="preserve">The RR will reflect different rates for the following </w:t>
      </w:r>
      <w:r w:rsidRPr="007C4E34">
        <w:t>four</w:t>
      </w:r>
      <w:r w:rsidR="00E75189" w:rsidRPr="007C4E34">
        <w:t xml:space="preserve"> customer classes:  Residential, Small C&amp;I, Large C&amp;I</w:t>
      </w:r>
      <w:r w:rsidRPr="007C4E34">
        <w:t xml:space="preserve"> – Primary and Large C&amp;I - Transmission</w:t>
      </w:r>
      <w:r w:rsidR="00E75189" w:rsidRPr="007C4E34">
        <w:t xml:space="preserve">.  PPL St. 1, p. 19; PPL St. 1-R. p. 30.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25.</w:t>
      </w:r>
      <w:r w:rsidRPr="007C4E34">
        <w:tab/>
      </w:r>
      <w:r w:rsidR="00E75189" w:rsidRPr="007C4E34">
        <w:t xml:space="preserve">Any Residential and Small C&amp;I TOU Program over and under collections incurred after the effective date of the RR will be included with the RR rate applicable to the respective Residential and Small C&amp;I customer classes.  PPL St. 1, p. 19; PPL St. 1-R. p. 30.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26.</w:t>
      </w:r>
      <w:r w:rsidRPr="007C4E34">
        <w:tab/>
      </w:r>
      <w:r w:rsidR="00E75189" w:rsidRPr="007C4E34">
        <w:t>Application of the RR will be determined each time a customer’s status changes from default service to shopping or from shopping to default service.  The application of the RR will be based on the customer’s status during the period immediately preceding the customer’s status change.  PPL St. 1, p. 20.</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27.</w:t>
      </w:r>
      <w:r w:rsidRPr="007C4E34">
        <w:tab/>
      </w:r>
      <w:r w:rsidR="00E75189" w:rsidRPr="007C4E34">
        <w:t>If a customer switches from default service to shopping, the customer will be subject to the RR for a period equal to the number of consecutive months, not to exceed twelve months, that the customer took default service immediately prior to becoming a shopping customer.  If a customer switches from shopping to default service, the customer will be exempt from the RR for a period equal to the number of consecutive months, not to exceed twelve months, that the customer was a shopping customer immediately prior to switching to default service.  The applicability of the RR then is re-determined anytime a customer’s status changes between default service and shopping.  PPL St. 1, p. 20.</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28.</w:t>
      </w:r>
      <w:r w:rsidRPr="007C4E34">
        <w:tab/>
      </w:r>
      <w:r w:rsidR="00E75189" w:rsidRPr="007C4E34">
        <w:t xml:space="preserve">New PPL Electric customers will be exempt from the RR for the first twelve months.  Thereafter, application of the RR would be determined if and when the customer’s status changed.  OSBA St. 1, p. 7.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29.</w:t>
      </w:r>
      <w:r w:rsidRPr="007C4E34">
        <w:tab/>
      </w:r>
      <w:r w:rsidR="00E75189" w:rsidRPr="007C4E34">
        <w:t xml:space="preserve">If a customer moves within PPL Electric’s service territory, he or she will be treated as a new customer as described above.  PPL St. 1, p. 23.  Similarly, when a tenant’s service is terminated and placed in the landlord’s name/account, the landlord will be treated as a new customer subject to the RR as explained above, unless and until a status changes or a new tenant initiates service.  The new tenant would be treated as a new customer as described above.  PPL St. 1, p. 23.  </w:t>
      </w:r>
    </w:p>
    <w:p w:rsidR="006024EE" w:rsidRPr="007C4E34" w:rsidRDefault="006024EE" w:rsidP="006024EE">
      <w:pPr>
        <w:pStyle w:val="ListNumber"/>
        <w:numPr>
          <w:ilvl w:val="0"/>
          <w:numId w:val="0"/>
        </w:numPr>
        <w:spacing w:line="360" w:lineRule="auto"/>
        <w:contextualSpacing/>
      </w:pPr>
    </w:p>
    <w:p w:rsidR="00E75189" w:rsidRPr="007C4E34" w:rsidRDefault="006024EE" w:rsidP="006024EE">
      <w:pPr>
        <w:pStyle w:val="ListNumber"/>
        <w:numPr>
          <w:ilvl w:val="0"/>
          <w:numId w:val="0"/>
        </w:numPr>
        <w:spacing w:line="360" w:lineRule="auto"/>
        <w:contextualSpacing/>
      </w:pPr>
      <w:r w:rsidRPr="007C4E34">
        <w:tab/>
        <w:t>30.</w:t>
      </w:r>
      <w:r w:rsidRPr="007C4E34">
        <w:tab/>
      </w:r>
      <w:r w:rsidR="00E75189" w:rsidRPr="007C4E34">
        <w:t>The purpose and design of the RR is to align transmission service and generation supply costs with the customers that caused such costs to be incurred.  PPL St. 1-R, pp. 7-8.</w:t>
      </w:r>
    </w:p>
    <w:p w:rsidR="00906A38" w:rsidRPr="007C4E34" w:rsidRDefault="00906A38" w:rsidP="006024EE">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31.</w:t>
      </w:r>
      <w:r w:rsidRPr="007C4E34">
        <w:tab/>
      </w:r>
      <w:r w:rsidR="00E75189" w:rsidRPr="007C4E34">
        <w:t xml:space="preserve">Although shopping and default service customer levels have stabilized, </w:t>
      </w:r>
      <w:r w:rsidR="00E75189" w:rsidRPr="007C4E34">
        <w:rPr>
          <w:i/>
        </w:rPr>
        <w:t>i.e.</w:t>
      </w:r>
      <w:r w:rsidR="00E75189" w:rsidRPr="007C4E34">
        <w:t xml:space="preserve">, the total number of shopping customers as compared to the total number of default service customers, individual customers will continue to switch from default service to competitive supply and vice versa.  Tr. 57-58.  </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32.</w:t>
      </w:r>
      <w:r w:rsidRPr="007C4E34">
        <w:tab/>
      </w:r>
      <w:r w:rsidR="00E75189" w:rsidRPr="007C4E34">
        <w:t xml:space="preserve">The RR should make the Price to Compare easier for customers to understand because it will remove from the Price to Compare all balances arising from reconciliation of PPL Electric’s default service rates and will more accurately reflect the actual costs to acquire default service.  PPL St. 1-R, pp. 21-22, 23-24. </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33.</w:t>
      </w:r>
      <w:r w:rsidRPr="007C4E34">
        <w:tab/>
      </w:r>
      <w:r w:rsidR="00E75189" w:rsidRPr="007C4E34">
        <w:t>PPL Electric will provide customers with detailed education about the RR before it is implemented.  PPL St. 1-R, p. 22.</w:t>
      </w:r>
    </w:p>
    <w:p w:rsidR="00906A38" w:rsidRPr="007C4E34" w:rsidRDefault="00906A38" w:rsidP="00906A38">
      <w:pPr>
        <w:pStyle w:val="ListNumber"/>
        <w:numPr>
          <w:ilvl w:val="0"/>
          <w:numId w:val="0"/>
        </w:numPr>
        <w:spacing w:line="360" w:lineRule="auto"/>
        <w:contextualSpacing/>
      </w:pPr>
    </w:p>
    <w:p w:rsidR="00906A38" w:rsidRPr="007C4E34" w:rsidRDefault="00906A38" w:rsidP="00906A38">
      <w:pPr>
        <w:pStyle w:val="ListNumber"/>
        <w:numPr>
          <w:ilvl w:val="0"/>
          <w:numId w:val="0"/>
        </w:numPr>
        <w:spacing w:line="360" w:lineRule="auto"/>
        <w:contextualSpacing/>
      </w:pPr>
      <w:r w:rsidRPr="007C4E34">
        <w:tab/>
        <w:t>34.</w:t>
      </w:r>
      <w:r w:rsidRPr="007C4E34">
        <w:tab/>
      </w:r>
      <w:r w:rsidR="00E75189" w:rsidRPr="007C4E34">
        <w:t xml:space="preserve">The </w:t>
      </w:r>
      <w:r w:rsidRPr="007C4E34">
        <w:t xml:space="preserve">proposed </w:t>
      </w:r>
      <w:r w:rsidR="00E75189" w:rsidRPr="007C4E34">
        <w:t>CTR is a one-time mechanism that will provide a fresh start by eliminating net historic over and under collection balances related to transmission service and generation supply charges.  The CTR will be a temporary, reconcilable, non-bypassable Section 1307(e) cost recovery mechanism to refund or recoup any remaining net historic over or under collection balances that were incurred prior to the effective date of the RR, or as of May 31, 2012.  PPL St. 1, p. 24.</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35.</w:t>
      </w:r>
      <w:r w:rsidRPr="007C4E34">
        <w:tab/>
      </w:r>
      <w:r w:rsidR="00E75189" w:rsidRPr="007C4E34">
        <w:t>The temporary CTR w</w:t>
      </w:r>
      <w:r w:rsidRPr="007C4E34">
        <w:t>ould</w:t>
      </w:r>
      <w:r w:rsidR="00E75189" w:rsidRPr="007C4E34">
        <w:t xml:space="preserve"> be applicable to all customers, both default service and shopping customers, and will reflect different rates for different customer classes.  The CTR will be either an additional charge or a credit on the customer’s monthly bill under the applicable rate schedule depending on whether PPL Electric is reconciling a net historic under or over collection of transmission service and generation supply charges.  PPL St. 1, p. 26.  </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36.</w:t>
      </w:r>
      <w:r w:rsidRPr="007C4E34">
        <w:tab/>
      </w:r>
      <w:r w:rsidR="00E75189" w:rsidRPr="007C4E34">
        <w:t>The CTR w</w:t>
      </w:r>
      <w:r w:rsidRPr="007C4E34">
        <w:t>ould</w:t>
      </w:r>
      <w:r w:rsidR="00E75189" w:rsidRPr="007C4E34">
        <w:t xml:space="preserve"> be shown as a separate line item on customers’ bills.  PPL St. 1, p. 24.  </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37.</w:t>
      </w:r>
      <w:r w:rsidRPr="007C4E34">
        <w:tab/>
      </w:r>
      <w:r w:rsidR="00E75189" w:rsidRPr="007C4E34">
        <w:t>The CTR w</w:t>
      </w:r>
      <w:r w:rsidRPr="007C4E34">
        <w:t>ould</w:t>
      </w:r>
      <w:r w:rsidR="00E75189" w:rsidRPr="007C4E34">
        <w:t xml:space="preserve"> not be included in the Price to Compare.  PPL St. 1, p. 30.</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38.</w:t>
      </w:r>
      <w:r w:rsidRPr="007C4E34">
        <w:tab/>
      </w:r>
      <w:r w:rsidR="00E75189" w:rsidRPr="007C4E34">
        <w:t>The CTR w</w:t>
      </w:r>
      <w:r w:rsidRPr="007C4E34">
        <w:t>ould</w:t>
      </w:r>
      <w:r w:rsidR="00E75189" w:rsidRPr="007C4E34">
        <w:t xml:space="preserve"> become effective June 1, 2012, and will remain in effect for a twelve-month period.  At the end of the initial 12-month application period, the CTR will be reconciled.  PPL St. 1, p. 26-27.</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39.</w:t>
      </w:r>
      <w:r w:rsidRPr="007C4E34">
        <w:tab/>
        <w:t>A</w:t>
      </w:r>
      <w:r w:rsidR="00E75189" w:rsidRPr="007C4E34">
        <w:t>lthough the remaining balances at May 31, 2012 may be small, it is impossible to predict with certainty what the over and under collection balances will be as of May 31, 2012.  Further, even assuming that the remaining net historic over or under collection balances will be small, recovering such balances through the non-bypassable CTR will result in a de minimus charge or credit to customers.  PPL St. 1-R, p. 25; Tr. 54.</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40.</w:t>
      </w:r>
      <w:r w:rsidRPr="007C4E34">
        <w:tab/>
      </w:r>
      <w:r w:rsidR="00E75189" w:rsidRPr="007C4E34">
        <w:t xml:space="preserve">PPL Electric currently does not net the GSC-1 and GSC-2 balances with the TSC balances for each customer class for reconciliation purposes.  PPL Electric is proposing to net the over and under collections of the respective GSC-1 and GSC-2 with the TSC reconciliations for each customer class.  PPL St. 1-R, p. 26; PPL Ex. 1, App. A and F.  </w:t>
      </w:r>
    </w:p>
    <w:p w:rsidR="00906A38" w:rsidRPr="007C4E34" w:rsidRDefault="00906A38" w:rsidP="00906A38">
      <w:pPr>
        <w:pStyle w:val="ListNumber"/>
        <w:numPr>
          <w:ilvl w:val="0"/>
          <w:numId w:val="0"/>
        </w:numPr>
        <w:spacing w:line="360" w:lineRule="auto"/>
        <w:contextualSpacing/>
      </w:pPr>
    </w:p>
    <w:p w:rsidR="00E75189" w:rsidRPr="007C4E34" w:rsidRDefault="00906A38" w:rsidP="00906A38">
      <w:pPr>
        <w:pStyle w:val="ListNumber"/>
        <w:numPr>
          <w:ilvl w:val="0"/>
          <w:numId w:val="0"/>
        </w:numPr>
        <w:spacing w:line="360" w:lineRule="auto"/>
        <w:contextualSpacing/>
      </w:pPr>
      <w:r w:rsidRPr="007C4E34">
        <w:tab/>
        <w:t>41.</w:t>
      </w:r>
      <w:r w:rsidRPr="007C4E34">
        <w:tab/>
      </w:r>
      <w:r w:rsidR="00E75189" w:rsidRPr="007C4E34">
        <w:t xml:space="preserve">PPL Electric’s current GSC-1 is an automatic Section 1307(e) cost recovery mechanism that presently provides for quarterly re-calculation of the GSC-1 rates and quarterly reconciliation of any over or under collection of the Company’s actual costs incurred to acquire generation supply on behalf of the Residential and Small C&amp;I Customer Classes.  PPL St. 1, p. 10.  </w:t>
      </w:r>
    </w:p>
    <w:p w:rsidR="00EC6D3E" w:rsidRPr="007C4E34" w:rsidRDefault="00EC6D3E" w:rsidP="00906A38">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42.</w:t>
      </w:r>
      <w:r w:rsidRPr="007C4E34">
        <w:tab/>
      </w:r>
      <w:r w:rsidR="00E75189" w:rsidRPr="007C4E34">
        <w:t xml:space="preserve">The quarterly reconciliation of the GSC-1, together with the decreasing default service customer base, has </w:t>
      </w:r>
      <w:r w:rsidRPr="007C4E34">
        <w:t>contributed to</w:t>
      </w:r>
      <w:r w:rsidR="00E75189" w:rsidRPr="007C4E34">
        <w:t xml:space="preserve"> rate instability for the GSC-1 rates.  PPL St. 1-R, p. 33; PPL St. 1-SR, p. 7; OSBA Hearing Exhibit No. 1.</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43.</w:t>
      </w:r>
      <w:r w:rsidRPr="007C4E34">
        <w:tab/>
        <w:t>The goal of c</w:t>
      </w:r>
      <w:r w:rsidR="00E75189" w:rsidRPr="007C4E34">
        <w:t>hanging the GSC-1 to an annua</w:t>
      </w:r>
      <w:r w:rsidRPr="007C4E34">
        <w:t>l reconciliation basis is</w:t>
      </w:r>
      <w:r w:rsidR="00E75189" w:rsidRPr="007C4E34">
        <w:t xml:space="preserve"> to reduce the volatility of the RR, reduce the number of calculations required, and reduce customer confusion.  The Company will continue to revise GSC-1 rates on a quarterly basis to reflect changes in the cost of purchasing default service supplies.  PPL St. 1-R, p. 32; PPL St. 1-SR, p</w:t>
      </w:r>
      <w:r w:rsidR="007C4E34">
        <w:t> </w:t>
      </w:r>
      <w:r w:rsidR="00E75189" w:rsidRPr="007C4E34">
        <w:t>7.</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44.</w:t>
      </w:r>
      <w:r w:rsidRPr="007C4E34">
        <w:tab/>
      </w:r>
      <w:r w:rsidR="00E75189" w:rsidRPr="007C4E34">
        <w:t>Under its current reconciliation of its default service cost recovery mechanisms, PPL Electric has little discretion when it estimates its default service rates.  PPL Electric estimates its default service price pursuant to the TSC, GSC-1 and GSC-2 rate riders in the Company’s Commission-approved tariff, all of which include very specific formulae for calculating transmission service charges and generation supply charges applicable to default service.  PPL St. 1-R, p. 9; Tr. 34, 60-61.</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45.</w:t>
      </w:r>
      <w:r w:rsidRPr="007C4E34">
        <w:tab/>
      </w:r>
      <w:r w:rsidR="00E75189" w:rsidRPr="007C4E34">
        <w:t xml:space="preserve">The historical variances in the Price to Compare are attributable to the over and under collection balances, rather than significant changes in the pricing of power.  Tr. 163-64.  </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46.</w:t>
      </w:r>
      <w:r w:rsidRPr="007C4E34">
        <w:tab/>
      </w:r>
      <w:r w:rsidR="00E75189" w:rsidRPr="007C4E34">
        <w:t xml:space="preserve">By excluding the RR and CTR, the Price to Compare will more accurately reflect the actual costs to acquire default service supply.  </w:t>
      </w:r>
      <w:r w:rsidRPr="007C4E34">
        <w:t>The goal is to</w:t>
      </w:r>
      <w:r w:rsidR="00E75189" w:rsidRPr="007C4E34">
        <w:t xml:space="preserve"> help</w:t>
      </w:r>
      <w:r w:rsidRPr="007C4E34">
        <w:t xml:space="preserve"> to</w:t>
      </w:r>
      <w:r w:rsidR="00E75189" w:rsidRPr="007C4E34">
        <w:t xml:space="preserve"> eliminate the reconciliation distortions from the Price to Compare and align it more closely with competitive market prices.  PPL St. 1-R, pp. 10-11, 21-24.</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47.</w:t>
      </w:r>
      <w:r w:rsidRPr="007C4E34">
        <w:tab/>
        <w:t>T</w:t>
      </w:r>
      <w:r w:rsidR="00E75189" w:rsidRPr="007C4E34">
        <w:t>here are events beyond the control of PPL Electric that can quickly have a significant adverse effect on over and under collection balances associated with the Company’s Commission-approved GSC-1, GSC-2, and TSC rate riders.  PPL St. 1-R, p. 13.</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48.</w:t>
      </w:r>
      <w:r w:rsidRPr="007C4E34">
        <w:tab/>
      </w:r>
      <w:r w:rsidR="00E75189" w:rsidRPr="007C4E34">
        <w:t>PPL Electric has little discretion to set, or under estimate, the TOU rates.  PPL Electric’s TOU rates were established pursuant to the TOU proceeding and the terms and conditions of the Commission-approved TOU tariff provisions.  PPL St. 1-R, p. 30-31; Tr. 62.</w:t>
      </w:r>
    </w:p>
    <w:p w:rsidR="00EC6D3E" w:rsidRPr="007C4E34" w:rsidRDefault="00EC6D3E" w:rsidP="00EC6D3E">
      <w:pPr>
        <w:pStyle w:val="ListNumber"/>
        <w:numPr>
          <w:ilvl w:val="0"/>
          <w:numId w:val="0"/>
        </w:numPr>
        <w:spacing w:line="360" w:lineRule="auto"/>
        <w:contextualSpacing/>
      </w:pPr>
    </w:p>
    <w:p w:rsidR="00E75189" w:rsidRPr="007C4E34" w:rsidRDefault="00EC6D3E" w:rsidP="00EC6D3E">
      <w:pPr>
        <w:pStyle w:val="ListNumber"/>
        <w:numPr>
          <w:ilvl w:val="0"/>
          <w:numId w:val="0"/>
        </w:numPr>
        <w:spacing w:line="360" w:lineRule="auto"/>
        <w:contextualSpacing/>
      </w:pPr>
      <w:r w:rsidRPr="007C4E34">
        <w:tab/>
        <w:t>49.</w:t>
      </w:r>
      <w:r w:rsidRPr="007C4E34">
        <w:tab/>
      </w:r>
      <w:r w:rsidR="00E75189" w:rsidRPr="007C4E34">
        <w:t xml:space="preserve">Very few customers continue to take service under the TOU program.  PPL St. 1-R, p. 31; Tr. 168.  </w:t>
      </w:r>
    </w:p>
    <w:p w:rsidR="00EC6D3E" w:rsidRPr="007C4E34" w:rsidRDefault="00EC6D3E" w:rsidP="00EC6D3E">
      <w:pPr>
        <w:pStyle w:val="ListNumber"/>
        <w:numPr>
          <w:ilvl w:val="0"/>
          <w:numId w:val="0"/>
        </w:numPr>
        <w:spacing w:line="360" w:lineRule="auto"/>
        <w:contextualSpacing/>
      </w:pPr>
    </w:p>
    <w:p w:rsidR="000E373F" w:rsidRPr="007C4E34" w:rsidRDefault="00DF7E2A" w:rsidP="00DF7E2A">
      <w:pPr>
        <w:pStyle w:val="ListNumber"/>
        <w:numPr>
          <w:ilvl w:val="0"/>
          <w:numId w:val="0"/>
        </w:numPr>
        <w:tabs>
          <w:tab w:val="clear" w:pos="1440"/>
        </w:tabs>
        <w:spacing w:line="360" w:lineRule="auto"/>
        <w:contextualSpacing/>
        <w:jc w:val="center"/>
        <w:rPr>
          <w:u w:val="single"/>
        </w:rPr>
      </w:pPr>
      <w:r w:rsidRPr="00DF7E2A">
        <w:t>III.</w:t>
      </w:r>
      <w:r w:rsidRPr="00DF7E2A">
        <w:tab/>
      </w:r>
      <w:r w:rsidR="007E7C76" w:rsidRPr="007C4E34">
        <w:rPr>
          <w:u w:val="single"/>
        </w:rPr>
        <w:t>DISCUSSION</w:t>
      </w:r>
      <w:r>
        <w:rPr>
          <w:u w:val="single"/>
        </w:rPr>
        <w:fldChar w:fldCharType="begin"/>
      </w:r>
      <w:r>
        <w:instrText xml:space="preserve"> TC "</w:instrText>
      </w:r>
      <w:bookmarkStart w:id="2" w:name="_Toc320265360"/>
      <w:r w:rsidRPr="00892090">
        <w:instrText>III.</w:instrText>
      </w:r>
      <w:r w:rsidRPr="00892090">
        <w:tab/>
      </w:r>
      <w:r w:rsidRPr="00892090">
        <w:rPr>
          <w:u w:val="single"/>
        </w:rPr>
        <w:instrText>DISCUSSION</w:instrText>
      </w:r>
      <w:bookmarkEnd w:id="2"/>
      <w:r>
        <w:instrText xml:space="preserve">" \f C \l "1" </w:instrText>
      </w:r>
      <w:r>
        <w:rPr>
          <w:u w:val="single"/>
        </w:rPr>
        <w:fldChar w:fldCharType="end"/>
      </w:r>
    </w:p>
    <w:p w:rsidR="007E7C76" w:rsidRPr="007C4E34" w:rsidRDefault="007E7C76" w:rsidP="007E7C76">
      <w:pPr>
        <w:jc w:val="center"/>
        <w:rPr>
          <w:szCs w:val="24"/>
          <w:u w:val="single"/>
        </w:rPr>
      </w:pPr>
    </w:p>
    <w:p w:rsidR="007E7C76" w:rsidRPr="007C4E34" w:rsidRDefault="00496768" w:rsidP="007E7C76">
      <w:pPr>
        <w:rPr>
          <w:b/>
          <w:szCs w:val="24"/>
        </w:rPr>
      </w:pPr>
      <w:r w:rsidRPr="007C4E34">
        <w:rPr>
          <w:b/>
          <w:szCs w:val="24"/>
        </w:rPr>
        <w:t>A</w:t>
      </w:r>
      <w:r w:rsidR="007E7C76" w:rsidRPr="007C4E34">
        <w:rPr>
          <w:b/>
          <w:szCs w:val="24"/>
        </w:rPr>
        <w:t>.</w:t>
      </w:r>
      <w:r w:rsidR="007E7C76" w:rsidRPr="007C4E34">
        <w:rPr>
          <w:b/>
          <w:szCs w:val="24"/>
        </w:rPr>
        <w:tab/>
        <w:t>Burden of Proof</w:t>
      </w:r>
      <w:r w:rsidR="00E77EC5">
        <w:rPr>
          <w:b/>
          <w:szCs w:val="24"/>
        </w:rPr>
        <w:fldChar w:fldCharType="begin"/>
      </w:r>
      <w:r w:rsidR="00E77EC5">
        <w:instrText xml:space="preserve"> TC "</w:instrText>
      </w:r>
      <w:bookmarkStart w:id="3" w:name="_Toc320265361"/>
      <w:r w:rsidR="00E77EC5" w:rsidRPr="00540968">
        <w:rPr>
          <w:b/>
          <w:szCs w:val="24"/>
        </w:rPr>
        <w:instrText>A.</w:instrText>
      </w:r>
      <w:r w:rsidR="00E77EC5" w:rsidRPr="00540968">
        <w:rPr>
          <w:b/>
          <w:szCs w:val="24"/>
        </w:rPr>
        <w:tab/>
        <w:instrText>Burden of Proof</w:instrText>
      </w:r>
      <w:bookmarkEnd w:id="3"/>
      <w:r w:rsidR="00E77EC5">
        <w:instrText xml:space="preserve">" \f C \l "2" </w:instrText>
      </w:r>
      <w:r w:rsidR="00E77EC5">
        <w:rPr>
          <w:b/>
          <w:szCs w:val="24"/>
        </w:rPr>
        <w:fldChar w:fldCharType="end"/>
      </w:r>
    </w:p>
    <w:p w:rsidR="00904A94" w:rsidRPr="007C4E34" w:rsidRDefault="00904A94" w:rsidP="000E373F">
      <w:pPr>
        <w:rPr>
          <w:szCs w:val="24"/>
        </w:rPr>
      </w:pPr>
    </w:p>
    <w:p w:rsidR="00904A94" w:rsidRPr="007C4E34" w:rsidRDefault="007E7C76" w:rsidP="00904A94">
      <w:pPr>
        <w:contextualSpacing/>
        <w:rPr>
          <w:szCs w:val="24"/>
        </w:rPr>
      </w:pPr>
      <w:r w:rsidRPr="007C4E34">
        <w:rPr>
          <w:szCs w:val="24"/>
        </w:rPr>
        <w:tab/>
      </w:r>
      <w:r w:rsidRPr="007C4E34">
        <w:rPr>
          <w:szCs w:val="24"/>
        </w:rPr>
        <w:tab/>
      </w:r>
      <w:r w:rsidR="00904A94" w:rsidRPr="007C4E34">
        <w:rPr>
          <w:szCs w:val="24"/>
        </w:rPr>
        <w:t xml:space="preserve">The proponent of a rule or order in any Commission proceeding has the burden of proof, 66 Pa. C.S. § 332, and therefore, the Applicant has the burden of proving its case by a preponderance of the evidence, or evidence which is more convincing than the evidence presented by the other parties.  </w:t>
      </w:r>
      <w:r w:rsidR="00904A94" w:rsidRPr="007C4E34">
        <w:rPr>
          <w:i/>
          <w:szCs w:val="24"/>
        </w:rPr>
        <w:t>Se-Ling Hosiery v. Margulies</w:t>
      </w:r>
      <w:r w:rsidR="00904A94" w:rsidRPr="007C4E34">
        <w:rPr>
          <w:szCs w:val="24"/>
        </w:rPr>
        <w:t xml:space="preserve">, 364 Pa. 45, 70 A.3d 854 (1950); </w:t>
      </w:r>
      <w:r w:rsidR="00904A94" w:rsidRPr="007C4E34">
        <w:rPr>
          <w:i/>
          <w:szCs w:val="24"/>
        </w:rPr>
        <w:t>Samuel J. Lansberry, Inc. v. Pa. Publ. Util. Comm’n</w:t>
      </w:r>
      <w:r w:rsidR="00904A94" w:rsidRPr="007C4E34">
        <w:rPr>
          <w:szCs w:val="24"/>
        </w:rPr>
        <w:t xml:space="preserve">, 578 A.2d 600 (Pa. Cmwlth. 1990).  </w:t>
      </w:r>
    </w:p>
    <w:p w:rsidR="00904A94" w:rsidRPr="007C4E34" w:rsidRDefault="00904A94" w:rsidP="00904A94">
      <w:pPr>
        <w:contextualSpacing/>
        <w:rPr>
          <w:szCs w:val="24"/>
        </w:rPr>
      </w:pPr>
    </w:p>
    <w:p w:rsidR="00904A94" w:rsidRPr="007C4E34" w:rsidRDefault="00904A94" w:rsidP="00904A94">
      <w:pPr>
        <w:rPr>
          <w:szCs w:val="24"/>
        </w:rPr>
      </w:pPr>
      <w:r w:rsidRPr="007C4E34">
        <w:rPr>
          <w:szCs w:val="24"/>
        </w:rPr>
        <w:tab/>
      </w:r>
      <w:r w:rsidRPr="007C4E34">
        <w:rPr>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r w:rsidRPr="007C4E34">
        <w:rPr>
          <w:i/>
          <w:szCs w:val="24"/>
        </w:rPr>
        <w:t>Mill v. Comm., Pa. Publ. Util. Comm’n</w:t>
      </w:r>
      <w:r w:rsidRPr="007C4E34">
        <w:rPr>
          <w:szCs w:val="24"/>
        </w:rPr>
        <w:t xml:space="preserve">, 447 A.2d 1100 (Pa. Cmwlth. Ct.1982); </w:t>
      </w:r>
      <w:r w:rsidRPr="007C4E34">
        <w:rPr>
          <w:i/>
          <w:szCs w:val="24"/>
        </w:rPr>
        <w:t>Edan Transportation Corp. v. Pa. Publ. Util. Comm’n,</w:t>
      </w:r>
      <w:r w:rsidRPr="007C4E34">
        <w:rPr>
          <w:szCs w:val="24"/>
        </w:rPr>
        <w:t xml:space="preserve"> 623 A.2d 6 (Pa. Cmwlth. Ct.1993), 2 Pa. C.S. § 704.  More is required than a mere trace of evidence or a suspicion of the existence of a fact sought to be established.  </w:t>
      </w:r>
      <w:r w:rsidRPr="007C4E34">
        <w:rPr>
          <w:i/>
          <w:szCs w:val="24"/>
        </w:rPr>
        <w:t xml:space="preserve">Norfolk &amp; Western Ry. V. Pa. Publ. Util. Comm’n, </w:t>
      </w:r>
      <w:r w:rsidRPr="007C4E34">
        <w:rPr>
          <w:szCs w:val="24"/>
        </w:rPr>
        <w:t xml:space="preserve">489 Pa. 109, 413 A.2d 1037 (1980); </w:t>
      </w:r>
      <w:r w:rsidRPr="007C4E34">
        <w:rPr>
          <w:i/>
          <w:szCs w:val="24"/>
        </w:rPr>
        <w:t>Erie Resistor Corp. v. Unemployment Com. Bd. Of Review</w:t>
      </w:r>
      <w:r w:rsidRPr="007C4E34">
        <w:rPr>
          <w:szCs w:val="24"/>
        </w:rPr>
        <w:t xml:space="preserve">, 166 A.2d 96 (Pa. Super. Ct.1960); </w:t>
      </w:r>
      <w:r w:rsidRPr="007C4E34">
        <w:rPr>
          <w:i/>
          <w:szCs w:val="24"/>
        </w:rPr>
        <w:t xml:space="preserve">Murphy v. Comm., Dept. of Public Welfare, White Haven Center, </w:t>
      </w:r>
      <w:r w:rsidRPr="007C4E34">
        <w:rPr>
          <w:szCs w:val="24"/>
        </w:rPr>
        <w:t>480 A.2d 382 (Pa. Cmwlth. Ct.1984).</w:t>
      </w:r>
    </w:p>
    <w:p w:rsidR="00904A94" w:rsidRPr="007C4E34" w:rsidRDefault="00904A94" w:rsidP="00904A94">
      <w:pPr>
        <w:rPr>
          <w:szCs w:val="24"/>
        </w:rPr>
      </w:pPr>
    </w:p>
    <w:p w:rsidR="00904A94" w:rsidRPr="007C4E34" w:rsidRDefault="00904A94" w:rsidP="00904A94">
      <w:pPr>
        <w:rPr>
          <w:spacing w:val="-3"/>
          <w:szCs w:val="24"/>
        </w:rPr>
      </w:pPr>
      <w:r w:rsidRPr="007C4E34">
        <w:rPr>
          <w:szCs w:val="24"/>
        </w:rPr>
        <w:tab/>
      </w:r>
      <w:r w:rsidRPr="007C4E34">
        <w:rPr>
          <w:szCs w:val="24"/>
        </w:rPr>
        <w:tab/>
      </w:r>
      <w:r w:rsidRPr="007C4E34">
        <w:rPr>
          <w:spacing w:val="-3"/>
          <w:szCs w:val="24"/>
        </w:rPr>
        <w:t xml:space="preserve">The “burden of proof” is composed of two distinct burdens: the burden of production and the burden of persuasion.  </w:t>
      </w:r>
      <w:r w:rsidRPr="007C4E34">
        <w:rPr>
          <w:i/>
          <w:spacing w:val="-3"/>
          <w:szCs w:val="24"/>
        </w:rPr>
        <w:t>Hurley v. Hurley</w:t>
      </w:r>
      <w:r w:rsidRPr="007C4E34">
        <w:rPr>
          <w:spacing w:val="-3"/>
          <w:szCs w:val="24"/>
        </w:rPr>
        <w:t>, 2000 Pa.Super. 178, 754 A.2d 1283 (2000).</w:t>
      </w:r>
    </w:p>
    <w:p w:rsidR="00904A94" w:rsidRPr="007C4E34" w:rsidRDefault="00904A94" w:rsidP="00904A94">
      <w:pPr>
        <w:rPr>
          <w:spacing w:val="-3"/>
          <w:szCs w:val="24"/>
        </w:rPr>
      </w:pPr>
    </w:p>
    <w:p w:rsidR="00904A94" w:rsidRPr="007C4E34" w:rsidRDefault="00904A94" w:rsidP="00904A94">
      <w:pPr>
        <w:tabs>
          <w:tab w:val="left" w:pos="-1440"/>
          <w:tab w:val="left" w:pos="-720"/>
        </w:tabs>
        <w:suppressAutoHyphens/>
        <w:ind w:firstLine="1440"/>
        <w:rPr>
          <w:spacing w:val="-3"/>
          <w:szCs w:val="24"/>
        </w:rPr>
      </w:pPr>
      <w:r w:rsidRPr="007C4E34">
        <w:rPr>
          <w:spacing w:val="-3"/>
          <w:szCs w:val="24"/>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904A94" w:rsidRPr="007C4E34" w:rsidRDefault="00904A94" w:rsidP="00904A94">
      <w:pPr>
        <w:tabs>
          <w:tab w:val="left" w:pos="-1440"/>
          <w:tab w:val="left" w:pos="-720"/>
        </w:tabs>
        <w:suppressAutoHyphens/>
        <w:ind w:firstLine="1440"/>
        <w:rPr>
          <w:spacing w:val="-3"/>
          <w:szCs w:val="24"/>
        </w:rPr>
      </w:pPr>
    </w:p>
    <w:p w:rsidR="00904A94" w:rsidRPr="007C4E34" w:rsidRDefault="00904A94" w:rsidP="00904A94">
      <w:pPr>
        <w:tabs>
          <w:tab w:val="left" w:pos="-1440"/>
          <w:tab w:val="left" w:pos="-720"/>
        </w:tabs>
        <w:suppressAutoHyphens/>
        <w:ind w:firstLine="1440"/>
        <w:rPr>
          <w:spacing w:val="-3"/>
          <w:szCs w:val="24"/>
        </w:rPr>
      </w:pPr>
      <w:r w:rsidRPr="007C4E34">
        <w:rPr>
          <w:spacing w:val="-3"/>
          <w:szCs w:val="24"/>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7C4E34">
        <w:rPr>
          <w:i/>
          <w:spacing w:val="-3"/>
          <w:szCs w:val="24"/>
        </w:rPr>
        <w:t>Riedel v. County of Allegheny</w:t>
      </w:r>
      <w:r w:rsidRPr="007C4E34">
        <w:rPr>
          <w:spacing w:val="-3"/>
          <w:szCs w:val="24"/>
        </w:rPr>
        <w:t>, 159 Pa.Cmwlth. 583; 591, 633 A.2d 1325; 1328 n. 11 (1993).  The burden of persuasion, usually placed on the complainant, applicant, or petitioner</w:t>
      </w:r>
      <w:r w:rsidRPr="007C4E34">
        <w:rPr>
          <w:rStyle w:val="FootnoteReference"/>
          <w:spacing w:val="-3"/>
          <w:szCs w:val="24"/>
        </w:rPr>
        <w:footnoteReference w:id="4"/>
      </w:r>
      <w:r w:rsidRPr="007C4E34">
        <w:rPr>
          <w:spacing w:val="-3"/>
          <w:szCs w:val="24"/>
        </w:rPr>
        <w:t xml:space="preserve">, determines which party must produce sufficient evidence to meet the applicable standard of proof.  </w:t>
      </w:r>
      <w:r w:rsidRPr="007C4E34">
        <w:rPr>
          <w:i/>
          <w:spacing w:val="-3"/>
          <w:szCs w:val="24"/>
        </w:rPr>
        <w:t>Hurley v. Hurley</w:t>
      </w:r>
      <w:r w:rsidRPr="007C4E34">
        <w:rPr>
          <w:spacing w:val="-3"/>
          <w:szCs w:val="24"/>
        </w:rPr>
        <w:t xml:space="preserve">, 2000 Pa.Super.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7C4E34">
        <w:rPr>
          <w:i/>
          <w:spacing w:val="-3"/>
          <w:szCs w:val="24"/>
        </w:rPr>
        <w:t>Suber v. Pa. Comm’n on Crime and Delinquency</w:t>
      </w:r>
      <w:r w:rsidRPr="007C4E34">
        <w:rPr>
          <w:spacing w:val="-3"/>
          <w:szCs w:val="24"/>
        </w:rPr>
        <w:t>, 885 A.2d 678 (Pa.Cmwlth. 2005), app. denied, 586 Pa. 776, 895 A.2d 1264 (2006).  In order to bear the burden of proof and be entitled to a decision in his favor, a party must bear both the burden of production and the burden of persuasion.</w:t>
      </w:r>
    </w:p>
    <w:p w:rsidR="008A2A11" w:rsidRPr="007C4E34" w:rsidRDefault="008A2A11" w:rsidP="00904A94">
      <w:pPr>
        <w:tabs>
          <w:tab w:val="left" w:pos="-1440"/>
          <w:tab w:val="left" w:pos="-720"/>
        </w:tabs>
        <w:suppressAutoHyphens/>
        <w:ind w:firstLine="1440"/>
        <w:rPr>
          <w:spacing w:val="-3"/>
          <w:szCs w:val="24"/>
        </w:rPr>
      </w:pPr>
    </w:p>
    <w:p w:rsidR="00061753" w:rsidRDefault="00061753">
      <w:pPr>
        <w:autoSpaceDE/>
        <w:autoSpaceDN/>
        <w:jc w:val="center"/>
        <w:rPr>
          <w:szCs w:val="24"/>
        </w:rPr>
      </w:pPr>
      <w:r>
        <w:rPr>
          <w:szCs w:val="24"/>
        </w:rPr>
        <w:br w:type="page"/>
      </w:r>
    </w:p>
    <w:p w:rsidR="007E7C76" w:rsidRPr="007C4E34" w:rsidRDefault="007E7C76" w:rsidP="007E7C76">
      <w:pPr>
        <w:pStyle w:val="BodyText2"/>
        <w:spacing w:line="240" w:lineRule="auto"/>
        <w:ind w:left="1440" w:right="1440"/>
        <w:contextualSpacing/>
        <w:rPr>
          <w:szCs w:val="24"/>
        </w:rPr>
      </w:pPr>
      <w:r w:rsidRPr="007C4E34">
        <w:rPr>
          <w:szCs w:val="24"/>
        </w:rPr>
        <w:t xml:space="preserve">Tariffs that have been approved by the Commission have the force of law and are binding on both the utility and its customers.  </w:t>
      </w:r>
      <w:r w:rsidRPr="007C4E34">
        <w:rPr>
          <w:i/>
          <w:szCs w:val="24"/>
        </w:rPr>
        <w:t>Brockway Glass Co. v. Pa. P.U.C.</w:t>
      </w:r>
      <w:r w:rsidRPr="007C4E34">
        <w:rPr>
          <w:szCs w:val="24"/>
        </w:rPr>
        <w:t xml:space="preserve">, 63 Pa. Cmwlth. 238, 437 A.2d 1067 (1981); </w:t>
      </w:r>
      <w:r w:rsidRPr="007C4E34">
        <w:rPr>
          <w:i/>
          <w:szCs w:val="24"/>
        </w:rPr>
        <w:t>Behrend v. Bell Telephone Co.</w:t>
      </w:r>
      <w:r w:rsidRPr="007C4E34">
        <w:rPr>
          <w:szCs w:val="24"/>
        </w:rPr>
        <w:t xml:space="preserve">, 242 Pa. Super. 47, 363 A.2d 1152 (1976).  The burden of proving that an existing tariff provision is unreasonable or discriminatory is on the complainant.  </w:t>
      </w:r>
      <w:r w:rsidRPr="007C4E34">
        <w:rPr>
          <w:i/>
          <w:szCs w:val="24"/>
        </w:rPr>
        <w:t>Paul Kossman t/a Kossman Dev. Co. v. Pa. P.U.C.</w:t>
      </w:r>
      <w:r w:rsidRPr="007C4E34">
        <w:rPr>
          <w:szCs w:val="24"/>
        </w:rPr>
        <w:t>, 694 A.2d 1147 (Pa. Cmwlth. 1997) (“</w:t>
      </w:r>
      <w:r w:rsidRPr="007C4E34">
        <w:rPr>
          <w:i/>
          <w:szCs w:val="24"/>
        </w:rPr>
        <w:t>Kossman</w:t>
      </w:r>
      <w:r w:rsidRPr="007C4E34">
        <w:rPr>
          <w:szCs w:val="24"/>
        </w:rPr>
        <w:t xml:space="preserve">”).  In </w:t>
      </w:r>
      <w:r w:rsidRPr="007C4E34">
        <w:rPr>
          <w:i/>
          <w:szCs w:val="24"/>
        </w:rPr>
        <w:t>Kossman</w:t>
      </w:r>
      <w:r w:rsidRPr="007C4E34">
        <w:rPr>
          <w:szCs w:val="24"/>
        </w:rPr>
        <w:t>, the Commonwealth Court further stated as follows:</w:t>
      </w:r>
    </w:p>
    <w:p w:rsidR="007E7C76" w:rsidRPr="007C4E34" w:rsidRDefault="007E7C76" w:rsidP="007E7C76">
      <w:pPr>
        <w:pStyle w:val="BodyText2"/>
        <w:spacing w:line="240" w:lineRule="auto"/>
        <w:ind w:left="1440" w:right="1440"/>
        <w:contextualSpacing/>
        <w:rPr>
          <w:szCs w:val="24"/>
        </w:rPr>
      </w:pPr>
    </w:p>
    <w:p w:rsidR="001B0CCD" w:rsidRDefault="007E7C76" w:rsidP="007C4E34">
      <w:pPr>
        <w:pStyle w:val="BlockText"/>
        <w:ind w:left="2160"/>
        <w:contextualSpacing/>
        <w:jc w:val="left"/>
      </w:pPr>
      <w:r w:rsidRPr="007C4E34">
        <w:t xml:space="preserve">This burden is very heavy because tariff provisions that have been properly submitted to and approved by the Commission are </w:t>
      </w:r>
      <w:r w:rsidRPr="007C4E34">
        <w:rPr>
          <w:i/>
        </w:rPr>
        <w:t>prima facie</w:t>
      </w:r>
      <w:r w:rsidRPr="007C4E34">
        <w:t xml:space="preserve"> reasonable.  </w:t>
      </w:r>
    </w:p>
    <w:p w:rsidR="007E7C76" w:rsidRDefault="007E7C76" w:rsidP="001B0CCD">
      <w:pPr>
        <w:pStyle w:val="BlockText"/>
        <w:contextualSpacing/>
        <w:jc w:val="left"/>
      </w:pPr>
      <w:r w:rsidRPr="007C4E34">
        <w:rPr>
          <w:i/>
        </w:rPr>
        <w:t>Shenango Township Board of Supervisors v. Pa. P.U.C.</w:t>
      </w:r>
      <w:r w:rsidRPr="007C4E34">
        <w:t>, 686 A.2d 910, 914 (Pa. Cmwlth. 1996).</w:t>
      </w:r>
    </w:p>
    <w:p w:rsidR="007C4E34" w:rsidRPr="007C4E34" w:rsidRDefault="007C4E34" w:rsidP="007C4E34">
      <w:pPr>
        <w:pStyle w:val="BlockText"/>
        <w:spacing w:line="360" w:lineRule="auto"/>
        <w:ind w:left="2160"/>
        <w:contextualSpacing/>
        <w:jc w:val="left"/>
      </w:pPr>
    </w:p>
    <w:p w:rsidR="00904A94" w:rsidRPr="007C4E34" w:rsidRDefault="008A2A11" w:rsidP="000E373F">
      <w:pPr>
        <w:rPr>
          <w:szCs w:val="24"/>
        </w:rPr>
      </w:pPr>
      <w:r w:rsidRPr="007C4E34">
        <w:rPr>
          <w:szCs w:val="24"/>
        </w:rPr>
        <w:tab/>
      </w:r>
      <w:r w:rsidRPr="007C4E34">
        <w:rPr>
          <w:szCs w:val="24"/>
        </w:rPr>
        <w:tab/>
        <w:t>However, the proponent, or utility, which seeks to implement a tariff which has not been approved is responsible for sustaining the burden of proof.  Here, the Company admits its burden and contends that it has carried it.</w:t>
      </w:r>
    </w:p>
    <w:p w:rsidR="007C4E34" w:rsidRDefault="007C4E34" w:rsidP="000E373F">
      <w:pPr>
        <w:rPr>
          <w:b/>
          <w:szCs w:val="24"/>
        </w:rPr>
      </w:pPr>
    </w:p>
    <w:p w:rsidR="00360427" w:rsidRPr="007C4E34" w:rsidRDefault="00496768" w:rsidP="000E373F">
      <w:pPr>
        <w:rPr>
          <w:b/>
          <w:szCs w:val="24"/>
        </w:rPr>
      </w:pPr>
      <w:r w:rsidRPr="007C4E34">
        <w:rPr>
          <w:b/>
          <w:szCs w:val="24"/>
        </w:rPr>
        <w:t>B</w:t>
      </w:r>
      <w:r w:rsidR="00360427" w:rsidRPr="007C4E34">
        <w:rPr>
          <w:b/>
          <w:szCs w:val="24"/>
        </w:rPr>
        <w:t>.</w:t>
      </w:r>
      <w:r w:rsidR="00360427" w:rsidRPr="007C4E34">
        <w:rPr>
          <w:b/>
          <w:szCs w:val="24"/>
        </w:rPr>
        <w:tab/>
        <w:t>Events leading up to this Petition</w:t>
      </w:r>
      <w:r w:rsidR="00E77EC5">
        <w:rPr>
          <w:b/>
          <w:szCs w:val="24"/>
        </w:rPr>
        <w:fldChar w:fldCharType="begin"/>
      </w:r>
      <w:r w:rsidR="00E77EC5">
        <w:instrText xml:space="preserve"> TC "</w:instrText>
      </w:r>
      <w:bookmarkStart w:id="4" w:name="_Toc320265362"/>
      <w:r w:rsidR="00E77EC5" w:rsidRPr="00540968">
        <w:rPr>
          <w:b/>
          <w:szCs w:val="24"/>
        </w:rPr>
        <w:instrText>B.</w:instrText>
      </w:r>
      <w:r w:rsidR="00E77EC5" w:rsidRPr="00540968">
        <w:rPr>
          <w:b/>
          <w:szCs w:val="24"/>
        </w:rPr>
        <w:tab/>
        <w:instrText>Events leading up to this Petition</w:instrText>
      </w:r>
      <w:bookmarkEnd w:id="4"/>
      <w:r w:rsidR="00E77EC5">
        <w:instrText xml:space="preserve">" \f C \l "2" </w:instrText>
      </w:r>
      <w:r w:rsidR="00E77EC5">
        <w:rPr>
          <w:b/>
          <w:szCs w:val="24"/>
        </w:rPr>
        <w:fldChar w:fldCharType="end"/>
      </w:r>
    </w:p>
    <w:p w:rsidR="00360427" w:rsidRPr="007C4E34" w:rsidRDefault="00360427" w:rsidP="000E373F">
      <w:pPr>
        <w:rPr>
          <w:b/>
          <w:szCs w:val="24"/>
        </w:rPr>
      </w:pPr>
    </w:p>
    <w:p w:rsidR="00360427" w:rsidRPr="007C4E34" w:rsidRDefault="00360427" w:rsidP="00360427">
      <w:pPr>
        <w:rPr>
          <w:szCs w:val="24"/>
        </w:rPr>
      </w:pPr>
      <w:r w:rsidRPr="007C4E34">
        <w:rPr>
          <w:b/>
          <w:szCs w:val="24"/>
        </w:rPr>
        <w:tab/>
      </w:r>
      <w:r w:rsidRPr="007C4E34">
        <w:rPr>
          <w:b/>
          <w:szCs w:val="24"/>
        </w:rPr>
        <w:tab/>
      </w:r>
      <w:r w:rsidRPr="007C4E34">
        <w:rPr>
          <w:szCs w:val="24"/>
        </w:rPr>
        <w:t xml:space="preserve">To better understand the claimed need for the mechanisms proposed here, the following is a history of the events leading to this filing.  On August 2, 2006, PPL Electric filed its Petition for Approval of a Competitive Bridge Plan ("CBP") to establish terms and conditions under which the Company would provide Default Service (or Provider of Last Resort service) during calendar year 2010, as a transition to a fully competitive market beginning January 1, 2011.  </w:t>
      </w:r>
      <w:r w:rsidR="00E20C05" w:rsidRPr="007C4E34">
        <w:rPr>
          <w:szCs w:val="24"/>
        </w:rPr>
        <w:t>Docket No. P-00062277 (Opinion and Order entered May 17, 2007).</w:t>
      </w:r>
    </w:p>
    <w:p w:rsidR="00E20C05" w:rsidRPr="007C4E34" w:rsidRDefault="00E20C05" w:rsidP="00360427">
      <w:pPr>
        <w:rPr>
          <w:szCs w:val="24"/>
        </w:rPr>
      </w:pPr>
    </w:p>
    <w:p w:rsidR="001A69B1" w:rsidRPr="007C4E34" w:rsidRDefault="00360427" w:rsidP="00360427">
      <w:pPr>
        <w:rPr>
          <w:szCs w:val="24"/>
        </w:rPr>
      </w:pPr>
      <w:r w:rsidRPr="007C4E34">
        <w:rPr>
          <w:szCs w:val="24"/>
        </w:rPr>
        <w:tab/>
      </w:r>
      <w:r w:rsidRPr="007C4E34">
        <w:rPr>
          <w:szCs w:val="24"/>
        </w:rPr>
        <w:tab/>
        <w:t>As part of the CBP, PPL Electric implement</w:t>
      </w:r>
      <w:r w:rsidR="001A69B1" w:rsidRPr="007C4E34">
        <w:rPr>
          <w:szCs w:val="24"/>
        </w:rPr>
        <w:t>ed</w:t>
      </w:r>
      <w:r w:rsidRPr="007C4E34">
        <w:rPr>
          <w:szCs w:val="24"/>
        </w:rPr>
        <w:t xml:space="preserve"> a new rate rider, the GSC</w:t>
      </w:r>
      <w:r w:rsidR="001A69B1" w:rsidRPr="007C4E34">
        <w:rPr>
          <w:szCs w:val="24"/>
        </w:rPr>
        <w:t xml:space="preserve">, an </w:t>
      </w:r>
      <w:r w:rsidRPr="007C4E34">
        <w:rPr>
          <w:szCs w:val="24"/>
        </w:rPr>
        <w:t xml:space="preserve">automatic Section 1307(e) cost recovery mechanism that provided for annual reconciliation of any over or under collection of the Company's actual costs incurred to acquire generation supply on behalf of each of three Customer Classes (Residential, Small Commercial and Industrial ("Small C&amp;I") and Large Commercial and Industrial ("Large C&amp;I")).  </w:t>
      </w:r>
      <w:r w:rsidR="001A69B1" w:rsidRPr="007C4E34">
        <w:rPr>
          <w:szCs w:val="24"/>
        </w:rPr>
        <w:t xml:space="preserve">Docket No. </w:t>
      </w:r>
    </w:p>
    <w:p w:rsidR="00360427" w:rsidRPr="007C4E34" w:rsidRDefault="001A69B1" w:rsidP="00360427">
      <w:pPr>
        <w:rPr>
          <w:szCs w:val="24"/>
        </w:rPr>
      </w:pPr>
      <w:r w:rsidRPr="007C4E34">
        <w:rPr>
          <w:szCs w:val="24"/>
        </w:rPr>
        <w:t>P-00062227 (</w:t>
      </w:r>
      <w:r w:rsidR="00360427" w:rsidRPr="007C4E34">
        <w:rPr>
          <w:szCs w:val="24"/>
        </w:rPr>
        <w:t>Opinion and Order</w:t>
      </w:r>
      <w:r w:rsidRPr="007C4E34">
        <w:rPr>
          <w:szCs w:val="24"/>
        </w:rPr>
        <w:t xml:space="preserve"> entered May 17, 2007)</w:t>
      </w:r>
      <w:r w:rsidR="00360427" w:rsidRPr="007C4E34">
        <w:rPr>
          <w:szCs w:val="24"/>
        </w:rPr>
        <w:t xml:space="preserve">.  In its compliance filing, PPL Electric submitted the approved GSC tariff rider, which provided for the GSC to be re-calculated and reconciled on a quarterly basis pursuant to the Commission’s Order, to become effective for service rendered on and after January 1, 2010.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On August 28, 2008, PPL Electric filed with the Commission its Petition for Approval of a Default Service Program and Procurement Plan for the period January 1, 2011 through May 31, 2013 ("DSPP").  In its Petition, PPL Electric proposed to implement a new rate rider, the GSC-1, which would replace the GSC for the Residential and Small C&amp;I Customer Classes, beginning January 1, 2011.  The GSC-1 is an automatic Section 1307(e) cost recovery mechanism that provides for quarterly re-calculation of the GSC-1 rates and quarterly reconciliation of any over or under collection of the Company's actual costs incurred to acquire generation supply on behalf of the Residential and Small C&amp;I Customer Classes. The Commission approved the Joint Petition for Settlement in its Opi</w:t>
      </w:r>
      <w:r w:rsidR="00F128B8">
        <w:rPr>
          <w:szCs w:val="24"/>
        </w:rPr>
        <w:t>nion and Order, entered on June </w:t>
      </w:r>
      <w:r w:rsidRPr="007C4E34">
        <w:rPr>
          <w:szCs w:val="24"/>
        </w:rPr>
        <w:t xml:space="preserve">30, 2009, at Docket No. P-2008-2060309.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In its compliance filing, PPL Electric submitted the approved GSC-1 tariff rider, which provided for the initial computation quarter of the GSC-1 to include any applicable over or under collection related to the 2010 GSC for the Residential and Small C&amp;I Customer Classes, to become effective for service rendered on and after January 1, 2011.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Pursuant to PPL Electric’s tariff, the 2010 GSC rate reflected projected costs for 2010, divided by projected sales, with the resulting rate adjusted to reflect the gross receipts tax. At the end of 2010, PPL Electric performed a reconciliation of the 2010 GSC costs as compared to the Company’s actual billed revenues.  The actual billed revenues for January 2010 were prorated to eliminate the portion of those revenues for services rendered in December 2009.  </w:t>
      </w:r>
    </w:p>
    <w:p w:rsidR="001A69B1" w:rsidRPr="007C4E34" w:rsidRDefault="001A69B1" w:rsidP="00360427">
      <w:pPr>
        <w:rPr>
          <w:szCs w:val="24"/>
        </w:rPr>
      </w:pPr>
    </w:p>
    <w:p w:rsidR="00360427" w:rsidRPr="007C4E34" w:rsidRDefault="00360427" w:rsidP="00360427">
      <w:pPr>
        <w:rPr>
          <w:szCs w:val="24"/>
        </w:rPr>
      </w:pPr>
      <w:r w:rsidRPr="007C4E34">
        <w:rPr>
          <w:szCs w:val="24"/>
        </w:rPr>
        <w:tab/>
      </w:r>
      <w:r w:rsidRPr="007C4E34">
        <w:rPr>
          <w:szCs w:val="24"/>
        </w:rPr>
        <w:tab/>
        <w:t xml:space="preserve">Due to the effects of accounting for 11 ½ months of revenue to 12 months of costs, the 1307(e) reconciliation mechanism produced an undercollection of the Company’s costs.  A portion of the 2010 undercollection balance has been carried over to subsequent application periods.  As of August 31, 2011, the Company’s remaining undercollection balance was approximately $1.4 million for small C&amp;I customers.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A Section 1307(e) cost recovery mechanism has two primary components.  The first, the C factor, is a projection of costs for the application period.  The second, the E factor, provides for the refund or recovery of prior period over/under collections.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All costs and revenues associated with service provided in a single application period cannot be included in that application period because PPL Electric does not know what all of the actual costs are for that application period until at least two months after the costs are incurred.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When Commission staff audits PPL Electric’s Section 1307(e) cost recovery mechanisms, they compare actual billed revenue amounts with actual incurred costs for each application period.  The Company’s methodology of reconciling actual billed revenues with actual incurred costs is consistent with how the Commission’s staff audits the GSC-1.  The Commission does not consider unbilled revenues in the reconciliation of a Section 1307(e) cost recovery mechanism.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PPL Electric proposed to reconcile default service costs on an annual basis under its GSC in its CBP Proceeding.  In the CBP Order, the Commission required PPL Electric to reconcile default service costs quarterly, as opposed to annually.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PPL Electric default service rates for small C&amp;I customers have stabilized as the Company has recovered its undercollections.  The undercollection for small C&amp;I customers has been reduced to approximately $1.4 million as of August 31, 2011.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Each day, load is settled at PJM based on the prior day’s load, but actual meter readings are not available in time for this “Settlement A”.  Meter reads for large customers are available and used for Settlement A, but for most residential and SC&amp;I customers, the Settlement A load is estimated using load profiles for each rate schedule.  After all meter reads are completed, and the data is verified, there is a second “Settlement B” that occurs 2 months later.  This Settlement B load appears in the month it is completed, but actually is an adjustment for load that was scheduled 2 months prior.  </w:t>
      </w:r>
    </w:p>
    <w:p w:rsidR="00360427" w:rsidRPr="007C4E34" w:rsidRDefault="00360427" w:rsidP="00360427">
      <w:pPr>
        <w:rPr>
          <w:szCs w:val="24"/>
        </w:rPr>
      </w:pPr>
    </w:p>
    <w:p w:rsidR="00360427" w:rsidRPr="007C4E34" w:rsidRDefault="00360427" w:rsidP="00360427">
      <w:pPr>
        <w:rPr>
          <w:szCs w:val="24"/>
        </w:rPr>
      </w:pPr>
      <w:r w:rsidRPr="007C4E34">
        <w:rPr>
          <w:szCs w:val="24"/>
        </w:rPr>
        <w:tab/>
      </w:r>
      <w:r w:rsidRPr="007C4E34">
        <w:rPr>
          <w:szCs w:val="24"/>
        </w:rPr>
        <w:tab/>
        <w:t xml:space="preserve">PPL Electric includes all billed default service revenue and incurred costs in its GSC and GSC-1 charges, and all such revenue and costs are audited regularly by Commission audit staff.  </w:t>
      </w:r>
    </w:p>
    <w:p w:rsidR="001A69B1" w:rsidRPr="007C4E34" w:rsidRDefault="001A69B1" w:rsidP="00360427">
      <w:pPr>
        <w:rPr>
          <w:szCs w:val="24"/>
        </w:rPr>
      </w:pPr>
    </w:p>
    <w:p w:rsidR="001A69B1" w:rsidRPr="007C4E34" w:rsidRDefault="001A69B1" w:rsidP="001A69B1">
      <w:pPr>
        <w:rPr>
          <w:szCs w:val="24"/>
        </w:rPr>
      </w:pPr>
      <w:r w:rsidRPr="007C4E34">
        <w:rPr>
          <w:szCs w:val="24"/>
        </w:rPr>
        <w:tab/>
      </w:r>
      <w:r w:rsidRPr="007C4E34">
        <w:rPr>
          <w:szCs w:val="24"/>
        </w:rPr>
        <w:tab/>
        <w:t xml:space="preserve">This is one of several dockets which are interrelated, although not consolidated or dependent upon each other.  In </w:t>
      </w:r>
      <w:r w:rsidR="00EB683B" w:rsidRPr="007C4E34">
        <w:rPr>
          <w:i/>
          <w:szCs w:val="24"/>
        </w:rPr>
        <w:t xml:space="preserve">OSBA v. PPL Electric Utilities Corporation, </w:t>
      </w:r>
      <w:r w:rsidR="00EB683B" w:rsidRPr="007C4E34">
        <w:rPr>
          <w:szCs w:val="24"/>
        </w:rPr>
        <w:t xml:space="preserve">Docket No. C-2011-2245906, </w:t>
      </w:r>
      <w:r w:rsidRPr="007C4E34">
        <w:rPr>
          <w:szCs w:val="24"/>
        </w:rPr>
        <w:t>the OSBA asks the Commission to find that the Company's proration accounting method resulted in June GSC-1 rates that were not just and reasonable, that the Company should make refunds as appropriate, and that the Commission's Bureau of Audits conduct a detailed audit of the Company's default service revenues and costs for 2010, including the possible under-reporting of revenues.</w:t>
      </w:r>
      <w:r w:rsidR="00280A74" w:rsidRPr="007C4E34">
        <w:rPr>
          <w:szCs w:val="24"/>
        </w:rPr>
        <w:t xml:space="preserve">  The Recommended Decision is being issued contemporaneously with this one.</w:t>
      </w:r>
      <w:r w:rsidRPr="007C4E34">
        <w:rPr>
          <w:szCs w:val="24"/>
        </w:rPr>
        <w:t xml:space="preserve">  </w:t>
      </w:r>
    </w:p>
    <w:p w:rsidR="001A69B1" w:rsidRPr="007C4E34" w:rsidRDefault="001A69B1" w:rsidP="001A69B1">
      <w:pPr>
        <w:contextualSpacing/>
        <w:rPr>
          <w:szCs w:val="24"/>
        </w:rPr>
      </w:pPr>
    </w:p>
    <w:p w:rsidR="001A69B1" w:rsidRPr="007C4E34" w:rsidRDefault="007C4E34" w:rsidP="001A69B1">
      <w:pPr>
        <w:contextualSpacing/>
        <w:rPr>
          <w:szCs w:val="24"/>
        </w:rPr>
      </w:pPr>
      <w:r>
        <w:rPr>
          <w:i/>
          <w:szCs w:val="24"/>
        </w:rPr>
        <w:tab/>
      </w:r>
      <w:r>
        <w:rPr>
          <w:i/>
          <w:szCs w:val="24"/>
        </w:rPr>
        <w:tab/>
      </w:r>
      <w:r w:rsidR="001A69B1" w:rsidRPr="007C4E34">
        <w:rPr>
          <w:szCs w:val="24"/>
        </w:rPr>
        <w:t xml:space="preserve">In </w:t>
      </w:r>
      <w:r w:rsidR="001A69B1" w:rsidRPr="007C4E34">
        <w:rPr>
          <w:i/>
          <w:szCs w:val="24"/>
        </w:rPr>
        <w:t xml:space="preserve">Pa. Publ. Util. Comm'n, OCA, and OSBA v. PPL Electric Utilities Corporation, </w:t>
      </w:r>
      <w:r w:rsidR="001A69B1" w:rsidRPr="007C4E34">
        <w:rPr>
          <w:szCs w:val="24"/>
        </w:rPr>
        <w:t xml:space="preserve">Docket Nos. R-2011-2264771, C-2011-2267808, and C-2011-2268983, the Company seeks approval of a tariff implementing a Time of Use Program pursuant to a Commission directive)(hearing </w:t>
      </w:r>
      <w:r w:rsidR="00280A74" w:rsidRPr="007C4E34">
        <w:rPr>
          <w:szCs w:val="24"/>
        </w:rPr>
        <w:t>held</w:t>
      </w:r>
      <w:r w:rsidR="001A69B1" w:rsidRPr="007C4E34">
        <w:rPr>
          <w:szCs w:val="24"/>
        </w:rPr>
        <w:t xml:space="preserve"> February 22, 2012</w:t>
      </w:r>
      <w:r w:rsidR="00280A74" w:rsidRPr="007C4E34">
        <w:rPr>
          <w:szCs w:val="24"/>
        </w:rPr>
        <w:t>, briefs to be filed</w:t>
      </w:r>
      <w:r w:rsidR="001A69B1" w:rsidRPr="007C4E34">
        <w:rPr>
          <w:szCs w:val="24"/>
        </w:rPr>
        <w:t xml:space="preserve">).  </w:t>
      </w:r>
    </w:p>
    <w:p w:rsidR="001A69B1" w:rsidRPr="007C4E34" w:rsidRDefault="001A69B1" w:rsidP="001A69B1">
      <w:pPr>
        <w:contextualSpacing/>
        <w:rPr>
          <w:szCs w:val="24"/>
        </w:rPr>
      </w:pPr>
    </w:p>
    <w:p w:rsidR="001A69B1" w:rsidRPr="007C4E34" w:rsidRDefault="001A69B1" w:rsidP="001A69B1">
      <w:pPr>
        <w:contextualSpacing/>
        <w:rPr>
          <w:szCs w:val="24"/>
        </w:rPr>
      </w:pPr>
      <w:r w:rsidRPr="007C4E34">
        <w:rPr>
          <w:szCs w:val="24"/>
        </w:rPr>
        <w:tab/>
      </w:r>
      <w:r w:rsidRPr="007C4E34">
        <w:rPr>
          <w:szCs w:val="24"/>
        </w:rPr>
        <w:tab/>
        <w:t xml:space="preserve">The third related case is </w:t>
      </w:r>
      <w:r w:rsidRPr="007C4E34">
        <w:rPr>
          <w:i/>
          <w:szCs w:val="24"/>
        </w:rPr>
        <w:t>PPL Electric Utilities Corporation Proposed Transmission Service Charge Reconciliation for the Twelve Months Ending November 30, 2010</w:t>
      </w:r>
      <w:r w:rsidRPr="007C4E34">
        <w:rPr>
          <w:szCs w:val="24"/>
        </w:rPr>
        <w:t xml:space="preserve">, Docket No. M-2010-2213754, where the Commission entered an Order on May 19, 2011, which directed the Law Bureau and Bureau of Audits to develop a recommendation for the Commission regarding the various methods of reconciling charges in a dynamic market on a going forward basis.   At the time of this Recommended Decision, this recommendation has not been issued.  </w:t>
      </w:r>
    </w:p>
    <w:p w:rsidR="00EB683B" w:rsidRPr="007C4E34" w:rsidRDefault="00EB683B" w:rsidP="001A69B1">
      <w:pPr>
        <w:contextualSpacing/>
        <w:rPr>
          <w:szCs w:val="24"/>
        </w:rPr>
      </w:pPr>
    </w:p>
    <w:p w:rsidR="00EB683B" w:rsidRPr="007C4E34" w:rsidRDefault="00EB683B" w:rsidP="001A69B1">
      <w:pPr>
        <w:contextualSpacing/>
        <w:rPr>
          <w:szCs w:val="24"/>
        </w:rPr>
      </w:pPr>
      <w:r w:rsidRPr="007C4E34">
        <w:rPr>
          <w:szCs w:val="24"/>
        </w:rPr>
        <w:tab/>
      </w:r>
      <w:r w:rsidRPr="007C4E34">
        <w:rPr>
          <w:szCs w:val="24"/>
        </w:rPr>
        <w:tab/>
        <w:t xml:space="preserve">Finally, the OSBA filed another Complaint against the GSC-1 reconciliation for the period </w:t>
      </w:r>
      <w:r w:rsidR="00F14DA7" w:rsidRPr="007C4E34">
        <w:rPr>
          <w:szCs w:val="24"/>
        </w:rPr>
        <w:t>December 1, 2011 through February 29, 2011</w:t>
      </w:r>
      <w:r w:rsidRPr="007C4E34">
        <w:rPr>
          <w:szCs w:val="24"/>
        </w:rPr>
        <w:t xml:space="preserve"> at </w:t>
      </w:r>
      <w:r w:rsidRPr="007C4E34">
        <w:rPr>
          <w:i/>
          <w:szCs w:val="24"/>
        </w:rPr>
        <w:t xml:space="preserve">OSBA v. PPL Electric Utilities Corporation, </w:t>
      </w:r>
      <w:r w:rsidR="00F14DA7" w:rsidRPr="007C4E34">
        <w:rPr>
          <w:szCs w:val="24"/>
        </w:rPr>
        <w:t>at Docket No. C-2011-2279176</w:t>
      </w:r>
      <w:r w:rsidRPr="007C4E34">
        <w:rPr>
          <w:szCs w:val="24"/>
        </w:rPr>
        <w:t xml:space="preserve">.  The case </w:t>
      </w:r>
      <w:r w:rsidR="00292C01" w:rsidRPr="007C4E34">
        <w:rPr>
          <w:szCs w:val="24"/>
        </w:rPr>
        <w:t>wa</w:t>
      </w:r>
      <w:r w:rsidRPr="007C4E34">
        <w:rPr>
          <w:szCs w:val="24"/>
        </w:rPr>
        <w:t>s set for prehearing conference on March 5, 2012</w:t>
      </w:r>
      <w:r w:rsidR="00F14DA7" w:rsidRPr="007C4E34">
        <w:rPr>
          <w:szCs w:val="24"/>
        </w:rPr>
        <w:t xml:space="preserve"> but the </w:t>
      </w:r>
      <w:r w:rsidR="007F4F20" w:rsidRPr="007C4E34">
        <w:rPr>
          <w:szCs w:val="24"/>
        </w:rPr>
        <w:t xml:space="preserve">OSBA has </w:t>
      </w:r>
      <w:r w:rsidR="00F14DA7" w:rsidRPr="007C4E34">
        <w:rPr>
          <w:szCs w:val="24"/>
        </w:rPr>
        <w:t>asked that the complaint be held in abeyance pending the outcome of the prior OSBA Complaint</w:t>
      </w:r>
      <w:r w:rsidRPr="007C4E34">
        <w:rPr>
          <w:szCs w:val="24"/>
        </w:rPr>
        <w:t>.</w:t>
      </w:r>
      <w:r w:rsidR="00EA42DF" w:rsidRPr="007C4E34">
        <w:rPr>
          <w:szCs w:val="24"/>
        </w:rPr>
        <w:t xml:space="preserve">  Administrative Law Judge Dennis Buckley granted this request by </w:t>
      </w:r>
      <w:r w:rsidR="00292C01" w:rsidRPr="007C4E34">
        <w:rPr>
          <w:szCs w:val="24"/>
        </w:rPr>
        <w:t>Order issued February 16, 2012.</w:t>
      </w:r>
    </w:p>
    <w:p w:rsidR="008A2A11" w:rsidRPr="007C4E34" w:rsidRDefault="008A2A11" w:rsidP="000E373F">
      <w:pPr>
        <w:contextualSpacing/>
        <w:rPr>
          <w:szCs w:val="24"/>
        </w:rPr>
      </w:pPr>
    </w:p>
    <w:p w:rsidR="00081171" w:rsidRPr="007C4E34" w:rsidRDefault="00081171" w:rsidP="000E373F">
      <w:pPr>
        <w:contextualSpacing/>
        <w:rPr>
          <w:szCs w:val="24"/>
        </w:rPr>
      </w:pPr>
      <w:r w:rsidRPr="007C4E34">
        <w:rPr>
          <w:szCs w:val="24"/>
        </w:rPr>
        <w:tab/>
      </w:r>
      <w:r w:rsidRPr="007C4E34">
        <w:rPr>
          <w:szCs w:val="24"/>
        </w:rPr>
        <w:tab/>
        <w:t xml:space="preserve">In the present case, </w:t>
      </w:r>
      <w:r w:rsidRPr="007C4E34">
        <w:rPr>
          <w:i/>
          <w:szCs w:val="24"/>
        </w:rPr>
        <w:t>Petition of PPL Electric Utilities Corporation for Approval to Implement a Reconciliation Rider for Default Supply Service</w:t>
      </w:r>
      <w:r w:rsidRPr="007C4E34">
        <w:rPr>
          <w:szCs w:val="24"/>
        </w:rPr>
        <w:t xml:space="preserve">, Docket No. P-2011-2256365, the Company seeks approval to implement a tariff which would provide a mechanism for assessing the undercollection or refunding the overcollection of costs of default service to customers taking default service during the over/undercollection period but shopping at the time of reconciliation, and seeking to omit the over/undercollection from the Price to Compare.  </w:t>
      </w:r>
    </w:p>
    <w:p w:rsidR="00081171" w:rsidRPr="007C4E34" w:rsidRDefault="00081171" w:rsidP="000E373F">
      <w:pPr>
        <w:contextualSpacing/>
        <w:rPr>
          <w:szCs w:val="24"/>
        </w:rPr>
      </w:pPr>
    </w:p>
    <w:p w:rsidR="00E7599F" w:rsidRPr="007C4E34" w:rsidRDefault="00496768" w:rsidP="00E7599F">
      <w:pPr>
        <w:rPr>
          <w:b/>
          <w:szCs w:val="24"/>
        </w:rPr>
      </w:pPr>
      <w:r w:rsidRPr="007C4E34">
        <w:rPr>
          <w:b/>
          <w:szCs w:val="24"/>
        </w:rPr>
        <w:t>C</w:t>
      </w:r>
      <w:r w:rsidR="007E7C76" w:rsidRPr="007C4E34">
        <w:rPr>
          <w:b/>
          <w:szCs w:val="24"/>
        </w:rPr>
        <w:t>.</w:t>
      </w:r>
      <w:r w:rsidR="007E7C76" w:rsidRPr="007C4E34">
        <w:rPr>
          <w:b/>
          <w:szCs w:val="24"/>
        </w:rPr>
        <w:tab/>
      </w:r>
      <w:r w:rsidR="00F9033B" w:rsidRPr="007C4E34">
        <w:rPr>
          <w:b/>
          <w:szCs w:val="24"/>
        </w:rPr>
        <w:t>Company Proposals</w:t>
      </w:r>
      <w:r w:rsidR="00E77EC5">
        <w:rPr>
          <w:b/>
          <w:szCs w:val="24"/>
        </w:rPr>
        <w:fldChar w:fldCharType="begin"/>
      </w:r>
      <w:r w:rsidR="00E77EC5">
        <w:instrText xml:space="preserve"> TC "</w:instrText>
      </w:r>
      <w:bookmarkStart w:id="5" w:name="_Toc320265363"/>
      <w:r w:rsidR="00E77EC5" w:rsidRPr="00540968">
        <w:rPr>
          <w:b/>
          <w:szCs w:val="24"/>
        </w:rPr>
        <w:instrText>C.</w:instrText>
      </w:r>
      <w:r w:rsidR="00E77EC5" w:rsidRPr="00540968">
        <w:rPr>
          <w:b/>
          <w:szCs w:val="24"/>
        </w:rPr>
        <w:tab/>
        <w:instrText>Company Proposals</w:instrText>
      </w:r>
      <w:bookmarkEnd w:id="5"/>
      <w:r w:rsidR="00E77EC5">
        <w:instrText xml:space="preserve">" \f C \l "2" </w:instrText>
      </w:r>
      <w:r w:rsidR="00E77EC5">
        <w:rPr>
          <w:b/>
          <w:szCs w:val="24"/>
        </w:rPr>
        <w:fldChar w:fldCharType="end"/>
      </w:r>
    </w:p>
    <w:p w:rsidR="00F9033B" w:rsidRPr="007C4E34" w:rsidRDefault="00F9033B" w:rsidP="00E7599F">
      <w:pPr>
        <w:rPr>
          <w:b/>
          <w:szCs w:val="24"/>
        </w:rPr>
      </w:pPr>
    </w:p>
    <w:p w:rsidR="00EB683B" w:rsidRPr="007C4E34" w:rsidRDefault="00F9033B" w:rsidP="00E7599F">
      <w:pPr>
        <w:rPr>
          <w:szCs w:val="24"/>
        </w:rPr>
      </w:pPr>
      <w:r w:rsidRPr="007C4E34">
        <w:rPr>
          <w:szCs w:val="24"/>
        </w:rPr>
        <w:tab/>
      </w:r>
      <w:r w:rsidRPr="007C4E34">
        <w:rPr>
          <w:szCs w:val="24"/>
        </w:rPr>
        <w:tab/>
      </w:r>
      <w:r w:rsidR="00C7124A" w:rsidRPr="007C4E34">
        <w:rPr>
          <w:szCs w:val="24"/>
        </w:rPr>
        <w:t>The analysis begins with the</w:t>
      </w:r>
      <w:r w:rsidR="00EB683B" w:rsidRPr="007C4E34">
        <w:rPr>
          <w:szCs w:val="24"/>
        </w:rPr>
        <w:t xml:space="preserve"> undisputed</w:t>
      </w:r>
      <w:r w:rsidR="00C7124A" w:rsidRPr="007C4E34">
        <w:rPr>
          <w:szCs w:val="24"/>
        </w:rPr>
        <w:t xml:space="preserve"> understanding that the Company is entitled by law to fully recover all of its costs to provide default service.  </w:t>
      </w:r>
      <w:r w:rsidR="00EB683B" w:rsidRPr="007C4E34">
        <w:rPr>
          <w:szCs w:val="24"/>
        </w:rPr>
        <w:t>66 Pa. C.S.</w:t>
      </w:r>
    </w:p>
    <w:p w:rsidR="00F9033B" w:rsidRDefault="00EB683B" w:rsidP="00E7599F">
      <w:pPr>
        <w:rPr>
          <w:szCs w:val="24"/>
        </w:rPr>
      </w:pPr>
      <w:r w:rsidRPr="007C4E34">
        <w:rPr>
          <w:szCs w:val="24"/>
        </w:rPr>
        <w:t xml:space="preserve">§ 2807(e)(3.9).  </w:t>
      </w:r>
      <w:r w:rsidR="00F9033B" w:rsidRPr="007C4E34">
        <w:rPr>
          <w:szCs w:val="24"/>
        </w:rPr>
        <w:t>Couched in terms of fully refunding or collecting over/under collections, PPL Electric seeks approval to implement the following:</w:t>
      </w:r>
    </w:p>
    <w:p w:rsidR="007C4E34" w:rsidRPr="007C4E34" w:rsidRDefault="007C4E34" w:rsidP="00E7599F">
      <w:pPr>
        <w:rPr>
          <w:szCs w:val="24"/>
        </w:rPr>
      </w:pPr>
    </w:p>
    <w:p w:rsidR="00F9033B" w:rsidRPr="007C4E34" w:rsidRDefault="00B304DA" w:rsidP="007C4E34">
      <w:pPr>
        <w:pStyle w:val="ListParagraph"/>
        <w:numPr>
          <w:ilvl w:val="0"/>
          <w:numId w:val="8"/>
        </w:numPr>
        <w:spacing w:line="240" w:lineRule="auto"/>
        <w:rPr>
          <w:szCs w:val="24"/>
        </w:rPr>
      </w:pPr>
      <w:r w:rsidRPr="007C4E34">
        <w:rPr>
          <w:szCs w:val="24"/>
        </w:rPr>
        <w:t>A</w:t>
      </w:r>
      <w:r w:rsidR="00F9033B" w:rsidRPr="007C4E34">
        <w:rPr>
          <w:szCs w:val="24"/>
        </w:rPr>
        <w:t xml:space="preserve"> reconciliation rider</w:t>
      </w:r>
      <w:r w:rsidR="005F3618" w:rsidRPr="007C4E34">
        <w:rPr>
          <w:szCs w:val="24"/>
        </w:rPr>
        <w:t xml:space="preserve"> designed to charge or refund the E factor to those who paid the original rates</w:t>
      </w:r>
      <w:r w:rsidR="00F9033B" w:rsidRPr="007C4E34">
        <w:rPr>
          <w:szCs w:val="24"/>
        </w:rPr>
        <w:t>;</w:t>
      </w:r>
    </w:p>
    <w:p w:rsidR="007C4E34" w:rsidRPr="007C4E34" w:rsidRDefault="007C4E34" w:rsidP="007C4E34">
      <w:pPr>
        <w:spacing w:line="240" w:lineRule="auto"/>
        <w:rPr>
          <w:szCs w:val="24"/>
        </w:rPr>
      </w:pPr>
    </w:p>
    <w:p w:rsidR="00F9033B" w:rsidRPr="007C4E34" w:rsidRDefault="00B304DA" w:rsidP="007C4E34">
      <w:pPr>
        <w:pStyle w:val="ListParagraph"/>
        <w:numPr>
          <w:ilvl w:val="0"/>
          <w:numId w:val="8"/>
        </w:numPr>
        <w:spacing w:line="240" w:lineRule="auto"/>
        <w:rPr>
          <w:szCs w:val="24"/>
        </w:rPr>
      </w:pPr>
      <w:r w:rsidRPr="007C4E34">
        <w:rPr>
          <w:szCs w:val="24"/>
        </w:rPr>
        <w:t>A</w:t>
      </w:r>
      <w:r w:rsidR="00F9033B" w:rsidRPr="007C4E34">
        <w:rPr>
          <w:szCs w:val="24"/>
        </w:rPr>
        <w:t xml:space="preserve"> competitive transition rider;</w:t>
      </w:r>
    </w:p>
    <w:p w:rsidR="007C4E34" w:rsidRPr="007C4E34" w:rsidRDefault="007C4E34" w:rsidP="007C4E34">
      <w:pPr>
        <w:spacing w:line="240" w:lineRule="auto"/>
        <w:rPr>
          <w:szCs w:val="24"/>
        </w:rPr>
      </w:pPr>
    </w:p>
    <w:p w:rsidR="00F9033B" w:rsidRPr="007C4E34" w:rsidRDefault="00B304DA" w:rsidP="007C4E34">
      <w:pPr>
        <w:pStyle w:val="ListParagraph"/>
        <w:numPr>
          <w:ilvl w:val="0"/>
          <w:numId w:val="8"/>
        </w:numPr>
        <w:spacing w:line="240" w:lineRule="auto"/>
        <w:rPr>
          <w:szCs w:val="24"/>
        </w:rPr>
      </w:pPr>
      <w:r w:rsidRPr="007C4E34">
        <w:rPr>
          <w:szCs w:val="24"/>
        </w:rPr>
        <w:t>I</w:t>
      </w:r>
      <w:r w:rsidR="00F9033B" w:rsidRPr="007C4E34">
        <w:rPr>
          <w:szCs w:val="24"/>
        </w:rPr>
        <w:t>nclusion of the Residential and Small C&amp;I TOU program over and under collections in the RR and CTR rates applicable to the respective Residential and Small C&amp;I customer classes;</w:t>
      </w:r>
    </w:p>
    <w:p w:rsidR="007C4E34" w:rsidRPr="007C4E34" w:rsidRDefault="007C4E34" w:rsidP="007C4E34">
      <w:pPr>
        <w:spacing w:line="240" w:lineRule="auto"/>
        <w:rPr>
          <w:szCs w:val="24"/>
        </w:rPr>
      </w:pPr>
    </w:p>
    <w:p w:rsidR="00F9033B" w:rsidRPr="007C4E34" w:rsidRDefault="00B304DA" w:rsidP="007C4E34">
      <w:pPr>
        <w:pStyle w:val="ListParagraph"/>
        <w:numPr>
          <w:ilvl w:val="0"/>
          <w:numId w:val="8"/>
        </w:numPr>
        <w:spacing w:line="240" w:lineRule="auto"/>
        <w:rPr>
          <w:szCs w:val="24"/>
        </w:rPr>
      </w:pPr>
      <w:r w:rsidRPr="007C4E34">
        <w:rPr>
          <w:szCs w:val="24"/>
        </w:rPr>
        <w:t>A</w:t>
      </w:r>
      <w:r w:rsidR="00F9033B" w:rsidRPr="007C4E34">
        <w:rPr>
          <w:szCs w:val="24"/>
        </w:rPr>
        <w:t xml:space="preserve">bility to net the over and under collections of the respective GSC-1 and GSC-2 with the TSC reconciliations for each customer class; and </w:t>
      </w:r>
    </w:p>
    <w:p w:rsidR="007C4E34" w:rsidRPr="007C4E34" w:rsidRDefault="007C4E34" w:rsidP="007C4E34">
      <w:pPr>
        <w:spacing w:line="240" w:lineRule="auto"/>
        <w:ind w:left="1440" w:hanging="720"/>
        <w:rPr>
          <w:szCs w:val="24"/>
        </w:rPr>
      </w:pPr>
    </w:p>
    <w:p w:rsidR="00F9033B" w:rsidRPr="007C4E34" w:rsidRDefault="00F9033B" w:rsidP="007C4E34">
      <w:pPr>
        <w:spacing w:line="240" w:lineRule="auto"/>
        <w:ind w:left="1440" w:hanging="720"/>
        <w:rPr>
          <w:szCs w:val="24"/>
        </w:rPr>
      </w:pPr>
      <w:r w:rsidRPr="007C4E34">
        <w:rPr>
          <w:szCs w:val="24"/>
        </w:rPr>
        <w:t>5.</w:t>
      </w:r>
      <w:r w:rsidRPr="007C4E34">
        <w:rPr>
          <w:szCs w:val="24"/>
        </w:rPr>
        <w:tab/>
      </w:r>
      <w:r w:rsidR="00B304DA" w:rsidRPr="007C4E34">
        <w:rPr>
          <w:szCs w:val="24"/>
        </w:rPr>
        <w:t>M</w:t>
      </w:r>
      <w:r w:rsidRPr="007C4E34">
        <w:rPr>
          <w:szCs w:val="24"/>
        </w:rPr>
        <w:t>odification of the provisions of the GSC-1 to permit reconciliation on an annual PJM Planning Year basis.</w:t>
      </w:r>
    </w:p>
    <w:p w:rsidR="00F9033B" w:rsidRPr="007C4E34" w:rsidRDefault="00F9033B" w:rsidP="007C4E34">
      <w:pPr>
        <w:spacing w:line="240" w:lineRule="auto"/>
        <w:ind w:left="720"/>
        <w:rPr>
          <w:szCs w:val="24"/>
        </w:rPr>
      </w:pPr>
      <w:r w:rsidRPr="007C4E34">
        <w:rPr>
          <w:szCs w:val="24"/>
        </w:rPr>
        <w:t>PPL Electric MB at 6.</w:t>
      </w:r>
    </w:p>
    <w:p w:rsidR="00F9033B" w:rsidRPr="007C4E34" w:rsidRDefault="00F9033B" w:rsidP="00E7599F">
      <w:pPr>
        <w:rPr>
          <w:szCs w:val="24"/>
        </w:rPr>
      </w:pPr>
    </w:p>
    <w:p w:rsidR="00E46B3B" w:rsidRDefault="00E46B3B" w:rsidP="00DF7E2A">
      <w:pPr>
        <w:pStyle w:val="ListParagraph"/>
        <w:ind w:left="1440" w:hanging="720"/>
        <w:rPr>
          <w:b/>
          <w:szCs w:val="24"/>
        </w:rPr>
      </w:pPr>
      <w:r>
        <w:rPr>
          <w:b/>
          <w:szCs w:val="24"/>
        </w:rPr>
        <w:br w:type="page"/>
      </w:r>
    </w:p>
    <w:p w:rsidR="00A54A17" w:rsidRPr="007C4E34" w:rsidRDefault="00DF7E2A" w:rsidP="00DF7E2A">
      <w:pPr>
        <w:pStyle w:val="ListParagraph"/>
        <w:ind w:left="1440" w:hanging="720"/>
        <w:rPr>
          <w:b/>
          <w:szCs w:val="24"/>
        </w:rPr>
      </w:pPr>
      <w:r>
        <w:rPr>
          <w:b/>
          <w:szCs w:val="24"/>
        </w:rPr>
        <w:t>1.</w:t>
      </w:r>
      <w:r>
        <w:rPr>
          <w:b/>
          <w:szCs w:val="24"/>
        </w:rPr>
        <w:tab/>
      </w:r>
      <w:r w:rsidR="00A54A17" w:rsidRPr="007C4E34">
        <w:rPr>
          <w:b/>
          <w:szCs w:val="24"/>
        </w:rPr>
        <w:t>Reconciliation Rider</w:t>
      </w:r>
      <w:r>
        <w:rPr>
          <w:b/>
          <w:szCs w:val="24"/>
        </w:rPr>
        <w:fldChar w:fldCharType="begin"/>
      </w:r>
      <w:r>
        <w:instrText xml:space="preserve"> TC "</w:instrText>
      </w:r>
      <w:bookmarkStart w:id="6" w:name="_Toc320265364"/>
      <w:r w:rsidRPr="00892090">
        <w:rPr>
          <w:b/>
          <w:szCs w:val="24"/>
        </w:rPr>
        <w:instrText>1.</w:instrText>
      </w:r>
      <w:r w:rsidRPr="00892090">
        <w:rPr>
          <w:b/>
          <w:szCs w:val="24"/>
        </w:rPr>
        <w:tab/>
        <w:instrText>Reconciliation Rider</w:instrText>
      </w:r>
      <w:bookmarkEnd w:id="6"/>
      <w:r>
        <w:instrText>" \f C \l "</w:instrText>
      </w:r>
      <w:r w:rsidR="004F1A21">
        <w:instrText>3</w:instrText>
      </w:r>
      <w:r>
        <w:instrText xml:space="preserve">" </w:instrText>
      </w:r>
      <w:r>
        <w:rPr>
          <w:b/>
          <w:szCs w:val="24"/>
        </w:rPr>
        <w:fldChar w:fldCharType="end"/>
      </w:r>
    </w:p>
    <w:p w:rsidR="007C4E34" w:rsidRPr="007C4E34" w:rsidRDefault="007C4E34" w:rsidP="007C4E34">
      <w:pPr>
        <w:rPr>
          <w:b/>
          <w:szCs w:val="24"/>
        </w:rPr>
      </w:pPr>
    </w:p>
    <w:p w:rsidR="00B304DA" w:rsidRPr="00DF7E2A" w:rsidRDefault="00DF7E2A" w:rsidP="00DF7E2A">
      <w:pPr>
        <w:ind w:left="1440"/>
        <w:rPr>
          <w:b/>
          <w:szCs w:val="24"/>
        </w:rPr>
      </w:pPr>
      <w:r>
        <w:rPr>
          <w:b/>
          <w:szCs w:val="24"/>
        </w:rPr>
        <w:t>a.</w:t>
      </w:r>
      <w:r>
        <w:rPr>
          <w:b/>
          <w:szCs w:val="24"/>
        </w:rPr>
        <w:tab/>
      </w:r>
      <w:r w:rsidR="00496768" w:rsidRPr="00DF7E2A">
        <w:rPr>
          <w:b/>
          <w:szCs w:val="24"/>
        </w:rPr>
        <w:t>Description</w:t>
      </w:r>
      <w:r>
        <w:rPr>
          <w:b/>
          <w:szCs w:val="24"/>
        </w:rPr>
        <w:fldChar w:fldCharType="begin"/>
      </w:r>
      <w:r>
        <w:instrText xml:space="preserve"> TC "</w:instrText>
      </w:r>
      <w:bookmarkStart w:id="7" w:name="_Toc320265365"/>
      <w:r w:rsidRPr="00892090">
        <w:rPr>
          <w:b/>
          <w:szCs w:val="24"/>
        </w:rPr>
        <w:instrText>a.</w:instrText>
      </w:r>
      <w:r w:rsidRPr="00892090">
        <w:rPr>
          <w:b/>
          <w:szCs w:val="24"/>
        </w:rPr>
        <w:tab/>
        <w:instrText>Description</w:instrText>
      </w:r>
      <w:bookmarkEnd w:id="7"/>
      <w:r>
        <w:instrText>" \f C \l "</w:instrText>
      </w:r>
      <w:r w:rsidR="004F1A21">
        <w:instrText>4</w:instrText>
      </w:r>
      <w:r>
        <w:instrText xml:space="preserve">" </w:instrText>
      </w:r>
      <w:r>
        <w:rPr>
          <w:b/>
          <w:szCs w:val="24"/>
        </w:rPr>
        <w:fldChar w:fldCharType="end"/>
      </w:r>
    </w:p>
    <w:p w:rsidR="007C4E34" w:rsidRPr="007C4E34" w:rsidRDefault="007C4E34" w:rsidP="007C4E34">
      <w:pPr>
        <w:rPr>
          <w:szCs w:val="24"/>
        </w:rPr>
      </w:pPr>
    </w:p>
    <w:p w:rsidR="00B304DA" w:rsidRPr="007C4E34" w:rsidRDefault="00B304DA" w:rsidP="00E7599F">
      <w:pPr>
        <w:rPr>
          <w:szCs w:val="24"/>
        </w:rPr>
      </w:pPr>
      <w:r w:rsidRPr="007C4E34">
        <w:rPr>
          <w:b/>
          <w:szCs w:val="24"/>
        </w:rPr>
        <w:tab/>
      </w:r>
      <w:r w:rsidRPr="007C4E34">
        <w:rPr>
          <w:b/>
          <w:szCs w:val="24"/>
        </w:rPr>
        <w:tab/>
      </w:r>
      <w:r w:rsidRPr="007C4E34">
        <w:rPr>
          <w:szCs w:val="24"/>
        </w:rPr>
        <w:t xml:space="preserve">PPL Electric's current tariff provides for the over or undercollections to be refunded or assessed to the default service customers taking service at the time of the assessment or refund.  The Reconciliation Rider would provide that the overcollections were refunded to those from whom they were collected, and the undercollections recovered from those who were undercharged, even after these customers leave default service to take generation supply from another provider.  </w:t>
      </w:r>
      <w:r w:rsidR="009F1879" w:rsidRPr="007C4E34">
        <w:rPr>
          <w:szCs w:val="24"/>
        </w:rPr>
        <w:t xml:space="preserve">In other words, the cost of the energy would be paid by those customers who used it.  </w:t>
      </w:r>
    </w:p>
    <w:p w:rsidR="00A97150" w:rsidRPr="007C4E34" w:rsidRDefault="00A97150" w:rsidP="00E7599F">
      <w:pPr>
        <w:rPr>
          <w:szCs w:val="24"/>
        </w:rPr>
      </w:pPr>
    </w:p>
    <w:p w:rsidR="00A97150" w:rsidRPr="007C4E34" w:rsidRDefault="00A97150" w:rsidP="00E7599F">
      <w:pPr>
        <w:rPr>
          <w:szCs w:val="24"/>
        </w:rPr>
      </w:pPr>
      <w:r w:rsidRPr="007C4E34">
        <w:rPr>
          <w:szCs w:val="24"/>
        </w:rPr>
        <w:tab/>
      </w:r>
      <w:r w:rsidRPr="007C4E34">
        <w:rPr>
          <w:szCs w:val="24"/>
        </w:rPr>
        <w:tab/>
        <w:t xml:space="preserve">To understand the reason for proposing this rider, the analysis starts with an explanation of the tariff as it exists.  The Company </w:t>
      </w:r>
      <w:r w:rsidR="003E2749" w:rsidRPr="007C4E34">
        <w:rPr>
          <w:szCs w:val="24"/>
        </w:rPr>
        <w:t xml:space="preserve">recovers or refunds the over/undercollections related to the Transmission Service Charge, the Generation Supply Charge – 1 and Generation Supply Charge – 2 through the E-Factor applied to the rates paid by customers who take default service from the Company in the  next application period.  </w:t>
      </w:r>
      <w:r w:rsidR="00C7124A" w:rsidRPr="007C4E34">
        <w:rPr>
          <w:szCs w:val="24"/>
        </w:rPr>
        <w:t>Although an "application period" is usually one year, it can vary and is not uniform</w:t>
      </w:r>
      <w:r w:rsidR="00C7124A" w:rsidRPr="007C4E34">
        <w:rPr>
          <w:rStyle w:val="FootnoteReference"/>
          <w:szCs w:val="24"/>
        </w:rPr>
        <w:footnoteReference w:id="5"/>
      </w:r>
      <w:r w:rsidR="00C7124A" w:rsidRPr="007C4E34">
        <w:rPr>
          <w:szCs w:val="24"/>
        </w:rPr>
        <w:t xml:space="preserve">.  </w:t>
      </w:r>
    </w:p>
    <w:p w:rsidR="00C7124A" w:rsidRPr="007C4E34" w:rsidRDefault="00C7124A" w:rsidP="00E7599F">
      <w:pPr>
        <w:rPr>
          <w:szCs w:val="24"/>
        </w:rPr>
      </w:pPr>
    </w:p>
    <w:p w:rsidR="000E4A38" w:rsidRPr="007C4E34" w:rsidRDefault="00C7124A" w:rsidP="00E7599F">
      <w:pPr>
        <w:rPr>
          <w:szCs w:val="24"/>
        </w:rPr>
      </w:pPr>
      <w:r w:rsidRPr="007C4E34">
        <w:rPr>
          <w:szCs w:val="24"/>
        </w:rPr>
        <w:tab/>
      </w:r>
      <w:r w:rsidRPr="007C4E34">
        <w:rPr>
          <w:szCs w:val="24"/>
        </w:rPr>
        <w:tab/>
      </w:r>
      <w:r w:rsidR="00D66FA9" w:rsidRPr="007C4E34">
        <w:rPr>
          <w:szCs w:val="24"/>
        </w:rPr>
        <w:t xml:space="preserve">The Company avers that it has experienced "significant" </w:t>
      </w:r>
      <w:r w:rsidR="009C008A" w:rsidRPr="007C4E34">
        <w:rPr>
          <w:szCs w:val="24"/>
        </w:rPr>
        <w:t xml:space="preserve">over and </w:t>
      </w:r>
      <w:r w:rsidR="00D66FA9" w:rsidRPr="007C4E34">
        <w:rPr>
          <w:szCs w:val="24"/>
        </w:rPr>
        <w:t xml:space="preserve">undercollections to the </w:t>
      </w:r>
      <w:r w:rsidR="009C008A" w:rsidRPr="007C4E34">
        <w:rPr>
          <w:szCs w:val="24"/>
        </w:rPr>
        <w:t>various rate classe</w:t>
      </w:r>
      <w:r w:rsidR="00D66FA9" w:rsidRPr="007C4E34">
        <w:rPr>
          <w:szCs w:val="24"/>
        </w:rPr>
        <w:t xml:space="preserve">s.  PPL Electric MB at 10-11.  These </w:t>
      </w:r>
      <w:r w:rsidR="009C008A" w:rsidRPr="007C4E34">
        <w:rPr>
          <w:szCs w:val="24"/>
        </w:rPr>
        <w:t xml:space="preserve">over and </w:t>
      </w:r>
      <w:r w:rsidR="00D66FA9" w:rsidRPr="007C4E34">
        <w:rPr>
          <w:szCs w:val="24"/>
        </w:rPr>
        <w:t xml:space="preserve">undercollections </w:t>
      </w:r>
      <w:r w:rsidR="009C008A" w:rsidRPr="007C4E34">
        <w:rPr>
          <w:szCs w:val="24"/>
        </w:rPr>
        <w:t>affect</w:t>
      </w:r>
      <w:r w:rsidR="00D66FA9" w:rsidRPr="007C4E34">
        <w:rPr>
          <w:szCs w:val="24"/>
        </w:rPr>
        <w:t xml:space="preserve"> the transmission service and generation supply rates that the remaining default service customers had to pay</w:t>
      </w:r>
      <w:r w:rsidR="000E4A38" w:rsidRPr="007C4E34">
        <w:rPr>
          <w:szCs w:val="24"/>
        </w:rPr>
        <w:t xml:space="preserve"> as well as the Price to Compare (PTC)</w:t>
      </w:r>
      <w:r w:rsidR="00D66FA9" w:rsidRPr="007C4E34">
        <w:rPr>
          <w:szCs w:val="24"/>
        </w:rPr>
        <w:t>.</w:t>
      </w:r>
      <w:r w:rsidR="000E4A38" w:rsidRPr="007C4E34">
        <w:rPr>
          <w:szCs w:val="24"/>
        </w:rPr>
        <w:t xml:space="preserve">  PPL Electric states that the increase in customer shopping is affecting the Company's ability to recoup the undercollections properly.  </w:t>
      </w:r>
    </w:p>
    <w:p w:rsidR="000E4A38" w:rsidRPr="007C4E34" w:rsidRDefault="000E4A38" w:rsidP="00E7599F">
      <w:pPr>
        <w:rPr>
          <w:szCs w:val="24"/>
        </w:rPr>
      </w:pPr>
    </w:p>
    <w:p w:rsidR="00F128B8" w:rsidRDefault="000E4A38" w:rsidP="00E7599F">
      <w:pPr>
        <w:rPr>
          <w:szCs w:val="24"/>
        </w:rPr>
      </w:pPr>
      <w:r w:rsidRPr="007C4E34">
        <w:rPr>
          <w:szCs w:val="24"/>
        </w:rPr>
        <w:tab/>
      </w:r>
      <w:r w:rsidRPr="007C4E34">
        <w:rPr>
          <w:szCs w:val="24"/>
        </w:rPr>
        <w:tab/>
      </w:r>
    </w:p>
    <w:p w:rsidR="00F128B8" w:rsidRDefault="00F128B8">
      <w:pPr>
        <w:autoSpaceDE/>
        <w:autoSpaceDN/>
        <w:jc w:val="center"/>
        <w:rPr>
          <w:szCs w:val="24"/>
        </w:rPr>
      </w:pPr>
      <w:r>
        <w:rPr>
          <w:szCs w:val="24"/>
        </w:rPr>
        <w:br w:type="page"/>
      </w:r>
    </w:p>
    <w:p w:rsidR="000E4A38" w:rsidRPr="007C4E34" w:rsidRDefault="000E4A38" w:rsidP="00F128B8">
      <w:pPr>
        <w:ind w:firstLine="1440"/>
        <w:rPr>
          <w:szCs w:val="24"/>
        </w:rPr>
      </w:pPr>
      <w:r w:rsidRPr="007C4E34">
        <w:rPr>
          <w:szCs w:val="24"/>
        </w:rPr>
        <w:t>At the time of service of Company testimony, approximately 86% of the Large C&amp;I customers, representing 97% of the load in that class, had moved from default service.  In addition, approximately 486,787 residential customers, or 40% of the customers, representing 45% of that class's load, had moved to another supplier.  Fifty-one percent of the total number of Small C&amp;I customers representing 93% of that class's load, had moved to another supplier.  PPL St.t. 1, at 12-13; PPL MB at 12.</w:t>
      </w:r>
    </w:p>
    <w:p w:rsidR="000E4A38" w:rsidRPr="007C4E34" w:rsidRDefault="000E4A38" w:rsidP="00E7599F">
      <w:pPr>
        <w:rPr>
          <w:szCs w:val="24"/>
        </w:rPr>
      </w:pPr>
    </w:p>
    <w:p w:rsidR="00E872A1" w:rsidRPr="007C4E34" w:rsidRDefault="000E4A38" w:rsidP="00E7599F">
      <w:pPr>
        <w:rPr>
          <w:szCs w:val="24"/>
        </w:rPr>
      </w:pPr>
      <w:r w:rsidRPr="007C4E34">
        <w:rPr>
          <w:szCs w:val="24"/>
        </w:rPr>
        <w:tab/>
      </w:r>
      <w:r w:rsidRPr="007C4E34">
        <w:rPr>
          <w:szCs w:val="24"/>
        </w:rPr>
        <w:tab/>
      </w:r>
      <w:r w:rsidR="00165BBD" w:rsidRPr="007C4E34">
        <w:rPr>
          <w:szCs w:val="24"/>
        </w:rPr>
        <w:t>PPL Electric believes that recovering undercollections inflates the PTC, which will have a significant impact on customers who are unable to shop or who are returned to default service.  The other side of that coin is that the refund of overcollection balances can deflate the applicable PTC, which could encourage shopping customers to return to default service.  PPL Stmt. 1 at 15-17; PPL Electric MB at 13.</w:t>
      </w:r>
    </w:p>
    <w:p w:rsidR="00E872A1" w:rsidRPr="007C4E34" w:rsidRDefault="00E872A1" w:rsidP="00E7599F">
      <w:pPr>
        <w:rPr>
          <w:szCs w:val="24"/>
        </w:rPr>
      </w:pPr>
    </w:p>
    <w:p w:rsidR="00E872A1" w:rsidRPr="007C4E34" w:rsidRDefault="00E872A1" w:rsidP="00E7599F">
      <w:pPr>
        <w:rPr>
          <w:szCs w:val="24"/>
        </w:rPr>
      </w:pPr>
      <w:r w:rsidRPr="007C4E34">
        <w:rPr>
          <w:szCs w:val="24"/>
        </w:rPr>
        <w:tab/>
      </w:r>
      <w:r w:rsidRPr="007C4E34">
        <w:rPr>
          <w:szCs w:val="24"/>
        </w:rPr>
        <w:tab/>
        <w:t>The RR is intended to "refine PPL Electric's existing default service recovery mechanisms to refund or recover net over and under collection balances after the effective date of the RR."  PPL Electric MB at 15.</w:t>
      </w:r>
    </w:p>
    <w:p w:rsidR="005F3618" w:rsidRPr="007C4E34" w:rsidRDefault="005F3618" w:rsidP="00E7599F">
      <w:pPr>
        <w:rPr>
          <w:szCs w:val="24"/>
        </w:rPr>
      </w:pPr>
    </w:p>
    <w:p w:rsidR="005F3618" w:rsidRPr="007C4E34" w:rsidRDefault="00261A49" w:rsidP="00E7599F">
      <w:pPr>
        <w:rPr>
          <w:i/>
          <w:szCs w:val="24"/>
        </w:rPr>
      </w:pPr>
      <w:r w:rsidRPr="007C4E34">
        <w:rPr>
          <w:szCs w:val="24"/>
        </w:rPr>
        <w:tab/>
      </w:r>
      <w:r w:rsidRPr="007C4E34">
        <w:rPr>
          <w:szCs w:val="24"/>
        </w:rPr>
        <w:tab/>
        <w:t xml:space="preserve">The Company points out that the Commission has approved similar mechanisms for other utilities.  </w:t>
      </w:r>
      <w:r w:rsidRPr="007C4E34">
        <w:rPr>
          <w:i/>
          <w:szCs w:val="24"/>
        </w:rPr>
        <w:t xml:space="preserve">Enron Capital &amp; Trade Resources Corporation v. The Peoples Natural Gas Company, et al., </w:t>
      </w:r>
      <w:r w:rsidRPr="007C4E34">
        <w:rPr>
          <w:szCs w:val="24"/>
        </w:rPr>
        <w:t xml:space="preserve">Docket No. R-00973928C0001, 1998 Pa. PUC LEXIS 199 at 20-22 (August 24, 1998); see also </w:t>
      </w:r>
      <w:r w:rsidRPr="007C4E34">
        <w:rPr>
          <w:i/>
          <w:szCs w:val="24"/>
        </w:rPr>
        <w:t xml:space="preserve">Pennsylvania Publ. Util. Comm'n v. The Equitable Gas Company, </w:t>
      </w:r>
      <w:r w:rsidR="00F128B8">
        <w:rPr>
          <w:szCs w:val="24"/>
        </w:rPr>
        <w:t>Docket No. R</w:t>
      </w:r>
      <w:r w:rsidR="00F128B8">
        <w:rPr>
          <w:szCs w:val="24"/>
        </w:rPr>
        <w:noBreakHyphen/>
      </w:r>
      <w:r w:rsidRPr="007C4E34">
        <w:rPr>
          <w:szCs w:val="24"/>
        </w:rPr>
        <w:t xml:space="preserve">00963858, 1997 Pa. PUC LEXIS 92 (December 4, 1997); </w:t>
      </w:r>
      <w:r w:rsidRPr="007C4E34">
        <w:rPr>
          <w:i/>
          <w:szCs w:val="24"/>
        </w:rPr>
        <w:t>Petition of PECO Energy Company for Approval of Its Default Service Program and Rate Mitigation Plan</w:t>
      </w:r>
      <w:r w:rsidRPr="007C4E34">
        <w:rPr>
          <w:szCs w:val="24"/>
        </w:rPr>
        <w:t>, Docket No. P-2008-2062739 (June 2, 2009).</w:t>
      </w:r>
      <w:r w:rsidRPr="007C4E34">
        <w:rPr>
          <w:rStyle w:val="FootnoteReference"/>
          <w:szCs w:val="24"/>
        </w:rPr>
        <w:footnoteReference w:id="6"/>
      </w:r>
      <w:r w:rsidRPr="007C4E34">
        <w:rPr>
          <w:szCs w:val="24"/>
        </w:rPr>
        <w:t xml:space="preserve">  </w:t>
      </w:r>
      <w:r w:rsidRPr="007C4E34">
        <w:rPr>
          <w:i/>
          <w:szCs w:val="24"/>
        </w:rPr>
        <w:t xml:space="preserve"> </w:t>
      </w:r>
    </w:p>
    <w:p w:rsidR="00E872A1" w:rsidRPr="007C4E34" w:rsidRDefault="00E872A1" w:rsidP="00E7599F">
      <w:pPr>
        <w:rPr>
          <w:szCs w:val="24"/>
        </w:rPr>
      </w:pPr>
    </w:p>
    <w:p w:rsidR="00CC1B69" w:rsidRPr="007C4E34" w:rsidRDefault="00F20285" w:rsidP="00E7599F">
      <w:pPr>
        <w:rPr>
          <w:szCs w:val="24"/>
        </w:rPr>
      </w:pPr>
      <w:r w:rsidRPr="007C4E34">
        <w:rPr>
          <w:szCs w:val="24"/>
        </w:rPr>
        <w:tab/>
      </w:r>
      <w:r w:rsidRPr="007C4E34">
        <w:rPr>
          <w:szCs w:val="24"/>
        </w:rPr>
        <w:tab/>
        <w:t>The Company explains that its original proposal was to calculate and reconcile on a fixed annual basis pursuant to the reconciliation</w:t>
      </w:r>
      <w:r w:rsidR="005D1660" w:rsidRPr="007C4E34">
        <w:rPr>
          <w:szCs w:val="24"/>
        </w:rPr>
        <w:t xml:space="preserve"> </w:t>
      </w:r>
      <w:r w:rsidRPr="007C4E34">
        <w:rPr>
          <w:szCs w:val="24"/>
        </w:rPr>
        <w:t>provisions for TSC, GSC-1 and GSC-2 included in the tariff.  PPL Stmt. 1 at 19; PPL Electric MB at 17.  However, the OSBA recommended that the balance be recovered over a 12-month period but that the calculation be updated quarterly.  OSBA Stmt. 1 at 7</w:t>
      </w:r>
      <w:r w:rsidR="005D1660" w:rsidRPr="007C4E34">
        <w:rPr>
          <w:szCs w:val="24"/>
        </w:rPr>
        <w:t>;</w:t>
      </w:r>
      <w:r w:rsidRPr="007C4E34">
        <w:rPr>
          <w:szCs w:val="24"/>
        </w:rPr>
        <w:t xml:space="preserve"> OSBA Stmt. 3 at 1-3.  The Company accept</w:t>
      </w:r>
      <w:r w:rsidR="005D1660" w:rsidRPr="007C4E34">
        <w:rPr>
          <w:szCs w:val="24"/>
        </w:rPr>
        <w:t>ed</w:t>
      </w:r>
      <w:r w:rsidRPr="007C4E34">
        <w:rPr>
          <w:szCs w:val="24"/>
        </w:rPr>
        <w:t xml:space="preserve"> this modification and amended its proposal to be calculated and reconciled on a rolling twelve-month annual basis.  Tr. 31-32; PPL Electric MB at 17.</w:t>
      </w:r>
    </w:p>
    <w:p w:rsidR="00F20285" w:rsidRPr="007C4E34" w:rsidRDefault="00F20285" w:rsidP="00E7599F">
      <w:pPr>
        <w:rPr>
          <w:szCs w:val="24"/>
        </w:rPr>
      </w:pPr>
    </w:p>
    <w:p w:rsidR="00D8229A" w:rsidRPr="007C4E34" w:rsidRDefault="00F20285" w:rsidP="00E7599F">
      <w:pPr>
        <w:rPr>
          <w:szCs w:val="24"/>
        </w:rPr>
      </w:pPr>
      <w:r w:rsidRPr="007C4E34">
        <w:rPr>
          <w:szCs w:val="24"/>
        </w:rPr>
        <w:tab/>
      </w:r>
      <w:r w:rsidRPr="007C4E34">
        <w:rPr>
          <w:szCs w:val="24"/>
        </w:rPr>
        <w:tab/>
        <w:t>The proposal is to show the reconciliation amount as a line item on the customers' bills; to reflect different rates for the three customer classes (Residential, Small C&amp;I, and Large C&amp;I); Residential and Small C&amp;I Time of Use (TOU) over and under collections will be included; application of the RR will be determined each time a customer's status changes from default service to shopping or from</w:t>
      </w:r>
      <w:r w:rsidR="001C7933" w:rsidRPr="007C4E34">
        <w:rPr>
          <w:szCs w:val="24"/>
        </w:rPr>
        <w:t xml:space="preserve"> shopping to default service.  </w:t>
      </w:r>
      <w:r w:rsidR="00D8229A" w:rsidRPr="007C4E34">
        <w:rPr>
          <w:szCs w:val="24"/>
        </w:rPr>
        <w:t>The Company explains:</w:t>
      </w:r>
    </w:p>
    <w:p w:rsidR="00D8229A" w:rsidRPr="007C4E34" w:rsidRDefault="00D8229A" w:rsidP="00E7599F">
      <w:pPr>
        <w:rPr>
          <w:szCs w:val="24"/>
        </w:rPr>
      </w:pPr>
    </w:p>
    <w:p w:rsidR="00D8229A" w:rsidRPr="007C4E34" w:rsidRDefault="00D8229A" w:rsidP="00D8229A">
      <w:pPr>
        <w:spacing w:line="240" w:lineRule="auto"/>
        <w:ind w:left="1440" w:right="1440"/>
        <w:rPr>
          <w:szCs w:val="24"/>
        </w:rPr>
      </w:pPr>
      <w:r w:rsidRPr="007C4E34">
        <w:rPr>
          <w:szCs w:val="24"/>
        </w:rPr>
        <w:t>The application of the RR will be based on the customer's status during the period immediately preceding the customer's status change.  If a customer switches from default service to shopping, the customer will be subject to the RR for a period equal to the number of consecutive months, not to exceed twelve months, that the customer took default service immediately prior to becoming a shopping customer.  If a customer switches from shopping to default service, the customer will be exempt from the RR for a period equal to the number of consecutive months, not to exceed twelve months, that the customer was a shopping customer immediately prior to switching to default service.  The applicability of the RR then is re-determined anytime a customer's status changes between default service and shopping.  PPL St. 1, p.</w:t>
      </w:r>
      <w:r w:rsidR="00385ED0">
        <w:rPr>
          <w:szCs w:val="24"/>
        </w:rPr>
        <w:t> </w:t>
      </w:r>
      <w:r w:rsidRPr="007C4E34">
        <w:rPr>
          <w:szCs w:val="24"/>
        </w:rPr>
        <w:t>20.</w:t>
      </w:r>
    </w:p>
    <w:p w:rsidR="00F20285" w:rsidRPr="007C4E34" w:rsidRDefault="00D8229A" w:rsidP="00D8229A">
      <w:pPr>
        <w:spacing w:line="240" w:lineRule="auto"/>
        <w:ind w:left="1440" w:right="1440"/>
        <w:rPr>
          <w:szCs w:val="24"/>
        </w:rPr>
      </w:pPr>
      <w:r w:rsidRPr="007C4E34">
        <w:rPr>
          <w:szCs w:val="24"/>
        </w:rPr>
        <w:t>PPL Electric MB at 18.</w:t>
      </w:r>
      <w:r w:rsidR="00F20285" w:rsidRPr="007C4E34">
        <w:rPr>
          <w:szCs w:val="24"/>
        </w:rPr>
        <w:t xml:space="preserve"> </w:t>
      </w:r>
    </w:p>
    <w:p w:rsidR="00D8229A" w:rsidRPr="007C4E34" w:rsidRDefault="00D8229A" w:rsidP="00E7599F">
      <w:pPr>
        <w:rPr>
          <w:szCs w:val="24"/>
        </w:rPr>
      </w:pPr>
    </w:p>
    <w:p w:rsidR="00D8229A" w:rsidRPr="007C4E34" w:rsidRDefault="00D8229A" w:rsidP="00E7599F">
      <w:pPr>
        <w:rPr>
          <w:szCs w:val="24"/>
        </w:rPr>
      </w:pPr>
      <w:r w:rsidRPr="007C4E34">
        <w:rPr>
          <w:szCs w:val="24"/>
        </w:rPr>
        <w:tab/>
      </w:r>
      <w:r w:rsidRPr="007C4E34">
        <w:rPr>
          <w:szCs w:val="24"/>
        </w:rPr>
        <w:tab/>
        <w:t xml:space="preserve">The Company includes several examples in testimony, which </w:t>
      </w:r>
      <w:r w:rsidR="002421C8" w:rsidRPr="007C4E34">
        <w:rPr>
          <w:szCs w:val="24"/>
        </w:rPr>
        <w:t xml:space="preserve">are </w:t>
      </w:r>
      <w:r w:rsidRPr="007C4E34">
        <w:rPr>
          <w:szCs w:val="24"/>
        </w:rPr>
        <w:t>then repeated in its Main Brief.  PPL Stmt. 1 at 21-22; PPL Electric MB at 19-20.</w:t>
      </w:r>
    </w:p>
    <w:p w:rsidR="00CC1B69" w:rsidRPr="007C4E34" w:rsidRDefault="00CC1B69" w:rsidP="00E7599F">
      <w:pPr>
        <w:rPr>
          <w:szCs w:val="24"/>
        </w:rPr>
      </w:pPr>
    </w:p>
    <w:p w:rsidR="00D8229A" w:rsidRPr="007C4E34" w:rsidRDefault="00D8229A" w:rsidP="00E7599F">
      <w:pPr>
        <w:rPr>
          <w:szCs w:val="24"/>
        </w:rPr>
      </w:pPr>
      <w:r w:rsidRPr="007C4E34">
        <w:rPr>
          <w:szCs w:val="24"/>
        </w:rPr>
        <w:tab/>
      </w:r>
      <w:r w:rsidRPr="007C4E34">
        <w:rPr>
          <w:szCs w:val="24"/>
        </w:rPr>
        <w:tab/>
        <w:t xml:space="preserve">New PPL Electric default service customers are exempted from paying the RR for a period of twelve months.  </w:t>
      </w:r>
    </w:p>
    <w:p w:rsidR="00E35043" w:rsidRPr="007C4E34" w:rsidRDefault="00E35043" w:rsidP="00E7599F">
      <w:pPr>
        <w:rPr>
          <w:szCs w:val="24"/>
        </w:rPr>
      </w:pPr>
    </w:p>
    <w:p w:rsidR="00CC1B69" w:rsidRPr="007C4E34" w:rsidRDefault="00496768" w:rsidP="007C4E34">
      <w:pPr>
        <w:ind w:left="1440"/>
        <w:rPr>
          <w:b/>
          <w:szCs w:val="24"/>
        </w:rPr>
      </w:pPr>
      <w:r w:rsidRPr="007C4E34">
        <w:rPr>
          <w:b/>
          <w:szCs w:val="24"/>
        </w:rPr>
        <w:t>b.</w:t>
      </w:r>
      <w:r w:rsidRPr="007C4E34">
        <w:rPr>
          <w:b/>
          <w:szCs w:val="24"/>
        </w:rPr>
        <w:tab/>
      </w:r>
      <w:r w:rsidR="002656EC" w:rsidRPr="007C4E34">
        <w:rPr>
          <w:b/>
          <w:szCs w:val="24"/>
        </w:rPr>
        <w:t>Party Positions</w:t>
      </w:r>
      <w:r w:rsidR="00E77EC5">
        <w:rPr>
          <w:b/>
          <w:szCs w:val="24"/>
        </w:rPr>
        <w:fldChar w:fldCharType="begin"/>
      </w:r>
      <w:r w:rsidR="00E77EC5">
        <w:instrText xml:space="preserve"> TC "</w:instrText>
      </w:r>
      <w:bookmarkStart w:id="8" w:name="_Toc320265366"/>
      <w:r w:rsidR="00E77EC5" w:rsidRPr="00540968">
        <w:rPr>
          <w:b/>
          <w:szCs w:val="24"/>
        </w:rPr>
        <w:instrText>b.</w:instrText>
      </w:r>
      <w:r w:rsidR="00E77EC5" w:rsidRPr="00540968">
        <w:rPr>
          <w:b/>
          <w:szCs w:val="24"/>
        </w:rPr>
        <w:tab/>
        <w:instrText>Party Positions</w:instrText>
      </w:r>
      <w:bookmarkEnd w:id="8"/>
      <w:r w:rsidR="00E77EC5">
        <w:instrText xml:space="preserve">" \f C \l "4" </w:instrText>
      </w:r>
      <w:r w:rsidR="00E77EC5">
        <w:rPr>
          <w:b/>
          <w:szCs w:val="24"/>
        </w:rPr>
        <w:fldChar w:fldCharType="end"/>
      </w:r>
    </w:p>
    <w:p w:rsidR="004065C5" w:rsidRPr="007C4E34" w:rsidRDefault="004065C5" w:rsidP="00E7599F">
      <w:pPr>
        <w:rPr>
          <w:b/>
          <w:szCs w:val="24"/>
        </w:rPr>
      </w:pPr>
    </w:p>
    <w:p w:rsidR="002656EC" w:rsidRPr="007C4E34" w:rsidRDefault="004065C5" w:rsidP="00E7599F">
      <w:pPr>
        <w:rPr>
          <w:szCs w:val="24"/>
        </w:rPr>
      </w:pPr>
      <w:r w:rsidRPr="007C4E34">
        <w:rPr>
          <w:szCs w:val="24"/>
        </w:rPr>
        <w:tab/>
      </w:r>
      <w:r w:rsidRPr="007C4E34">
        <w:rPr>
          <w:szCs w:val="24"/>
        </w:rPr>
        <w:tab/>
        <w:t xml:space="preserve">The </w:t>
      </w:r>
      <w:r w:rsidR="002656EC" w:rsidRPr="007C4E34">
        <w:rPr>
          <w:szCs w:val="24"/>
        </w:rPr>
        <w:t>OCA</w:t>
      </w:r>
      <w:r w:rsidRPr="007C4E34">
        <w:rPr>
          <w:szCs w:val="24"/>
        </w:rPr>
        <w:t>, PPLICA, RESA, Dominion Retail, REG and Wal-Mart oppose the RR.</w:t>
      </w:r>
    </w:p>
    <w:p w:rsidR="009A02B6" w:rsidRPr="007C4E34" w:rsidRDefault="00FE1C43" w:rsidP="00FE1C43">
      <w:pPr>
        <w:autoSpaceDE/>
        <w:autoSpaceDN/>
        <w:rPr>
          <w:szCs w:val="24"/>
        </w:rPr>
      </w:pPr>
      <w:r w:rsidRPr="007C4E34">
        <w:rPr>
          <w:szCs w:val="24"/>
        </w:rPr>
        <w:tab/>
      </w:r>
      <w:r w:rsidRPr="007C4E34">
        <w:rPr>
          <w:szCs w:val="24"/>
        </w:rPr>
        <w:tab/>
        <w:t xml:space="preserve">OCA opposes the implementation of the RR because it would "pose significant educational challenges and could create customer confusion about the default service rate."  OCA MB at 9.  OCA Witness Periera stated that the application of the provisions would likely result in the frequent rate changes for individual customers and would result in confusion.  He also believes that the RR would make auditing of the </w:t>
      </w:r>
      <w:r w:rsidR="009A02B6" w:rsidRPr="007C4E34">
        <w:rPr>
          <w:szCs w:val="24"/>
        </w:rPr>
        <w:t>reconciliation provisions more difficult compared to the current methodology. The provisions may be too unwieldy to be practical.  O</w:t>
      </w:r>
      <w:r w:rsidR="008C5F7D" w:rsidRPr="007C4E34">
        <w:rPr>
          <w:szCs w:val="24"/>
        </w:rPr>
        <w:t>C</w:t>
      </w:r>
      <w:r w:rsidR="009A02B6" w:rsidRPr="007C4E34">
        <w:rPr>
          <w:szCs w:val="24"/>
        </w:rPr>
        <w:t>A MB at 9-10.</w:t>
      </w:r>
    </w:p>
    <w:p w:rsidR="009A02B6" w:rsidRPr="007C4E34" w:rsidRDefault="009A02B6" w:rsidP="00FE1C43">
      <w:pPr>
        <w:autoSpaceDE/>
        <w:autoSpaceDN/>
        <w:rPr>
          <w:szCs w:val="24"/>
        </w:rPr>
      </w:pPr>
    </w:p>
    <w:p w:rsidR="00EA549A" w:rsidRDefault="009A02B6" w:rsidP="00FE1C43">
      <w:pPr>
        <w:autoSpaceDE/>
        <w:autoSpaceDN/>
        <w:rPr>
          <w:szCs w:val="24"/>
        </w:rPr>
      </w:pPr>
      <w:r w:rsidRPr="007C4E34">
        <w:rPr>
          <w:szCs w:val="24"/>
        </w:rPr>
        <w:tab/>
      </w:r>
      <w:r w:rsidRPr="007C4E34">
        <w:rPr>
          <w:szCs w:val="24"/>
        </w:rPr>
        <w:tab/>
        <w:t>There is also the possibility that the proposal seeks to address a problem that may not need correcting.  OCA Witness Periera anticipates that future reconciliation amounts will be relatively minor, as the initial period's proration will not be a factor</w:t>
      </w:r>
      <w:r w:rsidR="00C763D7" w:rsidRPr="007C4E34">
        <w:rPr>
          <w:szCs w:val="24"/>
        </w:rPr>
        <w:t>,</w:t>
      </w:r>
      <w:r w:rsidR="00EA549A" w:rsidRPr="007C4E34">
        <w:rPr>
          <w:szCs w:val="24"/>
        </w:rPr>
        <w:t xml:space="preserve"> assuming approval of the CTR.  OCA MB at 10.  Stabilization of shopping levels will also aid in making the existing reconciliation more effective.  Witness Periera states the OCA position:</w:t>
      </w:r>
    </w:p>
    <w:p w:rsidR="007C4E34" w:rsidRPr="007C4E34" w:rsidRDefault="007C4E34" w:rsidP="00FE1C43">
      <w:pPr>
        <w:autoSpaceDE/>
        <w:autoSpaceDN/>
        <w:rPr>
          <w:szCs w:val="24"/>
        </w:rPr>
      </w:pPr>
    </w:p>
    <w:p w:rsidR="00EA549A" w:rsidRPr="007C4E34" w:rsidRDefault="00EA549A" w:rsidP="00D265AF">
      <w:pPr>
        <w:autoSpaceDE/>
        <w:autoSpaceDN/>
        <w:spacing w:line="240" w:lineRule="auto"/>
        <w:ind w:left="1440" w:right="1440"/>
        <w:rPr>
          <w:szCs w:val="24"/>
        </w:rPr>
      </w:pPr>
      <w:r w:rsidRPr="007C4E34">
        <w:rPr>
          <w:szCs w:val="24"/>
        </w:rPr>
        <w:t>In sum, I believe that all of these reasons outweigh the goal of recovering or refunding default service reconciliation costs from those customers who enter or leave default service.  As laudable as this goal may seem, implementation of a RR at the current time is not necessary and would otherwise introduce needless complexity to the default service mechanism that is working reasonably well in terms of providing necessary price signals to support an effective shopping experience and providing a reasonably pric</w:t>
      </w:r>
      <w:r w:rsidR="00D265AF" w:rsidRPr="007C4E34">
        <w:rPr>
          <w:szCs w:val="24"/>
        </w:rPr>
        <w:t xml:space="preserve">ed service for those customers </w:t>
      </w:r>
      <w:r w:rsidRPr="007C4E34">
        <w:rPr>
          <w:szCs w:val="24"/>
        </w:rPr>
        <w:t>w</w:t>
      </w:r>
      <w:r w:rsidR="00D265AF" w:rsidRPr="007C4E34">
        <w:rPr>
          <w:szCs w:val="24"/>
        </w:rPr>
        <w:t>h</w:t>
      </w:r>
      <w:r w:rsidRPr="007C4E34">
        <w:rPr>
          <w:szCs w:val="24"/>
        </w:rPr>
        <w:t>o do not choose to shop.</w:t>
      </w:r>
    </w:p>
    <w:p w:rsidR="00EA549A" w:rsidRPr="007C4E34" w:rsidRDefault="008C5F7D" w:rsidP="00D265AF">
      <w:pPr>
        <w:autoSpaceDE/>
        <w:autoSpaceDN/>
        <w:spacing w:line="240" w:lineRule="auto"/>
        <w:ind w:left="1440" w:right="1440"/>
        <w:rPr>
          <w:szCs w:val="24"/>
        </w:rPr>
      </w:pPr>
      <w:r w:rsidRPr="007C4E34">
        <w:rPr>
          <w:szCs w:val="24"/>
        </w:rPr>
        <w:t>OC</w:t>
      </w:r>
      <w:r w:rsidR="00EA549A" w:rsidRPr="007C4E34">
        <w:rPr>
          <w:szCs w:val="24"/>
        </w:rPr>
        <w:t>A St. 1 at 11.</w:t>
      </w:r>
    </w:p>
    <w:p w:rsidR="00EA549A" w:rsidRPr="007C4E34" w:rsidRDefault="008C5F7D" w:rsidP="00D265AF">
      <w:pPr>
        <w:autoSpaceDE/>
        <w:autoSpaceDN/>
        <w:spacing w:line="240" w:lineRule="auto"/>
        <w:ind w:left="1440" w:right="1440"/>
        <w:rPr>
          <w:szCs w:val="24"/>
        </w:rPr>
      </w:pPr>
      <w:r w:rsidRPr="007C4E34">
        <w:rPr>
          <w:szCs w:val="24"/>
        </w:rPr>
        <w:t>OC</w:t>
      </w:r>
      <w:r w:rsidR="00EA549A" w:rsidRPr="007C4E34">
        <w:rPr>
          <w:szCs w:val="24"/>
        </w:rPr>
        <w:t>A MB at 11.</w:t>
      </w:r>
    </w:p>
    <w:p w:rsidR="00E1197F" w:rsidRPr="007C4E34" w:rsidRDefault="00E1197F" w:rsidP="00FE1C43">
      <w:pPr>
        <w:autoSpaceDE/>
        <w:autoSpaceDN/>
        <w:rPr>
          <w:szCs w:val="24"/>
        </w:rPr>
      </w:pPr>
    </w:p>
    <w:p w:rsidR="009A386E" w:rsidRDefault="009A386E" w:rsidP="00FE1C43">
      <w:pPr>
        <w:autoSpaceDE/>
        <w:autoSpaceDN/>
        <w:rPr>
          <w:szCs w:val="24"/>
        </w:rPr>
      </w:pPr>
      <w:r w:rsidRPr="007C4E34">
        <w:rPr>
          <w:b/>
          <w:szCs w:val="24"/>
        </w:rPr>
        <w:tab/>
      </w:r>
      <w:r w:rsidRPr="007C4E34">
        <w:rPr>
          <w:b/>
          <w:szCs w:val="24"/>
        </w:rPr>
        <w:tab/>
      </w:r>
      <w:r w:rsidRPr="007C4E34">
        <w:rPr>
          <w:szCs w:val="24"/>
        </w:rPr>
        <w:t>PPLICA ag</w:t>
      </w:r>
      <w:r w:rsidR="008C5F7D" w:rsidRPr="007C4E34">
        <w:rPr>
          <w:szCs w:val="24"/>
        </w:rPr>
        <w:t>re</w:t>
      </w:r>
      <w:r w:rsidRPr="007C4E34">
        <w:rPr>
          <w:szCs w:val="24"/>
        </w:rPr>
        <w:t>es that the RR should be denied:</w:t>
      </w:r>
    </w:p>
    <w:p w:rsidR="007C4E34" w:rsidRPr="007C4E34" w:rsidRDefault="007C4E34" w:rsidP="00FE1C43">
      <w:pPr>
        <w:autoSpaceDE/>
        <w:autoSpaceDN/>
        <w:rPr>
          <w:szCs w:val="24"/>
        </w:rPr>
      </w:pPr>
    </w:p>
    <w:p w:rsidR="009A386E" w:rsidRPr="007C4E34" w:rsidRDefault="009A386E" w:rsidP="00A711A7">
      <w:pPr>
        <w:autoSpaceDE/>
        <w:autoSpaceDN/>
        <w:spacing w:line="240" w:lineRule="auto"/>
        <w:ind w:left="1440" w:right="1440"/>
        <w:rPr>
          <w:szCs w:val="24"/>
        </w:rPr>
      </w:pPr>
      <w:r w:rsidRPr="007C4E34">
        <w:rPr>
          <w:szCs w:val="24"/>
        </w:rPr>
        <w:tab/>
        <w:t>Generally, PPLICA would support a proposal designed to more accurately recover costs from cost-causers.  However, in attempting to engineer a reconciliation methodology aligning costs with cost causers, PPL has created a system with no real impact on the underlying accounting mismatch responsible for the volatile undercollections and overcollections.  As the majority of the overcollections and undercollections recently experienced by PPL originate from the one-time introduction of competitive supply, it does not appear that the requested relief is necessary under Act 129.  Considering the obviated need for the rider, PPLICA recommends that the Commission deny PPL's request to implement the RR.</w:t>
      </w:r>
    </w:p>
    <w:p w:rsidR="009A386E" w:rsidRPr="007C4E34" w:rsidRDefault="009A386E" w:rsidP="00A711A7">
      <w:pPr>
        <w:autoSpaceDE/>
        <w:autoSpaceDN/>
        <w:spacing w:line="240" w:lineRule="auto"/>
        <w:ind w:left="1440" w:right="1440"/>
        <w:rPr>
          <w:szCs w:val="24"/>
        </w:rPr>
      </w:pPr>
      <w:r w:rsidRPr="007C4E34">
        <w:rPr>
          <w:szCs w:val="24"/>
        </w:rPr>
        <w:t>PPLIC MB at 6.</w:t>
      </w:r>
    </w:p>
    <w:p w:rsidR="009A386E" w:rsidRPr="007C4E34" w:rsidRDefault="009A386E" w:rsidP="00FE1C43">
      <w:pPr>
        <w:autoSpaceDE/>
        <w:autoSpaceDN/>
        <w:rPr>
          <w:szCs w:val="24"/>
        </w:rPr>
      </w:pPr>
    </w:p>
    <w:p w:rsidR="00A711A7" w:rsidRPr="007C4E34" w:rsidRDefault="009A386E" w:rsidP="00FE1C43">
      <w:pPr>
        <w:autoSpaceDE/>
        <w:autoSpaceDN/>
        <w:rPr>
          <w:szCs w:val="24"/>
        </w:rPr>
      </w:pPr>
      <w:r w:rsidRPr="007C4E34">
        <w:rPr>
          <w:szCs w:val="24"/>
        </w:rPr>
        <w:tab/>
      </w:r>
      <w:r w:rsidRPr="007C4E34">
        <w:rPr>
          <w:szCs w:val="24"/>
        </w:rPr>
        <w:tab/>
      </w:r>
      <w:r w:rsidR="00A711A7" w:rsidRPr="007C4E34">
        <w:rPr>
          <w:szCs w:val="24"/>
        </w:rPr>
        <w:t xml:space="preserve">PPLICA points out that the billing methodology used by PPL Electric reconciles incurred costs with billed revenues, not revenues received for that same time period.  The appropriateness of this billing method is the subject of </w:t>
      </w:r>
      <w:r w:rsidR="00C763D7" w:rsidRPr="007C4E34">
        <w:rPr>
          <w:szCs w:val="24"/>
        </w:rPr>
        <w:t xml:space="preserve">Docket No. </w:t>
      </w:r>
      <w:r w:rsidR="00A711A7" w:rsidRPr="007C4E34">
        <w:rPr>
          <w:szCs w:val="24"/>
        </w:rPr>
        <w:t xml:space="preserve">C-2011-2243137.  PPLICA MB at 7.  However, "the severity of the variance was caused by the expiration of rate caps and is therefore unlikely to reoccur."  PPLICA MB at 7.  </w:t>
      </w:r>
    </w:p>
    <w:p w:rsidR="00A711A7" w:rsidRPr="007C4E34" w:rsidRDefault="00A711A7" w:rsidP="00FE1C43">
      <w:pPr>
        <w:autoSpaceDE/>
        <w:autoSpaceDN/>
        <w:rPr>
          <w:szCs w:val="24"/>
        </w:rPr>
      </w:pPr>
    </w:p>
    <w:p w:rsidR="009A386E" w:rsidRPr="007C4E34" w:rsidRDefault="00A711A7" w:rsidP="00FE1C43">
      <w:pPr>
        <w:autoSpaceDE/>
        <w:autoSpaceDN/>
        <w:rPr>
          <w:szCs w:val="24"/>
        </w:rPr>
      </w:pPr>
      <w:r w:rsidRPr="007C4E34">
        <w:rPr>
          <w:szCs w:val="24"/>
        </w:rPr>
        <w:tab/>
      </w:r>
      <w:r w:rsidRPr="007C4E34">
        <w:rPr>
          <w:szCs w:val="24"/>
        </w:rPr>
        <w:tab/>
        <w:t>The record and the Company's explanations support a finding that this was an isolated event.  PPLICA points out that no customer class has experienced even 50% of the GSC undercollection rate recorded in January 2010 in any subsequent month.  PPLICA MB at 8.</w:t>
      </w:r>
    </w:p>
    <w:p w:rsidR="0083644A" w:rsidRPr="007C4E34" w:rsidRDefault="0083644A" w:rsidP="007C4E34">
      <w:pPr>
        <w:autoSpaceDE/>
        <w:autoSpaceDN/>
        <w:rPr>
          <w:szCs w:val="24"/>
        </w:rPr>
      </w:pPr>
    </w:p>
    <w:p w:rsidR="0083644A" w:rsidRPr="007C4E34" w:rsidRDefault="0083644A" w:rsidP="0083644A">
      <w:pPr>
        <w:autoSpaceDE/>
        <w:autoSpaceDN/>
        <w:spacing w:line="240" w:lineRule="auto"/>
        <w:ind w:left="1440" w:right="1440"/>
        <w:rPr>
          <w:szCs w:val="24"/>
        </w:rPr>
      </w:pPr>
      <w:r w:rsidRPr="007C4E34">
        <w:rPr>
          <w:szCs w:val="24"/>
        </w:rPr>
        <w:tab/>
        <w:t>Similarly, the TSC overcollections for the Large C&amp;I classes relate primarily to an isolated event.  Specifically, as discussed in more detail in the next section of this brief, large overcollections were allowed to accrue in 2009 when most customers were on default service prior to the expiration of the rate caps.  When the rate caps expired in 2010, most of the Large C&amp;I customers load shopped, which made it impossible to fully refund those overcollections to the appropriate customers.  Again, this seems to be an isolated event.</w:t>
      </w:r>
    </w:p>
    <w:p w:rsidR="0083644A" w:rsidRPr="007C4E34" w:rsidRDefault="0083644A" w:rsidP="0083644A">
      <w:pPr>
        <w:autoSpaceDE/>
        <w:autoSpaceDN/>
        <w:spacing w:line="240" w:lineRule="auto"/>
        <w:ind w:left="1440" w:right="1440"/>
        <w:rPr>
          <w:szCs w:val="24"/>
        </w:rPr>
      </w:pPr>
      <w:r w:rsidRPr="007C4E34">
        <w:rPr>
          <w:szCs w:val="24"/>
        </w:rPr>
        <w:t>PPLIC</w:t>
      </w:r>
      <w:r w:rsidR="008D760B" w:rsidRPr="007C4E34">
        <w:rPr>
          <w:szCs w:val="24"/>
        </w:rPr>
        <w:t>A</w:t>
      </w:r>
      <w:r w:rsidRPr="007C4E34">
        <w:rPr>
          <w:szCs w:val="24"/>
        </w:rPr>
        <w:t xml:space="preserve"> MB at 8.</w:t>
      </w:r>
    </w:p>
    <w:p w:rsidR="0083644A" w:rsidRPr="007C4E34" w:rsidRDefault="0083644A" w:rsidP="00FE1C43">
      <w:pPr>
        <w:autoSpaceDE/>
        <w:autoSpaceDN/>
        <w:rPr>
          <w:szCs w:val="24"/>
        </w:rPr>
      </w:pPr>
    </w:p>
    <w:p w:rsidR="0083644A" w:rsidRPr="007C4E34" w:rsidRDefault="0083644A" w:rsidP="00FE1C43">
      <w:pPr>
        <w:autoSpaceDE/>
        <w:autoSpaceDN/>
        <w:rPr>
          <w:szCs w:val="24"/>
        </w:rPr>
      </w:pPr>
      <w:r w:rsidRPr="007C4E34">
        <w:rPr>
          <w:szCs w:val="24"/>
        </w:rPr>
        <w:tab/>
      </w:r>
      <w:r w:rsidRPr="007C4E34">
        <w:rPr>
          <w:szCs w:val="24"/>
        </w:rPr>
        <w:tab/>
        <w:t>PPLICA points out that the review of PPL Electric's billing methodologies in the other Commission dockets could further reduce the variances.  For these reasons, PPLICA finds that the proposed RR is unnecessary.  PPLICA MB at 9.</w:t>
      </w:r>
    </w:p>
    <w:p w:rsidR="0083644A" w:rsidRPr="007C4E34" w:rsidRDefault="0083644A" w:rsidP="00FE1C43">
      <w:pPr>
        <w:autoSpaceDE/>
        <w:autoSpaceDN/>
        <w:rPr>
          <w:szCs w:val="24"/>
        </w:rPr>
      </w:pPr>
    </w:p>
    <w:p w:rsidR="0083644A" w:rsidRPr="007C4E34" w:rsidRDefault="0083644A" w:rsidP="00FE1C43">
      <w:pPr>
        <w:autoSpaceDE/>
        <w:autoSpaceDN/>
        <w:rPr>
          <w:szCs w:val="24"/>
        </w:rPr>
      </w:pPr>
      <w:r w:rsidRPr="007C4E34">
        <w:rPr>
          <w:szCs w:val="24"/>
        </w:rPr>
        <w:tab/>
      </w:r>
      <w:r w:rsidRPr="007C4E34">
        <w:rPr>
          <w:szCs w:val="24"/>
        </w:rPr>
        <w:tab/>
        <w:t xml:space="preserve">In addition, PPLICA points out that the proposed RR eliminates the current practice of separating the Large C&amp;I customers into two groups:  Large C&amp;I Primary and Large C&amp;I Transmission.  </w:t>
      </w:r>
      <w:r w:rsidR="00DE541D" w:rsidRPr="007C4E34">
        <w:rPr>
          <w:szCs w:val="24"/>
        </w:rPr>
        <w:t xml:space="preserve">This separation was the result of the contested litigation of the Company's 2004 base rate case, and its remand from the Commonwealth Court, which required the Commission to set PPL Electric's rates as nondiscriminatory.  </w:t>
      </w:r>
      <w:r w:rsidR="00DE541D" w:rsidRPr="007C4E34">
        <w:rPr>
          <w:i/>
          <w:szCs w:val="24"/>
        </w:rPr>
        <w:t>Lloyd V. Pa. Publ. Util. Comm'n</w:t>
      </w:r>
      <w:r w:rsidR="00DE541D" w:rsidRPr="007C4E34">
        <w:rPr>
          <w:szCs w:val="24"/>
        </w:rPr>
        <w:t xml:space="preserve">, 904 A.2d 1010 (Pa. Cmwlth. 2006).  The subsequent settlement established the separation of the two large industrial classes in recognition of the effect of the widely varying loads of the two groups.  At the very least, these two classes should be maintained.  </w:t>
      </w:r>
    </w:p>
    <w:p w:rsidR="00F11B74" w:rsidRPr="007C4E34" w:rsidRDefault="00EA549A" w:rsidP="00FE1C43">
      <w:pPr>
        <w:autoSpaceDE/>
        <w:autoSpaceDN/>
        <w:rPr>
          <w:szCs w:val="24"/>
        </w:rPr>
      </w:pPr>
      <w:r w:rsidRPr="007C4E34">
        <w:rPr>
          <w:szCs w:val="24"/>
        </w:rPr>
        <w:t xml:space="preserve"> </w:t>
      </w:r>
    </w:p>
    <w:p w:rsidR="008D760B" w:rsidRPr="007C4E34" w:rsidRDefault="008D760B" w:rsidP="00FE1C43">
      <w:pPr>
        <w:autoSpaceDE/>
        <w:autoSpaceDN/>
        <w:rPr>
          <w:szCs w:val="24"/>
        </w:rPr>
      </w:pPr>
      <w:r w:rsidRPr="007C4E34">
        <w:rPr>
          <w:szCs w:val="24"/>
        </w:rPr>
        <w:tab/>
      </w:r>
      <w:r w:rsidRPr="007C4E34">
        <w:rPr>
          <w:szCs w:val="24"/>
        </w:rPr>
        <w:tab/>
        <w:t xml:space="preserve">The Company's response is that PPLICA's proposal should have been raised earlier and should have presented factual evidence to support it in order to allow PPL Electric to respond in kind.  Raising the issue in briefs means that PPL Electric did not have reasonable notice of the proposal and, therefore, had no opportunity to present testimony or evidence in response.  Further, the Company states that the separation of the Large C&amp;I-Primary and Large C&amp;I-Transmission customer classes "was the result of a settlement that was developed by the parties upon the Commonwealth Court's remand of the Company's 2004 base rate case at Docket No. R-20049255.  Clearly, the settlement was a compromise of competing interests and positions.  Although the Commission ultimately approved the settlement, it did not specifically find that the separation of the Large C&amp;I-Primary and Large C&amp;I-Transmission customer classes was required by </w:t>
      </w:r>
      <w:r w:rsidRPr="007C4E34">
        <w:rPr>
          <w:i/>
          <w:szCs w:val="24"/>
        </w:rPr>
        <w:t>Lloyd.</w:t>
      </w:r>
      <w:r w:rsidRPr="007C4E34">
        <w:rPr>
          <w:szCs w:val="24"/>
        </w:rPr>
        <w:t xml:space="preserve">  Tr. pp. 76-78."  PPL Electric RB at 46.</w:t>
      </w:r>
    </w:p>
    <w:p w:rsidR="008D760B" w:rsidRPr="007C4E34" w:rsidRDefault="008D760B" w:rsidP="00FE1C43">
      <w:pPr>
        <w:autoSpaceDE/>
        <w:autoSpaceDN/>
        <w:rPr>
          <w:szCs w:val="24"/>
        </w:rPr>
      </w:pPr>
    </w:p>
    <w:p w:rsidR="008D760B" w:rsidRPr="007C4E34" w:rsidRDefault="008D760B" w:rsidP="00FE1C43">
      <w:pPr>
        <w:autoSpaceDE/>
        <w:autoSpaceDN/>
        <w:rPr>
          <w:szCs w:val="24"/>
        </w:rPr>
      </w:pPr>
      <w:r w:rsidRPr="007C4E34">
        <w:rPr>
          <w:szCs w:val="24"/>
        </w:rPr>
        <w:tab/>
      </w:r>
      <w:r w:rsidRPr="007C4E34">
        <w:rPr>
          <w:szCs w:val="24"/>
        </w:rPr>
        <w:tab/>
      </w:r>
      <w:r w:rsidR="007C42F3" w:rsidRPr="007C4E34">
        <w:rPr>
          <w:szCs w:val="24"/>
        </w:rPr>
        <w:t xml:space="preserve">PPL Electric has the burden of proving that the RR should be approved in its present form, including all of its components.  Therefore, the Company has to prove that putting the two classes together is justified, and PPLICA does not have to present any evidence at all to support its claim that the Company has failed to sustain its burden.  PPLICA has, however, supported its argument that the two classes' "balances have been tracked on a segregated basis," and while opposing the RR, states that "any CTR should return to each class the appropriate over </w:t>
      </w:r>
      <w:r w:rsidR="009A4F48" w:rsidRPr="007C4E34">
        <w:rPr>
          <w:szCs w:val="24"/>
        </w:rPr>
        <w:t xml:space="preserve"> </w:t>
      </w:r>
      <w:r w:rsidR="007C42F3" w:rsidRPr="007C4E34">
        <w:rPr>
          <w:szCs w:val="24"/>
        </w:rPr>
        <w:t xml:space="preserve">collection balances."  PPLICA RB at 10.   Should the Commission approve either the RR or the CTR, the Large C&amp;I-Primary and Large C&amp;I-Transmission customer classes </w:t>
      </w:r>
      <w:r w:rsidR="009A4F48" w:rsidRPr="007C4E34">
        <w:rPr>
          <w:szCs w:val="24"/>
        </w:rPr>
        <w:t>should be treated separately.</w:t>
      </w:r>
    </w:p>
    <w:p w:rsidR="008D760B" w:rsidRPr="007C4E34" w:rsidRDefault="008D760B" w:rsidP="00FE1C43">
      <w:pPr>
        <w:autoSpaceDE/>
        <w:autoSpaceDN/>
        <w:rPr>
          <w:szCs w:val="24"/>
        </w:rPr>
      </w:pPr>
    </w:p>
    <w:p w:rsidR="00387249" w:rsidRPr="007C4E34" w:rsidRDefault="00F11B74" w:rsidP="00FE1C43">
      <w:pPr>
        <w:autoSpaceDE/>
        <w:autoSpaceDN/>
        <w:rPr>
          <w:szCs w:val="24"/>
        </w:rPr>
      </w:pPr>
      <w:r w:rsidRPr="007C4E34">
        <w:rPr>
          <w:szCs w:val="24"/>
        </w:rPr>
        <w:tab/>
      </w:r>
      <w:r w:rsidRPr="007C4E34">
        <w:rPr>
          <w:szCs w:val="24"/>
        </w:rPr>
        <w:tab/>
        <w:t>RESA</w:t>
      </w:r>
      <w:r w:rsidR="008C5F7D" w:rsidRPr="007C4E34">
        <w:rPr>
          <w:szCs w:val="24"/>
        </w:rPr>
        <w:t>, REG, and DR argue t</w:t>
      </w:r>
      <w:r w:rsidRPr="007C4E34">
        <w:rPr>
          <w:szCs w:val="24"/>
        </w:rPr>
        <w:t xml:space="preserve">hat the Company has failed to sustain its burden of proving that its existing mechanism should be changed.  </w:t>
      </w:r>
      <w:r w:rsidR="001243FD" w:rsidRPr="007C4E34">
        <w:rPr>
          <w:szCs w:val="24"/>
        </w:rPr>
        <w:t>RESA charges that the proposed changes to the current reconciliation mechanism</w:t>
      </w:r>
      <w:r w:rsidR="00387249" w:rsidRPr="007C4E34">
        <w:rPr>
          <w:szCs w:val="24"/>
        </w:rPr>
        <w:t xml:space="preserve"> (1) violates the Competition Act, and (2) are inconsistent with Commission regulations.  </w:t>
      </w:r>
    </w:p>
    <w:p w:rsidR="00387249" w:rsidRPr="007C4E34" w:rsidRDefault="00387249" w:rsidP="00FE1C43">
      <w:pPr>
        <w:autoSpaceDE/>
        <w:autoSpaceDN/>
        <w:rPr>
          <w:szCs w:val="24"/>
        </w:rPr>
      </w:pPr>
    </w:p>
    <w:p w:rsidR="00A86FE7" w:rsidRPr="007C4E34" w:rsidRDefault="00387249" w:rsidP="00FE1C43">
      <w:pPr>
        <w:autoSpaceDE/>
        <w:autoSpaceDN/>
        <w:rPr>
          <w:szCs w:val="24"/>
        </w:rPr>
      </w:pPr>
      <w:r w:rsidRPr="007C4E34">
        <w:rPr>
          <w:szCs w:val="24"/>
        </w:rPr>
        <w:tab/>
      </w:r>
      <w:r w:rsidRPr="007C4E34">
        <w:rPr>
          <w:szCs w:val="24"/>
        </w:rPr>
        <w:tab/>
        <w:t xml:space="preserve">The proposals violate the requirement that cost recovery must occur on a full and current basis, Section 2807(e)(3.9), and will stymie competition market development.  RESA believes that the calculation and reconciliation on an annual rather than on a quarterly basis will not foster the development of a competitive retail electricity market.  </w:t>
      </w:r>
      <w:r w:rsidR="00A86FE7" w:rsidRPr="007C4E34">
        <w:rPr>
          <w:szCs w:val="24"/>
        </w:rPr>
        <w:t xml:space="preserve">RESA states that the statutory parameter for "current" is quarterly reconciliation.  66 Pa. C.S. § 2807(e)(7).  </w:t>
      </w:r>
    </w:p>
    <w:p w:rsidR="00A86FE7" w:rsidRPr="007C4E34" w:rsidRDefault="00A86FE7" w:rsidP="00FE1C43">
      <w:pPr>
        <w:autoSpaceDE/>
        <w:autoSpaceDN/>
        <w:rPr>
          <w:szCs w:val="24"/>
        </w:rPr>
      </w:pPr>
    </w:p>
    <w:p w:rsidR="00A86FE7" w:rsidRPr="007C4E34" w:rsidRDefault="00F542A4" w:rsidP="00FE1C43">
      <w:pPr>
        <w:autoSpaceDE/>
        <w:autoSpaceDN/>
        <w:rPr>
          <w:szCs w:val="24"/>
        </w:rPr>
      </w:pPr>
      <w:r w:rsidRPr="007C4E34">
        <w:rPr>
          <w:szCs w:val="24"/>
        </w:rPr>
        <w:tab/>
      </w:r>
      <w:r w:rsidRPr="007C4E34">
        <w:rPr>
          <w:szCs w:val="24"/>
        </w:rPr>
        <w:tab/>
        <w:t>RESA believes that PPL Electric's proposal would send inaccurate price signals to customers and may distort customer shopping decisions because the actual default service cost will not be passed onto consumers in a timely way</w:t>
      </w:r>
      <w:r w:rsidR="00E10656" w:rsidRPr="007C4E34">
        <w:rPr>
          <w:szCs w:val="24"/>
        </w:rPr>
        <w:t xml:space="preserve">.  Customers will not see the true cost of energy on a contemporaneous basis.  RESA MB at 11.  RESA states that "the bottom-line amount paid by customers will be based, </w:t>
      </w:r>
      <w:r w:rsidR="00E10656" w:rsidRPr="007C4E34">
        <w:rPr>
          <w:szCs w:val="24"/>
          <w:u w:val="single"/>
        </w:rPr>
        <w:t>at least in part,</w:t>
      </w:r>
      <w:r w:rsidR="00E10656" w:rsidRPr="007C4E34">
        <w:rPr>
          <w:szCs w:val="24"/>
        </w:rPr>
        <w:t xml:space="preserve"> on a year's worth of reconciliation data rather than the current price of energy."  RESA MB at 12.</w:t>
      </w:r>
    </w:p>
    <w:p w:rsidR="00E10656" w:rsidRPr="007C4E34" w:rsidRDefault="00E10656" w:rsidP="00FE1C43">
      <w:pPr>
        <w:autoSpaceDE/>
        <w:autoSpaceDN/>
        <w:rPr>
          <w:szCs w:val="24"/>
        </w:rPr>
      </w:pPr>
    </w:p>
    <w:p w:rsidR="00E10656" w:rsidRPr="007C4E34" w:rsidRDefault="00E10656" w:rsidP="005A5F39">
      <w:pPr>
        <w:autoSpaceDE/>
        <w:autoSpaceDN/>
        <w:spacing w:line="240" w:lineRule="auto"/>
        <w:ind w:left="1440" w:right="1440"/>
        <w:rPr>
          <w:szCs w:val="24"/>
        </w:rPr>
      </w:pPr>
      <w:r w:rsidRPr="007C4E34">
        <w:rPr>
          <w:szCs w:val="24"/>
        </w:rPr>
        <w:t>. . . the proposed RR will create a distorted pricing structure that will stymie continued competitive market development because competitive suppliers will be forced to compete against prices that do not accurately reflect market prices and costs.  Default service rat</w:t>
      </w:r>
      <w:r w:rsidR="005A5F39" w:rsidRPr="007C4E34">
        <w:rPr>
          <w:szCs w:val="24"/>
        </w:rPr>
        <w:t>es must be market-responsive an</w:t>
      </w:r>
      <w:r w:rsidRPr="007C4E34">
        <w:rPr>
          <w:szCs w:val="24"/>
        </w:rPr>
        <w:t>d</w:t>
      </w:r>
      <w:r w:rsidR="005A5F39" w:rsidRPr="007C4E34">
        <w:rPr>
          <w:szCs w:val="24"/>
        </w:rPr>
        <w:t xml:space="preserve"> </w:t>
      </w:r>
      <w:r w:rsidRPr="007C4E34">
        <w:rPr>
          <w:szCs w:val="24"/>
        </w:rPr>
        <w:t xml:space="preserve">must reflect all of the relevant costs incurred by the EDC in providing default service.  Both of these factors are required so that competitive suppliers can compete on </w:t>
      </w:r>
      <w:r w:rsidR="005A5F39" w:rsidRPr="007C4E34">
        <w:rPr>
          <w:szCs w:val="24"/>
        </w:rPr>
        <w:t>equal footing with the</w:t>
      </w:r>
      <w:r w:rsidRPr="007C4E34">
        <w:rPr>
          <w:szCs w:val="24"/>
        </w:rPr>
        <w:t xml:space="preserve"> EDC's</w:t>
      </w:r>
      <w:r w:rsidR="005A5F39" w:rsidRPr="007C4E34">
        <w:rPr>
          <w:szCs w:val="24"/>
        </w:rPr>
        <w:t xml:space="preserve"> default service rates.  Without some rational relationship to the market, EGSs cannot price competing offers and may not enter that market.  Similarly, if default rates do not fully reflect all of the costs of providing generation service (for example due to misallocated costs and cross-subsidization), then EGSs are at an unfair competitive disadvantage compared to the EDC's default service rate.</w:t>
      </w:r>
    </w:p>
    <w:p w:rsidR="005A5F39" w:rsidRPr="007C4E34" w:rsidRDefault="005A5F39" w:rsidP="005A5F39">
      <w:pPr>
        <w:autoSpaceDE/>
        <w:autoSpaceDN/>
        <w:spacing w:line="240" w:lineRule="auto"/>
        <w:ind w:left="1440" w:right="1440"/>
        <w:rPr>
          <w:szCs w:val="24"/>
        </w:rPr>
      </w:pPr>
      <w:r w:rsidRPr="007C4E34">
        <w:rPr>
          <w:szCs w:val="24"/>
        </w:rPr>
        <w:t>RESA MB at 12-13 (footnotes omitted)</w:t>
      </w:r>
    </w:p>
    <w:p w:rsidR="00E10656" w:rsidRPr="007C4E34" w:rsidRDefault="00E10656" w:rsidP="00FE1C43">
      <w:pPr>
        <w:autoSpaceDE/>
        <w:autoSpaceDN/>
        <w:rPr>
          <w:szCs w:val="24"/>
        </w:rPr>
      </w:pPr>
    </w:p>
    <w:p w:rsidR="00BA5747" w:rsidRPr="007C4E34" w:rsidRDefault="008C5F7D" w:rsidP="00FE1C43">
      <w:pPr>
        <w:autoSpaceDE/>
        <w:autoSpaceDN/>
        <w:rPr>
          <w:szCs w:val="24"/>
        </w:rPr>
      </w:pPr>
      <w:r w:rsidRPr="007C4E34">
        <w:rPr>
          <w:szCs w:val="24"/>
        </w:rPr>
        <w:tab/>
      </w:r>
      <w:r w:rsidR="005A5F39" w:rsidRPr="007C4E34">
        <w:rPr>
          <w:szCs w:val="24"/>
        </w:rPr>
        <w:tab/>
        <w:t>The Commission's default service regulations require that the default service rate include the sum of all generation and transmission related default service costs.  "While the Competition Act expressly provides for the recovery of certain costs through nonbypassable charges on all customers, both non-shopping and shipping, there is no such express authorization for the recovery of default service costs through nonbypassable, distribution service type charges such as the riders proposed by PPL here."  RESA MB at 14; 52 Pa. Code § 54.187(a).</w:t>
      </w:r>
    </w:p>
    <w:p w:rsidR="00BA5747" w:rsidRPr="007C4E34" w:rsidRDefault="00BA5747" w:rsidP="00FE1C43">
      <w:pPr>
        <w:autoSpaceDE/>
        <w:autoSpaceDN/>
        <w:rPr>
          <w:szCs w:val="24"/>
        </w:rPr>
      </w:pPr>
    </w:p>
    <w:p w:rsidR="00BA5747" w:rsidRDefault="00BA5747" w:rsidP="007C4E34">
      <w:pPr>
        <w:autoSpaceDE/>
        <w:autoSpaceDN/>
        <w:spacing w:line="240" w:lineRule="auto"/>
        <w:rPr>
          <w:szCs w:val="24"/>
        </w:rPr>
      </w:pPr>
      <w:r w:rsidRPr="007C4E34">
        <w:rPr>
          <w:szCs w:val="24"/>
        </w:rPr>
        <w:tab/>
      </w:r>
      <w:r w:rsidRPr="007C4E34">
        <w:rPr>
          <w:szCs w:val="24"/>
        </w:rPr>
        <w:tab/>
        <w:t>RESA argues:</w:t>
      </w:r>
    </w:p>
    <w:p w:rsidR="007C4E34" w:rsidRPr="007C4E34" w:rsidRDefault="007C4E34" w:rsidP="007C4E34">
      <w:pPr>
        <w:autoSpaceDE/>
        <w:autoSpaceDN/>
        <w:spacing w:line="240" w:lineRule="auto"/>
        <w:rPr>
          <w:szCs w:val="24"/>
        </w:rPr>
      </w:pPr>
    </w:p>
    <w:p w:rsidR="00BA5747" w:rsidRPr="007C4E34" w:rsidRDefault="00BA5747" w:rsidP="007C4E34">
      <w:pPr>
        <w:autoSpaceDE/>
        <w:autoSpaceDN/>
        <w:spacing w:line="240" w:lineRule="auto"/>
        <w:ind w:left="1440" w:right="1440"/>
        <w:rPr>
          <w:szCs w:val="24"/>
        </w:rPr>
      </w:pPr>
      <w:r w:rsidRPr="007C4E34">
        <w:rPr>
          <w:szCs w:val="24"/>
        </w:rPr>
        <w:t>If all the costs of providing default service are not included in the default service rate, the EDC as the DSP will be given an unfair competitive advantage to create an artificially subsidized lower default service rate with which EGSs will never be able to compete.  Again, while some might support such a result (i.e., an artificial low default rate), the entire purpose of the Competition Act is to foster an environment wherein competition can flourish.</w:t>
      </w:r>
    </w:p>
    <w:p w:rsidR="00E10656" w:rsidRPr="007C4E34" w:rsidRDefault="00BA5747" w:rsidP="00BA5747">
      <w:pPr>
        <w:autoSpaceDE/>
        <w:autoSpaceDN/>
        <w:spacing w:line="240" w:lineRule="auto"/>
        <w:ind w:left="1440" w:right="1440"/>
        <w:rPr>
          <w:szCs w:val="24"/>
        </w:rPr>
      </w:pPr>
      <w:r w:rsidRPr="007C4E34">
        <w:rPr>
          <w:szCs w:val="24"/>
        </w:rPr>
        <w:t>RESA MB at 15.</w:t>
      </w:r>
      <w:r w:rsidR="005A5F39" w:rsidRPr="007C4E34">
        <w:rPr>
          <w:szCs w:val="24"/>
        </w:rPr>
        <w:t xml:space="preserve">  </w:t>
      </w:r>
    </w:p>
    <w:p w:rsidR="00BA5747" w:rsidRPr="007C4E34" w:rsidRDefault="00BA5747" w:rsidP="00FE1C43">
      <w:pPr>
        <w:autoSpaceDE/>
        <w:autoSpaceDN/>
        <w:rPr>
          <w:b/>
          <w:szCs w:val="24"/>
        </w:rPr>
      </w:pPr>
    </w:p>
    <w:p w:rsidR="008C5F7D" w:rsidRDefault="008C5F7D" w:rsidP="008C5F7D">
      <w:pPr>
        <w:autoSpaceDE/>
        <w:autoSpaceDN/>
        <w:rPr>
          <w:szCs w:val="24"/>
        </w:rPr>
      </w:pPr>
      <w:r w:rsidRPr="007C4E34">
        <w:rPr>
          <w:b/>
          <w:szCs w:val="24"/>
        </w:rPr>
        <w:tab/>
      </w:r>
      <w:r w:rsidRPr="007C4E34">
        <w:rPr>
          <w:b/>
          <w:szCs w:val="24"/>
        </w:rPr>
        <w:tab/>
      </w:r>
      <w:r w:rsidRPr="007C4E34">
        <w:rPr>
          <w:szCs w:val="24"/>
        </w:rPr>
        <w:t xml:space="preserve">REG passionately promotes the position that the Company has failed to sustain its burden of proving that the current PTC reconciliation process in not working as designed.  The present plan was approved as part of the DSP Plan as a mechanism to recover reasonable costs relating to the procurement of generation supply for default customers by recovering shortfalls from default customers.  </w:t>
      </w:r>
    </w:p>
    <w:p w:rsidR="007C4E34" w:rsidRPr="007C4E34" w:rsidRDefault="007C4E34" w:rsidP="008C5F7D">
      <w:pPr>
        <w:autoSpaceDE/>
        <w:autoSpaceDN/>
        <w:rPr>
          <w:szCs w:val="24"/>
        </w:rPr>
      </w:pPr>
    </w:p>
    <w:p w:rsidR="008C5F7D" w:rsidRPr="007C4E34" w:rsidRDefault="008C5F7D" w:rsidP="008C5F7D">
      <w:pPr>
        <w:autoSpaceDE/>
        <w:autoSpaceDN/>
        <w:spacing w:line="240" w:lineRule="auto"/>
        <w:ind w:left="1440" w:right="1440"/>
        <w:rPr>
          <w:szCs w:val="24"/>
        </w:rPr>
      </w:pPr>
      <w:r w:rsidRPr="007C4E34">
        <w:rPr>
          <w:szCs w:val="24"/>
        </w:rPr>
        <w:tab/>
        <w:t>Through its Petition and Amended Petition, PPL seeks to alter one provision of that Settlement and recover costs from not only customers that are currently being provided default service by PPL, but by those customers who believed in the underlying concept and promise of competition as set forth in Chapter 28 of the Code and took advantage of their right to choose an alternative generation supplier.  Thus, the issue presented in this proceeding is not whether PPL should be given an opportunity to recover its reasonable costs of providing default service as suggested by PPL, but from whom those costs be recovered – customers who are currently being provided default service or from customers who have exercised their right to switch suppliers, many of which exercised that right two years ago.</w:t>
      </w:r>
    </w:p>
    <w:p w:rsidR="008C5F7D" w:rsidRPr="007C4E34" w:rsidRDefault="008C5F7D" w:rsidP="008C5F7D">
      <w:pPr>
        <w:autoSpaceDE/>
        <w:autoSpaceDN/>
        <w:spacing w:line="240" w:lineRule="auto"/>
        <w:ind w:left="1440" w:right="1440"/>
        <w:rPr>
          <w:b/>
          <w:szCs w:val="24"/>
        </w:rPr>
      </w:pPr>
      <w:r w:rsidRPr="007C4E34">
        <w:rPr>
          <w:szCs w:val="24"/>
        </w:rPr>
        <w:t xml:space="preserve">REG MB at 7.  </w:t>
      </w:r>
    </w:p>
    <w:p w:rsidR="008C5F7D" w:rsidRPr="007C4E34" w:rsidRDefault="008C5F7D" w:rsidP="007C4E34">
      <w:pPr>
        <w:autoSpaceDE/>
        <w:autoSpaceDN/>
        <w:rPr>
          <w:b/>
          <w:szCs w:val="24"/>
        </w:rPr>
      </w:pPr>
    </w:p>
    <w:p w:rsidR="00A43A0F" w:rsidRPr="007C4E34" w:rsidRDefault="00F30F4B" w:rsidP="00FE1C43">
      <w:pPr>
        <w:autoSpaceDE/>
        <w:autoSpaceDN/>
        <w:rPr>
          <w:szCs w:val="24"/>
        </w:rPr>
      </w:pPr>
      <w:r w:rsidRPr="007C4E34">
        <w:rPr>
          <w:szCs w:val="24"/>
        </w:rPr>
        <w:tab/>
      </w:r>
      <w:r w:rsidRPr="007C4E34">
        <w:rPr>
          <w:szCs w:val="24"/>
        </w:rPr>
        <w:tab/>
        <w:t xml:space="preserve">DR </w:t>
      </w:r>
      <w:r w:rsidR="008C5F7D" w:rsidRPr="007C4E34">
        <w:rPr>
          <w:szCs w:val="24"/>
        </w:rPr>
        <w:t>agrees</w:t>
      </w:r>
      <w:r w:rsidRPr="007C4E34">
        <w:rPr>
          <w:szCs w:val="24"/>
        </w:rPr>
        <w:t xml:space="preserve"> that the statute a</w:t>
      </w:r>
      <w:r w:rsidR="008C5F7D" w:rsidRPr="007C4E34">
        <w:rPr>
          <w:szCs w:val="24"/>
        </w:rPr>
        <w:t>nd regulations together require</w:t>
      </w:r>
      <w:r w:rsidRPr="007C4E34">
        <w:rPr>
          <w:szCs w:val="24"/>
        </w:rPr>
        <w:t xml:space="preserve"> that all costs incurred by the default service provider for providing default served be recovered through a default service rate schedule</w:t>
      </w:r>
      <w:r w:rsidR="00A43A0F" w:rsidRPr="007C4E34">
        <w:rPr>
          <w:szCs w:val="24"/>
        </w:rPr>
        <w:t>, which is to be identified as the PTC, which shall be designed to recover those costs during the period service is provided to the customers.  This means, DR avers, that the proposals to carve out certain default service costs to be recovered from customers other than default service customers violates Commission regulations and creates illegal inter-class rate subsidies.  DR MB at 8.</w:t>
      </w:r>
      <w:r w:rsidR="00B55A2C" w:rsidRPr="007C4E34">
        <w:rPr>
          <w:rStyle w:val="FootnoteReference"/>
          <w:szCs w:val="24"/>
        </w:rPr>
        <w:footnoteReference w:id="7"/>
      </w:r>
      <w:r w:rsidR="00A43A0F" w:rsidRPr="007C4E34">
        <w:rPr>
          <w:szCs w:val="24"/>
        </w:rPr>
        <w:t xml:space="preserve">  </w:t>
      </w:r>
    </w:p>
    <w:p w:rsidR="00A43A0F" w:rsidRPr="007C4E34" w:rsidRDefault="00A43A0F" w:rsidP="00FE1C43">
      <w:pPr>
        <w:autoSpaceDE/>
        <w:autoSpaceDN/>
        <w:rPr>
          <w:szCs w:val="24"/>
        </w:rPr>
      </w:pPr>
    </w:p>
    <w:p w:rsidR="00954025" w:rsidRPr="007C4E34" w:rsidRDefault="00A43A0F" w:rsidP="00FE1C43">
      <w:pPr>
        <w:autoSpaceDE/>
        <w:autoSpaceDN/>
        <w:rPr>
          <w:szCs w:val="24"/>
        </w:rPr>
      </w:pPr>
      <w:r w:rsidRPr="007C4E34">
        <w:rPr>
          <w:szCs w:val="24"/>
        </w:rPr>
        <w:tab/>
      </w:r>
      <w:r w:rsidRPr="007C4E34">
        <w:rPr>
          <w:szCs w:val="24"/>
        </w:rPr>
        <w:tab/>
        <w:t xml:space="preserve">According to DR, an EDC can only collect the costs of providing default service through the PTC and only from default service customers.  </w:t>
      </w:r>
    </w:p>
    <w:p w:rsidR="00954025" w:rsidRPr="007C4E34" w:rsidRDefault="00954025" w:rsidP="00FE1C43">
      <w:pPr>
        <w:autoSpaceDE/>
        <w:autoSpaceDN/>
        <w:rPr>
          <w:szCs w:val="24"/>
        </w:rPr>
      </w:pPr>
    </w:p>
    <w:p w:rsidR="00F30F4B" w:rsidRPr="007C4E34" w:rsidRDefault="00954025" w:rsidP="00FE1C43">
      <w:pPr>
        <w:autoSpaceDE/>
        <w:autoSpaceDN/>
        <w:rPr>
          <w:szCs w:val="24"/>
        </w:rPr>
      </w:pPr>
      <w:r w:rsidRPr="007C4E34">
        <w:rPr>
          <w:szCs w:val="24"/>
        </w:rPr>
        <w:tab/>
      </w:r>
      <w:r w:rsidRPr="007C4E34">
        <w:rPr>
          <w:szCs w:val="24"/>
        </w:rPr>
        <w:tab/>
        <w:t xml:space="preserve">While acknowledging that the gas industry has the ability to assess the E-factor outside the PTC, DR points out that there is an express statutory mandate for the migration rider in the Public Utility Code, and that no similar authority exists in the sections governing EDCs.  66 Pa. C.S. § 1307(f)(6); DR MB at 10.  DR notes further that </w:t>
      </w:r>
      <w:r w:rsidR="00BA5CFD" w:rsidRPr="007C4E34">
        <w:rPr>
          <w:szCs w:val="24"/>
        </w:rPr>
        <w:t xml:space="preserve">final regulations have been adopted by the Commission which will require the inclusion of the E-factor in the gas companies' PTC.  </w:t>
      </w:r>
      <w:r w:rsidR="00BA5CFD" w:rsidRPr="007C4E34">
        <w:rPr>
          <w:i/>
          <w:szCs w:val="24"/>
        </w:rPr>
        <w:t>Natural Gas Distribution Companies and Promotion of Competitive Retail Markets</w:t>
      </w:r>
      <w:r w:rsidR="00BA5CFD" w:rsidRPr="007C4E34">
        <w:rPr>
          <w:szCs w:val="24"/>
        </w:rPr>
        <w:t>, Docket No. L-2008-2069114 (Revised Final Rulemaking Order entered June 23, 2011); DR MB at 10.</w:t>
      </w:r>
      <w:r w:rsidR="00F30F4B" w:rsidRPr="007C4E34">
        <w:rPr>
          <w:szCs w:val="24"/>
        </w:rPr>
        <w:tab/>
      </w:r>
      <w:r w:rsidR="00F30F4B" w:rsidRPr="007C4E34">
        <w:rPr>
          <w:szCs w:val="24"/>
        </w:rPr>
        <w:tab/>
      </w:r>
    </w:p>
    <w:p w:rsidR="00F30F4B" w:rsidRPr="007C4E34" w:rsidRDefault="00F30F4B" w:rsidP="00FE1C43">
      <w:pPr>
        <w:autoSpaceDE/>
        <w:autoSpaceDN/>
        <w:rPr>
          <w:b/>
          <w:szCs w:val="24"/>
        </w:rPr>
      </w:pPr>
    </w:p>
    <w:p w:rsidR="002B7D7E" w:rsidRPr="007C4E34" w:rsidRDefault="0004002B" w:rsidP="00FE1C43">
      <w:pPr>
        <w:autoSpaceDE/>
        <w:autoSpaceDN/>
        <w:rPr>
          <w:szCs w:val="24"/>
        </w:rPr>
      </w:pPr>
      <w:r w:rsidRPr="007C4E34">
        <w:rPr>
          <w:b/>
          <w:szCs w:val="24"/>
        </w:rPr>
        <w:tab/>
      </w:r>
      <w:r w:rsidRPr="007C4E34">
        <w:rPr>
          <w:b/>
          <w:szCs w:val="24"/>
        </w:rPr>
        <w:tab/>
      </w:r>
      <w:r w:rsidRPr="007C4E34">
        <w:rPr>
          <w:szCs w:val="24"/>
        </w:rPr>
        <w:t>The Company's proposals, according to DR, creates "the perfect storm of anti-competitive behavior.  In a sense, what PPL has created is the perfect customer trap – lure them in then tra</w:t>
      </w:r>
      <w:r w:rsidR="009E5C22" w:rsidRPr="007C4E34">
        <w:rPr>
          <w:szCs w:val="24"/>
        </w:rPr>
        <w:t>p</w:t>
      </w:r>
      <w:r w:rsidRPr="007C4E34">
        <w:rPr>
          <w:szCs w:val="24"/>
        </w:rPr>
        <w:t xml:space="preserve"> them indefinitely until they give up.  Dr. St. No. 1, 12:11-24."  DR MB at 14.  DR believes that the "mere existence" of an RR will dampen competition.</w:t>
      </w:r>
    </w:p>
    <w:p w:rsidR="002B7D7E" w:rsidRPr="007C4E34" w:rsidRDefault="002B7D7E" w:rsidP="00FE1C43">
      <w:pPr>
        <w:autoSpaceDE/>
        <w:autoSpaceDN/>
        <w:rPr>
          <w:szCs w:val="24"/>
        </w:rPr>
      </w:pPr>
    </w:p>
    <w:p w:rsidR="009E5C22" w:rsidRDefault="002B7D7E" w:rsidP="00DA4802">
      <w:pPr>
        <w:autoSpaceDE/>
        <w:autoSpaceDN/>
        <w:spacing w:line="240" w:lineRule="auto"/>
        <w:ind w:left="1440" w:right="1440"/>
        <w:rPr>
          <w:szCs w:val="24"/>
        </w:rPr>
      </w:pPr>
      <w:r w:rsidRPr="007C4E34">
        <w:rPr>
          <w:szCs w:val="24"/>
        </w:rPr>
        <w:tab/>
        <w:t xml:space="preserve">In light of Mr. Kleha's effort to explain the fact that PPL does very little, other than straight mathematical calculations, in the creation of the default service rates, and his admission that PPL has had difficulty in managing default service rates in a way that does not create large swings between over and under collection balances, it matters not whether it is acting intentionally or negligently to the detriment  </w:t>
      </w:r>
      <w:r w:rsidR="009E5C22" w:rsidRPr="007C4E34">
        <w:rPr>
          <w:szCs w:val="24"/>
        </w:rPr>
        <w:t>of the competitive marketplace, or even if all of this is outside of PPL's control.  Proposing to implement a mechanism that translates into a perverse incentive for customers to switch to default service and remain there based upon the default service rates at a single point in time, coupled with PPL's apparently weak grip on the mechanics of the default service rate mechanism, is a recipe for disaster.</w:t>
      </w:r>
    </w:p>
    <w:p w:rsidR="007C4E34" w:rsidRPr="007C4E34" w:rsidRDefault="007C4E34" w:rsidP="00DA4802">
      <w:pPr>
        <w:autoSpaceDE/>
        <w:autoSpaceDN/>
        <w:spacing w:line="240" w:lineRule="auto"/>
        <w:ind w:left="1440" w:right="1440"/>
        <w:rPr>
          <w:szCs w:val="24"/>
        </w:rPr>
      </w:pPr>
    </w:p>
    <w:p w:rsidR="0004002B" w:rsidRPr="007C4E34" w:rsidRDefault="009E5C22" w:rsidP="00DA4802">
      <w:pPr>
        <w:autoSpaceDE/>
        <w:autoSpaceDN/>
        <w:spacing w:line="240" w:lineRule="auto"/>
        <w:ind w:left="1440" w:right="1440"/>
        <w:rPr>
          <w:szCs w:val="24"/>
        </w:rPr>
      </w:pPr>
      <w:r w:rsidRPr="007C4E34">
        <w:rPr>
          <w:szCs w:val="24"/>
        </w:rPr>
        <w:tab/>
        <w:t>As described by Mr. Butler on the stand, PPL needs to do a better job of forecasting its default service costs and translating those forecasts</w:t>
      </w:r>
      <w:r w:rsidR="0004002B" w:rsidRPr="007C4E34">
        <w:rPr>
          <w:szCs w:val="24"/>
        </w:rPr>
        <w:t xml:space="preserve"> </w:t>
      </w:r>
      <w:r w:rsidRPr="007C4E34">
        <w:rPr>
          <w:szCs w:val="24"/>
        </w:rPr>
        <w:t>into rates that do not over or under collect to a significant degree.  TR 147:8-14.  To give them a tool that has the potential to seriously harm the competitive market by error or intent, and to ignore PPL's present track record of default service rates, would be irresponsible.</w:t>
      </w:r>
    </w:p>
    <w:p w:rsidR="009E5C22" w:rsidRPr="007C4E34" w:rsidRDefault="009E5C22" w:rsidP="00DA4802">
      <w:pPr>
        <w:autoSpaceDE/>
        <w:autoSpaceDN/>
        <w:spacing w:line="240" w:lineRule="auto"/>
        <w:ind w:left="1440" w:right="1440"/>
        <w:rPr>
          <w:szCs w:val="24"/>
        </w:rPr>
      </w:pPr>
      <w:r w:rsidRPr="007C4E34">
        <w:rPr>
          <w:szCs w:val="24"/>
        </w:rPr>
        <w:t>DR MB at 15-16</w:t>
      </w:r>
    </w:p>
    <w:p w:rsidR="009E5C22" w:rsidRPr="007C4E34" w:rsidRDefault="009E5C22" w:rsidP="00FE1C43">
      <w:pPr>
        <w:autoSpaceDE/>
        <w:autoSpaceDN/>
        <w:rPr>
          <w:szCs w:val="24"/>
        </w:rPr>
      </w:pPr>
    </w:p>
    <w:p w:rsidR="009E5C22" w:rsidRPr="007C4E34" w:rsidRDefault="009E5C22" w:rsidP="00FE1C43">
      <w:pPr>
        <w:autoSpaceDE/>
        <w:autoSpaceDN/>
        <w:rPr>
          <w:szCs w:val="24"/>
        </w:rPr>
      </w:pPr>
      <w:r w:rsidRPr="007C4E34">
        <w:rPr>
          <w:szCs w:val="24"/>
        </w:rPr>
        <w:tab/>
      </w:r>
      <w:r w:rsidRPr="007C4E34">
        <w:rPr>
          <w:szCs w:val="24"/>
        </w:rPr>
        <w:tab/>
        <w:t xml:space="preserve">DR </w:t>
      </w:r>
      <w:r w:rsidR="00DA4802" w:rsidRPr="007C4E34">
        <w:rPr>
          <w:szCs w:val="24"/>
        </w:rPr>
        <w:t>states</w:t>
      </w:r>
      <w:r w:rsidRPr="007C4E34">
        <w:rPr>
          <w:szCs w:val="24"/>
        </w:rPr>
        <w:t xml:space="preserve"> that PPL Witness Kleha admitted on the stand that a significant factor for </w:t>
      </w:r>
      <w:r w:rsidR="00DA4802" w:rsidRPr="007C4E34">
        <w:rPr>
          <w:szCs w:val="24"/>
        </w:rPr>
        <w:t>volatile prices was the unexpectedly high</w:t>
      </w:r>
      <w:r w:rsidRPr="007C4E34">
        <w:rPr>
          <w:szCs w:val="24"/>
        </w:rPr>
        <w:t xml:space="preserve"> shopping level</w:t>
      </w:r>
      <w:r w:rsidR="00DA4802" w:rsidRPr="007C4E34">
        <w:rPr>
          <w:szCs w:val="24"/>
        </w:rPr>
        <w:t xml:space="preserve">, but that the shopping has </w:t>
      </w:r>
      <w:r w:rsidRPr="007C4E34">
        <w:rPr>
          <w:szCs w:val="24"/>
        </w:rPr>
        <w:t>stabilized</w:t>
      </w:r>
      <w:r w:rsidR="00DA4802" w:rsidRPr="007C4E34">
        <w:rPr>
          <w:szCs w:val="24"/>
        </w:rPr>
        <w:t>. Tr. 66-67.   Therefore, DR argues that the riders are unnecessary.  DR MB at 16.</w:t>
      </w:r>
    </w:p>
    <w:p w:rsidR="00CD2ACE" w:rsidRPr="007C4E34" w:rsidRDefault="00CD2ACE" w:rsidP="00FE1C43">
      <w:pPr>
        <w:autoSpaceDE/>
        <w:autoSpaceDN/>
        <w:rPr>
          <w:szCs w:val="24"/>
        </w:rPr>
      </w:pPr>
    </w:p>
    <w:p w:rsidR="00BA6AB5" w:rsidRPr="007C4E34" w:rsidRDefault="00BA6AB5" w:rsidP="00FE1C43">
      <w:pPr>
        <w:autoSpaceDE/>
        <w:autoSpaceDN/>
        <w:rPr>
          <w:szCs w:val="24"/>
        </w:rPr>
      </w:pPr>
      <w:r w:rsidRPr="007C4E34">
        <w:rPr>
          <w:szCs w:val="24"/>
        </w:rPr>
        <w:tab/>
      </w:r>
      <w:r w:rsidRPr="007C4E34">
        <w:rPr>
          <w:szCs w:val="24"/>
        </w:rPr>
        <w:tab/>
        <w:t>DR dismisses the Company's claim that it has very little leeway in its forecasting because the formula to be used is rigid and mandatory</w:t>
      </w:r>
      <w:r w:rsidR="007E27F6" w:rsidRPr="007C4E34">
        <w:rPr>
          <w:szCs w:val="24"/>
        </w:rPr>
        <w:t>,</w:t>
      </w:r>
      <w:r w:rsidRPr="007C4E34">
        <w:rPr>
          <w:szCs w:val="24"/>
        </w:rPr>
        <w:t xml:space="preserve"> by citing its Witness Butler stating that if he were to develop his retail rates as PPL does, he would soon be out of business.  Tr. 142.  DR continues by claiming that a migration rider negatively impacts competition, would harm customers and is not in the public interest.  DR RB at 10-11.  </w:t>
      </w:r>
    </w:p>
    <w:p w:rsidR="006848D5" w:rsidRPr="007C4E34" w:rsidRDefault="006848D5" w:rsidP="00FE1C43">
      <w:pPr>
        <w:autoSpaceDE/>
        <w:autoSpaceDN/>
        <w:rPr>
          <w:szCs w:val="24"/>
        </w:rPr>
      </w:pPr>
    </w:p>
    <w:p w:rsidR="006848D5" w:rsidRPr="007C4E34" w:rsidRDefault="006848D5" w:rsidP="00AA3C3C">
      <w:pPr>
        <w:autoSpaceDE/>
        <w:autoSpaceDN/>
        <w:spacing w:line="240" w:lineRule="auto"/>
        <w:ind w:left="1440" w:right="1440"/>
        <w:rPr>
          <w:szCs w:val="24"/>
        </w:rPr>
      </w:pPr>
      <w:r w:rsidRPr="007C4E34">
        <w:rPr>
          <w:szCs w:val="24"/>
        </w:rPr>
        <w:t>Simply stated, PPL's right to recovery comes with the legal requirements of the Commission's regulation and the overall requirements of the Public Utility Code that every rate be just and reasonable and that rates not be unduly discriminatory.  66 Pa. C.S. §§ 1301, 1304.  PPL's failure even to acknowledge the existence of these requirements that is perhaps the reason for its difficulty.  DDES has proposed a reasonable solution and it should be adopted.</w:t>
      </w:r>
    </w:p>
    <w:p w:rsidR="006848D5" w:rsidRPr="007C4E34" w:rsidRDefault="006848D5" w:rsidP="00AA3C3C">
      <w:pPr>
        <w:autoSpaceDE/>
        <w:autoSpaceDN/>
        <w:spacing w:line="240" w:lineRule="auto"/>
        <w:ind w:left="1440" w:right="1440"/>
        <w:rPr>
          <w:szCs w:val="24"/>
        </w:rPr>
      </w:pPr>
      <w:r w:rsidRPr="007C4E34">
        <w:rPr>
          <w:szCs w:val="24"/>
        </w:rPr>
        <w:t>DR RB at 11.</w:t>
      </w:r>
    </w:p>
    <w:p w:rsidR="00AA3C3C" w:rsidRPr="007C4E34" w:rsidRDefault="00AA3C3C" w:rsidP="00FE1C43">
      <w:pPr>
        <w:autoSpaceDE/>
        <w:autoSpaceDN/>
        <w:rPr>
          <w:szCs w:val="24"/>
        </w:rPr>
      </w:pPr>
    </w:p>
    <w:p w:rsidR="00AA3C3C" w:rsidRPr="007C4E34" w:rsidRDefault="00AA3C3C" w:rsidP="00FE1C43">
      <w:pPr>
        <w:autoSpaceDE/>
        <w:autoSpaceDN/>
        <w:rPr>
          <w:szCs w:val="24"/>
        </w:rPr>
      </w:pPr>
      <w:r w:rsidRPr="007C4E34">
        <w:rPr>
          <w:szCs w:val="24"/>
        </w:rPr>
        <w:tab/>
      </w:r>
      <w:r w:rsidRPr="007C4E34">
        <w:rPr>
          <w:szCs w:val="24"/>
        </w:rPr>
        <w:tab/>
        <w:t xml:space="preserve">DR argues that migration riders are not authorized by statute, they are contrary to the Commission's regulations, are anti-customer and anti-competitive, and are not in the public interest.  </w:t>
      </w:r>
    </w:p>
    <w:p w:rsidR="00BA6AB5" w:rsidRPr="007C4E34" w:rsidRDefault="00BA6AB5" w:rsidP="00FE1C43">
      <w:pPr>
        <w:autoSpaceDE/>
        <w:autoSpaceDN/>
        <w:rPr>
          <w:szCs w:val="24"/>
        </w:rPr>
      </w:pPr>
    </w:p>
    <w:p w:rsidR="008C5F7D" w:rsidRPr="007C4E34" w:rsidRDefault="008C5F7D" w:rsidP="008C5F7D">
      <w:pPr>
        <w:autoSpaceDE/>
        <w:autoSpaceDN/>
        <w:rPr>
          <w:szCs w:val="24"/>
        </w:rPr>
      </w:pPr>
      <w:r w:rsidRPr="007C4E34">
        <w:rPr>
          <w:b/>
          <w:szCs w:val="24"/>
        </w:rPr>
        <w:tab/>
      </w:r>
      <w:r w:rsidRPr="007C4E34">
        <w:rPr>
          <w:b/>
          <w:szCs w:val="24"/>
        </w:rPr>
        <w:tab/>
      </w:r>
      <w:r w:rsidRPr="007C4E34">
        <w:rPr>
          <w:szCs w:val="24"/>
        </w:rPr>
        <w:t>The OSBA supports the migration rider aspects of the RR as supported by the principles of cost causation and equity.  The RR will align charges and refunds with the customers who underpaid or overpaid while receiving the default service.  The present mechanism allows customers who shop to avoid paying costs incurred while they were default customers but permits them to benefit from refunds if they return to default service.  OSBA MB at 4.</w:t>
      </w:r>
    </w:p>
    <w:p w:rsidR="008C5F7D" w:rsidRPr="007C4E34" w:rsidRDefault="008C5F7D" w:rsidP="008C5F7D">
      <w:pPr>
        <w:autoSpaceDE/>
        <w:autoSpaceDN/>
        <w:rPr>
          <w:szCs w:val="24"/>
        </w:rPr>
      </w:pPr>
    </w:p>
    <w:p w:rsidR="008C5F7D" w:rsidRDefault="008C5F7D" w:rsidP="008C5F7D">
      <w:pPr>
        <w:autoSpaceDE/>
        <w:autoSpaceDN/>
        <w:rPr>
          <w:szCs w:val="24"/>
        </w:rPr>
      </w:pPr>
      <w:r w:rsidRPr="007C4E34">
        <w:rPr>
          <w:szCs w:val="24"/>
        </w:rPr>
        <w:tab/>
      </w:r>
      <w:r w:rsidRPr="007C4E34">
        <w:rPr>
          <w:szCs w:val="24"/>
        </w:rPr>
        <w:tab/>
        <w:t xml:space="preserve">OSBA recommends several modifications: </w:t>
      </w:r>
    </w:p>
    <w:p w:rsidR="007C4E34" w:rsidRPr="007C4E34" w:rsidRDefault="007C4E34" w:rsidP="008C5F7D">
      <w:pPr>
        <w:autoSpaceDE/>
        <w:autoSpaceDN/>
        <w:rPr>
          <w:szCs w:val="24"/>
        </w:rPr>
      </w:pPr>
    </w:p>
    <w:p w:rsidR="008C5F7D" w:rsidRPr="00677B03" w:rsidRDefault="009A4F48" w:rsidP="00677B03">
      <w:pPr>
        <w:pStyle w:val="ListParagraph"/>
        <w:numPr>
          <w:ilvl w:val="0"/>
          <w:numId w:val="11"/>
        </w:numPr>
        <w:autoSpaceDE/>
        <w:autoSpaceDN/>
        <w:spacing w:line="240" w:lineRule="auto"/>
        <w:ind w:left="720" w:right="720" w:firstLine="720"/>
        <w:rPr>
          <w:szCs w:val="24"/>
        </w:rPr>
      </w:pPr>
      <w:r w:rsidRPr="00677B03">
        <w:rPr>
          <w:szCs w:val="24"/>
        </w:rPr>
        <w:t>N</w:t>
      </w:r>
      <w:r w:rsidR="008C5F7D" w:rsidRPr="00677B03">
        <w:rPr>
          <w:szCs w:val="24"/>
        </w:rPr>
        <w:t>ew customers should not be subject to RR for 12 months – they did not contribute to the prior period's variances and therefore, they should be neither charged nor credited for them.  The Company has agreed to this proposal.</w:t>
      </w:r>
    </w:p>
    <w:p w:rsidR="009A4F48" w:rsidRPr="007C4E34" w:rsidRDefault="009A4F48" w:rsidP="009A4F48">
      <w:pPr>
        <w:autoSpaceDE/>
        <w:autoSpaceDN/>
        <w:spacing w:line="240" w:lineRule="auto"/>
        <w:ind w:left="720" w:right="720"/>
        <w:rPr>
          <w:szCs w:val="24"/>
        </w:rPr>
      </w:pPr>
    </w:p>
    <w:p w:rsidR="008C5F7D" w:rsidRPr="007C4E34" w:rsidRDefault="00677B03" w:rsidP="009A4F48">
      <w:pPr>
        <w:autoSpaceDE/>
        <w:autoSpaceDN/>
        <w:spacing w:line="240" w:lineRule="auto"/>
        <w:ind w:left="720" w:right="720"/>
        <w:rPr>
          <w:b/>
          <w:szCs w:val="24"/>
        </w:rPr>
      </w:pPr>
      <w:r>
        <w:rPr>
          <w:szCs w:val="24"/>
        </w:rPr>
        <w:tab/>
        <w:t>(2)</w:t>
      </w:r>
      <w:r>
        <w:rPr>
          <w:szCs w:val="24"/>
        </w:rPr>
        <w:tab/>
        <w:t xml:space="preserve">A </w:t>
      </w:r>
      <w:r w:rsidR="008C5F7D" w:rsidRPr="007C4E34">
        <w:rPr>
          <w:szCs w:val="24"/>
        </w:rPr>
        <w:t xml:space="preserve">rolling annual reconciliation – the Company proposal is for a fixed annual reconciliation, meaning that the RR balance would be amortized over a fixed 12-month period and the charge/credit would be updated once every 12 months.  OSBA recommends updating the charge or credit quarterly with the balance recovered over 12-month rolling periods.  The goal is to retain rate stability while quickly incorporating variances into the rates.  </w:t>
      </w:r>
      <w:r w:rsidR="008C5F7D" w:rsidRPr="007C4E34">
        <w:rPr>
          <w:b/>
          <w:szCs w:val="24"/>
        </w:rPr>
        <w:t>The Company has agreed to this proposal.</w:t>
      </w:r>
    </w:p>
    <w:p w:rsidR="007E27F6" w:rsidRPr="007C4E34" w:rsidRDefault="007E27F6" w:rsidP="009A4F48">
      <w:pPr>
        <w:autoSpaceDE/>
        <w:autoSpaceDN/>
        <w:spacing w:line="240" w:lineRule="auto"/>
        <w:ind w:left="720" w:right="720"/>
        <w:rPr>
          <w:szCs w:val="24"/>
        </w:rPr>
      </w:pPr>
    </w:p>
    <w:p w:rsidR="008C5F7D" w:rsidRPr="007C4E34" w:rsidRDefault="00677B03" w:rsidP="009A4F48">
      <w:pPr>
        <w:autoSpaceDE/>
        <w:autoSpaceDN/>
        <w:spacing w:line="240" w:lineRule="auto"/>
        <w:ind w:left="720" w:right="720"/>
        <w:rPr>
          <w:szCs w:val="24"/>
        </w:rPr>
      </w:pPr>
      <w:r>
        <w:rPr>
          <w:szCs w:val="24"/>
        </w:rPr>
        <w:tab/>
        <w:t>(3)</w:t>
      </w:r>
      <w:r>
        <w:rPr>
          <w:szCs w:val="24"/>
        </w:rPr>
        <w:tab/>
      </w:r>
      <w:r w:rsidR="009A4F48" w:rsidRPr="007C4E34">
        <w:rPr>
          <w:szCs w:val="24"/>
        </w:rPr>
        <w:t>R</w:t>
      </w:r>
      <w:r w:rsidR="008C5F7D" w:rsidRPr="007C4E34">
        <w:rPr>
          <w:szCs w:val="24"/>
        </w:rPr>
        <w:t xml:space="preserve">educed interest rates – to avoid incenting the Company from undercollecting, as the present 6% interest rate is higher than can be earned on short-term investments.  The Company stated that it expected the 6% on undercollections and 8% on overcollections, consistent with the regulations.  52 Pa. Code § 54.187(f).  OSBA MB at 6-8.  </w:t>
      </w:r>
    </w:p>
    <w:p w:rsidR="009A4F48" w:rsidRPr="007C4E34" w:rsidRDefault="009A4F48" w:rsidP="00677B03">
      <w:pPr>
        <w:autoSpaceDE/>
        <w:autoSpaceDN/>
        <w:ind w:left="720" w:right="720"/>
        <w:rPr>
          <w:szCs w:val="24"/>
        </w:rPr>
      </w:pPr>
    </w:p>
    <w:p w:rsidR="008C5F7D" w:rsidRPr="007C4E34" w:rsidRDefault="00603ABD" w:rsidP="008C5F7D">
      <w:pPr>
        <w:autoSpaceDE/>
        <w:autoSpaceDN/>
        <w:spacing w:line="240" w:lineRule="auto"/>
        <w:ind w:left="1440" w:right="1440"/>
        <w:rPr>
          <w:szCs w:val="24"/>
        </w:rPr>
      </w:pPr>
      <w:r w:rsidRPr="007C4E34">
        <w:rPr>
          <w:szCs w:val="24"/>
        </w:rPr>
        <w:t>Under the current reconciliation</w:t>
      </w:r>
      <w:r w:rsidR="008C5F7D" w:rsidRPr="007C4E34">
        <w:rPr>
          <w:szCs w:val="24"/>
        </w:rPr>
        <w:t xml:space="preserve"> mechanism, ratepayers who shop will avoid paying reconciliation charges for a shortfall that occurred while they were still default service customers. "This leaves an unfair and large burden on the remaining default service customers, who were not able to (or chose not to) shop.  This example has, in fact, already occurred.  When face</w:t>
      </w:r>
      <w:r w:rsidRPr="007C4E34">
        <w:rPr>
          <w:szCs w:val="24"/>
        </w:rPr>
        <w:t>d with</w:t>
      </w:r>
      <w:r w:rsidR="008C5F7D" w:rsidRPr="007C4E34">
        <w:rPr>
          <w:szCs w:val="24"/>
        </w:rPr>
        <w:t xml:space="preserve"> large reconciliation charges in 2011, PPL's non-residential customers continued their exodus from default service, which contributed to an extraordinarily large reconciliation charge on the remaining Small C&amp;I default service customers in the</w:t>
      </w:r>
      <w:r w:rsidRPr="007C4E34">
        <w:rPr>
          <w:szCs w:val="24"/>
        </w:rPr>
        <w:t xml:space="preserve"> summer of 2011."  OSBA MB at 9-10</w:t>
      </w:r>
      <w:r w:rsidR="008C5F7D" w:rsidRPr="007C4E34">
        <w:rPr>
          <w:szCs w:val="24"/>
        </w:rPr>
        <w:t xml:space="preserve">.  </w:t>
      </w:r>
    </w:p>
    <w:p w:rsidR="008C5F7D" w:rsidRPr="007C4E34" w:rsidRDefault="008C5F7D" w:rsidP="008C5F7D">
      <w:pPr>
        <w:autoSpaceDE/>
        <w:autoSpaceDN/>
        <w:rPr>
          <w:szCs w:val="24"/>
        </w:rPr>
      </w:pPr>
    </w:p>
    <w:p w:rsidR="008C5F7D" w:rsidRPr="007C4E34" w:rsidRDefault="008C5F7D" w:rsidP="008C5F7D">
      <w:pPr>
        <w:autoSpaceDE/>
        <w:autoSpaceDN/>
        <w:rPr>
          <w:szCs w:val="24"/>
        </w:rPr>
      </w:pPr>
      <w:r w:rsidRPr="007C4E34">
        <w:rPr>
          <w:szCs w:val="24"/>
        </w:rPr>
        <w:tab/>
      </w:r>
      <w:r w:rsidRPr="007C4E34">
        <w:rPr>
          <w:szCs w:val="24"/>
        </w:rPr>
        <w:tab/>
        <w:t xml:space="preserve">The mechanism works in reverse as well.  Shopping customers can return to default service and receive a benefit from a refund even though they did not contribute to the overcollection.  Both scenarios "distort the PTC and the competitive marketplace."  The RR will remove reconciliation charges and/or refunds from the PTC, which will result in an accurate reflection of the current cost of providing default service without the interference of historic reconciliation charges or refunds.  OSBA MB at 10.  </w:t>
      </w:r>
    </w:p>
    <w:p w:rsidR="008C5F7D" w:rsidRPr="007C4E34" w:rsidRDefault="008C5F7D" w:rsidP="008C5F7D">
      <w:pPr>
        <w:autoSpaceDE/>
        <w:autoSpaceDN/>
        <w:rPr>
          <w:szCs w:val="24"/>
        </w:rPr>
      </w:pPr>
    </w:p>
    <w:p w:rsidR="008C5F7D" w:rsidRPr="007C4E34" w:rsidRDefault="008C5F7D" w:rsidP="008C5F7D">
      <w:pPr>
        <w:autoSpaceDE/>
        <w:autoSpaceDN/>
        <w:rPr>
          <w:szCs w:val="24"/>
        </w:rPr>
      </w:pPr>
      <w:r w:rsidRPr="007C4E34">
        <w:rPr>
          <w:szCs w:val="24"/>
        </w:rPr>
        <w:tab/>
      </w:r>
      <w:r w:rsidRPr="007C4E34">
        <w:rPr>
          <w:szCs w:val="24"/>
        </w:rPr>
        <w:tab/>
        <w:t>OSBA states that the RR will reduce rate instability, and there has been instability in the reconciliation of the TSC, GSC-1 and GSC-2 in the recent past.  It is the move to annual reconciliation which will stabilize the rates.  OSBA MB at 10-11.  Contrary to the testimony of the OCA, DR and RESA witnesses that the RR is unnecessary because future reconciliation amount should be minor, OSBA believes that the effect of the accounting mismatch is largest in the first month but affects each month following.  This is where the shopping "exodus" has an effect, because the amount not collected from the larger number of customers must now be assessed to the decreasing default customer base.  OSBA MB at 12-13.</w:t>
      </w:r>
    </w:p>
    <w:p w:rsidR="008C5F7D" w:rsidRPr="007C4E34" w:rsidRDefault="008C5F7D" w:rsidP="008C5F7D">
      <w:pPr>
        <w:autoSpaceDE/>
        <w:autoSpaceDN/>
        <w:rPr>
          <w:szCs w:val="24"/>
        </w:rPr>
      </w:pPr>
      <w:r w:rsidRPr="007C4E34">
        <w:rPr>
          <w:szCs w:val="24"/>
        </w:rPr>
        <w:t xml:space="preserve"> </w:t>
      </w:r>
    </w:p>
    <w:p w:rsidR="008C5F7D" w:rsidRPr="007C4E34" w:rsidRDefault="00BA3814" w:rsidP="008C5F7D">
      <w:pPr>
        <w:autoSpaceDE/>
        <w:autoSpaceDN/>
        <w:rPr>
          <w:szCs w:val="24"/>
        </w:rPr>
      </w:pPr>
      <w:r w:rsidRPr="007C4E34">
        <w:rPr>
          <w:b/>
          <w:szCs w:val="24"/>
        </w:rPr>
        <w:tab/>
      </w:r>
      <w:r w:rsidRPr="007C4E34">
        <w:rPr>
          <w:b/>
          <w:szCs w:val="24"/>
        </w:rPr>
        <w:tab/>
      </w:r>
      <w:r w:rsidR="008C5F7D" w:rsidRPr="007C4E34">
        <w:rPr>
          <w:szCs w:val="24"/>
        </w:rPr>
        <w:t xml:space="preserve">Caution is urged by the Bureau of I&amp;E to ensure that only the appropriate costs are included in the RR.  While the Public Utility Code provides for the recovery of all reasonable costs associated with default service, the proposed mechanisms provide for recovery without a showing of substantial evidence that these costs are reasonable.  </w:t>
      </w:r>
    </w:p>
    <w:p w:rsidR="008C5F7D" w:rsidRPr="007C4E34" w:rsidRDefault="008C5F7D" w:rsidP="008C5F7D">
      <w:pPr>
        <w:autoSpaceDE/>
        <w:autoSpaceDN/>
        <w:rPr>
          <w:szCs w:val="24"/>
        </w:rPr>
      </w:pPr>
    </w:p>
    <w:p w:rsidR="009A4F48" w:rsidRPr="00385ED0" w:rsidRDefault="00DF7E2A" w:rsidP="00DF7E2A">
      <w:pPr>
        <w:pStyle w:val="ListParagraph"/>
        <w:autoSpaceDE/>
        <w:autoSpaceDN/>
        <w:ind w:left="1440"/>
        <w:rPr>
          <w:b/>
          <w:szCs w:val="24"/>
        </w:rPr>
      </w:pPr>
      <w:r>
        <w:rPr>
          <w:b/>
          <w:szCs w:val="24"/>
        </w:rPr>
        <w:t>c.</w:t>
      </w:r>
      <w:r>
        <w:rPr>
          <w:b/>
          <w:szCs w:val="24"/>
        </w:rPr>
        <w:tab/>
      </w:r>
      <w:r w:rsidR="009A4F48" w:rsidRPr="00385ED0">
        <w:rPr>
          <w:b/>
          <w:szCs w:val="24"/>
        </w:rPr>
        <w:t>Recommendation</w:t>
      </w:r>
      <w:r>
        <w:rPr>
          <w:b/>
          <w:szCs w:val="24"/>
        </w:rPr>
        <w:fldChar w:fldCharType="begin"/>
      </w:r>
      <w:r>
        <w:instrText xml:space="preserve"> TC "</w:instrText>
      </w:r>
      <w:bookmarkStart w:id="9" w:name="_Toc320265367"/>
      <w:r w:rsidRPr="00892090">
        <w:rPr>
          <w:b/>
          <w:szCs w:val="24"/>
        </w:rPr>
        <w:instrText>c.</w:instrText>
      </w:r>
      <w:r w:rsidRPr="00892090">
        <w:rPr>
          <w:b/>
          <w:szCs w:val="24"/>
        </w:rPr>
        <w:tab/>
        <w:instrText>Recommendation</w:instrText>
      </w:r>
      <w:bookmarkEnd w:id="9"/>
      <w:r>
        <w:instrText>" \f C \l "</w:instrText>
      </w:r>
      <w:r w:rsidR="004F1A21">
        <w:instrText>4</w:instrText>
      </w:r>
      <w:r>
        <w:instrText xml:space="preserve">" </w:instrText>
      </w:r>
      <w:r>
        <w:rPr>
          <w:b/>
          <w:szCs w:val="24"/>
        </w:rPr>
        <w:fldChar w:fldCharType="end"/>
      </w:r>
    </w:p>
    <w:p w:rsidR="009A4F48" w:rsidRPr="007C4E34" w:rsidRDefault="009A4F48" w:rsidP="008C5F7D">
      <w:pPr>
        <w:autoSpaceDE/>
        <w:autoSpaceDN/>
        <w:rPr>
          <w:b/>
          <w:szCs w:val="24"/>
        </w:rPr>
      </w:pPr>
    </w:p>
    <w:p w:rsidR="0083107C" w:rsidRPr="007C4E34" w:rsidRDefault="009A4F48" w:rsidP="0083107C">
      <w:pPr>
        <w:rPr>
          <w:szCs w:val="24"/>
        </w:rPr>
      </w:pPr>
      <w:r w:rsidRPr="007C4E34">
        <w:rPr>
          <w:szCs w:val="24"/>
        </w:rPr>
        <w:tab/>
      </w:r>
      <w:r w:rsidRPr="007C4E34">
        <w:rPr>
          <w:szCs w:val="24"/>
        </w:rPr>
        <w:tab/>
      </w:r>
      <w:r w:rsidR="0083107C" w:rsidRPr="007C4E34">
        <w:rPr>
          <w:szCs w:val="24"/>
        </w:rPr>
        <w:t xml:space="preserve">After two years of providing default service, the Company has learned a number of lessons and seeks to prevent history from repeating itself while implementing riders to recoup its incurred costs.  The parties do not agree on whether the methods chosen are justified or necessary, or even legal. </w:t>
      </w:r>
    </w:p>
    <w:p w:rsidR="0083107C" w:rsidRPr="007C4E34" w:rsidRDefault="0083107C" w:rsidP="0083107C">
      <w:pPr>
        <w:rPr>
          <w:szCs w:val="24"/>
        </w:rPr>
      </w:pPr>
    </w:p>
    <w:p w:rsidR="0083107C" w:rsidRPr="007C4E34" w:rsidRDefault="0083107C" w:rsidP="0083107C">
      <w:pPr>
        <w:rPr>
          <w:szCs w:val="24"/>
        </w:rPr>
      </w:pPr>
      <w:r w:rsidRPr="007C4E34">
        <w:rPr>
          <w:szCs w:val="24"/>
        </w:rPr>
        <w:tab/>
      </w:r>
      <w:r w:rsidRPr="007C4E34">
        <w:rPr>
          <w:szCs w:val="24"/>
        </w:rPr>
        <w:tab/>
        <w:t xml:space="preserve">A review of the Company's experience with the transition from fully integrated electric company to distribution-only default service provider shows a need for the RR, which is designed to allocate the cost of electricity to its user.  The Company had tried to anticipate the complexities and prepare for them, but difficulties arose anyway.  </w:t>
      </w:r>
    </w:p>
    <w:p w:rsidR="0083107C" w:rsidRPr="007C4E34" w:rsidRDefault="0083107C" w:rsidP="0083107C">
      <w:pPr>
        <w:rPr>
          <w:szCs w:val="24"/>
        </w:rPr>
      </w:pPr>
    </w:p>
    <w:p w:rsidR="0083107C" w:rsidRPr="007C4E34" w:rsidRDefault="0083107C" w:rsidP="0083107C">
      <w:pPr>
        <w:rPr>
          <w:szCs w:val="24"/>
        </w:rPr>
      </w:pPr>
      <w:r w:rsidRPr="007C4E34">
        <w:rPr>
          <w:szCs w:val="24"/>
        </w:rPr>
        <w:tab/>
      </w:r>
      <w:r w:rsidRPr="007C4E34">
        <w:rPr>
          <w:szCs w:val="24"/>
        </w:rPr>
        <w:tab/>
        <w:t xml:space="preserve">First, the "pro-ration" of rates in January 2010, as the billing cycle crossed the date where the new default service rules took effect, caused the Company to count a full month of expenses against only two weeks of revenues.  This created a deficit which was magnified when the reconciliation was calculated quarterly instead of the more common annually, and the high deficit, coupled with the customers' exodus to competitive generation suppliers, left both an inflated PTC and a dwindling number of customers to pay the reconciliation shortfall.  </w:t>
      </w:r>
    </w:p>
    <w:p w:rsidR="0083107C" w:rsidRPr="007C4E34" w:rsidRDefault="0083107C" w:rsidP="0083107C">
      <w:pPr>
        <w:rPr>
          <w:szCs w:val="24"/>
        </w:rPr>
      </w:pPr>
    </w:p>
    <w:p w:rsidR="0083107C" w:rsidRPr="007C4E34" w:rsidRDefault="0083107C" w:rsidP="0083107C">
      <w:pPr>
        <w:rPr>
          <w:szCs w:val="24"/>
        </w:rPr>
      </w:pPr>
      <w:r w:rsidRPr="007C4E34">
        <w:rPr>
          <w:szCs w:val="24"/>
        </w:rPr>
        <w:tab/>
      </w:r>
      <w:r w:rsidRPr="007C4E34">
        <w:rPr>
          <w:szCs w:val="24"/>
        </w:rPr>
        <w:tab/>
        <w:t xml:space="preserve">A chart supplied by OSBA highlights how the quarterly reconciliation has a long-term negative effect on both the PTC and rates for the default customers.  Regardless of whether remaining with default service is a good idea, those who do so for whatever reason are entitled to rates which are fair and which represent the cost of the commodity.  The Company's pro-ration technique, which had been used, apparently without incident, for at least the thirty years comprising their witness' experience, proved to be problematic where the cost involved was most of the customers' bill.  </w:t>
      </w:r>
    </w:p>
    <w:p w:rsidR="0083107C" w:rsidRPr="007C4E34" w:rsidRDefault="0083107C" w:rsidP="0083107C">
      <w:pPr>
        <w:rPr>
          <w:szCs w:val="24"/>
        </w:rPr>
      </w:pPr>
    </w:p>
    <w:p w:rsidR="0083107C" w:rsidRPr="007C4E34" w:rsidRDefault="0083107C" w:rsidP="0083107C">
      <w:pPr>
        <w:rPr>
          <w:szCs w:val="24"/>
        </w:rPr>
      </w:pPr>
      <w:r w:rsidRPr="007C4E34">
        <w:rPr>
          <w:szCs w:val="24"/>
        </w:rPr>
        <w:tab/>
      </w:r>
      <w:r w:rsidRPr="007C4E34">
        <w:rPr>
          <w:szCs w:val="24"/>
        </w:rPr>
        <w:tab/>
        <w:t>Had there been a migration rider in place from the beginning, the customers who used the commodity would be responsible for its full cost.  The reconciliation amount would be assessed to all of the customers, which would reduce the amount paid per customer.  More importantly, each customer would be paying for his or her own costs, not the costs caused by service to others who are no longer default customers.  Conversely, any overcollection would also be refunded to those from whom the money was overcollected, not only to those who happen to be on default service at the time.</w:t>
      </w:r>
    </w:p>
    <w:p w:rsidR="0083107C" w:rsidRPr="007C4E34" w:rsidRDefault="0083107C" w:rsidP="0083107C">
      <w:pPr>
        <w:rPr>
          <w:szCs w:val="24"/>
        </w:rPr>
      </w:pPr>
    </w:p>
    <w:p w:rsidR="0083107C" w:rsidRPr="007C4E34" w:rsidRDefault="0083107C" w:rsidP="0083107C">
      <w:pPr>
        <w:rPr>
          <w:szCs w:val="24"/>
        </w:rPr>
      </w:pPr>
      <w:r w:rsidRPr="007C4E34">
        <w:rPr>
          <w:szCs w:val="24"/>
        </w:rPr>
        <w:tab/>
      </w:r>
      <w:r w:rsidRPr="007C4E34">
        <w:rPr>
          <w:szCs w:val="24"/>
        </w:rPr>
        <w:tab/>
        <w:t xml:space="preserve">I note that PPLICA has no objection to refunds, only to assessing shopping customers for undercollections occurring during those customers' time on default service.  As these are two sides to the same coin, they cannot be separated.  </w:t>
      </w:r>
    </w:p>
    <w:p w:rsidR="0083107C" w:rsidRPr="007C4E34" w:rsidRDefault="0083107C" w:rsidP="0083107C">
      <w:pPr>
        <w:rPr>
          <w:szCs w:val="24"/>
        </w:rPr>
      </w:pPr>
    </w:p>
    <w:p w:rsidR="0083107C" w:rsidRPr="007C4E34" w:rsidRDefault="0083107C" w:rsidP="0083107C">
      <w:pPr>
        <w:rPr>
          <w:szCs w:val="24"/>
        </w:rPr>
      </w:pPr>
      <w:r w:rsidRPr="007C4E34">
        <w:rPr>
          <w:szCs w:val="24"/>
        </w:rPr>
        <w:tab/>
      </w:r>
      <w:r w:rsidRPr="007C4E34">
        <w:rPr>
          <w:szCs w:val="24"/>
        </w:rPr>
        <w:tab/>
        <w:t xml:space="preserve">I note further that the most zealous part of DR's argument addresses the problem with assessing reconciliation amounts to new default customers.  This would have been a fatal flaw in the proposal, but it was removed as an issue when the Company adopted the OSBA recommendation that new customers would not be charged or refunded until they had been on default service for twelve months.  Then, if the mechanism is working the way it is intended, the customer would pay or recoup the reconciliation amount for that time period.  </w:t>
      </w:r>
    </w:p>
    <w:p w:rsidR="0083107C" w:rsidRPr="007C4E34" w:rsidRDefault="0083107C" w:rsidP="0083107C">
      <w:pPr>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OCA and the EGSs also promote the idea that this was a one-time problem, not likely to recur, and that the need for it has passed.  This is pure speculation.  The Company points out that recent initiatives by the PUC and the Company are designed to encourage shopping, and if successful, </w:t>
      </w:r>
      <w:r w:rsidR="00C763D7" w:rsidRPr="007C4E34">
        <w:rPr>
          <w:szCs w:val="24"/>
        </w:rPr>
        <w:t>shopping</w:t>
      </w:r>
      <w:r w:rsidRPr="007C4E34">
        <w:rPr>
          <w:szCs w:val="24"/>
        </w:rPr>
        <w:t xml:space="preserve"> may </w:t>
      </w:r>
      <w:r w:rsidR="00C763D7" w:rsidRPr="007C4E34">
        <w:rPr>
          <w:szCs w:val="24"/>
        </w:rPr>
        <w:t>increase</w:t>
      </w:r>
      <w:r w:rsidRPr="007C4E34">
        <w:rPr>
          <w:szCs w:val="24"/>
        </w:rPr>
        <w:t xml:space="preserve"> significant</w:t>
      </w:r>
      <w:r w:rsidR="00C763D7" w:rsidRPr="007C4E34">
        <w:rPr>
          <w:szCs w:val="24"/>
        </w:rPr>
        <w:t>ly</w:t>
      </w:r>
      <w:r w:rsidRPr="007C4E34">
        <w:rPr>
          <w:szCs w:val="24"/>
        </w:rPr>
        <w:t>.  PPL Electric RB at 26.  In addition, there are events beyond the control of PPL Electric that can quickly have a significant adverse effect on over and under collection balances associa</w:t>
      </w:r>
      <w:r w:rsidR="00F128B8">
        <w:rPr>
          <w:szCs w:val="24"/>
        </w:rPr>
        <w:t>ted the Commission-approved GSC</w:t>
      </w:r>
      <w:r w:rsidR="00F128B8">
        <w:rPr>
          <w:szCs w:val="24"/>
        </w:rPr>
        <w:noBreakHyphen/>
      </w:r>
      <w:r w:rsidRPr="007C4E34">
        <w:rPr>
          <w:szCs w:val="24"/>
        </w:rPr>
        <w:t>1, GSC-2 and TSC rate riders.  PPL Electric RB at 27-28.</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Once the RR is in place, the correct </w:t>
      </w:r>
      <w:r w:rsidR="009A4F48" w:rsidRPr="007C4E34">
        <w:rPr>
          <w:szCs w:val="24"/>
        </w:rPr>
        <w:t>PTC</w:t>
      </w:r>
      <w:r w:rsidRPr="007C4E34">
        <w:rPr>
          <w:szCs w:val="24"/>
        </w:rPr>
        <w:t xml:space="preserve"> for a new default service customer will not include the reconciliation amount.  This makes sense, because a new customer will not pay the reconciliation amount.  Existing customers will have the reconciliation amount added to the PTC, and customers new to shopping will have the same fee.  After the reconciliation, the amount to be refunded or added to the bill will appear as a separate line item on the bill.</w:t>
      </w:r>
    </w:p>
    <w:p w:rsidR="0083107C" w:rsidRPr="007C4E34" w:rsidRDefault="0083107C" w:rsidP="0083107C">
      <w:pPr>
        <w:autoSpaceDE/>
        <w:autoSpaceDN/>
        <w:rPr>
          <w:szCs w:val="24"/>
        </w:rPr>
      </w:pPr>
    </w:p>
    <w:p w:rsidR="0083107C" w:rsidRPr="007C4E34" w:rsidRDefault="0083107C" w:rsidP="00EC6D3E">
      <w:pPr>
        <w:autoSpaceDE/>
        <w:autoSpaceDN/>
        <w:rPr>
          <w:szCs w:val="24"/>
        </w:rPr>
      </w:pPr>
      <w:r w:rsidRPr="007C4E34">
        <w:rPr>
          <w:szCs w:val="24"/>
        </w:rPr>
        <w:tab/>
      </w:r>
      <w:r w:rsidRPr="007C4E34">
        <w:rPr>
          <w:szCs w:val="24"/>
        </w:rPr>
        <w:tab/>
        <w:t>It is difficult to see how this mechanism can be harmful to competition when continuing default service customers and those new to competition will pay or receive the same reconciliation amount.  Shopping customers will pay or receive it for a set period of time, after which time, the line item will disappear.  This is no more confusing than figuring out which EGS will provide the best prices and contract terms, and at the time of service of Company testimony, approximately 86% of the Large C&amp;I customers, representing 97% of the load in that class, had moved from default service.  In addition, approximately 486,787 residential customers, or 40% of the customers, representing 45% of that class's load, had moved to another supplier.  Fifty-one percent of the total number of Small C&amp;I customers representing 93% of that class's load, had moved to another supplier.  PPL St.t. 1, at 12-13; PPL MB at 12.  Clearly, Pennsylvania consumers have become quite sophisticated.  The RR should make the PTC simpler and easier to understand because it will remove from the PTC all balances arising from reconciliation and will more accurately reflect the actual cost to acquire default service.  The Company agrees to provide detailed customer education as well.  PPL Electric RB at 28.</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A significant factor in creating the problem in the companion OSBA complaint case was the fact that the reconciliation was done quarterly.  The original Company proposal was a reconciliation on a fixed annual basis, where the RR balance would be amortized over a fixed 12-month period and the RR would be updated only once every 12 months.  OSBA recommends that the RR balance be recovered over a 12-month rolling period, with the RR amount updated quarterly.  The Company agreed to this, and this is the proposal presently before the Commission.  </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OSBA states that this method has the rate stability advantage </w:t>
      </w:r>
      <w:r w:rsidR="00F128B8">
        <w:rPr>
          <w:szCs w:val="24"/>
        </w:rPr>
        <w:t>of retaining a 12</w:t>
      </w:r>
      <w:r w:rsidR="00F128B8">
        <w:rPr>
          <w:szCs w:val="24"/>
        </w:rPr>
        <w:noBreakHyphen/>
      </w:r>
      <w:r w:rsidRPr="007C4E34">
        <w:rPr>
          <w:szCs w:val="24"/>
        </w:rPr>
        <w:t xml:space="preserve">month amortization period while more quickly incorporating variances into rates.  The EGS parties protest that the law supports quarterly reconciliations because anything else would violate the Competition Act because the recovery of past and future costs will not occur on a full and current basis as required by Section 2807(e)(3.9), and will stymie competitive market development.  See RESA MB at 9-10.  </w:t>
      </w:r>
    </w:p>
    <w:p w:rsidR="0083107C" w:rsidRPr="007C4E34" w:rsidRDefault="0083107C" w:rsidP="0083107C">
      <w:pPr>
        <w:autoSpaceDE/>
        <w:autoSpaceDN/>
        <w:rPr>
          <w:szCs w:val="24"/>
        </w:rPr>
      </w:pPr>
    </w:p>
    <w:p w:rsidR="0083107C" w:rsidRDefault="0083107C" w:rsidP="0083107C">
      <w:pPr>
        <w:autoSpaceDE/>
        <w:autoSpaceDN/>
        <w:rPr>
          <w:szCs w:val="24"/>
        </w:rPr>
      </w:pPr>
      <w:r w:rsidRPr="007C4E34">
        <w:rPr>
          <w:szCs w:val="24"/>
        </w:rPr>
        <w:tab/>
      </w:r>
      <w:r w:rsidRPr="007C4E34">
        <w:rPr>
          <w:szCs w:val="24"/>
        </w:rPr>
        <w:tab/>
        <w:t xml:space="preserve">The EGS parties misinterpret the statute and regulations.  </w:t>
      </w:r>
    </w:p>
    <w:p w:rsidR="00677B03" w:rsidRPr="007C4E34" w:rsidRDefault="00677B03" w:rsidP="0083107C">
      <w:pPr>
        <w:autoSpaceDE/>
        <w:autoSpaceDN/>
        <w:rPr>
          <w:szCs w:val="24"/>
        </w:rPr>
      </w:pPr>
    </w:p>
    <w:p w:rsidR="0083107C" w:rsidRDefault="0083107C" w:rsidP="0083107C">
      <w:pPr>
        <w:autoSpaceDE/>
        <w:autoSpaceDN/>
        <w:rPr>
          <w:szCs w:val="24"/>
        </w:rPr>
      </w:pPr>
      <w:r w:rsidRPr="007C4E34">
        <w:rPr>
          <w:szCs w:val="24"/>
        </w:rPr>
        <w:tab/>
      </w:r>
      <w:r w:rsidRPr="007C4E34">
        <w:rPr>
          <w:szCs w:val="24"/>
        </w:rPr>
        <w:tab/>
        <w:t>First, Section 2807(e)(3.9) reads:</w:t>
      </w:r>
    </w:p>
    <w:p w:rsidR="00677B03" w:rsidRPr="007C4E34" w:rsidRDefault="00677B03" w:rsidP="00677B03">
      <w:pPr>
        <w:autoSpaceDE/>
        <w:autoSpaceDN/>
        <w:spacing w:line="240" w:lineRule="auto"/>
        <w:rPr>
          <w:szCs w:val="24"/>
        </w:rPr>
      </w:pPr>
    </w:p>
    <w:p w:rsidR="0083107C" w:rsidRPr="007C4E34" w:rsidRDefault="0083107C" w:rsidP="0083107C">
      <w:pPr>
        <w:autoSpaceDE/>
        <w:autoSpaceDN/>
        <w:spacing w:line="240" w:lineRule="auto"/>
        <w:ind w:left="1440" w:right="1440"/>
        <w:rPr>
          <w:szCs w:val="24"/>
        </w:rPr>
      </w:pPr>
      <w:r w:rsidRPr="007C4E34">
        <w:rPr>
          <w:szCs w:val="24"/>
        </w:rPr>
        <w:t>(3.9)</w:t>
      </w:r>
      <w:r w:rsidRPr="007C4E34">
        <w:rPr>
          <w:szCs w:val="24"/>
        </w:rPr>
        <w:tab/>
        <w:t>The default service provider shall have the right to recover on a full and current basis, pursuant to a reconcilable automatic adjustment clause under section 1307 (relating to sliding scale of rates; adjustments), all reasonable costs incurred under this section and a commission-approved competitive procurement plan.</w:t>
      </w:r>
    </w:p>
    <w:p w:rsidR="0083107C" w:rsidRPr="007C4E34" w:rsidRDefault="0083107C" w:rsidP="0083107C">
      <w:pPr>
        <w:autoSpaceDE/>
        <w:autoSpaceDN/>
        <w:spacing w:line="240" w:lineRule="auto"/>
        <w:ind w:left="1440" w:right="1440"/>
        <w:rPr>
          <w:szCs w:val="24"/>
        </w:rPr>
      </w:pPr>
      <w:r w:rsidRPr="007C4E34">
        <w:rPr>
          <w:szCs w:val="24"/>
        </w:rPr>
        <w:t>66 Pa. C.S. § 2807(e)(3.9)</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This section of the statute establishes the Company's right to recover all reasonable costs incurred in providing default service, as long as they are incurred pursuant to a commission-approved competitive procurement plan and recovery is on a full and current basis.  It is well-established that the Company is operating under a Commission-approved default service plan for competitive procurement. The next section provides that a default service provider shall treat customers returning from an EGS exactly the same as it would treat a new customer.  66 Pa. C.S. § 2807(4).</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Regarding the frequency of rate changes, RESA points to the following section:</w:t>
      </w:r>
    </w:p>
    <w:p w:rsidR="0083107C" w:rsidRPr="007C4E34" w:rsidRDefault="0083107C" w:rsidP="0083107C">
      <w:pPr>
        <w:autoSpaceDE/>
        <w:autoSpaceDN/>
        <w:rPr>
          <w:szCs w:val="24"/>
        </w:rPr>
      </w:pPr>
    </w:p>
    <w:p w:rsidR="0083107C" w:rsidRPr="007C4E34" w:rsidRDefault="0083107C" w:rsidP="0083107C">
      <w:pPr>
        <w:autoSpaceDE/>
        <w:autoSpaceDN/>
        <w:spacing w:line="240" w:lineRule="auto"/>
        <w:ind w:left="1440" w:right="1440"/>
        <w:rPr>
          <w:szCs w:val="24"/>
        </w:rPr>
      </w:pPr>
      <w:r w:rsidRPr="007C4E34">
        <w:rPr>
          <w:szCs w:val="24"/>
        </w:rPr>
        <w:t>(7)</w:t>
      </w:r>
      <w:r w:rsidRPr="007C4E34">
        <w:rPr>
          <w:szCs w:val="24"/>
        </w:rPr>
        <w:tab/>
        <w:t>The default service provider shall offer residential and small business customers a generation supply service rate that shall change no more frequently than on a quarterly basis.  All default service rates shall be reviewed by the Commission to ensure that the costs of providing service to each customer class are not subsidized by any other class.</w:t>
      </w:r>
    </w:p>
    <w:p w:rsidR="0083107C" w:rsidRPr="007C4E34" w:rsidRDefault="0083107C" w:rsidP="0083107C">
      <w:pPr>
        <w:autoSpaceDE/>
        <w:autoSpaceDN/>
        <w:spacing w:line="240" w:lineRule="auto"/>
        <w:ind w:left="1440" w:right="1440"/>
        <w:rPr>
          <w:szCs w:val="24"/>
        </w:rPr>
      </w:pPr>
      <w:r w:rsidRPr="007C4E34">
        <w:rPr>
          <w:szCs w:val="24"/>
        </w:rPr>
        <w:t>66 Pa. C.S. §2807(3)(8).</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Although RESA claims that this requires quarterly reconciliation, that interpretation is not supported by the plain language of the statute.  "No more frequently than on a quarterly basis" is not the same as "must be evaluated on a quarterly basis."  </w:t>
      </w:r>
    </w:p>
    <w:p w:rsidR="00677B03" w:rsidRDefault="00677B03"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The Commission has adopted strict regulations regarding the default service provider's treatment of returning customers:</w:t>
      </w:r>
    </w:p>
    <w:p w:rsidR="0083107C" w:rsidRPr="007C4E34" w:rsidRDefault="0083107C" w:rsidP="0083107C">
      <w:pPr>
        <w:autoSpaceDE/>
        <w:autoSpaceDN/>
        <w:rPr>
          <w:szCs w:val="24"/>
        </w:rPr>
      </w:pPr>
    </w:p>
    <w:p w:rsidR="0083107C" w:rsidRDefault="0083107C" w:rsidP="0083107C">
      <w:pPr>
        <w:autoSpaceDE/>
        <w:autoSpaceDN/>
        <w:spacing w:line="240" w:lineRule="auto"/>
        <w:ind w:left="1440" w:right="1440"/>
        <w:rPr>
          <w:szCs w:val="24"/>
        </w:rPr>
      </w:pPr>
      <w:r w:rsidRPr="007C4E34">
        <w:rPr>
          <w:b/>
          <w:szCs w:val="24"/>
        </w:rPr>
        <w:t>§ 54.189.  Default service customers</w:t>
      </w:r>
      <w:r w:rsidRPr="007C4E34">
        <w:rPr>
          <w:szCs w:val="24"/>
        </w:rPr>
        <w:t>.</w:t>
      </w:r>
    </w:p>
    <w:p w:rsidR="00677B03" w:rsidRPr="007C4E34" w:rsidRDefault="00677B03" w:rsidP="0083107C">
      <w:pPr>
        <w:autoSpaceDE/>
        <w:autoSpaceDN/>
        <w:spacing w:line="240" w:lineRule="auto"/>
        <w:ind w:left="1440" w:right="1440"/>
        <w:rPr>
          <w:szCs w:val="24"/>
        </w:rPr>
      </w:pPr>
    </w:p>
    <w:p w:rsidR="0083107C" w:rsidRDefault="0083107C" w:rsidP="0083107C">
      <w:pPr>
        <w:autoSpaceDE/>
        <w:autoSpaceDN/>
        <w:spacing w:line="240" w:lineRule="auto"/>
        <w:ind w:left="1440" w:right="1440"/>
        <w:rPr>
          <w:szCs w:val="24"/>
        </w:rPr>
      </w:pPr>
      <w:r w:rsidRPr="007C4E34">
        <w:rPr>
          <w:szCs w:val="24"/>
        </w:rPr>
        <w:tab/>
        <w:t>(a)</w:t>
      </w:r>
      <w:r w:rsidRPr="007C4E34">
        <w:rPr>
          <w:szCs w:val="24"/>
        </w:rPr>
        <w:tab/>
        <w:t>At the conclusion of an EDC's Commission approved generation rate cap, retail customers who are not receiving generation service from an EGS shall be assigned to the Commission-approved DSP in that service territory.</w:t>
      </w:r>
    </w:p>
    <w:p w:rsidR="00677B03" w:rsidRPr="007C4E34" w:rsidRDefault="00677B03" w:rsidP="0083107C">
      <w:pPr>
        <w:autoSpaceDE/>
        <w:autoSpaceDN/>
        <w:spacing w:line="240" w:lineRule="auto"/>
        <w:ind w:left="1440" w:right="1440"/>
        <w:rPr>
          <w:szCs w:val="24"/>
        </w:rPr>
      </w:pPr>
    </w:p>
    <w:p w:rsidR="0083107C" w:rsidRDefault="0083107C" w:rsidP="0083107C">
      <w:pPr>
        <w:autoSpaceDE/>
        <w:autoSpaceDN/>
        <w:spacing w:line="240" w:lineRule="auto"/>
        <w:ind w:left="1440" w:right="1440"/>
        <w:rPr>
          <w:szCs w:val="24"/>
        </w:rPr>
      </w:pPr>
      <w:r w:rsidRPr="007C4E34">
        <w:rPr>
          <w:szCs w:val="24"/>
        </w:rPr>
        <w:tab/>
        <w:t>(b)</w:t>
      </w:r>
      <w:r w:rsidRPr="007C4E34">
        <w:rPr>
          <w:szCs w:val="24"/>
        </w:rPr>
        <w:tab/>
        <w:t>A DSP shall accept applications for default service from new retail customers who the customers comply with Commission regulations pertaining to applications for service, including those in Chapter 56 (relating to standards and billing practices for residential utility service) and accept all retail customers assigned to its default service who switch from an EGS.</w:t>
      </w:r>
    </w:p>
    <w:p w:rsidR="00677B03" w:rsidRPr="007C4E34" w:rsidRDefault="00677B03" w:rsidP="0083107C">
      <w:pPr>
        <w:autoSpaceDE/>
        <w:autoSpaceDN/>
        <w:spacing w:line="240" w:lineRule="auto"/>
        <w:ind w:left="1440" w:right="1440"/>
        <w:rPr>
          <w:szCs w:val="24"/>
        </w:rPr>
      </w:pPr>
    </w:p>
    <w:p w:rsidR="0083107C" w:rsidRDefault="0083107C" w:rsidP="0083107C">
      <w:pPr>
        <w:autoSpaceDE/>
        <w:autoSpaceDN/>
        <w:spacing w:line="240" w:lineRule="auto"/>
        <w:ind w:left="1440" w:right="1440"/>
        <w:rPr>
          <w:szCs w:val="24"/>
        </w:rPr>
      </w:pPr>
      <w:r w:rsidRPr="007C4E34">
        <w:rPr>
          <w:szCs w:val="24"/>
        </w:rPr>
        <w:tab/>
        <w:t>(c)</w:t>
      </w:r>
      <w:r w:rsidRPr="007C4E34">
        <w:rPr>
          <w:szCs w:val="24"/>
        </w:rPr>
        <w:tab/>
        <w:t>A DSP shall treat a customer who leaves an EGS as it would a new applicant for default service.</w:t>
      </w:r>
    </w:p>
    <w:p w:rsidR="00677B03" w:rsidRPr="007C4E34" w:rsidRDefault="00677B03" w:rsidP="0083107C">
      <w:pPr>
        <w:autoSpaceDE/>
        <w:autoSpaceDN/>
        <w:spacing w:line="240" w:lineRule="auto"/>
        <w:ind w:left="1440" w:right="1440"/>
        <w:rPr>
          <w:szCs w:val="24"/>
        </w:rPr>
      </w:pPr>
    </w:p>
    <w:p w:rsidR="0083107C" w:rsidRDefault="0083107C" w:rsidP="0083107C">
      <w:pPr>
        <w:autoSpaceDE/>
        <w:autoSpaceDN/>
        <w:spacing w:line="240" w:lineRule="auto"/>
        <w:ind w:left="1440" w:right="1440"/>
        <w:rPr>
          <w:szCs w:val="24"/>
        </w:rPr>
      </w:pPr>
      <w:r w:rsidRPr="007C4E34">
        <w:rPr>
          <w:szCs w:val="24"/>
        </w:rPr>
        <w:tab/>
        <w:t>(d)</w:t>
      </w:r>
      <w:r w:rsidRPr="007C4E34">
        <w:rPr>
          <w:szCs w:val="24"/>
        </w:rPr>
        <w:tab/>
        <w:t>A default service customer may choose to receive its generation service from an EGS at any time, if the customer complies with all Commission regulations pertaining to changing generation service providers in Chapter 47 (relating to electric service).</w:t>
      </w:r>
    </w:p>
    <w:p w:rsidR="00677B03" w:rsidRPr="007C4E34" w:rsidRDefault="00677B03" w:rsidP="0083107C">
      <w:pPr>
        <w:autoSpaceDE/>
        <w:autoSpaceDN/>
        <w:spacing w:line="240" w:lineRule="auto"/>
        <w:ind w:left="1440" w:right="1440"/>
        <w:rPr>
          <w:szCs w:val="24"/>
        </w:rPr>
      </w:pPr>
    </w:p>
    <w:p w:rsidR="0083107C" w:rsidRPr="007C4E34" w:rsidRDefault="0083107C" w:rsidP="0083107C">
      <w:pPr>
        <w:autoSpaceDE/>
        <w:autoSpaceDN/>
        <w:spacing w:line="240" w:lineRule="auto"/>
        <w:ind w:left="1440" w:right="1440"/>
        <w:rPr>
          <w:szCs w:val="24"/>
        </w:rPr>
      </w:pPr>
      <w:r w:rsidRPr="007C4E34">
        <w:rPr>
          <w:szCs w:val="24"/>
        </w:rPr>
        <w:tab/>
        <w:t>(e)</w:t>
      </w:r>
      <w:r w:rsidRPr="007C4E34">
        <w:rPr>
          <w:szCs w:val="24"/>
        </w:rPr>
        <w:tab/>
        <w:t>A DSP may not charge a fee to a retail customer for changing its generation service provider in a manner consistent with Commission regulations.</w:t>
      </w:r>
    </w:p>
    <w:p w:rsidR="0083107C" w:rsidRPr="007C4E34" w:rsidRDefault="0083107C" w:rsidP="0083107C">
      <w:pPr>
        <w:autoSpaceDE/>
        <w:autoSpaceDN/>
        <w:spacing w:line="240" w:lineRule="auto"/>
        <w:ind w:left="1440" w:right="1440"/>
        <w:rPr>
          <w:szCs w:val="24"/>
        </w:rPr>
      </w:pPr>
      <w:r w:rsidRPr="007C4E34">
        <w:rPr>
          <w:szCs w:val="24"/>
        </w:rPr>
        <w:t>52 Pa. Code § 54.189.</w:t>
      </w:r>
    </w:p>
    <w:p w:rsidR="0083107C" w:rsidRPr="007C4E34" w:rsidRDefault="0083107C" w:rsidP="00677B03">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RESA states that "PPL's proposal will send inaccurate price signals to customers and may distort customer shopping decisions because the actual default service "cost" will not be passed on to consumers in a timely way under PPL's proposal as it will be amortized over a year.  Customers will not be seeing the true cost of energy on a contemporaneous basis thus distorting their perception of the market price of energy.  Rather, the bottom-line amount paid by customers will be based, </w:t>
      </w:r>
      <w:r w:rsidRPr="007C4E34">
        <w:rPr>
          <w:szCs w:val="24"/>
          <w:u w:val="single"/>
        </w:rPr>
        <w:t>at least in part,</w:t>
      </w:r>
      <w:r w:rsidRPr="007C4E34">
        <w:rPr>
          <w:szCs w:val="24"/>
        </w:rPr>
        <w:t xml:space="preserve"> on a year's worth of reconciliation data rather than the current price of energy."  RESA MB at 11-12.  This would violate the Commission's requirement set forth in its regulation:</w:t>
      </w:r>
    </w:p>
    <w:p w:rsidR="0083107C" w:rsidRPr="007C4E34" w:rsidRDefault="0083107C" w:rsidP="0083107C">
      <w:pPr>
        <w:autoSpaceDE/>
        <w:autoSpaceDN/>
        <w:rPr>
          <w:szCs w:val="24"/>
        </w:rPr>
      </w:pPr>
    </w:p>
    <w:p w:rsidR="0083107C" w:rsidRDefault="0083107C" w:rsidP="0083107C">
      <w:pPr>
        <w:autoSpaceDE/>
        <w:autoSpaceDN/>
        <w:spacing w:line="240" w:lineRule="auto"/>
        <w:ind w:left="1440" w:right="1440"/>
        <w:rPr>
          <w:b/>
          <w:szCs w:val="24"/>
        </w:rPr>
      </w:pPr>
      <w:r w:rsidRPr="007C4E34">
        <w:rPr>
          <w:b/>
          <w:szCs w:val="24"/>
        </w:rPr>
        <w:t>§ 54.187.  Default service rate design and the recovery of reasonable costs.</w:t>
      </w:r>
    </w:p>
    <w:p w:rsidR="00677B03" w:rsidRPr="007C4E34" w:rsidRDefault="00677B03" w:rsidP="0083107C">
      <w:pPr>
        <w:autoSpaceDE/>
        <w:autoSpaceDN/>
        <w:spacing w:line="240" w:lineRule="auto"/>
        <w:ind w:left="1440" w:right="1440"/>
        <w:rPr>
          <w:b/>
          <w:szCs w:val="24"/>
        </w:rPr>
      </w:pPr>
    </w:p>
    <w:p w:rsidR="0083107C" w:rsidRPr="007C4E34" w:rsidRDefault="0083107C" w:rsidP="0083107C">
      <w:pPr>
        <w:autoSpaceDE/>
        <w:autoSpaceDN/>
        <w:spacing w:line="240" w:lineRule="auto"/>
        <w:ind w:left="1440" w:right="1440"/>
        <w:rPr>
          <w:szCs w:val="24"/>
        </w:rPr>
      </w:pPr>
      <w:r w:rsidRPr="007C4E34">
        <w:rPr>
          <w:szCs w:val="24"/>
        </w:rPr>
        <w:tab/>
        <w:t>(a)</w:t>
      </w:r>
      <w:r w:rsidRPr="007C4E34">
        <w:rPr>
          <w:szCs w:val="24"/>
        </w:rPr>
        <w:tab/>
        <w:t>The costs incurred for providing default service shall be recovered through a default service rate schedule.  The rate schedule shall be designed to recover fully all reasonable costs incurred by the DSP during the period default service is provided to customers, based on the average cost to acquire supply for each customer class.</w:t>
      </w:r>
      <w:r w:rsidRPr="007C4E34">
        <w:rPr>
          <w:szCs w:val="24"/>
        </w:rPr>
        <w:tab/>
      </w:r>
    </w:p>
    <w:p w:rsidR="0083107C" w:rsidRPr="007C4E34" w:rsidRDefault="0083107C" w:rsidP="0083107C">
      <w:pPr>
        <w:autoSpaceDE/>
        <w:autoSpaceDN/>
        <w:spacing w:line="240" w:lineRule="auto"/>
        <w:ind w:left="1440" w:right="1440"/>
        <w:jc w:val="center"/>
        <w:rPr>
          <w:szCs w:val="24"/>
        </w:rPr>
      </w:pPr>
      <w:r w:rsidRPr="007C4E34">
        <w:rPr>
          <w:szCs w:val="24"/>
        </w:rPr>
        <w:t>* * *</w:t>
      </w:r>
    </w:p>
    <w:p w:rsidR="0083107C" w:rsidRPr="007C4E34" w:rsidRDefault="0083107C" w:rsidP="0083107C">
      <w:pPr>
        <w:autoSpaceDE/>
        <w:autoSpaceDN/>
        <w:spacing w:line="240" w:lineRule="auto"/>
        <w:ind w:left="1440" w:right="1440"/>
        <w:rPr>
          <w:szCs w:val="24"/>
        </w:rPr>
      </w:pPr>
      <w:r w:rsidRPr="007C4E34">
        <w:rPr>
          <w:szCs w:val="24"/>
        </w:rPr>
        <w:tab/>
        <w:t>(d)</w:t>
      </w:r>
      <w:r w:rsidRPr="007C4E34">
        <w:rPr>
          <w:szCs w:val="24"/>
        </w:rPr>
        <w:tab/>
        <w:t xml:space="preserve">The PTC shall be designed to recover all default service costs, including generation, transmission and other default service cost elements, incurred in serving the average member of a customer class.  An EDC's default service costs may not be recovered through the distribution rate.  Costs currently recovered through the distribution rate, which are reallocated to the default service rate, may not be recovered through the distribution rate.  </w:t>
      </w:r>
      <w:r w:rsidRPr="007C4E34">
        <w:rPr>
          <w:szCs w:val="24"/>
        </w:rPr>
        <w:br/>
        <w:t xml:space="preserve">The distribution rate shall be reduced to reflect costs reallocated to the default service rate.  </w:t>
      </w:r>
    </w:p>
    <w:p w:rsidR="0083107C" w:rsidRPr="007C4E34" w:rsidRDefault="0083107C" w:rsidP="0083107C">
      <w:pPr>
        <w:autoSpaceDE/>
        <w:autoSpaceDN/>
        <w:spacing w:line="240" w:lineRule="auto"/>
        <w:ind w:left="1440" w:right="1440"/>
        <w:jc w:val="center"/>
        <w:rPr>
          <w:szCs w:val="24"/>
        </w:rPr>
      </w:pPr>
      <w:r w:rsidRPr="007C4E34">
        <w:rPr>
          <w:szCs w:val="24"/>
        </w:rPr>
        <w:t>* * *</w:t>
      </w:r>
    </w:p>
    <w:p w:rsidR="0083107C" w:rsidRPr="007C4E34" w:rsidRDefault="0083107C" w:rsidP="0083107C">
      <w:pPr>
        <w:autoSpaceDE/>
        <w:autoSpaceDN/>
        <w:spacing w:line="240" w:lineRule="auto"/>
        <w:ind w:left="1440" w:right="1440"/>
        <w:rPr>
          <w:szCs w:val="24"/>
        </w:rPr>
      </w:pPr>
      <w:r w:rsidRPr="007C4E34">
        <w:rPr>
          <w:szCs w:val="24"/>
        </w:rPr>
        <w:tab/>
        <w:t>(f)</w:t>
      </w:r>
      <w:r w:rsidRPr="007C4E34">
        <w:rPr>
          <w:szCs w:val="24"/>
        </w:rPr>
        <w:tab/>
        <w:t>A DSP may use an automatic energy adjustment clause to recover reasonable nonalternative energy default service costs.  The use of an automatic adjustment clause shall be subject to audit and annual review, consistent with 66 Pa. C.S. § 1307(</w:t>
      </w:r>
      <w:r w:rsidR="008C0E35" w:rsidRPr="007C4E34">
        <w:rPr>
          <w:szCs w:val="24"/>
        </w:rPr>
        <w:t>d</w:t>
      </w:r>
      <w:r w:rsidRPr="007C4E34">
        <w:rPr>
          <w:szCs w:val="24"/>
        </w:rPr>
        <w:t>) and (e).  A DSP may collect interest from retail customers on the recoveries of under collection of default service costs at the legal rate of interest.  Refunds to customers for over recoveries shall be made with interest, at the legal rate of interest plus 2%.</w:t>
      </w:r>
      <w:r w:rsidRPr="007C4E34">
        <w:rPr>
          <w:szCs w:val="24"/>
        </w:rPr>
        <w:tab/>
      </w:r>
    </w:p>
    <w:p w:rsidR="0083107C" w:rsidRPr="007C4E34" w:rsidRDefault="0083107C" w:rsidP="0083107C">
      <w:pPr>
        <w:autoSpaceDE/>
        <w:autoSpaceDN/>
        <w:spacing w:line="240" w:lineRule="auto"/>
        <w:ind w:left="1440" w:right="1440"/>
        <w:jc w:val="center"/>
        <w:rPr>
          <w:szCs w:val="24"/>
        </w:rPr>
      </w:pPr>
      <w:r w:rsidRPr="007C4E34">
        <w:rPr>
          <w:szCs w:val="24"/>
        </w:rPr>
        <w:t>* * *</w:t>
      </w:r>
    </w:p>
    <w:p w:rsidR="0083107C" w:rsidRPr="007C4E34" w:rsidRDefault="0083107C" w:rsidP="0083107C">
      <w:pPr>
        <w:autoSpaceDE/>
        <w:autoSpaceDN/>
        <w:spacing w:line="240" w:lineRule="auto"/>
        <w:ind w:left="1440" w:right="1440"/>
        <w:rPr>
          <w:szCs w:val="24"/>
        </w:rPr>
      </w:pPr>
      <w:r w:rsidRPr="007C4E34">
        <w:rPr>
          <w:szCs w:val="24"/>
        </w:rPr>
        <w:t>52 Pa. Code § 54.187.</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While the "rolling reconciliation" amendment should allay the concerns of the EGSs regarding the immediate effect of the changing market, the decision to omit the RR from the PTC causes concern.  The PTC is required to be "designed to recover all default service costs" which raises the question of whether the RR should be included or omitted from the PTC in order to comply with this requirement.  </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RESA argues that the RR is a cost of providing default service, and by removing it from the PTC, the Company is removing a default service cost from the line item on the customer's bill:</w:t>
      </w:r>
    </w:p>
    <w:p w:rsidR="0083107C" w:rsidRPr="007C4E34" w:rsidRDefault="0083107C" w:rsidP="0083107C">
      <w:pPr>
        <w:autoSpaceDE/>
        <w:autoSpaceDN/>
        <w:spacing w:line="240" w:lineRule="auto"/>
        <w:ind w:left="1440" w:right="1440"/>
        <w:rPr>
          <w:szCs w:val="24"/>
        </w:rPr>
      </w:pPr>
      <w:r w:rsidRPr="007C4E34">
        <w:rPr>
          <w:szCs w:val="24"/>
        </w:rPr>
        <w:tab/>
        <w:t xml:space="preserve">Removing the reconciliation impact from the PTC will only complicate the ability of a customer to understand the true cost of default service to make informed shopping decisions.  This is because PPL's proposal will require customers to consider whether and for what period of time they will be subject to the reconciliation adjustment after they make a shopping decision (or a decision to return to default service) and whether the reconciliation adjustment is a charge or a credit.  PPL's proposal is analogous to "hidden fees" that are assessed on a consumer </w:t>
      </w:r>
      <w:r w:rsidRPr="007C4E34">
        <w:rPr>
          <w:szCs w:val="24"/>
          <w:u w:val="single"/>
        </w:rPr>
        <w:t>in addition</w:t>
      </w:r>
      <w:r w:rsidRPr="007C4E34">
        <w:rPr>
          <w:szCs w:val="24"/>
        </w:rPr>
        <w:t xml:space="preserve"> to the cost of the product or service they are purchasing.</w:t>
      </w:r>
    </w:p>
    <w:p w:rsidR="0083107C" w:rsidRPr="007C4E34" w:rsidRDefault="0083107C" w:rsidP="0083107C">
      <w:pPr>
        <w:autoSpaceDE/>
        <w:autoSpaceDN/>
        <w:spacing w:line="240" w:lineRule="auto"/>
        <w:ind w:left="1440" w:right="1440"/>
        <w:rPr>
          <w:szCs w:val="24"/>
        </w:rPr>
      </w:pPr>
      <w:r w:rsidRPr="007C4E34">
        <w:rPr>
          <w:szCs w:val="24"/>
        </w:rPr>
        <w:t xml:space="preserve">RESA RB at 7 (emphasis in original, footnotes omitted)   </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A default service provider is entitled to full recovery of its costs because it is not permitted to make a profit on the cost of the commodity.  As price forecasting is not an exact science and i</w:t>
      </w:r>
      <w:r w:rsidR="00F17476" w:rsidRPr="007C4E34">
        <w:rPr>
          <w:szCs w:val="24"/>
        </w:rPr>
        <w:t>s</w:t>
      </w:r>
      <w:r w:rsidRPr="007C4E34">
        <w:rPr>
          <w:szCs w:val="24"/>
        </w:rPr>
        <w:t xml:space="preserve"> subject to a number of variables, there will be over and under collections.  If the Commission believes that these over and undercollection amounts should be billed to or refunded to the actual users of the electricity, then the RR is a good idea.  Should the Commission decide that only the users of that electricity should pay the undercollection or benefit from the overcollection, then the reconciliation amount should not be included in the PTC.  After all, new customers or shopping customers returning after at least 12 months did not contribute to either the over or undercollection.  </w:t>
      </w:r>
    </w:p>
    <w:p w:rsidR="0083107C" w:rsidRPr="007C4E34" w:rsidRDefault="0083107C" w:rsidP="0083107C">
      <w:pPr>
        <w:autoSpaceDE/>
        <w:autoSpaceDN/>
        <w:rPr>
          <w:szCs w:val="24"/>
        </w:rPr>
      </w:pPr>
    </w:p>
    <w:p w:rsidR="0083107C" w:rsidRPr="007C4E34" w:rsidRDefault="0083107C" w:rsidP="0083107C">
      <w:pPr>
        <w:autoSpaceDE/>
        <w:autoSpaceDN/>
        <w:rPr>
          <w:szCs w:val="24"/>
        </w:rPr>
      </w:pPr>
      <w:r w:rsidRPr="007C4E34">
        <w:rPr>
          <w:szCs w:val="24"/>
        </w:rPr>
        <w:tab/>
      </w:r>
      <w:r w:rsidRPr="007C4E34">
        <w:rPr>
          <w:szCs w:val="24"/>
        </w:rPr>
        <w:tab/>
        <w:t xml:space="preserve">The EGS parties and OCA would include this amount in the PTC, as the undercollections have outnumbered the overcollections since January 2010, and if this trend continues, the PTC would be artificially inflated, thus encouraging increased shopping.  The recommendation here is to adhere to a PTC that is as accurate as possible by omitting the reconciliation amounts from its calculation.  </w:t>
      </w:r>
    </w:p>
    <w:p w:rsidR="00677B03" w:rsidRDefault="00677B03">
      <w:pPr>
        <w:autoSpaceDE/>
        <w:autoSpaceDN/>
        <w:jc w:val="center"/>
        <w:rPr>
          <w:b/>
          <w:szCs w:val="24"/>
        </w:rPr>
      </w:pPr>
    </w:p>
    <w:p w:rsidR="0083107C" w:rsidRPr="007C4E34" w:rsidRDefault="0083107C" w:rsidP="00677B03">
      <w:pPr>
        <w:autoSpaceDE/>
        <w:autoSpaceDN/>
        <w:rPr>
          <w:b/>
          <w:szCs w:val="24"/>
        </w:rPr>
      </w:pPr>
    </w:p>
    <w:p w:rsidR="00CC1B69" w:rsidRPr="00677B03" w:rsidRDefault="00DF7E2A" w:rsidP="00DF7E2A">
      <w:pPr>
        <w:pStyle w:val="ListParagraph"/>
        <w:rPr>
          <w:b/>
          <w:szCs w:val="24"/>
        </w:rPr>
      </w:pPr>
      <w:r>
        <w:rPr>
          <w:b/>
          <w:szCs w:val="24"/>
        </w:rPr>
        <w:t>2.</w:t>
      </w:r>
      <w:r>
        <w:rPr>
          <w:b/>
          <w:szCs w:val="24"/>
        </w:rPr>
        <w:tab/>
      </w:r>
      <w:r w:rsidR="00CC1B69" w:rsidRPr="00677B03">
        <w:rPr>
          <w:b/>
          <w:szCs w:val="24"/>
        </w:rPr>
        <w:t>Competitive Transition Rider</w:t>
      </w:r>
      <w:r>
        <w:rPr>
          <w:b/>
          <w:szCs w:val="24"/>
        </w:rPr>
        <w:fldChar w:fldCharType="begin"/>
      </w:r>
      <w:r>
        <w:instrText xml:space="preserve"> TC "</w:instrText>
      </w:r>
      <w:bookmarkStart w:id="10" w:name="_Toc320265368"/>
      <w:r w:rsidRPr="00892090">
        <w:rPr>
          <w:b/>
          <w:szCs w:val="24"/>
        </w:rPr>
        <w:instrText>2.</w:instrText>
      </w:r>
      <w:r w:rsidRPr="00892090">
        <w:rPr>
          <w:b/>
          <w:szCs w:val="24"/>
        </w:rPr>
        <w:tab/>
        <w:instrText>Competitive Transition Rider</w:instrText>
      </w:r>
      <w:bookmarkEnd w:id="10"/>
      <w:r>
        <w:instrText xml:space="preserve">" \f C \l "3" </w:instrText>
      </w:r>
      <w:r>
        <w:rPr>
          <w:b/>
          <w:szCs w:val="24"/>
        </w:rPr>
        <w:fldChar w:fldCharType="end"/>
      </w:r>
    </w:p>
    <w:p w:rsidR="00677B03" w:rsidRPr="00677B03" w:rsidRDefault="00677B03" w:rsidP="00677B03">
      <w:pPr>
        <w:rPr>
          <w:b/>
          <w:szCs w:val="24"/>
        </w:rPr>
      </w:pPr>
    </w:p>
    <w:p w:rsidR="00E872A1" w:rsidRPr="007C4E34" w:rsidRDefault="00496768" w:rsidP="00DF7E2A">
      <w:pPr>
        <w:ind w:left="1440"/>
        <w:rPr>
          <w:b/>
          <w:szCs w:val="24"/>
        </w:rPr>
      </w:pPr>
      <w:r w:rsidRPr="007C4E34">
        <w:rPr>
          <w:b/>
          <w:szCs w:val="24"/>
        </w:rPr>
        <w:t>a.</w:t>
      </w:r>
      <w:r w:rsidRPr="007C4E34">
        <w:rPr>
          <w:b/>
          <w:szCs w:val="24"/>
        </w:rPr>
        <w:tab/>
        <w:t>Description</w:t>
      </w:r>
      <w:r w:rsidR="00E77EC5">
        <w:rPr>
          <w:b/>
          <w:szCs w:val="24"/>
        </w:rPr>
        <w:fldChar w:fldCharType="begin"/>
      </w:r>
      <w:r w:rsidR="00E77EC5">
        <w:instrText xml:space="preserve"> TC "</w:instrText>
      </w:r>
      <w:bookmarkStart w:id="11" w:name="_Toc320265369"/>
      <w:r w:rsidR="00E77EC5" w:rsidRPr="00540968">
        <w:rPr>
          <w:b/>
          <w:szCs w:val="24"/>
        </w:rPr>
        <w:instrText>a.</w:instrText>
      </w:r>
      <w:r w:rsidR="00E77EC5" w:rsidRPr="00540968">
        <w:rPr>
          <w:b/>
          <w:szCs w:val="24"/>
        </w:rPr>
        <w:tab/>
        <w:instrText>Description</w:instrText>
      </w:r>
      <w:bookmarkEnd w:id="11"/>
      <w:r w:rsidR="00E77EC5">
        <w:instrText>" \f C \l "</w:instrText>
      </w:r>
      <w:r w:rsidR="00DF7E2A">
        <w:instrText>4</w:instrText>
      </w:r>
      <w:r w:rsidR="00E77EC5">
        <w:instrText xml:space="preserve">" </w:instrText>
      </w:r>
      <w:r w:rsidR="00E77EC5">
        <w:rPr>
          <w:b/>
          <w:szCs w:val="24"/>
        </w:rPr>
        <w:fldChar w:fldCharType="end"/>
      </w:r>
    </w:p>
    <w:p w:rsidR="00496768" w:rsidRPr="007C4E34" w:rsidRDefault="00496768" w:rsidP="00E7599F">
      <w:pPr>
        <w:rPr>
          <w:szCs w:val="24"/>
        </w:rPr>
      </w:pPr>
    </w:p>
    <w:p w:rsidR="00C7124A" w:rsidRPr="007C4E34" w:rsidRDefault="00E872A1" w:rsidP="00E7599F">
      <w:pPr>
        <w:rPr>
          <w:szCs w:val="24"/>
        </w:rPr>
      </w:pPr>
      <w:r w:rsidRPr="007C4E34">
        <w:rPr>
          <w:szCs w:val="24"/>
        </w:rPr>
        <w:tab/>
      </w:r>
      <w:r w:rsidRPr="007C4E34">
        <w:rPr>
          <w:szCs w:val="24"/>
        </w:rPr>
        <w:tab/>
        <w:t>"The CTR is a one-time, temporary, non-bypassable, reconcilable Section 1307(e) cost recover</w:t>
      </w:r>
      <w:r w:rsidR="00D8229A" w:rsidRPr="007C4E34">
        <w:rPr>
          <w:szCs w:val="24"/>
        </w:rPr>
        <w:t>y</w:t>
      </w:r>
      <w:r w:rsidRPr="007C4E34">
        <w:rPr>
          <w:szCs w:val="24"/>
        </w:rPr>
        <w:t xml:space="preserve"> mechanism that will provide a fresh start by refunding or recovering any remaining net historic over or under collections balances related to transmission service and generation</w:t>
      </w:r>
      <w:r w:rsidR="000E4A38" w:rsidRPr="007C4E34">
        <w:rPr>
          <w:szCs w:val="24"/>
        </w:rPr>
        <w:t xml:space="preserve"> </w:t>
      </w:r>
      <w:r w:rsidRPr="007C4E34">
        <w:rPr>
          <w:szCs w:val="24"/>
        </w:rPr>
        <w:t xml:space="preserve">supply service that were incurred prior to the effective date of the RR."  PPL Electric MB at 15, citing PPL Stmt. 1 at 6-7.  </w:t>
      </w:r>
      <w:r w:rsidR="00D66FA9" w:rsidRPr="007C4E34">
        <w:rPr>
          <w:szCs w:val="24"/>
        </w:rPr>
        <w:t xml:space="preserve">  </w:t>
      </w:r>
    </w:p>
    <w:p w:rsidR="00D8229A" w:rsidRPr="007C4E34" w:rsidRDefault="00D8229A" w:rsidP="00E7599F">
      <w:pPr>
        <w:rPr>
          <w:szCs w:val="24"/>
        </w:rPr>
      </w:pPr>
    </w:p>
    <w:p w:rsidR="00D8229A" w:rsidRPr="007C4E34" w:rsidRDefault="00D8229A" w:rsidP="00E7599F">
      <w:pPr>
        <w:rPr>
          <w:szCs w:val="24"/>
        </w:rPr>
      </w:pPr>
      <w:r w:rsidRPr="007C4E34">
        <w:rPr>
          <w:szCs w:val="24"/>
        </w:rPr>
        <w:tab/>
      </w:r>
      <w:r w:rsidRPr="007C4E34">
        <w:rPr>
          <w:szCs w:val="24"/>
        </w:rPr>
        <w:tab/>
        <w:t xml:space="preserve">The Company states that its substantial over and under collection balances have been difficult to correct because of the significant number of shopping customers, i.e., there are fewer customers from whom to collect the balances.  The CTR </w:t>
      </w:r>
      <w:r w:rsidR="00E35ECD" w:rsidRPr="007C4E34">
        <w:rPr>
          <w:szCs w:val="24"/>
        </w:rPr>
        <w:t>is proposed to become effective June 1, 2012 and to remain in effect for a twelve-month period.  At the end of the twelve months, it will be reconciled.  It will remain in effect as long as necessary to true-up the balances of any over or under collections which exist as of May 31, 2012, that were not refunded or recouped during the initial 12-month application period.  PPL Stmt. 1 at 26-27; PPL Electric MB at 23.</w:t>
      </w:r>
    </w:p>
    <w:p w:rsidR="00E35ECD" w:rsidRPr="007C4E34" w:rsidRDefault="00E35ECD" w:rsidP="00E7599F">
      <w:pPr>
        <w:rPr>
          <w:szCs w:val="24"/>
        </w:rPr>
      </w:pPr>
      <w:r w:rsidRPr="007C4E34">
        <w:rPr>
          <w:szCs w:val="24"/>
        </w:rPr>
        <w:tab/>
      </w:r>
      <w:r w:rsidRPr="007C4E34">
        <w:rPr>
          <w:szCs w:val="24"/>
        </w:rPr>
        <w:tab/>
        <w:t>This mechanism will both provide full compensation to the Company and give a clean start to the customers.</w:t>
      </w:r>
    </w:p>
    <w:p w:rsidR="00F17476" w:rsidRPr="007C4E34" w:rsidRDefault="00F17476" w:rsidP="00E7599F">
      <w:pPr>
        <w:rPr>
          <w:szCs w:val="24"/>
        </w:rPr>
      </w:pPr>
    </w:p>
    <w:p w:rsidR="00F17476" w:rsidRPr="00677B03" w:rsidRDefault="00DF7E2A" w:rsidP="00DF7E2A">
      <w:pPr>
        <w:pStyle w:val="ListParagraph"/>
        <w:ind w:left="1440"/>
        <w:rPr>
          <w:b/>
          <w:szCs w:val="24"/>
        </w:rPr>
      </w:pPr>
      <w:r>
        <w:rPr>
          <w:b/>
          <w:szCs w:val="24"/>
        </w:rPr>
        <w:t>b.</w:t>
      </w:r>
      <w:r>
        <w:rPr>
          <w:b/>
          <w:szCs w:val="24"/>
        </w:rPr>
        <w:tab/>
      </w:r>
      <w:r w:rsidR="00F17476" w:rsidRPr="00677B03">
        <w:rPr>
          <w:b/>
          <w:szCs w:val="24"/>
        </w:rPr>
        <w:t>Party positions</w:t>
      </w:r>
      <w:r>
        <w:rPr>
          <w:b/>
          <w:szCs w:val="24"/>
        </w:rPr>
        <w:fldChar w:fldCharType="begin"/>
      </w:r>
      <w:r>
        <w:instrText xml:space="preserve"> TC "</w:instrText>
      </w:r>
      <w:bookmarkStart w:id="12" w:name="_Toc320265370"/>
      <w:r w:rsidRPr="00892090">
        <w:rPr>
          <w:b/>
          <w:szCs w:val="24"/>
        </w:rPr>
        <w:instrText>b.</w:instrText>
      </w:r>
      <w:r w:rsidRPr="00892090">
        <w:rPr>
          <w:b/>
          <w:szCs w:val="24"/>
        </w:rPr>
        <w:tab/>
        <w:instrText>Party positions</w:instrText>
      </w:r>
      <w:bookmarkEnd w:id="12"/>
      <w:r>
        <w:instrText xml:space="preserve">" \f C \l "4" </w:instrText>
      </w:r>
      <w:r>
        <w:rPr>
          <w:b/>
          <w:szCs w:val="24"/>
        </w:rPr>
        <w:fldChar w:fldCharType="end"/>
      </w:r>
    </w:p>
    <w:p w:rsidR="0045007D" w:rsidRPr="007C4E34" w:rsidRDefault="0045007D" w:rsidP="00E7599F">
      <w:pPr>
        <w:rPr>
          <w:szCs w:val="24"/>
        </w:rPr>
      </w:pPr>
    </w:p>
    <w:p w:rsidR="0045007D" w:rsidRDefault="0045007D" w:rsidP="00E7599F">
      <w:pPr>
        <w:rPr>
          <w:szCs w:val="24"/>
        </w:rPr>
      </w:pPr>
      <w:r w:rsidRPr="007C4E34">
        <w:rPr>
          <w:szCs w:val="24"/>
        </w:rPr>
        <w:tab/>
      </w:r>
      <w:r w:rsidRPr="007C4E34">
        <w:rPr>
          <w:szCs w:val="24"/>
        </w:rPr>
        <w:tab/>
        <w:t>The OCA</w:t>
      </w:r>
      <w:r w:rsidR="0083107C" w:rsidRPr="007C4E34">
        <w:rPr>
          <w:szCs w:val="24"/>
        </w:rPr>
        <w:t xml:space="preserve"> is the only party that</w:t>
      </w:r>
      <w:r w:rsidRPr="007C4E34">
        <w:rPr>
          <w:szCs w:val="24"/>
        </w:rPr>
        <w:t xml:space="preserve"> support</w:t>
      </w:r>
      <w:r w:rsidR="00AA3C3C" w:rsidRPr="007C4E34">
        <w:rPr>
          <w:szCs w:val="24"/>
        </w:rPr>
        <w:t>s</w:t>
      </w:r>
      <w:r w:rsidRPr="007C4E34">
        <w:rPr>
          <w:szCs w:val="24"/>
        </w:rPr>
        <w:t xml:space="preserve"> implementation of the CTR as a reasonable method to recover historic costs that are associated with the transition from the rate caps to default service beginning in 2010 and those associated with the Time of Use program that has encountered difficulties in design and customer retention.  OCA MB at 6-7</w:t>
      </w:r>
      <w:r w:rsidR="00AA3C3C" w:rsidRPr="007C4E34">
        <w:rPr>
          <w:szCs w:val="24"/>
        </w:rPr>
        <w:t>; RB at 1-2</w:t>
      </w:r>
      <w:r w:rsidRPr="007C4E34">
        <w:rPr>
          <w:szCs w:val="24"/>
        </w:rPr>
        <w:t>.  Factors driving the mechanism are that is it a temporary, one-time charge driven by events which have already occurred, including the proration of bills in January 2010 and the increase in shopping that has significantly reduced the number of customers taking default service, thus reducing the number of customers for allocation of the undercollection.  OCA Witness Pereira testified:</w:t>
      </w:r>
    </w:p>
    <w:p w:rsidR="00677B03" w:rsidRPr="007C4E34" w:rsidRDefault="00677B03" w:rsidP="00E7599F">
      <w:pPr>
        <w:rPr>
          <w:szCs w:val="24"/>
        </w:rPr>
      </w:pPr>
    </w:p>
    <w:p w:rsidR="0045007D" w:rsidRPr="007C4E34" w:rsidRDefault="0045007D" w:rsidP="002656EC">
      <w:pPr>
        <w:spacing w:line="240" w:lineRule="auto"/>
        <w:ind w:left="1440" w:right="1440"/>
        <w:rPr>
          <w:szCs w:val="24"/>
        </w:rPr>
      </w:pPr>
      <w:r w:rsidRPr="007C4E34">
        <w:rPr>
          <w:szCs w:val="24"/>
        </w:rPr>
        <w:t>Second, as stated by the Company, collection of these historical over and under collections over the entire distribution customer base is more consistent with the customer base that created these amounts compared to the existing default service customer base.  In addition, the spreading of these amounts</w:t>
      </w:r>
      <w:r w:rsidR="002656EC" w:rsidRPr="007C4E34">
        <w:rPr>
          <w:szCs w:val="24"/>
        </w:rPr>
        <w:t xml:space="preserve"> </w:t>
      </w:r>
      <w:r w:rsidRPr="007C4E34">
        <w:rPr>
          <w:szCs w:val="24"/>
        </w:rPr>
        <w:t>will l</w:t>
      </w:r>
      <w:r w:rsidR="002656EC" w:rsidRPr="007C4E34">
        <w:rPr>
          <w:szCs w:val="24"/>
        </w:rPr>
        <w:t>e</w:t>
      </w:r>
      <w:r w:rsidRPr="007C4E34">
        <w:rPr>
          <w:szCs w:val="24"/>
        </w:rPr>
        <w:t xml:space="preserve">ssen the rate impact on the existing default service customer base, which may include a large number of customers that are unable or unwilling to shop for any number of reasons. </w:t>
      </w:r>
    </w:p>
    <w:p w:rsidR="00E35ECD" w:rsidRPr="007C4E34" w:rsidRDefault="002656EC" w:rsidP="002656EC">
      <w:pPr>
        <w:spacing w:line="240" w:lineRule="auto"/>
        <w:ind w:left="1440" w:right="1440"/>
        <w:rPr>
          <w:szCs w:val="24"/>
        </w:rPr>
      </w:pPr>
      <w:r w:rsidRPr="007C4E34">
        <w:rPr>
          <w:szCs w:val="24"/>
        </w:rPr>
        <w:t>Finally, given that much of these under an</w:t>
      </w:r>
      <w:r w:rsidR="008C0E35" w:rsidRPr="007C4E34">
        <w:rPr>
          <w:szCs w:val="24"/>
        </w:rPr>
        <w:t>d</w:t>
      </w:r>
      <w:r w:rsidRPr="007C4E34">
        <w:rPr>
          <w:szCs w:val="24"/>
        </w:rPr>
        <w:t xml:space="preserve"> over collections have already occurred, the Company would have to identify those customers responsible for causing these under and over collections, which may be difficult or costly due to the fact that the composition of basic service customers has changed significantly.</w:t>
      </w:r>
    </w:p>
    <w:p w:rsidR="002656EC" w:rsidRPr="007C4E34" w:rsidRDefault="002656EC" w:rsidP="002656EC">
      <w:pPr>
        <w:spacing w:line="240" w:lineRule="auto"/>
        <w:ind w:left="1440" w:right="1440"/>
        <w:rPr>
          <w:szCs w:val="24"/>
        </w:rPr>
      </w:pPr>
      <w:r w:rsidRPr="007C4E34">
        <w:rPr>
          <w:szCs w:val="24"/>
        </w:rPr>
        <w:t>OCA Stmt. 1 at 9; OCA MB at 7.</w:t>
      </w:r>
    </w:p>
    <w:p w:rsidR="002656EC" w:rsidRPr="007C4E34" w:rsidRDefault="002656EC" w:rsidP="00E7599F">
      <w:pPr>
        <w:rPr>
          <w:szCs w:val="24"/>
        </w:rPr>
      </w:pPr>
    </w:p>
    <w:p w:rsidR="002656EC" w:rsidRPr="007C4E34" w:rsidRDefault="002656EC" w:rsidP="00E7599F">
      <w:pPr>
        <w:rPr>
          <w:szCs w:val="24"/>
        </w:rPr>
      </w:pPr>
      <w:r w:rsidRPr="007C4E34">
        <w:rPr>
          <w:szCs w:val="24"/>
        </w:rPr>
        <w:tab/>
      </w:r>
      <w:r w:rsidRPr="007C4E34">
        <w:rPr>
          <w:szCs w:val="24"/>
        </w:rPr>
        <w:tab/>
        <w:t>As an example, OCA points out that the Company testified that only 3,900 customers remain on TOU service as of the service of the rebuttal testimony.  The TOU undercollection is approximately two million dollars.  PPL Stmt. 1-R at 30.  The OCA position is that the CTR mechanism allows for a reasonable method of collecting these costs from all residential customers.  OCA MB at 8.</w:t>
      </w:r>
    </w:p>
    <w:p w:rsidR="00006425" w:rsidRPr="007C4E34" w:rsidRDefault="00006425" w:rsidP="00E7599F">
      <w:pPr>
        <w:rPr>
          <w:szCs w:val="24"/>
        </w:rPr>
      </w:pPr>
    </w:p>
    <w:p w:rsidR="00006425" w:rsidRPr="007C4E34" w:rsidRDefault="00006425" w:rsidP="00006425">
      <w:pPr>
        <w:spacing w:line="240" w:lineRule="auto"/>
        <w:ind w:left="1440" w:right="1440"/>
        <w:rPr>
          <w:szCs w:val="24"/>
        </w:rPr>
      </w:pPr>
      <w:r w:rsidRPr="007C4E34">
        <w:rPr>
          <w:szCs w:val="24"/>
        </w:rPr>
        <w:tab/>
        <w:t>The OCA submits that the CTR is reasonable at this time under these unique circumstances.  As Dr. Pereira testified, given the rapid initial decline in default service load at PPL, the collection of the CTR historic over and under collections over the entire distribution customer base is more consistent with the customer base that created these costs than recovery of these costs only from current remaining default service customers.  OCA St. 1 at 9.</w:t>
      </w:r>
    </w:p>
    <w:p w:rsidR="00006425" w:rsidRPr="007C4E34" w:rsidRDefault="00006425" w:rsidP="00006425">
      <w:pPr>
        <w:spacing w:line="240" w:lineRule="auto"/>
        <w:ind w:left="1440" w:right="1440"/>
        <w:rPr>
          <w:szCs w:val="24"/>
        </w:rPr>
      </w:pPr>
      <w:r w:rsidRPr="007C4E34">
        <w:rPr>
          <w:szCs w:val="24"/>
        </w:rPr>
        <w:t>OCA RB at 5.</w:t>
      </w:r>
      <w:r w:rsidRPr="007C4E34">
        <w:rPr>
          <w:szCs w:val="24"/>
        </w:rPr>
        <w:tab/>
      </w:r>
      <w:r w:rsidRPr="007C4E34">
        <w:rPr>
          <w:szCs w:val="24"/>
        </w:rPr>
        <w:tab/>
      </w:r>
    </w:p>
    <w:p w:rsidR="002656EC" w:rsidRPr="007C4E34" w:rsidRDefault="002656EC" w:rsidP="00E7599F">
      <w:pPr>
        <w:rPr>
          <w:szCs w:val="24"/>
        </w:rPr>
      </w:pPr>
    </w:p>
    <w:p w:rsidR="00401AD5" w:rsidRPr="007C4E34" w:rsidRDefault="00401AD5" w:rsidP="00E7599F">
      <w:pPr>
        <w:rPr>
          <w:szCs w:val="24"/>
        </w:rPr>
      </w:pPr>
      <w:r w:rsidRPr="007C4E34">
        <w:rPr>
          <w:szCs w:val="24"/>
        </w:rPr>
        <w:tab/>
      </w:r>
      <w:r w:rsidRPr="007C4E34">
        <w:rPr>
          <w:szCs w:val="24"/>
        </w:rPr>
        <w:tab/>
        <w:t xml:space="preserve">The OSBA </w:t>
      </w:r>
      <w:r w:rsidR="0083107C" w:rsidRPr="007C4E34">
        <w:rPr>
          <w:szCs w:val="24"/>
        </w:rPr>
        <w:t>opposes the CTR as unnecessary a</w:t>
      </w:r>
      <w:r w:rsidRPr="007C4E34">
        <w:rPr>
          <w:szCs w:val="24"/>
        </w:rPr>
        <w:t>n</w:t>
      </w:r>
      <w:r w:rsidR="0083107C" w:rsidRPr="007C4E34">
        <w:rPr>
          <w:szCs w:val="24"/>
        </w:rPr>
        <w:t>d</w:t>
      </w:r>
      <w:r w:rsidRPr="007C4E34">
        <w:rPr>
          <w:szCs w:val="24"/>
        </w:rPr>
        <w:t xml:space="preserve"> inequitable.  The Company has failed to provide evidence to support the need for it, as it presented no evidence that there will be a substantial variance at the end of May 2012, which cannot be recovered through the RR.</w:t>
      </w:r>
    </w:p>
    <w:p w:rsidR="0083107C" w:rsidRPr="007C4E34" w:rsidRDefault="0083107C" w:rsidP="00E7599F">
      <w:pPr>
        <w:rPr>
          <w:szCs w:val="24"/>
        </w:rPr>
      </w:pPr>
    </w:p>
    <w:p w:rsidR="00E9366F" w:rsidRPr="007C4E34" w:rsidRDefault="0083107C" w:rsidP="00781068">
      <w:pPr>
        <w:spacing w:line="240" w:lineRule="auto"/>
        <w:ind w:left="1440" w:right="1440"/>
        <w:rPr>
          <w:szCs w:val="24"/>
        </w:rPr>
      </w:pPr>
      <w:r w:rsidRPr="007C4E34">
        <w:rPr>
          <w:szCs w:val="24"/>
        </w:rPr>
        <w:tab/>
      </w:r>
      <w:r w:rsidR="00401AD5" w:rsidRPr="007C4E34">
        <w:rPr>
          <w:szCs w:val="24"/>
        </w:rPr>
        <w:t xml:space="preserve">As Mr. </w:t>
      </w:r>
      <w:r w:rsidR="00E9366F" w:rsidRPr="007C4E34">
        <w:rPr>
          <w:szCs w:val="24"/>
        </w:rPr>
        <w:t>Knecht indicated in his Direct T</w:t>
      </w:r>
      <w:r w:rsidR="00401AD5" w:rsidRPr="007C4E34">
        <w:rPr>
          <w:szCs w:val="24"/>
        </w:rPr>
        <w:t>estimony, the then-current reconciliation balances (in November 2011) showed only a relatively small net under-collection</w:t>
      </w:r>
      <w:r w:rsidR="00E9366F" w:rsidRPr="007C4E34">
        <w:rPr>
          <w:szCs w:val="24"/>
        </w:rPr>
        <w:t xml:space="preserve"> for the Small C&amp;I rate class group and net over-collections for the Residential and Large C&amp;I rate class groups.  By the time of the hearing, the Small</w:t>
      </w:r>
      <w:r w:rsidR="00401AD5" w:rsidRPr="007C4E34">
        <w:rPr>
          <w:szCs w:val="24"/>
        </w:rPr>
        <w:t xml:space="preserve"> </w:t>
      </w:r>
      <w:r w:rsidR="00E9366F" w:rsidRPr="007C4E34">
        <w:rPr>
          <w:szCs w:val="24"/>
        </w:rPr>
        <w:t>C&amp;I rate class group showed an over-collection.  Thus, the available evidence does not support PPL's concerns about being unable to recover these balances through the RR.  The CTR is simply not necessary.</w:t>
      </w:r>
    </w:p>
    <w:p w:rsidR="00E9366F" w:rsidRPr="007C4E34" w:rsidRDefault="00781068" w:rsidP="00E7599F">
      <w:pPr>
        <w:rPr>
          <w:szCs w:val="24"/>
        </w:rPr>
      </w:pPr>
      <w:r w:rsidRPr="007C4E34">
        <w:rPr>
          <w:szCs w:val="24"/>
        </w:rPr>
        <w:tab/>
      </w:r>
      <w:r w:rsidRPr="007C4E34">
        <w:rPr>
          <w:szCs w:val="24"/>
        </w:rPr>
        <w:tab/>
      </w:r>
      <w:r w:rsidR="00E9366F" w:rsidRPr="007C4E34">
        <w:rPr>
          <w:szCs w:val="24"/>
        </w:rPr>
        <w:t>OSBA MB at 20 (footnotes omitted)</w:t>
      </w:r>
    </w:p>
    <w:p w:rsidR="00E9366F" w:rsidRPr="007C4E34" w:rsidRDefault="00E9366F" w:rsidP="00E7599F">
      <w:pPr>
        <w:rPr>
          <w:szCs w:val="24"/>
        </w:rPr>
      </w:pPr>
    </w:p>
    <w:p w:rsidR="00401AD5" w:rsidRPr="007C4E34" w:rsidRDefault="00E9366F" w:rsidP="00E7599F">
      <w:pPr>
        <w:rPr>
          <w:szCs w:val="24"/>
        </w:rPr>
      </w:pPr>
      <w:r w:rsidRPr="007C4E34">
        <w:rPr>
          <w:szCs w:val="24"/>
        </w:rPr>
        <w:tab/>
      </w:r>
      <w:r w:rsidRPr="007C4E34">
        <w:rPr>
          <w:szCs w:val="24"/>
        </w:rPr>
        <w:tab/>
        <w:t xml:space="preserve">OSBA argues that implementation of the CTR would start the accounting mismatch that comes with the Company's "proration" of revenues which started the problem two years ago, thus creating the problem that it purports to address.  OSBA MB at 21.  This, OSBA argues, is the mechanism that is unfair to shopping customers as it charges </w:t>
      </w:r>
      <w:r w:rsidRPr="007C4E34">
        <w:rPr>
          <w:i/>
          <w:szCs w:val="24"/>
        </w:rPr>
        <w:t xml:space="preserve">all </w:t>
      </w:r>
      <w:r w:rsidRPr="007C4E34">
        <w:rPr>
          <w:szCs w:val="24"/>
        </w:rPr>
        <w:t>distribution customers</w:t>
      </w:r>
      <w:r w:rsidR="00401AD5" w:rsidRPr="007C4E34">
        <w:rPr>
          <w:szCs w:val="24"/>
        </w:rPr>
        <w:t xml:space="preserve"> </w:t>
      </w:r>
      <w:r w:rsidRPr="007C4E34">
        <w:rPr>
          <w:szCs w:val="24"/>
        </w:rPr>
        <w:t>without any evidence that the shopping customers contributed to the over or under collection that exists on May 31, 2012.</w:t>
      </w:r>
      <w:r w:rsidR="00401AD5" w:rsidRPr="007C4E34">
        <w:rPr>
          <w:szCs w:val="24"/>
        </w:rPr>
        <w:t xml:space="preserve"> </w:t>
      </w:r>
      <w:r w:rsidRPr="007C4E34">
        <w:rPr>
          <w:szCs w:val="24"/>
        </w:rPr>
        <w:t xml:space="preserve"> After all, the 2010 variances have already been collected from default service customers.  Therefore, it is impossible for customers who shopped in early 2010 to be responsible for the variances in May 31, 2012.  </w:t>
      </w:r>
    </w:p>
    <w:p w:rsidR="00E9366F" w:rsidRPr="007C4E34" w:rsidRDefault="00E9366F" w:rsidP="00E7599F">
      <w:pPr>
        <w:rPr>
          <w:szCs w:val="24"/>
        </w:rPr>
      </w:pPr>
    </w:p>
    <w:p w:rsidR="00E9366F" w:rsidRPr="007C4E34" w:rsidRDefault="00E9366F" w:rsidP="00E7599F">
      <w:pPr>
        <w:rPr>
          <w:szCs w:val="24"/>
        </w:rPr>
      </w:pPr>
      <w:r w:rsidRPr="007C4E34">
        <w:rPr>
          <w:szCs w:val="24"/>
        </w:rPr>
        <w:tab/>
      </w:r>
      <w:r w:rsidRPr="007C4E34">
        <w:rPr>
          <w:szCs w:val="24"/>
        </w:rPr>
        <w:tab/>
        <w:t>As an alternative, OSBA recommends that any variance existing on May 31, 2012 be rolled into the RR variance account as the opening balance on June 1, 2012, which can then be collected over the following 12 months through the RR.  OSBA MB at 22.</w:t>
      </w:r>
    </w:p>
    <w:p w:rsidR="00D265AF" w:rsidRPr="007C4E34" w:rsidRDefault="00DE541D" w:rsidP="00E7599F">
      <w:pPr>
        <w:rPr>
          <w:szCs w:val="24"/>
        </w:rPr>
      </w:pPr>
      <w:r w:rsidRPr="007C4E34">
        <w:rPr>
          <w:b/>
          <w:szCs w:val="24"/>
        </w:rPr>
        <w:tab/>
      </w:r>
      <w:r w:rsidRPr="007C4E34">
        <w:rPr>
          <w:b/>
          <w:szCs w:val="24"/>
        </w:rPr>
        <w:tab/>
      </w:r>
      <w:r w:rsidRPr="007C4E34">
        <w:rPr>
          <w:szCs w:val="24"/>
        </w:rPr>
        <w:t>PPLICA opposes the collection of default service-related generation costs from shopping customers as unreasonable and not authorized by Act 129.</w:t>
      </w:r>
      <w:r w:rsidR="00D265AF" w:rsidRPr="007C4E34">
        <w:rPr>
          <w:szCs w:val="24"/>
        </w:rPr>
        <w:t xml:space="preserve">  </w:t>
      </w:r>
    </w:p>
    <w:p w:rsidR="0083107C" w:rsidRPr="007C4E34" w:rsidRDefault="0083107C" w:rsidP="00E7599F">
      <w:pPr>
        <w:rPr>
          <w:szCs w:val="24"/>
        </w:rPr>
      </w:pPr>
    </w:p>
    <w:p w:rsidR="00F54ECF" w:rsidRPr="007C4E34" w:rsidRDefault="00D265AF" w:rsidP="0083107C">
      <w:pPr>
        <w:spacing w:line="240" w:lineRule="auto"/>
        <w:ind w:left="1440" w:right="1440"/>
        <w:rPr>
          <w:szCs w:val="24"/>
        </w:rPr>
      </w:pPr>
      <w:r w:rsidRPr="007C4E34">
        <w:rPr>
          <w:szCs w:val="24"/>
        </w:rPr>
        <w:tab/>
        <w:t xml:space="preserve">Whereas the proposed RR would apply only </w:t>
      </w:r>
      <w:r w:rsidR="00781068" w:rsidRPr="007C4E34">
        <w:rPr>
          <w:szCs w:val="24"/>
        </w:rPr>
        <w:t>to customers who had switched f</w:t>
      </w:r>
      <w:r w:rsidRPr="007C4E34">
        <w:rPr>
          <w:szCs w:val="24"/>
        </w:rPr>
        <w:t>r</w:t>
      </w:r>
      <w:r w:rsidR="00781068" w:rsidRPr="007C4E34">
        <w:rPr>
          <w:szCs w:val="24"/>
        </w:rPr>
        <w:t>o</w:t>
      </w:r>
      <w:r w:rsidRPr="007C4E34">
        <w:rPr>
          <w:szCs w:val="24"/>
        </w:rPr>
        <w:t>m or returned</w:t>
      </w:r>
      <w:r w:rsidR="00F128B8">
        <w:rPr>
          <w:szCs w:val="24"/>
        </w:rPr>
        <w:t xml:space="preserve"> to default service within a 12</w:t>
      </w:r>
      <w:r w:rsidR="00F128B8">
        <w:rPr>
          <w:szCs w:val="24"/>
        </w:rPr>
        <w:noBreakHyphen/>
      </w:r>
      <w:r w:rsidRPr="007C4E34">
        <w:rPr>
          <w:szCs w:val="24"/>
        </w:rPr>
        <w:t xml:space="preserve">month period, the CTR would apply to all customers on PPL's system.  However, following the expiration of generation rate caps, many customers immediately selecting competitive suppliers never took default supply from PPL during the application period of the CTR.  From a general ratemaking standpoint, it is patently unjust and unreasonable to recover generation-related undercollections for default service supply variances from customers who have not taken default service during the application period.  </w:t>
      </w:r>
      <w:r w:rsidR="00F54ECF" w:rsidRPr="007C4E34">
        <w:rPr>
          <w:szCs w:val="24"/>
        </w:rPr>
        <w:t>PPL's reliance on Section 2807(e)(3.9) overextends</w:t>
      </w:r>
      <w:bookmarkStart w:id="13" w:name="_GoBack"/>
      <w:bookmarkEnd w:id="13"/>
      <w:r w:rsidR="00F54ECF" w:rsidRPr="007C4E34">
        <w:rPr>
          <w:szCs w:val="24"/>
        </w:rPr>
        <w:t xml:space="preserve"> the meaning of the statute.  The statute addresses only an EDC's right to recover default service costs; its plain meaning does not authorize recovery of such costs from shopping customers.  </w:t>
      </w:r>
      <w:r w:rsidR="00F54ECF" w:rsidRPr="007C4E34">
        <w:rPr>
          <w:szCs w:val="24"/>
          <w:u w:val="single"/>
        </w:rPr>
        <w:t>See</w:t>
      </w:r>
      <w:r w:rsidR="00F54ECF" w:rsidRPr="007C4E34">
        <w:rPr>
          <w:szCs w:val="24"/>
        </w:rPr>
        <w:t xml:space="preserve"> 66 Pa. C.S. § 2807(e)(3.9). </w:t>
      </w:r>
      <w:r w:rsidRPr="007C4E34">
        <w:rPr>
          <w:szCs w:val="24"/>
        </w:rPr>
        <w:t xml:space="preserve">  </w:t>
      </w:r>
      <w:r w:rsidR="00DE541D" w:rsidRPr="007C4E34">
        <w:rPr>
          <w:szCs w:val="24"/>
        </w:rPr>
        <w:t xml:space="preserve">  </w:t>
      </w:r>
    </w:p>
    <w:p w:rsidR="00F54ECF" w:rsidRPr="007C4E34" w:rsidRDefault="00F54ECF" w:rsidP="0083107C">
      <w:pPr>
        <w:spacing w:line="240" w:lineRule="auto"/>
        <w:ind w:left="1440" w:right="1440"/>
        <w:rPr>
          <w:szCs w:val="24"/>
        </w:rPr>
      </w:pPr>
      <w:r w:rsidRPr="007C4E34">
        <w:rPr>
          <w:szCs w:val="24"/>
        </w:rPr>
        <w:t>PPLICA MB at 14.</w:t>
      </w:r>
    </w:p>
    <w:p w:rsidR="00F54ECF" w:rsidRPr="007C4E34" w:rsidRDefault="00F54ECF" w:rsidP="00E7599F">
      <w:pPr>
        <w:rPr>
          <w:szCs w:val="24"/>
        </w:rPr>
      </w:pPr>
    </w:p>
    <w:p w:rsidR="00F54ECF" w:rsidRPr="007C4E34" w:rsidRDefault="00F54ECF" w:rsidP="00E7599F">
      <w:pPr>
        <w:rPr>
          <w:szCs w:val="24"/>
        </w:rPr>
      </w:pPr>
      <w:r w:rsidRPr="007C4E34">
        <w:rPr>
          <w:szCs w:val="24"/>
        </w:rPr>
        <w:tab/>
      </w:r>
      <w:r w:rsidRPr="007C4E34">
        <w:rPr>
          <w:szCs w:val="24"/>
        </w:rPr>
        <w:tab/>
        <w:t xml:space="preserve">As over 85% of the Large C&amp;I customers were taking competitive supply by the filing of this Petition, they were not contributing to the Company's competitive supply costs.  Including them in the CTR would be neither just nor reasonable.  </w:t>
      </w:r>
    </w:p>
    <w:p w:rsidR="00F54ECF" w:rsidRPr="007C4E34" w:rsidRDefault="00F54ECF" w:rsidP="00E7599F">
      <w:pPr>
        <w:rPr>
          <w:szCs w:val="24"/>
        </w:rPr>
      </w:pPr>
    </w:p>
    <w:p w:rsidR="00F54ECF" w:rsidRPr="007C4E34" w:rsidRDefault="00F54ECF" w:rsidP="00E7599F">
      <w:pPr>
        <w:rPr>
          <w:szCs w:val="24"/>
        </w:rPr>
      </w:pPr>
      <w:r w:rsidRPr="007C4E34">
        <w:rPr>
          <w:szCs w:val="24"/>
        </w:rPr>
        <w:tab/>
      </w:r>
      <w:r w:rsidRPr="007C4E34">
        <w:rPr>
          <w:szCs w:val="24"/>
        </w:rPr>
        <w:tab/>
        <w:t>Further, PPLICA charges that the generation supply undercollection experienced in January 2010 arose largely from an accounting decision made by the Company which mismatched expenses for January 2010 against only two weeks of revenues.  This mismatch was not caused by a revenue shortfall.  PPLICA MB at 15.  PPL's proposal to recover historical GSC variances through the proposed CTR is not authorized by the cost recovery provisions  in Act</w:t>
      </w:r>
      <w:r w:rsidR="00455319">
        <w:rPr>
          <w:szCs w:val="24"/>
        </w:rPr>
        <w:t> </w:t>
      </w:r>
      <w:r w:rsidRPr="007C4E34">
        <w:rPr>
          <w:szCs w:val="24"/>
        </w:rPr>
        <w:t>129.</w:t>
      </w:r>
    </w:p>
    <w:p w:rsidR="00F54ECF" w:rsidRPr="007C4E34" w:rsidRDefault="00F54ECF" w:rsidP="00E7599F">
      <w:pPr>
        <w:rPr>
          <w:szCs w:val="24"/>
        </w:rPr>
      </w:pPr>
    </w:p>
    <w:p w:rsidR="007D6B90" w:rsidRDefault="00F54ECF" w:rsidP="00E7599F">
      <w:pPr>
        <w:rPr>
          <w:szCs w:val="24"/>
        </w:rPr>
      </w:pPr>
      <w:r w:rsidRPr="007C4E34">
        <w:rPr>
          <w:szCs w:val="24"/>
        </w:rPr>
        <w:tab/>
      </w:r>
      <w:r w:rsidRPr="007C4E34">
        <w:rPr>
          <w:szCs w:val="24"/>
        </w:rPr>
        <w:tab/>
        <w:t>However, PPLICA does not oppose the transmission component in the CTR, which "may provide the Commission with a mechanism for administering any necessary refunds resulting from its ongoing investigation into PPL's TSC.  PPLICA specifically requests that the Company be required to separately reconcile the E-fac</w:t>
      </w:r>
      <w:r w:rsidR="002E62D9" w:rsidRPr="007C4E34">
        <w:rPr>
          <w:szCs w:val="24"/>
        </w:rPr>
        <w:t>to</w:t>
      </w:r>
      <w:r w:rsidRPr="007C4E34">
        <w:rPr>
          <w:szCs w:val="24"/>
        </w:rPr>
        <w:t>rs for the Large C&amp;I</w:t>
      </w:r>
      <w:r w:rsidR="002E62D9" w:rsidRPr="007C4E34">
        <w:rPr>
          <w:szCs w:val="24"/>
        </w:rPr>
        <w:t xml:space="preserve"> Primary and Large C&amp;I Transmis</w:t>
      </w:r>
      <w:r w:rsidRPr="007C4E34">
        <w:rPr>
          <w:szCs w:val="24"/>
        </w:rPr>
        <w:t>s</w:t>
      </w:r>
      <w:r w:rsidR="002E62D9" w:rsidRPr="007C4E34">
        <w:rPr>
          <w:szCs w:val="24"/>
        </w:rPr>
        <w:t>i</w:t>
      </w:r>
      <w:r w:rsidRPr="007C4E34">
        <w:rPr>
          <w:szCs w:val="24"/>
        </w:rPr>
        <w:t>on classes</w:t>
      </w:r>
      <w:r w:rsidR="002E62D9" w:rsidRPr="007C4E34">
        <w:rPr>
          <w:szCs w:val="24"/>
        </w:rPr>
        <w:t>.  PPLICA MB at 17.</w:t>
      </w:r>
      <w:r w:rsidR="00D722E3" w:rsidRPr="007C4E34">
        <w:rPr>
          <w:szCs w:val="24"/>
        </w:rPr>
        <w:t xml:space="preserve">  </w:t>
      </w:r>
    </w:p>
    <w:p w:rsidR="007D6B90" w:rsidRDefault="007D6B90">
      <w:pPr>
        <w:autoSpaceDE/>
        <w:autoSpaceDN/>
        <w:jc w:val="center"/>
        <w:rPr>
          <w:szCs w:val="24"/>
        </w:rPr>
      </w:pPr>
      <w:r>
        <w:rPr>
          <w:szCs w:val="24"/>
        </w:rPr>
        <w:br w:type="page"/>
      </w:r>
    </w:p>
    <w:p w:rsidR="00D722E3" w:rsidRDefault="00D722E3" w:rsidP="00E7599F">
      <w:pPr>
        <w:rPr>
          <w:szCs w:val="24"/>
        </w:rPr>
      </w:pPr>
      <w:r w:rsidRPr="007C4E34">
        <w:rPr>
          <w:szCs w:val="24"/>
        </w:rPr>
        <w:tab/>
      </w:r>
      <w:r w:rsidRPr="007C4E34">
        <w:rPr>
          <w:szCs w:val="24"/>
        </w:rPr>
        <w:tab/>
        <w:t>PPLICA points out:</w:t>
      </w:r>
    </w:p>
    <w:p w:rsidR="00455319" w:rsidRPr="007C4E34" w:rsidRDefault="00455319" w:rsidP="00E46B3B">
      <w:pPr>
        <w:rPr>
          <w:szCs w:val="24"/>
        </w:rPr>
      </w:pPr>
    </w:p>
    <w:p w:rsidR="00D722E3" w:rsidRPr="007C4E34" w:rsidRDefault="00D722E3" w:rsidP="00E46B3B">
      <w:pPr>
        <w:spacing w:line="240" w:lineRule="auto"/>
        <w:ind w:left="1440" w:right="1440"/>
        <w:rPr>
          <w:szCs w:val="24"/>
        </w:rPr>
      </w:pPr>
      <w:r w:rsidRPr="007C4E34">
        <w:rPr>
          <w:szCs w:val="24"/>
        </w:rPr>
        <w:tab/>
        <w:t>An analysis of PPL's historic TSC variances, through the 2010, 2011, and 2011/2012 TSC application periods , demonstrates that a currently deferred TSC overcollection is largely attributable to periods during which virtually all of PPL's Large C&amp;I customer base remained on default service.</w:t>
      </w:r>
    </w:p>
    <w:p w:rsidR="00D722E3" w:rsidRPr="007C4E34" w:rsidRDefault="00D722E3" w:rsidP="00D722E3">
      <w:pPr>
        <w:spacing w:line="240" w:lineRule="auto"/>
        <w:ind w:left="1440" w:right="1440"/>
        <w:rPr>
          <w:szCs w:val="24"/>
        </w:rPr>
      </w:pPr>
      <w:r w:rsidRPr="007C4E34">
        <w:rPr>
          <w:szCs w:val="24"/>
        </w:rPr>
        <w:t xml:space="preserve">PPLICA MB at 17.  </w:t>
      </w:r>
    </w:p>
    <w:p w:rsidR="00D722E3" w:rsidRPr="007C4E34" w:rsidRDefault="00D722E3" w:rsidP="00455319">
      <w:pPr>
        <w:rPr>
          <w:szCs w:val="24"/>
        </w:rPr>
      </w:pPr>
    </w:p>
    <w:p w:rsidR="00D722E3" w:rsidRPr="007C4E34" w:rsidRDefault="00D722E3" w:rsidP="00E7599F">
      <w:pPr>
        <w:rPr>
          <w:szCs w:val="24"/>
        </w:rPr>
      </w:pPr>
      <w:r w:rsidRPr="007C4E34">
        <w:rPr>
          <w:szCs w:val="24"/>
        </w:rPr>
        <w:tab/>
      </w:r>
      <w:r w:rsidRPr="007C4E34">
        <w:rPr>
          <w:szCs w:val="24"/>
        </w:rPr>
        <w:tab/>
        <w:t xml:space="preserve">PPLICA states that the Commission's investigation into PPL's TSC for the twelve months ending November 30, 2010, Docket No. M-2010-2213754, is ongoing, and until it is completed, the differences will not be either refunded or recouped.  </w:t>
      </w:r>
    </w:p>
    <w:p w:rsidR="00D722E3" w:rsidRPr="007C4E34" w:rsidRDefault="00D722E3" w:rsidP="00E7599F">
      <w:pPr>
        <w:rPr>
          <w:szCs w:val="24"/>
        </w:rPr>
      </w:pPr>
    </w:p>
    <w:p w:rsidR="0083644A" w:rsidRPr="007C4E34" w:rsidRDefault="00D722E3" w:rsidP="00823683">
      <w:pPr>
        <w:spacing w:line="240" w:lineRule="auto"/>
        <w:ind w:left="1440" w:right="1440"/>
        <w:rPr>
          <w:szCs w:val="24"/>
        </w:rPr>
      </w:pPr>
      <w:r w:rsidRPr="007C4E34">
        <w:rPr>
          <w:szCs w:val="24"/>
        </w:rPr>
        <w:t>As an ancillary note, PPLICA believes that all parties would benefit from a comprehensive resolution of the various dockets currently before the Commis</w:t>
      </w:r>
      <w:r w:rsidR="00823683" w:rsidRPr="007C4E34">
        <w:rPr>
          <w:szCs w:val="24"/>
        </w:rPr>
        <w:t>s</w:t>
      </w:r>
      <w:r w:rsidRPr="007C4E34">
        <w:rPr>
          <w:szCs w:val="24"/>
        </w:rPr>
        <w:t>ion in relation to PPL's TSC.  A common thread to all of the Commiss</w:t>
      </w:r>
      <w:r w:rsidR="00823683" w:rsidRPr="007C4E34">
        <w:rPr>
          <w:szCs w:val="24"/>
        </w:rPr>
        <w:t>i</w:t>
      </w:r>
      <w:r w:rsidRPr="007C4E34">
        <w:rPr>
          <w:szCs w:val="24"/>
        </w:rPr>
        <w:t>on dockets addressing PPL's TSC remains the uncertainty surrounding each proceeding.</w:t>
      </w:r>
      <w:r w:rsidR="0083644A" w:rsidRPr="007C4E34">
        <w:rPr>
          <w:b/>
          <w:szCs w:val="24"/>
        </w:rPr>
        <w:tab/>
      </w:r>
      <w:r w:rsidR="00823683" w:rsidRPr="007C4E34">
        <w:rPr>
          <w:b/>
          <w:szCs w:val="24"/>
        </w:rPr>
        <w:t xml:space="preserve"> </w:t>
      </w:r>
      <w:r w:rsidR="00823683" w:rsidRPr="007C4E34">
        <w:rPr>
          <w:szCs w:val="24"/>
        </w:rPr>
        <w:t xml:space="preserve">As of the filing of this Main Brief, PPL has provided no estimate of the transmission costs to be recovered through the CTR.  Indeed, PPL's Witness, Joseph M. Kleha, has represented that such a calculation cannot be done with any reasonable certainty until shortly before implementation of the rider, when actual data for the period January 2012 through April </w:t>
      </w:r>
      <w:r w:rsidR="00F128B8">
        <w:rPr>
          <w:szCs w:val="24"/>
        </w:rPr>
        <w:t>2012 becomes available.  Tr. </w:t>
      </w:r>
      <w:r w:rsidR="00823683" w:rsidRPr="007C4E34">
        <w:rPr>
          <w:szCs w:val="24"/>
        </w:rPr>
        <w:t xml:space="preserve">81-82.  Aside from the projected data, even the actual data provided in this proceeding remains indeterminate because of the Commission's pending decision as to whether PPL must modify its practice of applying historical demand allocators or use current monthly demand allocators.  </w:t>
      </w:r>
      <w:r w:rsidR="00823683" w:rsidRPr="007C4E34">
        <w:rPr>
          <w:szCs w:val="24"/>
          <w:u w:val="single"/>
        </w:rPr>
        <w:t>See</w:t>
      </w:r>
      <w:r w:rsidR="00823683" w:rsidRPr="007C4E34">
        <w:rPr>
          <w:szCs w:val="24"/>
        </w:rPr>
        <w:t xml:space="preserve"> May 25 Order, Tr. 82.  Use of monthly demand allocators in place of historical demand allocators would have drastically reduced PPL's transmission-related expenses for 2010 and greatly impacted the data relied upon by all parties in evaluating the proposed RR and CTR.  PPLICA respectfully requests that the Commission resolve the PPL TSC Investigation, Statewide TSC Investigation, and the 2011/2012 Proposed Rate proceedings so that PPL's customers can benefit from improved TSC allocations that appropriately reflect costs in a competitive supply market.</w:t>
      </w:r>
    </w:p>
    <w:p w:rsidR="00823683" w:rsidRPr="007C4E34" w:rsidRDefault="00823683" w:rsidP="00823683">
      <w:pPr>
        <w:spacing w:line="240" w:lineRule="auto"/>
        <w:ind w:left="1440" w:right="1440"/>
        <w:rPr>
          <w:szCs w:val="24"/>
        </w:rPr>
      </w:pPr>
      <w:r w:rsidRPr="007C4E34">
        <w:rPr>
          <w:szCs w:val="24"/>
        </w:rPr>
        <w:t xml:space="preserve">PPLICA MB at 21-22.  </w:t>
      </w:r>
    </w:p>
    <w:p w:rsidR="0083644A" w:rsidRPr="007C4E34" w:rsidRDefault="0083644A" w:rsidP="00E7599F">
      <w:pPr>
        <w:rPr>
          <w:szCs w:val="24"/>
        </w:rPr>
      </w:pPr>
    </w:p>
    <w:p w:rsidR="00496768" w:rsidRPr="007C4E34" w:rsidRDefault="00BA5CFD" w:rsidP="00BA5CFD">
      <w:pPr>
        <w:autoSpaceDE/>
        <w:autoSpaceDN/>
        <w:rPr>
          <w:szCs w:val="24"/>
        </w:rPr>
      </w:pPr>
      <w:r w:rsidRPr="007C4E34">
        <w:rPr>
          <w:b/>
          <w:szCs w:val="24"/>
        </w:rPr>
        <w:tab/>
      </w:r>
      <w:r w:rsidRPr="007C4E34">
        <w:rPr>
          <w:szCs w:val="24"/>
        </w:rPr>
        <w:tab/>
        <w:t xml:space="preserve">DR argues that the CTR </w:t>
      </w:r>
      <w:r w:rsidR="0083107C" w:rsidRPr="007C4E34">
        <w:rPr>
          <w:szCs w:val="24"/>
        </w:rPr>
        <w:t>"</w:t>
      </w:r>
      <w:r w:rsidRPr="007C4E34">
        <w:rPr>
          <w:szCs w:val="24"/>
        </w:rPr>
        <w:t xml:space="preserve">would recover the costs of providing default service through a charge other than the PTC and would recover those costs from customers other than default service customers. . . .  Moreover, this type of recovery, from all customers, is akin to recovering those charges through the Distribution Rate, which is clearly prohibited under the Commission's regulations.  52 Pa Code § 54.187(d)."  DR MB at 10.  </w:t>
      </w:r>
    </w:p>
    <w:p w:rsidR="00496768" w:rsidRPr="007C4E34" w:rsidRDefault="00496768" w:rsidP="00BA5CFD">
      <w:pPr>
        <w:autoSpaceDE/>
        <w:autoSpaceDN/>
        <w:rPr>
          <w:szCs w:val="24"/>
        </w:rPr>
      </w:pPr>
    </w:p>
    <w:p w:rsidR="00CD2ACE" w:rsidRDefault="00CD2ACE" w:rsidP="00BA5CFD">
      <w:pPr>
        <w:autoSpaceDE/>
        <w:autoSpaceDN/>
        <w:rPr>
          <w:szCs w:val="24"/>
        </w:rPr>
      </w:pPr>
      <w:r w:rsidRPr="007C4E34">
        <w:rPr>
          <w:b/>
          <w:szCs w:val="24"/>
        </w:rPr>
        <w:tab/>
      </w:r>
      <w:r w:rsidRPr="007C4E34">
        <w:rPr>
          <w:b/>
          <w:szCs w:val="24"/>
        </w:rPr>
        <w:tab/>
      </w:r>
      <w:r w:rsidR="00E83F8B" w:rsidRPr="007C4E34">
        <w:rPr>
          <w:szCs w:val="24"/>
        </w:rPr>
        <w:t>REG argues that the CTR proposal will further penalize a customer for switching to an EGS as the CTR will require a customer, having switched to an EGS, to reimburse PPL from whatever savings the customer had seen, for having exercised that right.  As there is no direct tie from PPL Electric's lack of ability to recoup its costs to the decision of the customer to leave default service, there is no reason to impose a penalty upon that customer.  REG MB at</w:t>
      </w:r>
      <w:r w:rsidR="00455319">
        <w:rPr>
          <w:szCs w:val="24"/>
        </w:rPr>
        <w:t> </w:t>
      </w:r>
      <w:r w:rsidR="00E83F8B" w:rsidRPr="007C4E34">
        <w:rPr>
          <w:szCs w:val="24"/>
        </w:rPr>
        <w:t>7</w:t>
      </w:r>
      <w:r w:rsidR="00455319">
        <w:rPr>
          <w:szCs w:val="24"/>
        </w:rPr>
        <w:noBreakHyphen/>
      </w:r>
      <w:r w:rsidR="00E83F8B" w:rsidRPr="007C4E34">
        <w:rPr>
          <w:szCs w:val="24"/>
        </w:rPr>
        <w:t xml:space="preserve">8.  </w:t>
      </w:r>
    </w:p>
    <w:p w:rsidR="00455319" w:rsidRPr="007C4E34" w:rsidRDefault="00455319" w:rsidP="00BA5CFD">
      <w:pPr>
        <w:autoSpaceDE/>
        <w:autoSpaceDN/>
        <w:rPr>
          <w:szCs w:val="24"/>
        </w:rPr>
      </w:pPr>
    </w:p>
    <w:p w:rsidR="002229CF" w:rsidRDefault="002229CF" w:rsidP="00455319">
      <w:pPr>
        <w:autoSpaceDE/>
        <w:autoSpaceDN/>
        <w:spacing w:line="240" w:lineRule="auto"/>
        <w:rPr>
          <w:szCs w:val="24"/>
        </w:rPr>
      </w:pPr>
      <w:r w:rsidRPr="007C4E34">
        <w:rPr>
          <w:szCs w:val="24"/>
        </w:rPr>
        <w:tab/>
      </w:r>
      <w:r w:rsidRPr="007C4E34">
        <w:rPr>
          <w:szCs w:val="24"/>
        </w:rPr>
        <w:tab/>
        <w:t>Walmart advocates that:</w:t>
      </w:r>
    </w:p>
    <w:p w:rsidR="00455319" w:rsidRPr="007C4E34" w:rsidRDefault="00455319" w:rsidP="00455319">
      <w:pPr>
        <w:autoSpaceDE/>
        <w:autoSpaceDN/>
        <w:spacing w:line="240" w:lineRule="auto"/>
        <w:rPr>
          <w:szCs w:val="24"/>
        </w:rPr>
      </w:pPr>
    </w:p>
    <w:p w:rsidR="00CD2ACE" w:rsidRPr="007C4E34" w:rsidRDefault="002229CF" w:rsidP="00455319">
      <w:pPr>
        <w:autoSpaceDE/>
        <w:autoSpaceDN/>
        <w:spacing w:line="240" w:lineRule="auto"/>
        <w:ind w:left="1440" w:right="1440"/>
        <w:rPr>
          <w:szCs w:val="24"/>
        </w:rPr>
      </w:pPr>
      <w:r w:rsidRPr="007C4E34">
        <w:rPr>
          <w:szCs w:val="24"/>
        </w:rPr>
        <w:t>The Commission should determine that from a general public policy perspective, it is not appropriate to implement mechanisms that charge shopping customers for generation supply and transmission service costs incurred by the utility only to serve non-shopping customers.  The CTR would unfairly apply to even those customers who had been receiving electric supply from a competitive supplier even before December 31, 2009.  These customers would not have contributed at all to any under collection being recovered through the CTR.  [Walmart] Witness Chriss is concerned that the CTR as proposed would make shopping customers, who take generation supply and transmission service from competitive electric generation suppliers, pay, or receive a refund from, PPL for some part of PPL's generation supply costs.  This misaligns cost causation and cost responsibility and results in inequitable rates.</w:t>
      </w:r>
    </w:p>
    <w:p w:rsidR="002229CF" w:rsidRPr="007C4E34" w:rsidRDefault="002229CF" w:rsidP="002229CF">
      <w:pPr>
        <w:autoSpaceDE/>
        <w:autoSpaceDN/>
        <w:spacing w:line="240" w:lineRule="auto"/>
        <w:ind w:left="1440" w:right="1440"/>
        <w:rPr>
          <w:szCs w:val="24"/>
        </w:rPr>
      </w:pPr>
      <w:r w:rsidRPr="007C4E34">
        <w:rPr>
          <w:szCs w:val="24"/>
        </w:rPr>
        <w:t>Walmart RB at 4 (footnotes omitted).</w:t>
      </w:r>
    </w:p>
    <w:p w:rsidR="002229CF" w:rsidRPr="007C4E34" w:rsidRDefault="002229CF" w:rsidP="00BA5CFD">
      <w:pPr>
        <w:autoSpaceDE/>
        <w:autoSpaceDN/>
        <w:rPr>
          <w:szCs w:val="24"/>
        </w:rPr>
      </w:pPr>
    </w:p>
    <w:p w:rsidR="002229CF" w:rsidRPr="007C4E34" w:rsidRDefault="00D349E8" w:rsidP="00BA5CFD">
      <w:pPr>
        <w:autoSpaceDE/>
        <w:autoSpaceDN/>
        <w:rPr>
          <w:szCs w:val="24"/>
        </w:rPr>
      </w:pPr>
      <w:r w:rsidRPr="007C4E34">
        <w:rPr>
          <w:szCs w:val="24"/>
        </w:rPr>
        <w:tab/>
      </w:r>
      <w:r w:rsidRPr="007C4E34">
        <w:rPr>
          <w:szCs w:val="24"/>
        </w:rPr>
        <w:tab/>
        <w:t xml:space="preserve">Walmart points out that the current reconciliation mechanism will continue to operate pending the outcome of this proceeding, and that more and more shopping customers will not have contributed to whatever balance will exist when the CTR is imposed.  Walmart RB at 3-4.  </w:t>
      </w:r>
    </w:p>
    <w:p w:rsidR="00AE5CD5" w:rsidRPr="007C4E34" w:rsidRDefault="00AE5CD5" w:rsidP="00BA5CFD">
      <w:pPr>
        <w:autoSpaceDE/>
        <w:autoSpaceDN/>
        <w:rPr>
          <w:szCs w:val="24"/>
        </w:rPr>
      </w:pPr>
    </w:p>
    <w:p w:rsidR="00F128B8" w:rsidRDefault="00F128B8" w:rsidP="00BA5CFD">
      <w:pPr>
        <w:autoSpaceDE/>
        <w:autoSpaceDN/>
        <w:rPr>
          <w:szCs w:val="24"/>
        </w:rPr>
      </w:pPr>
    </w:p>
    <w:p w:rsidR="00F128B8" w:rsidRDefault="00F128B8">
      <w:pPr>
        <w:autoSpaceDE/>
        <w:autoSpaceDN/>
        <w:jc w:val="center"/>
        <w:rPr>
          <w:szCs w:val="24"/>
        </w:rPr>
      </w:pPr>
      <w:r>
        <w:rPr>
          <w:szCs w:val="24"/>
        </w:rPr>
        <w:br w:type="page"/>
      </w:r>
    </w:p>
    <w:p w:rsidR="00597613" w:rsidRDefault="00597613" w:rsidP="00BA5CFD">
      <w:pPr>
        <w:autoSpaceDE/>
        <w:autoSpaceDN/>
        <w:rPr>
          <w:szCs w:val="24"/>
        </w:rPr>
      </w:pPr>
      <w:r w:rsidRPr="007C4E34">
        <w:rPr>
          <w:szCs w:val="24"/>
        </w:rPr>
        <w:t>However, PPLICA states:</w:t>
      </w:r>
    </w:p>
    <w:p w:rsidR="00455319" w:rsidRPr="007C4E34" w:rsidRDefault="00455319" w:rsidP="00BA5CFD">
      <w:pPr>
        <w:autoSpaceDE/>
        <w:autoSpaceDN/>
        <w:rPr>
          <w:szCs w:val="24"/>
        </w:rPr>
      </w:pPr>
    </w:p>
    <w:p w:rsidR="00597613" w:rsidRPr="007C4E34" w:rsidRDefault="00597613" w:rsidP="008F4D40">
      <w:pPr>
        <w:autoSpaceDE/>
        <w:autoSpaceDN/>
        <w:spacing w:line="240" w:lineRule="auto"/>
        <w:ind w:left="1440" w:right="1440"/>
        <w:rPr>
          <w:szCs w:val="24"/>
        </w:rPr>
      </w:pPr>
      <w:r w:rsidRPr="007C4E34">
        <w:rPr>
          <w:szCs w:val="24"/>
        </w:rPr>
        <w:tab/>
        <w:t xml:space="preserve">A non-bypassable charge is an appropriate recover measure when costs to be recovered are limited to those reasonably attributable to the entire customer base.  </w:t>
      </w:r>
      <w:r w:rsidRPr="007C4E34">
        <w:rPr>
          <w:szCs w:val="24"/>
          <w:u w:val="single"/>
        </w:rPr>
        <w:t>See</w:t>
      </w:r>
      <w:r w:rsidRPr="007C4E34">
        <w:rPr>
          <w:i/>
          <w:szCs w:val="24"/>
          <w:u w:val="single"/>
        </w:rPr>
        <w:t xml:space="preserve"> </w:t>
      </w:r>
      <w:r w:rsidRPr="007C4E34">
        <w:rPr>
          <w:szCs w:val="24"/>
        </w:rPr>
        <w:t xml:space="preserve"> </w:t>
      </w:r>
      <w:r w:rsidRPr="007C4E34">
        <w:rPr>
          <w:szCs w:val="24"/>
          <w:u w:val="single"/>
        </w:rPr>
        <w:t>generally</w:t>
      </w:r>
      <w:r w:rsidRPr="007C4E34">
        <w:rPr>
          <w:szCs w:val="24"/>
        </w:rPr>
        <w:t xml:space="preserve"> Competition Act, 66 Pa C.S. § 2808.  The Competitive Transition Charges authorized by the Competition Act required all EDC distribution and transmission customers to pay for stranded generation costs incurred by EDCs prior to divesting their generation assets.  </w:t>
      </w:r>
      <w:r w:rsidRPr="007C4E34">
        <w:rPr>
          <w:szCs w:val="24"/>
          <w:u w:val="single"/>
        </w:rPr>
        <w:t>Id.</w:t>
      </w:r>
      <w:r w:rsidRPr="007C4E34">
        <w:rPr>
          <w:szCs w:val="24"/>
        </w:rPr>
        <w:t xml:space="preserve"> Unlike the GSC variances, PPL's TSC variances for Large C&amp;I customers predate the expiration of generation rate caps.  As demonstrated below, the current overcollection is attributable to the entire Large C&amp;I customer base.</w:t>
      </w:r>
    </w:p>
    <w:p w:rsidR="008F4D40" w:rsidRPr="007C4E34" w:rsidRDefault="008F4D40" w:rsidP="008F4D40">
      <w:pPr>
        <w:autoSpaceDE/>
        <w:autoSpaceDN/>
        <w:spacing w:line="240" w:lineRule="auto"/>
        <w:ind w:left="1440" w:right="1440"/>
        <w:rPr>
          <w:szCs w:val="24"/>
        </w:rPr>
      </w:pPr>
      <w:r w:rsidRPr="007C4E34">
        <w:rPr>
          <w:szCs w:val="24"/>
        </w:rPr>
        <w:t>PPLICA MB at 17.</w:t>
      </w:r>
    </w:p>
    <w:p w:rsidR="00597613" w:rsidRPr="007C4E34" w:rsidRDefault="00597613" w:rsidP="00BA5CFD">
      <w:pPr>
        <w:autoSpaceDE/>
        <w:autoSpaceDN/>
        <w:rPr>
          <w:szCs w:val="24"/>
        </w:rPr>
      </w:pPr>
    </w:p>
    <w:p w:rsidR="0083107C" w:rsidRPr="007C4E34" w:rsidRDefault="00496768" w:rsidP="00DF7E2A">
      <w:pPr>
        <w:autoSpaceDE/>
        <w:autoSpaceDN/>
        <w:ind w:left="1440"/>
        <w:rPr>
          <w:b/>
          <w:szCs w:val="24"/>
        </w:rPr>
      </w:pPr>
      <w:r w:rsidRPr="007C4E34">
        <w:rPr>
          <w:b/>
          <w:szCs w:val="24"/>
        </w:rPr>
        <w:t>c.</w:t>
      </w:r>
      <w:r w:rsidRPr="007C4E34">
        <w:rPr>
          <w:b/>
          <w:szCs w:val="24"/>
        </w:rPr>
        <w:tab/>
        <w:t>Recommendation</w:t>
      </w:r>
      <w:r w:rsidR="00DF7E2A">
        <w:rPr>
          <w:b/>
          <w:szCs w:val="24"/>
        </w:rPr>
        <w:fldChar w:fldCharType="begin"/>
      </w:r>
      <w:r w:rsidR="00DF7E2A">
        <w:instrText xml:space="preserve"> TC "</w:instrText>
      </w:r>
      <w:bookmarkStart w:id="14" w:name="_Toc320265371"/>
      <w:r w:rsidR="00DF7E2A" w:rsidRPr="00892090">
        <w:rPr>
          <w:b/>
          <w:szCs w:val="24"/>
        </w:rPr>
        <w:instrText>c.</w:instrText>
      </w:r>
      <w:r w:rsidR="00DF7E2A" w:rsidRPr="00892090">
        <w:rPr>
          <w:b/>
          <w:szCs w:val="24"/>
        </w:rPr>
        <w:tab/>
        <w:instrText>Recommendation</w:instrText>
      </w:r>
      <w:bookmarkEnd w:id="14"/>
      <w:r w:rsidR="00DF7E2A">
        <w:instrText xml:space="preserve">" \f C \l "4" </w:instrText>
      </w:r>
      <w:r w:rsidR="00DF7E2A">
        <w:rPr>
          <w:b/>
          <w:szCs w:val="24"/>
        </w:rPr>
        <w:fldChar w:fldCharType="end"/>
      </w:r>
    </w:p>
    <w:p w:rsidR="0083107C" w:rsidRPr="007C4E34" w:rsidRDefault="0083107C" w:rsidP="00BA5CFD">
      <w:pPr>
        <w:autoSpaceDE/>
        <w:autoSpaceDN/>
        <w:rPr>
          <w:b/>
          <w:szCs w:val="24"/>
        </w:rPr>
      </w:pPr>
    </w:p>
    <w:p w:rsidR="00B12A51" w:rsidRPr="007C4E34" w:rsidRDefault="0083107C" w:rsidP="00BA5CFD">
      <w:pPr>
        <w:autoSpaceDE/>
        <w:autoSpaceDN/>
        <w:rPr>
          <w:szCs w:val="24"/>
        </w:rPr>
      </w:pPr>
      <w:r w:rsidRPr="007C4E34">
        <w:rPr>
          <w:szCs w:val="24"/>
        </w:rPr>
        <w:tab/>
      </w:r>
      <w:r w:rsidRPr="007C4E34">
        <w:rPr>
          <w:szCs w:val="24"/>
        </w:rPr>
        <w:tab/>
        <w:t xml:space="preserve">The opposing parties' arguments are persuasive.  </w:t>
      </w:r>
      <w:r w:rsidR="00D349E8" w:rsidRPr="007C4E34">
        <w:rPr>
          <w:szCs w:val="24"/>
        </w:rPr>
        <w:t xml:space="preserve">Unlike the RR, where there is a scrupulous effort to assign the over/under collection to the ratepayers using the corresponding electricity as default customers, this mechanism, as described, does not differentiate between default and shopping customers or make an attempt to align cost causation with the parties responsible for the costs.  On its face, it appears to violate the statute and the regulation requiring the </w:t>
      </w:r>
      <w:r w:rsidR="00B12A51" w:rsidRPr="007C4E34">
        <w:rPr>
          <w:szCs w:val="24"/>
        </w:rPr>
        <w:t xml:space="preserve">cost of default service to be borne by the default service customers.  </w:t>
      </w:r>
    </w:p>
    <w:p w:rsidR="00B12A51" w:rsidRPr="007C4E34" w:rsidRDefault="00B12A51" w:rsidP="00BA5CFD">
      <w:pPr>
        <w:autoSpaceDE/>
        <w:autoSpaceDN/>
        <w:rPr>
          <w:szCs w:val="24"/>
        </w:rPr>
      </w:pPr>
    </w:p>
    <w:p w:rsidR="0083107C" w:rsidRPr="007C4E34" w:rsidRDefault="00B12A51" w:rsidP="00BA5CFD">
      <w:pPr>
        <w:autoSpaceDE/>
        <w:autoSpaceDN/>
        <w:rPr>
          <w:szCs w:val="24"/>
        </w:rPr>
      </w:pPr>
      <w:r w:rsidRPr="007C4E34">
        <w:rPr>
          <w:szCs w:val="24"/>
        </w:rPr>
        <w:tab/>
      </w:r>
      <w:r w:rsidRPr="007C4E34">
        <w:rPr>
          <w:szCs w:val="24"/>
        </w:rPr>
        <w:tab/>
      </w:r>
      <w:r w:rsidR="0083107C" w:rsidRPr="007C4E34">
        <w:rPr>
          <w:szCs w:val="24"/>
        </w:rPr>
        <w:t xml:space="preserve">As tempting as it is to </w:t>
      </w:r>
      <w:r w:rsidRPr="007C4E34">
        <w:rPr>
          <w:szCs w:val="24"/>
        </w:rPr>
        <w:t>create</w:t>
      </w:r>
      <w:r w:rsidR="0083107C" w:rsidRPr="007C4E34">
        <w:rPr>
          <w:szCs w:val="24"/>
        </w:rPr>
        <w:t xml:space="preserve"> a "clean slate" by setting a period of time to clean up any "historic" under recovery, there is no evidence to support the need for this mechanism.  OSBA's argument that the numbers that we do know do not support </w:t>
      </w:r>
      <w:r w:rsidR="009B7FB4" w:rsidRPr="007C4E34">
        <w:rPr>
          <w:szCs w:val="24"/>
        </w:rPr>
        <w:t>the need, makes sense</w:t>
      </w:r>
      <w:r w:rsidR="0083107C" w:rsidRPr="007C4E34">
        <w:rPr>
          <w:szCs w:val="24"/>
        </w:rPr>
        <w:t>.  Further, if we do not know the numbers, then we do not know when the under recovery occurred, and therefore, we do not know if it is fair and equitable to assess shopping customers for its recovery.  The Company states that there is no way to know what the number is.  Similarly, there is no way to be sure that the mechanism is necessary to aid in the Company's recovery.  This request may simply be premature.  The Company has not supported its claim</w:t>
      </w:r>
      <w:r w:rsidR="009B7FB4" w:rsidRPr="007C4E34">
        <w:rPr>
          <w:szCs w:val="24"/>
        </w:rPr>
        <w:t xml:space="preserve"> of need</w:t>
      </w:r>
      <w:r w:rsidR="0083107C" w:rsidRPr="007C4E34">
        <w:rPr>
          <w:szCs w:val="24"/>
        </w:rPr>
        <w:t xml:space="preserve"> for this mechanism.  </w:t>
      </w:r>
      <w:r w:rsidR="008F4D40" w:rsidRPr="007C4E34">
        <w:rPr>
          <w:szCs w:val="24"/>
        </w:rPr>
        <w:t>While the Company is entitled to full recovery of its cost of providing service, it must prove that those costs are reasonable, and must be able to quantify the costs as well.  The Company has not done so here.</w:t>
      </w:r>
      <w:r w:rsidR="00112816" w:rsidRPr="007C4E34">
        <w:rPr>
          <w:szCs w:val="24"/>
        </w:rPr>
        <w:t xml:space="preserve">  Denial of this portion of the Petition should be without prejudice as the Company is entitled to recoup those costs that it can show are reasonable if it can propose a method which results in a reasonable rate and does not violate the regulations or statute.</w:t>
      </w:r>
    </w:p>
    <w:p w:rsidR="0083107C" w:rsidRPr="007C4E34" w:rsidRDefault="0083107C" w:rsidP="00BA5CFD">
      <w:pPr>
        <w:autoSpaceDE/>
        <w:autoSpaceDN/>
        <w:rPr>
          <w:szCs w:val="24"/>
        </w:rPr>
      </w:pPr>
    </w:p>
    <w:p w:rsidR="00E35ECD" w:rsidRPr="007C4E34" w:rsidRDefault="00E35ECD" w:rsidP="00DD32C0">
      <w:pPr>
        <w:spacing w:line="240" w:lineRule="auto"/>
        <w:ind w:firstLine="720"/>
        <w:rPr>
          <w:b/>
          <w:szCs w:val="24"/>
        </w:rPr>
      </w:pPr>
      <w:r w:rsidRPr="007C4E34">
        <w:rPr>
          <w:b/>
          <w:szCs w:val="24"/>
        </w:rPr>
        <w:t>3.</w:t>
      </w:r>
      <w:r w:rsidRPr="007C4E34">
        <w:rPr>
          <w:b/>
          <w:szCs w:val="24"/>
        </w:rPr>
        <w:tab/>
        <w:t>Inclusion of the Residential and Small C&amp;I TOU program over and under collections in the RR and CTR rates applicable to the respective Residential and Small C&amp;I customer classes</w:t>
      </w:r>
      <w:r w:rsidR="00E77EC5">
        <w:rPr>
          <w:b/>
          <w:szCs w:val="24"/>
        </w:rPr>
        <w:fldChar w:fldCharType="begin"/>
      </w:r>
      <w:r w:rsidR="00E77EC5">
        <w:instrText xml:space="preserve"> TC "</w:instrText>
      </w:r>
      <w:bookmarkStart w:id="15" w:name="_Toc320265372"/>
      <w:r w:rsidR="00E77EC5" w:rsidRPr="00540968">
        <w:rPr>
          <w:b/>
          <w:szCs w:val="24"/>
        </w:rPr>
        <w:instrText>3.</w:instrText>
      </w:r>
      <w:r w:rsidR="00E77EC5" w:rsidRPr="00540968">
        <w:rPr>
          <w:b/>
          <w:szCs w:val="24"/>
        </w:rPr>
        <w:tab/>
        <w:instrText>Inclusion of the Residential and Small C&amp;I TOU program over and under collections in the RR and CTR rates applicable to the respective Residential and Small C&amp;I customer classes</w:instrText>
      </w:r>
      <w:bookmarkEnd w:id="15"/>
      <w:r w:rsidR="00E77EC5">
        <w:instrText>" \f C \l "</w:instrText>
      </w:r>
      <w:r w:rsidR="004F1A21">
        <w:instrText>3</w:instrText>
      </w:r>
      <w:r w:rsidR="00E77EC5">
        <w:instrText xml:space="preserve">" </w:instrText>
      </w:r>
      <w:r w:rsidR="00E77EC5">
        <w:rPr>
          <w:b/>
          <w:szCs w:val="24"/>
        </w:rPr>
        <w:fldChar w:fldCharType="end"/>
      </w:r>
    </w:p>
    <w:p w:rsidR="00E35ECD" w:rsidRPr="007C4E34" w:rsidRDefault="00E35ECD" w:rsidP="00E35ECD">
      <w:pPr>
        <w:ind w:left="720"/>
        <w:rPr>
          <w:szCs w:val="24"/>
        </w:rPr>
      </w:pPr>
    </w:p>
    <w:p w:rsidR="00A50A59" w:rsidRPr="007C4E34" w:rsidRDefault="00A50A59" w:rsidP="00DD32C0">
      <w:pPr>
        <w:ind w:left="1440"/>
        <w:rPr>
          <w:b/>
          <w:szCs w:val="24"/>
        </w:rPr>
      </w:pPr>
      <w:r w:rsidRPr="007C4E34">
        <w:rPr>
          <w:b/>
          <w:szCs w:val="24"/>
        </w:rPr>
        <w:t>a.</w:t>
      </w:r>
      <w:r w:rsidRPr="007C4E34">
        <w:rPr>
          <w:b/>
          <w:szCs w:val="24"/>
        </w:rPr>
        <w:tab/>
        <w:t>Description</w:t>
      </w:r>
      <w:r w:rsidR="00E77EC5">
        <w:rPr>
          <w:b/>
          <w:szCs w:val="24"/>
        </w:rPr>
        <w:fldChar w:fldCharType="begin"/>
      </w:r>
      <w:r w:rsidR="00E77EC5">
        <w:instrText xml:space="preserve"> TC "</w:instrText>
      </w:r>
      <w:bookmarkStart w:id="16" w:name="_Toc320265373"/>
      <w:r w:rsidR="00E77EC5" w:rsidRPr="00540968">
        <w:rPr>
          <w:b/>
          <w:szCs w:val="24"/>
        </w:rPr>
        <w:instrText>a.</w:instrText>
      </w:r>
      <w:r w:rsidR="00E77EC5" w:rsidRPr="00540968">
        <w:rPr>
          <w:b/>
          <w:szCs w:val="24"/>
        </w:rPr>
        <w:tab/>
        <w:instrText>Description</w:instrText>
      </w:r>
      <w:bookmarkEnd w:id="16"/>
      <w:r w:rsidR="00E77EC5">
        <w:instrText>" \f C \l "</w:instrText>
      </w:r>
      <w:r w:rsidR="004F1A21">
        <w:instrText>4</w:instrText>
      </w:r>
      <w:r w:rsidR="00E77EC5">
        <w:instrText xml:space="preserve">" </w:instrText>
      </w:r>
      <w:r w:rsidR="00E77EC5">
        <w:rPr>
          <w:b/>
          <w:szCs w:val="24"/>
        </w:rPr>
        <w:fldChar w:fldCharType="end"/>
      </w:r>
      <w:r w:rsidRPr="007C4E34">
        <w:rPr>
          <w:b/>
          <w:szCs w:val="24"/>
        </w:rPr>
        <w:t xml:space="preserve"> </w:t>
      </w:r>
    </w:p>
    <w:p w:rsidR="00A50A59" w:rsidRPr="007C4E34" w:rsidRDefault="00A50A59" w:rsidP="00E35ECD">
      <w:pPr>
        <w:ind w:left="720"/>
        <w:rPr>
          <w:b/>
          <w:szCs w:val="24"/>
        </w:rPr>
      </w:pPr>
    </w:p>
    <w:p w:rsidR="003332BF" w:rsidRPr="007C4E34" w:rsidRDefault="003332BF" w:rsidP="00E35ECD">
      <w:pPr>
        <w:ind w:left="720"/>
        <w:rPr>
          <w:szCs w:val="24"/>
        </w:rPr>
      </w:pPr>
      <w:r w:rsidRPr="007C4E34">
        <w:rPr>
          <w:szCs w:val="24"/>
        </w:rPr>
        <w:tab/>
        <w:t>PPL Electric explains its dilemma:</w:t>
      </w:r>
    </w:p>
    <w:p w:rsidR="003332BF" w:rsidRPr="007C4E34" w:rsidRDefault="003332BF" w:rsidP="00E35ECD">
      <w:pPr>
        <w:ind w:left="720"/>
        <w:rPr>
          <w:szCs w:val="24"/>
        </w:rPr>
      </w:pPr>
    </w:p>
    <w:p w:rsidR="003332BF" w:rsidRDefault="003332BF" w:rsidP="00A50A59">
      <w:pPr>
        <w:spacing w:line="240" w:lineRule="auto"/>
        <w:ind w:left="1440" w:right="1440"/>
        <w:rPr>
          <w:szCs w:val="24"/>
        </w:rPr>
      </w:pPr>
      <w:r w:rsidRPr="007C4E34">
        <w:rPr>
          <w:szCs w:val="24"/>
        </w:rPr>
        <w:tab/>
        <w:t xml:space="preserve">On September 23, 2010, PPL Electric filed its current default service TOU plan with the Commission at Docket No. R-2010-2201138.  Therein, PPL Electric proposed to set default service TOU rates based upon market quotes on forward contracts for on-peak and off-peak wholesale energy within the PPL Zone for the relevant period.  PPL Electric also proposed to use the historical variation in Locational Marginal Prices to develop hourly prices and then develop on-peak and off-peak TOU rates based upon these hourly prices.  No party objected to this methodology and the Commission approved this methodology in its Order entered on December 2, 2010.  </w:t>
      </w:r>
      <w:r w:rsidR="00A50A59" w:rsidRPr="007C4E34">
        <w:rPr>
          <w:i/>
          <w:szCs w:val="24"/>
        </w:rPr>
        <w:t>See Pa. P</w:t>
      </w:r>
      <w:r w:rsidRPr="007C4E34">
        <w:rPr>
          <w:i/>
          <w:szCs w:val="24"/>
        </w:rPr>
        <w:t>.U.C. v. PPL Electric Utilities Corporation,</w:t>
      </w:r>
      <w:r w:rsidRPr="007C4E34">
        <w:rPr>
          <w:szCs w:val="24"/>
        </w:rPr>
        <w:t xml:space="preserve"> Docket No. R-2009-2122718 (March 9, 2010).  PPL St. 1-R, p. 30-31.</w:t>
      </w:r>
    </w:p>
    <w:p w:rsidR="00455319" w:rsidRPr="007C4E34" w:rsidRDefault="00455319" w:rsidP="00A50A59">
      <w:pPr>
        <w:spacing w:line="240" w:lineRule="auto"/>
        <w:ind w:left="1440" w:right="1440"/>
        <w:rPr>
          <w:szCs w:val="24"/>
        </w:rPr>
      </w:pPr>
    </w:p>
    <w:p w:rsidR="003332BF" w:rsidRDefault="003332BF" w:rsidP="00A50A59">
      <w:pPr>
        <w:spacing w:line="240" w:lineRule="auto"/>
        <w:ind w:left="1440" w:right="1440"/>
        <w:rPr>
          <w:szCs w:val="24"/>
        </w:rPr>
      </w:pPr>
      <w:r w:rsidRPr="007C4E34">
        <w:rPr>
          <w:szCs w:val="24"/>
        </w:rPr>
        <w:tab/>
        <w:t>PPL Electric followed all of the requirements of its Commission-approved tariff when it submitted the proposed 2011 default service</w:t>
      </w:r>
      <w:r w:rsidR="00A50A59" w:rsidRPr="007C4E34">
        <w:rPr>
          <w:szCs w:val="24"/>
        </w:rPr>
        <w:t xml:space="preserve"> TOU rates for the Residential and Small C&amp;I customer classes to the Commission for review on December 1, 2010, and again on December 14, 2010.  In a Secretarial Letter dated December 16, 2010, the Commission approved PPL Electric's proposed rates and directed it to file, by December 17, 2010, the appropriate tariff supplement to become effective for service rendered on and after January 1, 2011.  PPL St. 1-R, p. 30-31.</w:t>
      </w:r>
    </w:p>
    <w:p w:rsidR="00455319" w:rsidRPr="007C4E34" w:rsidRDefault="00455319" w:rsidP="00A50A59">
      <w:pPr>
        <w:spacing w:line="240" w:lineRule="auto"/>
        <w:ind w:left="1440" w:right="1440"/>
        <w:rPr>
          <w:szCs w:val="24"/>
        </w:rPr>
      </w:pPr>
    </w:p>
    <w:p w:rsidR="00A50A59" w:rsidRDefault="00A50A59" w:rsidP="00A50A59">
      <w:pPr>
        <w:spacing w:line="240" w:lineRule="auto"/>
        <w:ind w:left="1440" w:right="1440"/>
        <w:rPr>
          <w:szCs w:val="24"/>
        </w:rPr>
      </w:pPr>
      <w:r w:rsidRPr="007C4E34">
        <w:rPr>
          <w:szCs w:val="24"/>
        </w:rPr>
        <w:tab/>
        <w:t>PPL Electric has little discretion to set, or under estimate, the default service TOU rates.  PPL Electric's default service TOU rates were established pursuant to the TOU proceeding and the terms and conditions of the Commission-approved TOU tariff provisions.  Pursuant thereto, the default service TOU rates were determined by applying the publicly available NYMEX prices to the load profiles that were approved by the Commission in PPL Electric'</w:t>
      </w:r>
      <w:r w:rsidR="001B0CCD">
        <w:rPr>
          <w:szCs w:val="24"/>
        </w:rPr>
        <w:t>s</w:t>
      </w:r>
      <w:r w:rsidRPr="007C4E34">
        <w:rPr>
          <w:szCs w:val="24"/>
        </w:rPr>
        <w:t xml:space="preserve"> TOU plan.  Tr. 62.</w:t>
      </w:r>
    </w:p>
    <w:p w:rsidR="00455319" w:rsidRPr="007C4E34" w:rsidRDefault="00455319" w:rsidP="00A50A59">
      <w:pPr>
        <w:spacing w:line="240" w:lineRule="auto"/>
        <w:ind w:left="1440" w:right="1440"/>
        <w:rPr>
          <w:szCs w:val="24"/>
        </w:rPr>
      </w:pPr>
    </w:p>
    <w:p w:rsidR="00A50A59" w:rsidRDefault="00A50A59" w:rsidP="00A50A59">
      <w:pPr>
        <w:spacing w:line="240" w:lineRule="auto"/>
        <w:ind w:left="1440" w:right="1440"/>
        <w:rPr>
          <w:szCs w:val="24"/>
        </w:rPr>
      </w:pPr>
      <w:r w:rsidRPr="007C4E34">
        <w:rPr>
          <w:szCs w:val="24"/>
        </w:rPr>
        <w:tab/>
        <w:t xml:space="preserve">PPL Electric was required to submit the proposed 2011 default service TOU rates for the Residential and Small C&amp;I customer classes to the Commission for review on December 1, 2010, and again on December 14, 2010.  PPL Electric therefore waited until late November 2010 to obtain the most current NYMEX prices to be submitted with its proposed 2011 TOU rates.  The Commission approved the proposed default service TOU rates and they became effective on January 1, 2011.  However, due to unrest in Libya and global market conditions, oil prices spiked in February 2011 to their highest levels in over two years.  </w:t>
      </w:r>
      <w:r w:rsidR="001B0CCD">
        <w:rPr>
          <w:szCs w:val="24"/>
        </w:rPr>
        <w:t>Th</w:t>
      </w:r>
      <w:r w:rsidRPr="007C4E34">
        <w:rPr>
          <w:szCs w:val="24"/>
        </w:rPr>
        <w:t>is created a significant differential between the actual market prices paid by PPL Electric and the pricing information included in the Commission-approved default service TOU rates.  Tr. 63.</w:t>
      </w:r>
    </w:p>
    <w:p w:rsidR="00455319" w:rsidRPr="007C4E34" w:rsidRDefault="00455319" w:rsidP="00A50A59">
      <w:pPr>
        <w:spacing w:line="240" w:lineRule="auto"/>
        <w:ind w:left="1440" w:right="1440"/>
        <w:rPr>
          <w:szCs w:val="24"/>
        </w:rPr>
      </w:pPr>
    </w:p>
    <w:p w:rsidR="00A50A59" w:rsidRPr="007C4E34" w:rsidRDefault="00A50A59" w:rsidP="00A50A59">
      <w:pPr>
        <w:spacing w:line="240" w:lineRule="auto"/>
        <w:ind w:left="1440" w:right="1440"/>
        <w:rPr>
          <w:szCs w:val="24"/>
        </w:rPr>
      </w:pPr>
      <w:r w:rsidRPr="007C4E34">
        <w:rPr>
          <w:szCs w:val="24"/>
        </w:rPr>
        <w:tab/>
        <w:t>Clearly, PPL Electric has experienced significant under collections related to its Residential and Small C&amp;I TOU programs.  These under collections were not the result of PPL Electric intentionally or negligently estimating its default service TOU rates as Dominion alleges but, rather, due to timing of PPL Electric's TOU program and global market changes that were beyond PPL Electric's control and which could not be predicted.</w:t>
      </w:r>
    </w:p>
    <w:p w:rsidR="00A50A59" w:rsidRPr="007C4E34" w:rsidRDefault="00A50A59" w:rsidP="00A50A59">
      <w:pPr>
        <w:spacing w:line="240" w:lineRule="auto"/>
        <w:ind w:left="1440" w:right="1440"/>
        <w:rPr>
          <w:szCs w:val="24"/>
        </w:rPr>
      </w:pPr>
      <w:r w:rsidRPr="007C4E34">
        <w:rPr>
          <w:szCs w:val="24"/>
        </w:rPr>
        <w:t>PPL Electric MB at 53-54.</w:t>
      </w:r>
    </w:p>
    <w:p w:rsidR="00A50A59" w:rsidRPr="007C4E34" w:rsidRDefault="00A50A59" w:rsidP="00EA549A">
      <w:pPr>
        <w:rPr>
          <w:szCs w:val="24"/>
        </w:rPr>
      </w:pPr>
    </w:p>
    <w:p w:rsidR="00A50A59" w:rsidRPr="00455319" w:rsidRDefault="000239A5" w:rsidP="000239A5">
      <w:pPr>
        <w:pStyle w:val="ListParagraph"/>
        <w:ind w:left="1440"/>
        <w:rPr>
          <w:b/>
          <w:szCs w:val="24"/>
        </w:rPr>
      </w:pPr>
      <w:r>
        <w:rPr>
          <w:b/>
          <w:szCs w:val="24"/>
        </w:rPr>
        <w:t>b.</w:t>
      </w:r>
      <w:r>
        <w:rPr>
          <w:b/>
          <w:szCs w:val="24"/>
        </w:rPr>
        <w:tab/>
      </w:r>
      <w:r w:rsidR="00A50A59" w:rsidRPr="00455319">
        <w:rPr>
          <w:b/>
          <w:szCs w:val="24"/>
        </w:rPr>
        <w:t>Party positions</w:t>
      </w:r>
      <w:r>
        <w:rPr>
          <w:b/>
          <w:szCs w:val="24"/>
        </w:rPr>
        <w:fldChar w:fldCharType="begin"/>
      </w:r>
      <w:r>
        <w:instrText xml:space="preserve"> TC "</w:instrText>
      </w:r>
      <w:bookmarkStart w:id="17" w:name="_Toc320265374"/>
      <w:r w:rsidRPr="00A7772A">
        <w:rPr>
          <w:b/>
          <w:szCs w:val="24"/>
        </w:rPr>
        <w:instrText>b.</w:instrText>
      </w:r>
      <w:r w:rsidRPr="00A7772A">
        <w:rPr>
          <w:b/>
          <w:szCs w:val="24"/>
        </w:rPr>
        <w:tab/>
        <w:instrText>Party positions</w:instrText>
      </w:r>
      <w:bookmarkEnd w:id="17"/>
      <w:r>
        <w:instrText xml:space="preserve">" \f C \l "4" </w:instrText>
      </w:r>
      <w:r>
        <w:rPr>
          <w:b/>
          <w:szCs w:val="24"/>
        </w:rPr>
        <w:fldChar w:fldCharType="end"/>
      </w:r>
    </w:p>
    <w:p w:rsidR="00A50A59" w:rsidRPr="007C4E34" w:rsidRDefault="00A50A59" w:rsidP="00EA549A">
      <w:pPr>
        <w:rPr>
          <w:b/>
          <w:szCs w:val="24"/>
        </w:rPr>
      </w:pPr>
    </w:p>
    <w:p w:rsidR="00EA549A" w:rsidRPr="007C4E34" w:rsidRDefault="00A50A59" w:rsidP="00EA549A">
      <w:pPr>
        <w:rPr>
          <w:szCs w:val="24"/>
        </w:rPr>
      </w:pPr>
      <w:r w:rsidRPr="007C4E34">
        <w:rPr>
          <w:b/>
          <w:szCs w:val="24"/>
        </w:rPr>
        <w:tab/>
      </w:r>
      <w:r w:rsidRPr="007C4E34">
        <w:rPr>
          <w:b/>
          <w:szCs w:val="24"/>
        </w:rPr>
        <w:tab/>
      </w:r>
      <w:r w:rsidR="00EA549A" w:rsidRPr="007C4E34">
        <w:rPr>
          <w:szCs w:val="24"/>
        </w:rPr>
        <w:t>The Commission's Bureau of I&amp;E avers that the TOU program is not a default service program because it requires active election by the participants</w:t>
      </w:r>
      <w:r w:rsidR="00E1197F" w:rsidRPr="007C4E34">
        <w:rPr>
          <w:szCs w:val="24"/>
        </w:rPr>
        <w:t xml:space="preserve">, unlike true default service, and therefore, it should not be included in the other programs for reconciliation.  It avers further that the Company has failed to meet its burden of proving that the TOU is a default program, and therefore, it is not automatically entitled to recover its costs in implementing it.  </w:t>
      </w:r>
    </w:p>
    <w:p w:rsidR="00E1197F" w:rsidRPr="007C4E34" w:rsidRDefault="00E1197F" w:rsidP="00EA549A">
      <w:pPr>
        <w:rPr>
          <w:szCs w:val="24"/>
        </w:rPr>
      </w:pPr>
    </w:p>
    <w:p w:rsidR="00E1197F" w:rsidRPr="007C4E34" w:rsidRDefault="00E1197F" w:rsidP="00322E4D">
      <w:pPr>
        <w:spacing w:line="240" w:lineRule="auto"/>
        <w:ind w:left="1440" w:right="1440"/>
        <w:rPr>
          <w:szCs w:val="24"/>
        </w:rPr>
      </w:pPr>
      <w:r w:rsidRPr="007C4E34">
        <w:rPr>
          <w:szCs w:val="24"/>
        </w:rPr>
        <w:t>Only the reasonable costs associated with default service are eligible for recovery.  As the Company has failed to meet the evidentiary standard in support of the characterization of the TOU program as default service, any revenue discrepancies are at the risk of the Company and/or customer.  Choosing TOU rates is no different than choosing an alternative supplier.  The customer makes the representation as to how they wish to receive service.</w:t>
      </w:r>
    </w:p>
    <w:p w:rsidR="00E1197F" w:rsidRPr="007C4E34" w:rsidRDefault="00E1197F" w:rsidP="00322E4D">
      <w:pPr>
        <w:spacing w:line="240" w:lineRule="auto"/>
        <w:ind w:left="1440" w:right="1440"/>
        <w:rPr>
          <w:szCs w:val="24"/>
        </w:rPr>
      </w:pPr>
    </w:p>
    <w:p w:rsidR="00306AED" w:rsidRPr="007C4E34" w:rsidRDefault="008F7843" w:rsidP="00322E4D">
      <w:pPr>
        <w:autoSpaceDE/>
        <w:autoSpaceDN/>
        <w:spacing w:line="240" w:lineRule="auto"/>
        <w:ind w:left="1440" w:right="1440"/>
        <w:rPr>
          <w:szCs w:val="24"/>
        </w:rPr>
      </w:pPr>
      <w:r w:rsidRPr="007C4E34">
        <w:rPr>
          <w:szCs w:val="24"/>
        </w:rPr>
        <w:tab/>
        <w:t xml:space="preserve">I note that I&amp;E charges that the Company's TOU program was flawed to the point of being unreasonable, and that the Company should have known that it would develop problems.  I&amp;E MB at 12.  </w:t>
      </w:r>
    </w:p>
    <w:p w:rsidR="00306AED" w:rsidRPr="007C4E34" w:rsidRDefault="00306AED" w:rsidP="00322E4D">
      <w:pPr>
        <w:autoSpaceDE/>
        <w:autoSpaceDN/>
        <w:spacing w:line="240" w:lineRule="auto"/>
        <w:ind w:left="1440" w:right="1440"/>
        <w:rPr>
          <w:szCs w:val="24"/>
        </w:rPr>
      </w:pPr>
    </w:p>
    <w:p w:rsidR="008F7843" w:rsidRPr="007C4E34" w:rsidRDefault="008F7843" w:rsidP="00322E4D">
      <w:pPr>
        <w:autoSpaceDE/>
        <w:autoSpaceDN/>
        <w:spacing w:line="240" w:lineRule="auto"/>
        <w:ind w:left="1440" w:right="1440"/>
        <w:rPr>
          <w:szCs w:val="24"/>
        </w:rPr>
      </w:pPr>
      <w:r w:rsidRPr="007C4E34">
        <w:rPr>
          <w:szCs w:val="24"/>
        </w:rPr>
        <w:t xml:space="preserve">There is no development of this allegation. </w:t>
      </w:r>
    </w:p>
    <w:p w:rsidR="008F7843" w:rsidRPr="007C4E34" w:rsidRDefault="008F7843" w:rsidP="00322E4D">
      <w:pPr>
        <w:autoSpaceDE/>
        <w:autoSpaceDN/>
        <w:spacing w:line="240" w:lineRule="auto"/>
        <w:ind w:left="1440" w:right="1440"/>
        <w:rPr>
          <w:szCs w:val="24"/>
        </w:rPr>
      </w:pPr>
    </w:p>
    <w:p w:rsidR="008F7843" w:rsidRPr="007C4E34" w:rsidRDefault="008F7843" w:rsidP="00322E4D">
      <w:pPr>
        <w:spacing w:line="240" w:lineRule="auto"/>
        <w:ind w:left="1440" w:right="1440"/>
        <w:rPr>
          <w:szCs w:val="24"/>
        </w:rPr>
      </w:pPr>
      <w:r w:rsidRPr="007C4E34">
        <w:rPr>
          <w:szCs w:val="24"/>
        </w:rPr>
        <w:tab/>
        <w:t>I&amp;E maintains that the Company's TOU option is not default service.  As a result, the costs associated with this program should not be included in any proposed Riders.  As the CTR is solely for an historical under-collection, its implementation should be denied.</w:t>
      </w:r>
    </w:p>
    <w:p w:rsidR="008F7843" w:rsidRPr="007C4E34" w:rsidRDefault="008F7843" w:rsidP="00322E4D">
      <w:pPr>
        <w:spacing w:line="240" w:lineRule="auto"/>
        <w:ind w:left="1440" w:right="1440"/>
        <w:rPr>
          <w:szCs w:val="24"/>
        </w:rPr>
      </w:pPr>
      <w:r w:rsidRPr="007C4E34">
        <w:rPr>
          <w:szCs w:val="24"/>
        </w:rPr>
        <w:t>I&amp;E MB at 9-10</w:t>
      </w:r>
    </w:p>
    <w:p w:rsidR="00EA549A" w:rsidRPr="007C4E34" w:rsidRDefault="00EA549A" w:rsidP="00E35ECD">
      <w:pPr>
        <w:ind w:left="720"/>
        <w:rPr>
          <w:szCs w:val="24"/>
        </w:rPr>
      </w:pPr>
    </w:p>
    <w:p w:rsidR="00AA3C3C" w:rsidRPr="007C4E34" w:rsidRDefault="00AA3C3C" w:rsidP="00AA3C3C">
      <w:pPr>
        <w:rPr>
          <w:szCs w:val="24"/>
        </w:rPr>
      </w:pPr>
      <w:r w:rsidRPr="007C4E34">
        <w:rPr>
          <w:b/>
          <w:szCs w:val="24"/>
        </w:rPr>
        <w:tab/>
      </w:r>
      <w:r w:rsidRPr="007C4E34">
        <w:rPr>
          <w:b/>
          <w:szCs w:val="24"/>
        </w:rPr>
        <w:tab/>
      </w:r>
      <w:r w:rsidRPr="007C4E34">
        <w:rPr>
          <w:szCs w:val="24"/>
        </w:rPr>
        <w:t xml:space="preserve">The OCA fully supports the recovery of the TOU costs through the CTR but points out a distinction that other parties do not develop.  While PPL Electric is unquestionably a default service provider, 66 Pa. C.S. § 2803, and the time of use program was </w:t>
      </w:r>
      <w:r w:rsidR="00190D8F" w:rsidRPr="007C4E34">
        <w:rPr>
          <w:szCs w:val="24"/>
        </w:rPr>
        <w:t>required to be developed by it, 66 Pa. C.S. § 2807(f)(5), the program itself is no</w:t>
      </w:r>
      <w:r w:rsidR="00F128B8">
        <w:rPr>
          <w:szCs w:val="24"/>
        </w:rPr>
        <w:t>t default service.  OCA RB at 2</w:t>
      </w:r>
      <w:r w:rsidR="00F128B8">
        <w:rPr>
          <w:szCs w:val="24"/>
        </w:rPr>
        <w:noBreakHyphen/>
      </w:r>
      <w:r w:rsidR="00190D8F" w:rsidRPr="007C4E34">
        <w:rPr>
          <w:szCs w:val="24"/>
        </w:rPr>
        <w:t>3.  However, Company actions have been responsible and recovery of costs is warranted:</w:t>
      </w:r>
    </w:p>
    <w:p w:rsidR="00190D8F" w:rsidRPr="007C4E34" w:rsidRDefault="00190D8F" w:rsidP="00AA3C3C">
      <w:pPr>
        <w:rPr>
          <w:szCs w:val="24"/>
        </w:rPr>
      </w:pPr>
    </w:p>
    <w:p w:rsidR="00190D8F" w:rsidRDefault="00190D8F" w:rsidP="0082147C">
      <w:pPr>
        <w:spacing w:line="240" w:lineRule="auto"/>
        <w:ind w:left="1440" w:right="1440"/>
        <w:rPr>
          <w:szCs w:val="24"/>
        </w:rPr>
      </w:pPr>
      <w:r w:rsidRPr="007C4E34">
        <w:rPr>
          <w:szCs w:val="24"/>
        </w:rPr>
        <w:t>The Company has an obligation under Act 129, as a DSP with smart meters in place in its service territory, to offer customers a TOU rate by filing a plan that included a time of use rate option</w:t>
      </w:r>
      <w:r w:rsidR="00E027E6" w:rsidRPr="007C4E34">
        <w:rPr>
          <w:szCs w:val="24"/>
        </w:rPr>
        <w:t>.  The Company filed such a plan and the Commission approved it.  The Company administered its Commission-approved TOU program, consistent with its tariff.  The current under collection of costs resulted from operation within that tariff.</w:t>
      </w:r>
    </w:p>
    <w:p w:rsidR="00E352B0" w:rsidRPr="007C4E34" w:rsidRDefault="00E352B0" w:rsidP="0082147C">
      <w:pPr>
        <w:spacing w:line="240" w:lineRule="auto"/>
        <w:ind w:left="1440" w:right="1440"/>
        <w:rPr>
          <w:szCs w:val="24"/>
        </w:rPr>
      </w:pPr>
    </w:p>
    <w:p w:rsidR="00E027E6" w:rsidRPr="007C4E34" w:rsidRDefault="00E027E6" w:rsidP="00E027E6">
      <w:pPr>
        <w:spacing w:line="240" w:lineRule="auto"/>
        <w:ind w:left="1440" w:right="1440"/>
        <w:rPr>
          <w:szCs w:val="24"/>
        </w:rPr>
      </w:pPr>
      <w:r w:rsidRPr="007C4E34">
        <w:rPr>
          <w:szCs w:val="24"/>
        </w:rPr>
        <w:tab/>
        <w:t>In addition, the Company had in place a Commission-approved mechanism to continue to collect the under collection from the remaining residential TOU customers.  The Company made a filing under the existing approved tariff and voluntarily asked for a suspension of existing rates in order to protect the existing TOU customers form experiencing an unreasonable rate shock on September 1, 2011.  The Commission issued an Order suspending the rates on August 25, 2011.  The Company has complied with the Commission's suspension order and filed a revised TOU program going forward in the fall of 2012.  Given the actions of the Company to date, the OCA submits that the collection of the historic TOU costs through the CTR resulting from the TOU offering is just and reasonable.</w:t>
      </w:r>
    </w:p>
    <w:p w:rsidR="00E027E6" w:rsidRPr="007C4E34" w:rsidRDefault="00E027E6" w:rsidP="00E027E6">
      <w:pPr>
        <w:spacing w:line="240" w:lineRule="auto"/>
        <w:ind w:left="1440" w:right="1440"/>
        <w:rPr>
          <w:szCs w:val="24"/>
        </w:rPr>
      </w:pPr>
      <w:r w:rsidRPr="007C4E34">
        <w:rPr>
          <w:szCs w:val="24"/>
        </w:rPr>
        <w:t>OCA RB at 4.</w:t>
      </w:r>
    </w:p>
    <w:p w:rsidR="00AA3C3C" w:rsidRPr="007C4E34" w:rsidRDefault="00AA3C3C" w:rsidP="00AA3C3C">
      <w:pPr>
        <w:rPr>
          <w:szCs w:val="24"/>
        </w:rPr>
      </w:pPr>
    </w:p>
    <w:p w:rsidR="00E83F8B" w:rsidRPr="007C4E34" w:rsidRDefault="0082147C" w:rsidP="00E83F8B">
      <w:pPr>
        <w:rPr>
          <w:szCs w:val="24"/>
        </w:rPr>
      </w:pPr>
      <w:r w:rsidRPr="007C4E34">
        <w:rPr>
          <w:szCs w:val="24"/>
        </w:rPr>
        <w:tab/>
      </w:r>
      <w:r w:rsidRPr="007C4E34">
        <w:rPr>
          <w:szCs w:val="24"/>
        </w:rPr>
        <w:tab/>
      </w:r>
      <w:r w:rsidR="00E83F8B" w:rsidRPr="007C4E34">
        <w:rPr>
          <w:szCs w:val="24"/>
        </w:rPr>
        <w:t>Richards Energy Group</w:t>
      </w:r>
      <w:r w:rsidRPr="007C4E34">
        <w:rPr>
          <w:szCs w:val="24"/>
        </w:rPr>
        <w:t xml:space="preserve"> states that t</w:t>
      </w:r>
      <w:r w:rsidR="00E83F8B" w:rsidRPr="007C4E34">
        <w:rPr>
          <w:szCs w:val="24"/>
        </w:rPr>
        <w:t>his proposal will affect the customers who have chosen to shop if the RR and CTR are adopted, and then the TOU undercollection is assessed to the Residential and Small C&amp;I classes.  At that point, a non-shopping customer who never took service under PPL's Time of Use rates will be subsidizing those who did.  Worse, under the RR and CTR</w:t>
      </w:r>
      <w:r w:rsidR="00E7625C" w:rsidRPr="007C4E34">
        <w:rPr>
          <w:szCs w:val="24"/>
        </w:rPr>
        <w:t>, a shopping customer who may have left default service in January 2010 would be assessed for the costs incurred in providing default service.  This, too, is clearly cross-subsidization.  REG MB at 8.</w:t>
      </w:r>
    </w:p>
    <w:p w:rsidR="00E7625C" w:rsidRPr="007C4E34" w:rsidRDefault="00E7625C" w:rsidP="00E83F8B">
      <w:pPr>
        <w:rPr>
          <w:szCs w:val="24"/>
        </w:rPr>
      </w:pPr>
    </w:p>
    <w:p w:rsidR="00E7625C" w:rsidRPr="007C4E34" w:rsidRDefault="0082147C" w:rsidP="00E83F8B">
      <w:pPr>
        <w:rPr>
          <w:szCs w:val="24"/>
        </w:rPr>
      </w:pPr>
      <w:r w:rsidRPr="007C4E34">
        <w:rPr>
          <w:szCs w:val="24"/>
        </w:rPr>
        <w:tab/>
      </w:r>
      <w:r w:rsidRPr="007C4E34">
        <w:rPr>
          <w:szCs w:val="24"/>
        </w:rPr>
        <w:tab/>
        <w:t xml:space="preserve">DR alleges that the PPL Electric forecasting for TOU rates in place during the period of high undercollection was either purposeful or negligent.  DR Stmt. 1 at 7-8. </w:t>
      </w:r>
    </w:p>
    <w:p w:rsidR="00E83F8B" w:rsidRPr="007C4E34" w:rsidRDefault="00E83F8B" w:rsidP="00E35ECD">
      <w:pPr>
        <w:ind w:left="720"/>
        <w:rPr>
          <w:szCs w:val="24"/>
        </w:rPr>
      </w:pPr>
    </w:p>
    <w:p w:rsidR="0082147C" w:rsidRPr="007C4E34" w:rsidRDefault="0082147C" w:rsidP="0082147C">
      <w:pPr>
        <w:rPr>
          <w:szCs w:val="24"/>
        </w:rPr>
      </w:pPr>
      <w:r w:rsidRPr="007C4E34">
        <w:rPr>
          <w:b/>
          <w:szCs w:val="24"/>
        </w:rPr>
        <w:tab/>
      </w:r>
      <w:r w:rsidRPr="007C4E34">
        <w:rPr>
          <w:b/>
          <w:szCs w:val="24"/>
        </w:rPr>
        <w:tab/>
      </w:r>
      <w:r w:rsidRPr="007C4E34">
        <w:rPr>
          <w:szCs w:val="24"/>
        </w:rPr>
        <w:t xml:space="preserve">OSBA did not take a position or submit testimony on the issue in this proceeding, relying on a Company statement in discovery that "Reconciliation of the TOU option under the GSC-1 will follow the procedure approved by the Commission in its review of PPL Electric's new TOU program filed on September 26, 2011,"  OSBA RB at 6-7,  OSBA argues that the legal question of whether or not costs associated with PPL's TOU program are reasonable default service costs is not properly before the Commission in the instant proceeding because that question is part of another proceeding.  </w:t>
      </w:r>
      <w:r w:rsidRPr="007C4E34">
        <w:rPr>
          <w:i/>
          <w:szCs w:val="24"/>
        </w:rPr>
        <w:t xml:space="preserve">Pennsylvania Public Utility Commission v. PPL Electric Utilities Corporation, </w:t>
      </w:r>
      <w:r w:rsidRPr="007C4E34">
        <w:rPr>
          <w:szCs w:val="24"/>
        </w:rPr>
        <w:t xml:space="preserve">Docket Nos. R-2011-2264771, C-2011-2267808, and C-2011-2268983 (Proposed Time of Use Program).  Therefore, OSBA reasons, the Commission should not make a determination here regarding whether the TOU program is a default service program or whether the TOU undercollections were reasonably incurred.  OSBA RB at 5.   </w:t>
      </w:r>
    </w:p>
    <w:p w:rsidR="00F40D40" w:rsidRPr="007C4E34" w:rsidRDefault="00F40D40" w:rsidP="00FE233B">
      <w:pPr>
        <w:rPr>
          <w:szCs w:val="24"/>
        </w:rPr>
      </w:pPr>
    </w:p>
    <w:p w:rsidR="00FE233B" w:rsidRPr="007C4E34" w:rsidRDefault="00FE233B" w:rsidP="00DD32C0">
      <w:pPr>
        <w:ind w:left="1440"/>
        <w:rPr>
          <w:szCs w:val="24"/>
        </w:rPr>
      </w:pPr>
      <w:r w:rsidRPr="007C4E34">
        <w:rPr>
          <w:b/>
          <w:szCs w:val="24"/>
        </w:rPr>
        <w:t>c.</w:t>
      </w:r>
      <w:r w:rsidRPr="007C4E34">
        <w:rPr>
          <w:b/>
          <w:szCs w:val="24"/>
        </w:rPr>
        <w:tab/>
        <w:t>Recommendation</w:t>
      </w:r>
      <w:r w:rsidR="00E77EC5">
        <w:rPr>
          <w:b/>
          <w:szCs w:val="24"/>
        </w:rPr>
        <w:fldChar w:fldCharType="begin"/>
      </w:r>
      <w:r w:rsidR="00E77EC5">
        <w:instrText xml:space="preserve"> TC "</w:instrText>
      </w:r>
      <w:bookmarkStart w:id="18" w:name="_Toc320265375"/>
      <w:r w:rsidR="00E77EC5" w:rsidRPr="00540968">
        <w:rPr>
          <w:b/>
          <w:szCs w:val="24"/>
        </w:rPr>
        <w:instrText>c.</w:instrText>
      </w:r>
      <w:r w:rsidR="00E77EC5" w:rsidRPr="00540968">
        <w:rPr>
          <w:b/>
          <w:szCs w:val="24"/>
        </w:rPr>
        <w:tab/>
        <w:instrText>Recommendation</w:instrText>
      </w:r>
      <w:bookmarkEnd w:id="18"/>
      <w:r w:rsidR="00E77EC5">
        <w:instrText>" \f C \l "</w:instrText>
      </w:r>
      <w:r w:rsidR="004F1A21">
        <w:instrText>4</w:instrText>
      </w:r>
      <w:r w:rsidR="00E77EC5">
        <w:instrText xml:space="preserve">" </w:instrText>
      </w:r>
      <w:r w:rsidR="00E77EC5">
        <w:rPr>
          <w:b/>
          <w:szCs w:val="24"/>
        </w:rPr>
        <w:fldChar w:fldCharType="end"/>
      </w:r>
    </w:p>
    <w:p w:rsidR="00FE233B" w:rsidRPr="007C4E34" w:rsidRDefault="00FE233B" w:rsidP="00FE233B">
      <w:pPr>
        <w:ind w:left="720" w:firstLine="720"/>
        <w:rPr>
          <w:b/>
          <w:szCs w:val="24"/>
        </w:rPr>
      </w:pPr>
    </w:p>
    <w:p w:rsidR="0082147C" w:rsidRDefault="00112816" w:rsidP="00306AED">
      <w:pPr>
        <w:rPr>
          <w:szCs w:val="24"/>
        </w:rPr>
      </w:pPr>
      <w:r w:rsidRPr="007C4E34">
        <w:rPr>
          <w:b/>
          <w:szCs w:val="24"/>
        </w:rPr>
        <w:tab/>
      </w:r>
      <w:r w:rsidR="003A6CD0" w:rsidRPr="007C4E34">
        <w:rPr>
          <w:b/>
          <w:szCs w:val="24"/>
        </w:rPr>
        <w:tab/>
      </w:r>
      <w:r w:rsidRPr="007C4E34">
        <w:rPr>
          <w:szCs w:val="24"/>
        </w:rPr>
        <w:t xml:space="preserve">The parties promoting the idea that a TOU program may not be a default service program rely upon the differences between it and straight default service to support their arguments.  The similarities, however, outweigh the differences.  Again, the EDC must pass through the actual cost of the commodity and cannot make a profit on it.  It is required </w:t>
      </w:r>
      <w:r w:rsidR="006901D1" w:rsidRPr="007C4E34">
        <w:rPr>
          <w:szCs w:val="24"/>
        </w:rPr>
        <w:t xml:space="preserve">to implement the TOU program as part of the default service program.  </w:t>
      </w:r>
      <w:r w:rsidR="0082147C" w:rsidRPr="007C4E34">
        <w:rPr>
          <w:szCs w:val="24"/>
        </w:rPr>
        <w:t xml:space="preserve">There is </w:t>
      </w:r>
      <w:r w:rsidR="006901D1" w:rsidRPr="007C4E34">
        <w:rPr>
          <w:szCs w:val="24"/>
        </w:rPr>
        <w:t xml:space="preserve">simply </w:t>
      </w:r>
      <w:r w:rsidR="0082147C" w:rsidRPr="007C4E34">
        <w:rPr>
          <w:szCs w:val="24"/>
        </w:rPr>
        <w:t>no doubt that the TOU is a default service program:</w:t>
      </w:r>
    </w:p>
    <w:p w:rsidR="00E352B0" w:rsidRPr="007C4E34" w:rsidRDefault="00E352B0" w:rsidP="00306AED">
      <w:pPr>
        <w:rPr>
          <w:szCs w:val="24"/>
        </w:rPr>
      </w:pPr>
    </w:p>
    <w:p w:rsidR="0082147C" w:rsidRPr="007C4E34" w:rsidRDefault="0082147C" w:rsidP="000D525D">
      <w:pPr>
        <w:spacing w:line="240" w:lineRule="auto"/>
        <w:ind w:left="1440" w:right="1440"/>
        <w:rPr>
          <w:szCs w:val="24"/>
        </w:rPr>
      </w:pPr>
      <w:r w:rsidRPr="007C4E34">
        <w:rPr>
          <w:szCs w:val="24"/>
        </w:rPr>
        <w:t xml:space="preserve">PPL Electric, as a default service provider, is required to offer a TOU program under Act No. 129, 66 Pa. C.S. § 3807(f)(5).  As recently confirmed by the Commission, a TOU program is an element of default service rather than a transmission or distribution rate option.  In </w:t>
      </w:r>
      <w:r w:rsidRPr="007C4E34">
        <w:rPr>
          <w:i/>
          <w:szCs w:val="24"/>
        </w:rPr>
        <w:t xml:space="preserve">Petition of PECO Energy Company for Approval of its Initial Dynamic Pricing and Customer Acceptance Plan, </w:t>
      </w:r>
      <w:r w:rsidRPr="007C4E34">
        <w:rPr>
          <w:szCs w:val="24"/>
        </w:rPr>
        <w:t>Docket No. M-2009-2123944, 2011 Pa. PUC LEXIS 5 (April 15, 2011), the Commission approved PECO's TOU Program, the Dynamic Pricing Plan, and cited with approval the following portion of the ALJ's Recommended Decision:</w:t>
      </w:r>
    </w:p>
    <w:p w:rsidR="000D525D" w:rsidRPr="007C4E34" w:rsidRDefault="000D525D" w:rsidP="00E35ECD">
      <w:pPr>
        <w:ind w:left="720"/>
        <w:rPr>
          <w:szCs w:val="24"/>
        </w:rPr>
      </w:pPr>
    </w:p>
    <w:p w:rsidR="000D525D" w:rsidRPr="007C4E34" w:rsidRDefault="000D525D" w:rsidP="000D525D">
      <w:pPr>
        <w:spacing w:line="240" w:lineRule="auto"/>
        <w:ind w:left="2160" w:right="1440"/>
        <w:rPr>
          <w:szCs w:val="24"/>
        </w:rPr>
      </w:pPr>
      <w:r w:rsidRPr="007C4E34">
        <w:rPr>
          <w:szCs w:val="24"/>
        </w:rPr>
        <w:t>The ALJ stated, while there will be some movement of customers who may change their supply sources, so that they may be default service or shopping customers at any point in time, the fact remains that the Dynamic Pricing Plan was developed for the purpose of offering dynamic pricing options to default service customers only.  The ALJ cited 66 Pa. C.S. § 2807(f)(5) which states in part, ". . . a default service provider shall submit to the commission one or more proposed time-of-use rates and real-time price plan to all customers that have been provided with smart meter technology . . ."  The ALJ concluded that "[c]learly, the legislature intended – and the Commission recognized – that the dynamic pricing options were to be an element of default service and not a rate option offered as part of transmission or distribution service."  R.D. at 19-20.</w:t>
      </w:r>
    </w:p>
    <w:p w:rsidR="000D525D" w:rsidRPr="007C4E34" w:rsidRDefault="000D525D" w:rsidP="000D525D">
      <w:pPr>
        <w:spacing w:line="240" w:lineRule="auto"/>
        <w:ind w:left="2160" w:right="1440"/>
        <w:rPr>
          <w:szCs w:val="24"/>
        </w:rPr>
      </w:pPr>
      <w:r w:rsidRPr="007C4E34">
        <w:rPr>
          <w:i/>
          <w:szCs w:val="24"/>
        </w:rPr>
        <w:t>Id</w:t>
      </w:r>
      <w:r w:rsidRPr="007C4E34">
        <w:rPr>
          <w:szCs w:val="24"/>
        </w:rPr>
        <w:t xml:space="preserve">. at *29-30.  The Commission agreed and concluded that PECO's TOU program was being offered as an element of default service under 66 Pa. C.S. § 2807(f)(5) as a default service provider, not as a transmission or distribution rate option as an electric distribution company.  </w:t>
      </w:r>
      <w:r w:rsidRPr="007C4E34">
        <w:rPr>
          <w:i/>
          <w:szCs w:val="24"/>
        </w:rPr>
        <w:t xml:space="preserve">Id. </w:t>
      </w:r>
      <w:r w:rsidRPr="007C4E34">
        <w:rPr>
          <w:szCs w:val="24"/>
        </w:rPr>
        <w:t xml:space="preserve">at *32-33.  </w:t>
      </w:r>
    </w:p>
    <w:p w:rsidR="000D525D" w:rsidRPr="007C4E34" w:rsidRDefault="000D525D" w:rsidP="000D525D">
      <w:pPr>
        <w:spacing w:line="240" w:lineRule="auto"/>
        <w:ind w:right="1440"/>
        <w:rPr>
          <w:szCs w:val="24"/>
        </w:rPr>
      </w:pPr>
      <w:r w:rsidRPr="007C4E34">
        <w:rPr>
          <w:szCs w:val="24"/>
        </w:rPr>
        <w:t>PPL Electric MB at 52.</w:t>
      </w:r>
    </w:p>
    <w:p w:rsidR="000D525D" w:rsidRPr="007C4E34" w:rsidRDefault="000D525D" w:rsidP="00E352B0">
      <w:pPr>
        <w:ind w:right="1440"/>
        <w:rPr>
          <w:szCs w:val="24"/>
        </w:rPr>
      </w:pPr>
    </w:p>
    <w:p w:rsidR="000D525D" w:rsidRPr="007C4E34" w:rsidRDefault="000D525D" w:rsidP="006C2742">
      <w:pPr>
        <w:rPr>
          <w:szCs w:val="24"/>
        </w:rPr>
      </w:pPr>
      <w:r w:rsidRPr="007C4E34">
        <w:rPr>
          <w:szCs w:val="24"/>
        </w:rPr>
        <w:tab/>
      </w:r>
      <w:r w:rsidRPr="007C4E34">
        <w:rPr>
          <w:szCs w:val="24"/>
        </w:rPr>
        <w:tab/>
        <w:t>The question remains whether the costs incurred were reasonable</w:t>
      </w:r>
      <w:r w:rsidR="00C620C7" w:rsidRPr="007C4E34">
        <w:rPr>
          <w:szCs w:val="24"/>
        </w:rPr>
        <w:t>, and if so, which classes are to be assessed the undercollection</w:t>
      </w:r>
      <w:r w:rsidRPr="007C4E34">
        <w:rPr>
          <w:szCs w:val="24"/>
        </w:rPr>
        <w:t>.</w:t>
      </w:r>
      <w:r w:rsidR="00C620C7" w:rsidRPr="007C4E34">
        <w:rPr>
          <w:szCs w:val="24"/>
        </w:rPr>
        <w:t xml:space="preserve">  </w:t>
      </w:r>
    </w:p>
    <w:p w:rsidR="00C620C7" w:rsidRPr="007C4E34" w:rsidRDefault="00C620C7" w:rsidP="00E352B0">
      <w:pPr>
        <w:ind w:right="1440"/>
        <w:rPr>
          <w:szCs w:val="24"/>
        </w:rPr>
      </w:pPr>
    </w:p>
    <w:p w:rsidR="00C620C7" w:rsidRPr="007C4E34" w:rsidRDefault="00C620C7" w:rsidP="006C2742">
      <w:pPr>
        <w:rPr>
          <w:szCs w:val="24"/>
        </w:rPr>
      </w:pPr>
      <w:r w:rsidRPr="007C4E34">
        <w:rPr>
          <w:szCs w:val="24"/>
        </w:rPr>
        <w:tab/>
      </w:r>
      <w:r w:rsidRPr="007C4E34">
        <w:rPr>
          <w:szCs w:val="24"/>
        </w:rPr>
        <w:tab/>
        <w:t>In the corresponding TOU filing referred to by OSBA, the Commission ordered the following, in pertinent part:</w:t>
      </w:r>
    </w:p>
    <w:p w:rsidR="006901D1" w:rsidRPr="007C4E34" w:rsidRDefault="006901D1" w:rsidP="00E352B0">
      <w:pPr>
        <w:ind w:right="1440"/>
        <w:rPr>
          <w:szCs w:val="24"/>
        </w:rPr>
      </w:pPr>
    </w:p>
    <w:p w:rsidR="00C620C7" w:rsidRDefault="00C620C7" w:rsidP="00A7484B">
      <w:pPr>
        <w:spacing w:line="240" w:lineRule="auto"/>
        <w:ind w:left="1440" w:right="1440"/>
        <w:rPr>
          <w:szCs w:val="24"/>
        </w:rPr>
      </w:pPr>
      <w:r w:rsidRPr="007C4E34">
        <w:rPr>
          <w:szCs w:val="24"/>
        </w:rPr>
        <w:tab/>
        <w:t>1.</w:t>
      </w:r>
      <w:r w:rsidRPr="007C4E34">
        <w:rPr>
          <w:szCs w:val="24"/>
        </w:rPr>
        <w:tab/>
        <w:t>That an investigation on Commission motion be, and hereby is, instituted to determine the lawfulness, justness, and reasonableness of the rates, rules, and regulations contained in the proposed Supplement No. 110 to Tariff Electric Pa. P.U.C. NO. 201.</w:t>
      </w:r>
    </w:p>
    <w:p w:rsidR="00E352B0" w:rsidRPr="007C4E34" w:rsidRDefault="00E352B0" w:rsidP="00A7484B">
      <w:pPr>
        <w:spacing w:line="240" w:lineRule="auto"/>
        <w:ind w:left="1440" w:right="1440"/>
        <w:rPr>
          <w:szCs w:val="24"/>
        </w:rPr>
      </w:pPr>
    </w:p>
    <w:p w:rsidR="00C620C7" w:rsidRDefault="00C620C7" w:rsidP="00A7484B">
      <w:pPr>
        <w:spacing w:line="240" w:lineRule="auto"/>
        <w:ind w:left="1440" w:right="1440"/>
        <w:rPr>
          <w:szCs w:val="24"/>
        </w:rPr>
      </w:pPr>
      <w:r w:rsidRPr="007C4E34">
        <w:rPr>
          <w:szCs w:val="24"/>
        </w:rPr>
        <w:tab/>
        <w:t>2.</w:t>
      </w:r>
      <w:r w:rsidRPr="007C4E34">
        <w:rPr>
          <w:szCs w:val="24"/>
        </w:rPr>
        <w:tab/>
        <w:t>That the proposed Supplement No. 110 to Tariff Electric Pa. P.U.C. No. 201 will be suspended until September 1, 2012, unless otherwise directed by Order of the Commission.</w:t>
      </w:r>
    </w:p>
    <w:p w:rsidR="00E352B0" w:rsidRPr="007C4E34" w:rsidRDefault="00E352B0" w:rsidP="00A7484B">
      <w:pPr>
        <w:spacing w:line="240" w:lineRule="auto"/>
        <w:ind w:left="1440" w:right="1440"/>
        <w:rPr>
          <w:szCs w:val="24"/>
        </w:rPr>
      </w:pPr>
    </w:p>
    <w:p w:rsidR="00C620C7" w:rsidRDefault="00C620C7" w:rsidP="00A7484B">
      <w:pPr>
        <w:spacing w:line="240" w:lineRule="auto"/>
        <w:ind w:left="1440" w:right="1440"/>
        <w:rPr>
          <w:szCs w:val="24"/>
        </w:rPr>
      </w:pPr>
      <w:r w:rsidRPr="007C4E34">
        <w:rPr>
          <w:szCs w:val="24"/>
        </w:rPr>
        <w:tab/>
        <w:t>3.</w:t>
      </w:r>
      <w:r w:rsidRPr="007C4E34">
        <w:rPr>
          <w:szCs w:val="24"/>
        </w:rPr>
        <w:tab/>
        <w:t>That this investigation shall include consideration of the lawfulness, justness, and reasonableness of the Company's existing rates, rules, and regulations.</w:t>
      </w:r>
    </w:p>
    <w:p w:rsidR="00E352B0" w:rsidRPr="007C4E34" w:rsidRDefault="00E352B0" w:rsidP="00A7484B">
      <w:pPr>
        <w:spacing w:line="240" w:lineRule="auto"/>
        <w:ind w:left="1440" w:right="1440"/>
        <w:rPr>
          <w:szCs w:val="24"/>
        </w:rPr>
      </w:pPr>
    </w:p>
    <w:p w:rsidR="00C620C7" w:rsidRPr="007C4E34" w:rsidRDefault="00C620C7" w:rsidP="00A7484B">
      <w:pPr>
        <w:spacing w:line="240" w:lineRule="auto"/>
        <w:ind w:left="1440" w:right="1440"/>
        <w:rPr>
          <w:szCs w:val="24"/>
        </w:rPr>
      </w:pPr>
      <w:r w:rsidRPr="007C4E34">
        <w:rPr>
          <w:szCs w:val="24"/>
        </w:rPr>
        <w:tab/>
        <w:t>4.</w:t>
      </w:r>
      <w:r w:rsidRPr="007C4E34">
        <w:rPr>
          <w:szCs w:val="24"/>
        </w:rPr>
        <w:tab/>
        <w:t>That the case be assigned to the Office of Administrative Law Judge for the prompt scheduling of such hearings as may be necessary culminating in the issuance of a Recommended Decision.</w:t>
      </w:r>
    </w:p>
    <w:p w:rsidR="00C620C7" w:rsidRPr="007C4E34" w:rsidRDefault="00C620C7" w:rsidP="00A7484B">
      <w:pPr>
        <w:spacing w:line="240" w:lineRule="auto"/>
        <w:ind w:left="1440" w:right="1440"/>
        <w:rPr>
          <w:szCs w:val="24"/>
        </w:rPr>
      </w:pPr>
      <w:r w:rsidRPr="007C4E34">
        <w:rPr>
          <w:i/>
          <w:szCs w:val="24"/>
        </w:rPr>
        <w:t>Pennsylvania Public Utility Commission v. PPL Electric Utilities Corporation,</w:t>
      </w:r>
      <w:r w:rsidRPr="007C4E34">
        <w:rPr>
          <w:szCs w:val="24"/>
        </w:rPr>
        <w:t xml:space="preserve"> Docket No. R-2011-2264771 (Order entered November 10, 2011)</w:t>
      </w:r>
    </w:p>
    <w:p w:rsidR="00C620C7" w:rsidRPr="007C4E34" w:rsidRDefault="00C620C7" w:rsidP="00A7484B">
      <w:pPr>
        <w:spacing w:line="240" w:lineRule="auto"/>
        <w:ind w:left="1440" w:right="1440"/>
        <w:rPr>
          <w:szCs w:val="24"/>
        </w:rPr>
      </w:pPr>
    </w:p>
    <w:p w:rsidR="00C620C7" w:rsidRPr="007C4E34" w:rsidRDefault="00C620C7" w:rsidP="00A7484B">
      <w:pPr>
        <w:rPr>
          <w:szCs w:val="24"/>
        </w:rPr>
      </w:pPr>
      <w:r w:rsidRPr="007C4E34">
        <w:rPr>
          <w:szCs w:val="24"/>
        </w:rPr>
        <w:tab/>
      </w:r>
      <w:r w:rsidRPr="007C4E34">
        <w:rPr>
          <w:szCs w:val="24"/>
        </w:rPr>
        <w:tab/>
        <w:t xml:space="preserve">I note that the hearing </w:t>
      </w:r>
      <w:r w:rsidR="00F83E50" w:rsidRPr="007C4E34">
        <w:rPr>
          <w:szCs w:val="24"/>
        </w:rPr>
        <w:t>was</w:t>
      </w:r>
      <w:r w:rsidR="00652EB5" w:rsidRPr="007C4E34">
        <w:rPr>
          <w:szCs w:val="24"/>
        </w:rPr>
        <w:t xml:space="preserve"> held</w:t>
      </w:r>
      <w:r w:rsidRPr="007C4E34">
        <w:rPr>
          <w:szCs w:val="24"/>
        </w:rPr>
        <w:t xml:space="preserve"> pursuant to this Order </w:t>
      </w:r>
      <w:r w:rsidR="00F83E50" w:rsidRPr="007C4E34">
        <w:rPr>
          <w:szCs w:val="24"/>
        </w:rPr>
        <w:t>on</w:t>
      </w:r>
      <w:r w:rsidRPr="007C4E34">
        <w:rPr>
          <w:szCs w:val="24"/>
        </w:rPr>
        <w:t xml:space="preserve"> February 22, 2012.  Therefore, the issue of whether the costs incurred were reasonable</w:t>
      </w:r>
      <w:r w:rsidR="00652EB5" w:rsidRPr="007C4E34">
        <w:rPr>
          <w:szCs w:val="24"/>
        </w:rPr>
        <w:t>, and if so, in what amount,</w:t>
      </w:r>
      <w:r w:rsidR="00A7484B" w:rsidRPr="007C4E34">
        <w:rPr>
          <w:szCs w:val="24"/>
        </w:rPr>
        <w:t xml:space="preserve"> </w:t>
      </w:r>
      <w:r w:rsidRPr="007C4E34">
        <w:rPr>
          <w:szCs w:val="24"/>
        </w:rPr>
        <w:t>is deferred to that proceeding.</w:t>
      </w:r>
      <w:r w:rsidR="00652EB5" w:rsidRPr="007C4E34">
        <w:rPr>
          <w:szCs w:val="24"/>
        </w:rPr>
        <w:t xml:space="preserve">  Once some measure of those costs has been determined to be recoverable, that amount </w:t>
      </w:r>
      <w:r w:rsidR="003A6CD0" w:rsidRPr="007C4E34">
        <w:rPr>
          <w:szCs w:val="24"/>
        </w:rPr>
        <w:t>should</w:t>
      </w:r>
      <w:r w:rsidR="00652EB5" w:rsidRPr="007C4E34">
        <w:rPr>
          <w:szCs w:val="24"/>
        </w:rPr>
        <w:t xml:space="preserve"> be added to the RR for the rate classes which participate in the TOU program.</w:t>
      </w:r>
      <w:r w:rsidRPr="007C4E34">
        <w:rPr>
          <w:szCs w:val="24"/>
        </w:rPr>
        <w:t xml:space="preserve"> </w:t>
      </w:r>
    </w:p>
    <w:p w:rsidR="00E35ECD" w:rsidRPr="007C4E34" w:rsidRDefault="00E35ECD" w:rsidP="00E352B0">
      <w:pPr>
        <w:rPr>
          <w:b/>
          <w:szCs w:val="24"/>
        </w:rPr>
      </w:pPr>
    </w:p>
    <w:p w:rsidR="00E46B3B" w:rsidRDefault="00E46B3B" w:rsidP="00DD32C0">
      <w:pPr>
        <w:spacing w:line="240" w:lineRule="auto"/>
        <w:ind w:firstLine="720"/>
        <w:rPr>
          <w:b/>
          <w:szCs w:val="24"/>
        </w:rPr>
      </w:pPr>
      <w:r>
        <w:rPr>
          <w:b/>
          <w:szCs w:val="24"/>
        </w:rPr>
        <w:br w:type="page"/>
      </w:r>
    </w:p>
    <w:p w:rsidR="00E35ECD" w:rsidRPr="007C4E34" w:rsidRDefault="00E35ECD" w:rsidP="00DD32C0">
      <w:pPr>
        <w:spacing w:line="240" w:lineRule="auto"/>
        <w:ind w:firstLine="720"/>
        <w:rPr>
          <w:b/>
          <w:szCs w:val="24"/>
        </w:rPr>
      </w:pPr>
      <w:r w:rsidRPr="007C4E34">
        <w:rPr>
          <w:b/>
          <w:szCs w:val="24"/>
        </w:rPr>
        <w:t>4.</w:t>
      </w:r>
      <w:r w:rsidRPr="007C4E34">
        <w:rPr>
          <w:b/>
          <w:szCs w:val="24"/>
        </w:rPr>
        <w:tab/>
        <w:t>Ability to net the over and under collections of the respective GSC-1 and GSC-2 with the TSC reconciliations for each customer class</w:t>
      </w:r>
      <w:r w:rsidR="00E77EC5">
        <w:rPr>
          <w:b/>
          <w:szCs w:val="24"/>
        </w:rPr>
        <w:fldChar w:fldCharType="begin"/>
      </w:r>
      <w:r w:rsidR="00E77EC5">
        <w:instrText xml:space="preserve"> TC "</w:instrText>
      </w:r>
      <w:bookmarkStart w:id="19" w:name="_Toc320265376"/>
      <w:r w:rsidR="00E77EC5" w:rsidRPr="00540968">
        <w:rPr>
          <w:b/>
          <w:szCs w:val="24"/>
        </w:rPr>
        <w:instrText>4.</w:instrText>
      </w:r>
      <w:r w:rsidR="00E77EC5" w:rsidRPr="00540968">
        <w:rPr>
          <w:b/>
          <w:szCs w:val="24"/>
        </w:rPr>
        <w:tab/>
        <w:instrText>Ability to net the over and under collections of the respective GSC-1 and GSC-2 with the TSC reconciliations for each customer class</w:instrText>
      </w:r>
      <w:bookmarkEnd w:id="19"/>
      <w:r w:rsidR="00E77EC5">
        <w:instrText>" \f C \l "</w:instrText>
      </w:r>
      <w:r w:rsidR="004F1A21">
        <w:instrText>3</w:instrText>
      </w:r>
      <w:r w:rsidR="00E77EC5">
        <w:instrText xml:space="preserve">" </w:instrText>
      </w:r>
      <w:r w:rsidR="00E77EC5">
        <w:rPr>
          <w:b/>
          <w:szCs w:val="24"/>
        </w:rPr>
        <w:fldChar w:fldCharType="end"/>
      </w:r>
    </w:p>
    <w:p w:rsidR="00E35ECD" w:rsidRPr="007C4E34" w:rsidRDefault="00E35ECD" w:rsidP="00E352B0">
      <w:pPr>
        <w:rPr>
          <w:b/>
          <w:szCs w:val="24"/>
        </w:rPr>
      </w:pPr>
    </w:p>
    <w:p w:rsidR="00905110" w:rsidRPr="00E352B0" w:rsidRDefault="00905110" w:rsidP="00DD32C0">
      <w:pPr>
        <w:pStyle w:val="ListParagraph"/>
        <w:numPr>
          <w:ilvl w:val="0"/>
          <w:numId w:val="13"/>
        </w:numPr>
        <w:ind w:left="2160"/>
        <w:rPr>
          <w:b/>
          <w:szCs w:val="24"/>
        </w:rPr>
      </w:pPr>
      <w:r w:rsidRPr="00E352B0">
        <w:rPr>
          <w:b/>
          <w:szCs w:val="24"/>
        </w:rPr>
        <w:t>Description</w:t>
      </w:r>
      <w:r w:rsidR="00E77EC5">
        <w:rPr>
          <w:b/>
          <w:szCs w:val="24"/>
        </w:rPr>
        <w:fldChar w:fldCharType="begin"/>
      </w:r>
      <w:r w:rsidR="00E77EC5">
        <w:instrText xml:space="preserve"> TC "</w:instrText>
      </w:r>
      <w:bookmarkStart w:id="20" w:name="_Toc320265377"/>
      <w:r w:rsidR="00E77EC5" w:rsidRPr="00540968">
        <w:rPr>
          <w:b/>
          <w:szCs w:val="24"/>
        </w:rPr>
        <w:instrText>Description</w:instrText>
      </w:r>
      <w:bookmarkEnd w:id="20"/>
      <w:r w:rsidR="00E77EC5">
        <w:instrText>" \f C \l "</w:instrText>
      </w:r>
      <w:r w:rsidR="004F1A21">
        <w:instrText>4</w:instrText>
      </w:r>
      <w:r w:rsidR="00E77EC5">
        <w:instrText xml:space="preserve">" </w:instrText>
      </w:r>
      <w:r w:rsidR="00E77EC5">
        <w:rPr>
          <w:b/>
          <w:szCs w:val="24"/>
        </w:rPr>
        <w:fldChar w:fldCharType="end"/>
      </w:r>
    </w:p>
    <w:p w:rsidR="00E352B0" w:rsidRPr="00E352B0" w:rsidRDefault="00E352B0" w:rsidP="00E352B0">
      <w:pPr>
        <w:rPr>
          <w:b/>
          <w:szCs w:val="24"/>
        </w:rPr>
      </w:pPr>
    </w:p>
    <w:p w:rsidR="00010CFB" w:rsidRDefault="00E35ECD" w:rsidP="00E352B0">
      <w:pPr>
        <w:contextualSpacing/>
        <w:rPr>
          <w:szCs w:val="24"/>
        </w:rPr>
      </w:pPr>
      <w:r w:rsidRPr="007C4E34">
        <w:rPr>
          <w:szCs w:val="24"/>
        </w:rPr>
        <w:tab/>
      </w:r>
      <w:r w:rsidRPr="007C4E34">
        <w:rPr>
          <w:szCs w:val="24"/>
        </w:rPr>
        <w:tab/>
      </w:r>
      <w:r w:rsidR="00376D97" w:rsidRPr="007C4E34">
        <w:rPr>
          <w:szCs w:val="24"/>
        </w:rPr>
        <w:t>The Company explains</w:t>
      </w:r>
      <w:r w:rsidR="00010CFB" w:rsidRPr="007C4E34">
        <w:rPr>
          <w:szCs w:val="24"/>
        </w:rPr>
        <w:t>:</w:t>
      </w:r>
    </w:p>
    <w:p w:rsidR="00E352B0" w:rsidRPr="007C4E34" w:rsidRDefault="00E352B0" w:rsidP="00E352B0">
      <w:pPr>
        <w:contextualSpacing/>
        <w:rPr>
          <w:szCs w:val="24"/>
        </w:rPr>
      </w:pPr>
    </w:p>
    <w:p w:rsidR="00E35ECD" w:rsidRDefault="00010CFB" w:rsidP="003F6F08">
      <w:pPr>
        <w:spacing w:line="240" w:lineRule="auto"/>
        <w:ind w:left="1440" w:right="1440"/>
        <w:contextualSpacing/>
        <w:rPr>
          <w:szCs w:val="24"/>
        </w:rPr>
      </w:pPr>
      <w:r w:rsidRPr="007C4E34">
        <w:rPr>
          <w:szCs w:val="24"/>
        </w:rPr>
        <w:tab/>
        <w:t>It</w:t>
      </w:r>
      <w:r w:rsidR="00376D97" w:rsidRPr="007C4E34">
        <w:rPr>
          <w:szCs w:val="24"/>
        </w:rPr>
        <w:t xml:space="preserve"> is not uncommon </w:t>
      </w:r>
      <w:r w:rsidRPr="007C4E34">
        <w:rPr>
          <w:szCs w:val="24"/>
        </w:rPr>
        <w:t xml:space="preserve">for PPL Electric </w:t>
      </w:r>
      <w:r w:rsidR="00376D97" w:rsidRPr="007C4E34">
        <w:rPr>
          <w:szCs w:val="24"/>
        </w:rPr>
        <w:t>to</w:t>
      </w:r>
      <w:r w:rsidRPr="007C4E34">
        <w:rPr>
          <w:szCs w:val="24"/>
        </w:rPr>
        <w:t xml:space="preserve"> experience an over collection for generation supply charges and an under collection for transmission service charges, or vice versa.  For example, in calendar year 2010, PPL Electric experienced an under collection of approximately $8 million for generation supply charges associated with Large C&amp;I default service customers under the 2010 GSC.  However, PPL</w:t>
      </w:r>
      <w:r w:rsidR="00376D97" w:rsidRPr="007C4E34">
        <w:rPr>
          <w:szCs w:val="24"/>
        </w:rPr>
        <w:t xml:space="preserve"> </w:t>
      </w:r>
      <w:r w:rsidRPr="007C4E34">
        <w:rPr>
          <w:szCs w:val="24"/>
        </w:rPr>
        <w:t>Electric also experienced an over collection of approximately $2 million in the 2010 TSC applicable to Large C&amp;I-Transmission default service customers.  PPL St. 1, pp. 13, 16.</w:t>
      </w:r>
    </w:p>
    <w:p w:rsidR="00E352B0" w:rsidRPr="007C4E34" w:rsidRDefault="00E352B0" w:rsidP="003F6F08">
      <w:pPr>
        <w:spacing w:line="240" w:lineRule="auto"/>
        <w:ind w:left="1440" w:right="1440"/>
        <w:contextualSpacing/>
        <w:rPr>
          <w:szCs w:val="24"/>
        </w:rPr>
      </w:pPr>
    </w:p>
    <w:p w:rsidR="00010CFB" w:rsidRPr="007C4E34" w:rsidRDefault="00010CFB" w:rsidP="003F6F08">
      <w:pPr>
        <w:spacing w:line="240" w:lineRule="auto"/>
        <w:ind w:left="1440" w:right="1440"/>
        <w:contextualSpacing/>
        <w:rPr>
          <w:szCs w:val="24"/>
        </w:rPr>
      </w:pPr>
      <w:r w:rsidRPr="007C4E34">
        <w:rPr>
          <w:szCs w:val="24"/>
        </w:rPr>
        <w:tab/>
        <w:t>Combining the respective over or under collections related to the transmission service and generation supply charges will help reduce the overall impact of reconciling the over and under collections.  This, in turn, should help to reduce the volatility in both the default service rate and transmission supply charges.</w:t>
      </w:r>
    </w:p>
    <w:p w:rsidR="00010CFB" w:rsidRPr="007C4E34" w:rsidRDefault="00010CFB" w:rsidP="003F6F08">
      <w:pPr>
        <w:spacing w:line="240" w:lineRule="auto"/>
        <w:ind w:left="1440" w:right="1440"/>
        <w:contextualSpacing/>
        <w:rPr>
          <w:szCs w:val="24"/>
        </w:rPr>
      </w:pPr>
      <w:r w:rsidRPr="007C4E34">
        <w:rPr>
          <w:szCs w:val="24"/>
        </w:rPr>
        <w:t>PPL Electric MB at 23-24.</w:t>
      </w:r>
    </w:p>
    <w:p w:rsidR="00010CFB" w:rsidRPr="007C4E34" w:rsidRDefault="00010CFB" w:rsidP="00E35ECD">
      <w:pPr>
        <w:contextualSpacing/>
        <w:rPr>
          <w:szCs w:val="24"/>
        </w:rPr>
      </w:pPr>
    </w:p>
    <w:p w:rsidR="00652EB5" w:rsidRPr="007C4E34" w:rsidRDefault="00652EB5" w:rsidP="00652EB5">
      <w:pPr>
        <w:contextualSpacing/>
        <w:rPr>
          <w:szCs w:val="24"/>
        </w:rPr>
      </w:pPr>
      <w:r w:rsidRPr="007C4E34">
        <w:rPr>
          <w:szCs w:val="24"/>
        </w:rPr>
        <w:tab/>
      </w:r>
      <w:r w:rsidRPr="007C4E34">
        <w:rPr>
          <w:szCs w:val="24"/>
        </w:rPr>
        <w:tab/>
        <w:t xml:space="preserve">The issue of transmission service charges is being addressed in </w:t>
      </w:r>
      <w:r w:rsidRPr="007C4E34">
        <w:rPr>
          <w:i/>
          <w:szCs w:val="24"/>
        </w:rPr>
        <w:t>PPL Electric Utilities Corporation Proposed Transmission Service Charge Reconciliation for the Twelve Months Ending November 30, 2010</w:t>
      </w:r>
      <w:r w:rsidRPr="007C4E34">
        <w:rPr>
          <w:szCs w:val="24"/>
        </w:rPr>
        <w:t xml:space="preserve">, Docket No. M-2010-2213754, where the Commission entered an Order on May 19, 2011, which directed the Law Bureau and Bureau of Audits to develop a recommendation for the Commission regarding the various methods of reconciling charges in a dynamic market on a going forward basis.   At the time of this Recommended Decision, this recommendation has not been issued.  </w:t>
      </w:r>
    </w:p>
    <w:p w:rsidR="00010CFB" w:rsidRPr="007C4E34" w:rsidRDefault="00010CFB" w:rsidP="00E35ECD">
      <w:pPr>
        <w:contextualSpacing/>
        <w:rPr>
          <w:szCs w:val="24"/>
        </w:rPr>
      </w:pPr>
    </w:p>
    <w:p w:rsidR="00E46B3B" w:rsidRDefault="00E46B3B" w:rsidP="00DD32C0">
      <w:pPr>
        <w:spacing w:line="240" w:lineRule="auto"/>
        <w:ind w:firstLine="720"/>
        <w:rPr>
          <w:b/>
          <w:szCs w:val="24"/>
        </w:rPr>
      </w:pPr>
      <w:r>
        <w:rPr>
          <w:b/>
          <w:szCs w:val="24"/>
        </w:rPr>
        <w:br w:type="page"/>
      </w:r>
    </w:p>
    <w:p w:rsidR="00E35ECD" w:rsidRPr="007C4E34" w:rsidRDefault="00E35ECD" w:rsidP="00DD32C0">
      <w:pPr>
        <w:spacing w:line="240" w:lineRule="auto"/>
        <w:ind w:firstLine="720"/>
        <w:rPr>
          <w:b/>
          <w:szCs w:val="24"/>
        </w:rPr>
      </w:pPr>
      <w:r w:rsidRPr="007C4E34">
        <w:rPr>
          <w:b/>
          <w:szCs w:val="24"/>
        </w:rPr>
        <w:t>5.</w:t>
      </w:r>
      <w:r w:rsidRPr="007C4E34">
        <w:rPr>
          <w:b/>
          <w:szCs w:val="24"/>
        </w:rPr>
        <w:tab/>
        <w:t>Modification of the provisions of the GSC-1 to permit reconciliation on an annual PJM Planning Year basis.</w:t>
      </w:r>
      <w:r w:rsidR="00E77EC5">
        <w:rPr>
          <w:b/>
          <w:szCs w:val="24"/>
        </w:rPr>
        <w:fldChar w:fldCharType="begin"/>
      </w:r>
      <w:r w:rsidR="00E77EC5">
        <w:instrText xml:space="preserve"> TC "</w:instrText>
      </w:r>
      <w:bookmarkStart w:id="21" w:name="_Toc320265378"/>
      <w:r w:rsidR="00E77EC5" w:rsidRPr="00540968">
        <w:rPr>
          <w:b/>
          <w:szCs w:val="24"/>
        </w:rPr>
        <w:instrText>5.</w:instrText>
      </w:r>
      <w:r w:rsidR="00E77EC5" w:rsidRPr="00540968">
        <w:rPr>
          <w:b/>
          <w:szCs w:val="24"/>
        </w:rPr>
        <w:tab/>
        <w:instrText>Modification of the provisions of the GSC-1 to permit reconciliation on an annual PJM Planning Year basis.</w:instrText>
      </w:r>
      <w:bookmarkEnd w:id="21"/>
      <w:r w:rsidR="00E77EC5">
        <w:instrText>" \f C \l "</w:instrText>
      </w:r>
      <w:r w:rsidR="004F1A21">
        <w:instrText>3</w:instrText>
      </w:r>
      <w:r w:rsidR="00E77EC5">
        <w:instrText xml:space="preserve">" </w:instrText>
      </w:r>
      <w:r w:rsidR="00E77EC5">
        <w:rPr>
          <w:b/>
          <w:szCs w:val="24"/>
        </w:rPr>
        <w:fldChar w:fldCharType="end"/>
      </w:r>
    </w:p>
    <w:p w:rsidR="00E35ECD" w:rsidRPr="007C4E34" w:rsidRDefault="00E35ECD" w:rsidP="00E7599F">
      <w:pPr>
        <w:rPr>
          <w:szCs w:val="24"/>
        </w:rPr>
      </w:pPr>
    </w:p>
    <w:p w:rsidR="00905110" w:rsidRPr="007C4E34" w:rsidRDefault="00905110" w:rsidP="00DD32C0">
      <w:pPr>
        <w:ind w:left="1440"/>
        <w:rPr>
          <w:b/>
          <w:szCs w:val="24"/>
        </w:rPr>
      </w:pPr>
      <w:r w:rsidRPr="007C4E34">
        <w:rPr>
          <w:b/>
          <w:szCs w:val="24"/>
        </w:rPr>
        <w:t>a.</w:t>
      </w:r>
      <w:r w:rsidRPr="007C4E34">
        <w:rPr>
          <w:b/>
          <w:szCs w:val="24"/>
        </w:rPr>
        <w:tab/>
        <w:t>Description</w:t>
      </w:r>
      <w:r w:rsidR="00E77EC5">
        <w:rPr>
          <w:b/>
          <w:szCs w:val="24"/>
        </w:rPr>
        <w:fldChar w:fldCharType="begin"/>
      </w:r>
      <w:r w:rsidR="00E77EC5">
        <w:instrText xml:space="preserve"> TC "</w:instrText>
      </w:r>
      <w:bookmarkStart w:id="22" w:name="_Toc320265379"/>
      <w:r w:rsidR="00E77EC5" w:rsidRPr="00540968">
        <w:rPr>
          <w:b/>
          <w:szCs w:val="24"/>
        </w:rPr>
        <w:instrText>a.</w:instrText>
      </w:r>
      <w:r w:rsidR="00E77EC5" w:rsidRPr="00540968">
        <w:rPr>
          <w:b/>
          <w:szCs w:val="24"/>
        </w:rPr>
        <w:tab/>
        <w:instrText>Description</w:instrText>
      </w:r>
      <w:bookmarkEnd w:id="22"/>
      <w:r w:rsidR="00E77EC5">
        <w:instrText>" \f C \l "</w:instrText>
      </w:r>
      <w:r w:rsidR="004F1A21">
        <w:instrText>4</w:instrText>
      </w:r>
      <w:r w:rsidR="00E77EC5">
        <w:instrText xml:space="preserve">" </w:instrText>
      </w:r>
      <w:r w:rsidR="00E77EC5">
        <w:rPr>
          <w:b/>
          <w:szCs w:val="24"/>
        </w:rPr>
        <w:fldChar w:fldCharType="end"/>
      </w:r>
    </w:p>
    <w:p w:rsidR="00905110" w:rsidRPr="007C4E34" w:rsidRDefault="00905110" w:rsidP="00E7599F">
      <w:pPr>
        <w:rPr>
          <w:szCs w:val="24"/>
        </w:rPr>
      </w:pPr>
    </w:p>
    <w:p w:rsidR="003F6F08" w:rsidRPr="007C4E34" w:rsidRDefault="003F6F08" w:rsidP="00E7599F">
      <w:pPr>
        <w:rPr>
          <w:szCs w:val="24"/>
        </w:rPr>
      </w:pPr>
      <w:r w:rsidRPr="007C4E34">
        <w:rPr>
          <w:szCs w:val="24"/>
        </w:rPr>
        <w:tab/>
      </w:r>
      <w:r w:rsidRPr="007C4E34">
        <w:rPr>
          <w:szCs w:val="24"/>
        </w:rPr>
        <w:tab/>
        <w:t>The present reconciliation of the GSC-1 is quarterly, and the Company proposes to modify the provisions of the service to permit that reconciliation be performed on an annual basis.  This, the Company avers, should reduce the volatility of the RR, reduce the number of calculations required, and reduce customer confusion.  PPL Stmt. 1 at 8; PPL Electric MB at 27.</w:t>
      </w:r>
    </w:p>
    <w:p w:rsidR="003F6F08" w:rsidRPr="007C4E34" w:rsidRDefault="003F6F08" w:rsidP="00E7599F">
      <w:pPr>
        <w:rPr>
          <w:szCs w:val="24"/>
        </w:rPr>
      </w:pPr>
    </w:p>
    <w:p w:rsidR="003F6F08" w:rsidRPr="007C4E34" w:rsidRDefault="003F6F08" w:rsidP="00E7599F">
      <w:pPr>
        <w:rPr>
          <w:szCs w:val="24"/>
        </w:rPr>
      </w:pPr>
      <w:r w:rsidRPr="007C4E34">
        <w:rPr>
          <w:szCs w:val="24"/>
        </w:rPr>
        <w:tab/>
      </w:r>
      <w:r w:rsidRPr="007C4E34">
        <w:rPr>
          <w:szCs w:val="24"/>
        </w:rPr>
        <w:tab/>
        <w:t>Both the TSC and the GSC-2 are reconciled annually, while the GSC-1 is reconciled quarterly.  The Company states:</w:t>
      </w:r>
    </w:p>
    <w:p w:rsidR="003F6F08" w:rsidRPr="007C4E34" w:rsidRDefault="003F6F08" w:rsidP="00E7599F">
      <w:pPr>
        <w:rPr>
          <w:szCs w:val="24"/>
        </w:rPr>
      </w:pPr>
    </w:p>
    <w:p w:rsidR="003F6F08" w:rsidRPr="007C4E34" w:rsidRDefault="003F6F08" w:rsidP="00E352B0">
      <w:pPr>
        <w:spacing w:line="240" w:lineRule="auto"/>
        <w:ind w:left="1440" w:right="1440"/>
        <w:contextualSpacing/>
        <w:rPr>
          <w:szCs w:val="24"/>
        </w:rPr>
      </w:pPr>
      <w:r w:rsidRPr="007C4E34">
        <w:rPr>
          <w:szCs w:val="24"/>
        </w:rPr>
        <w:t>The primary reason that PPL Electric has experienced significant volatility in its E-Factor charges associated with its generation supply costs is attributable to the Commission's requirement that PPL Electric reconcile its over and under collections on a quarterly basis.  Quarterly reconciliation adjustments can be substantially</w:t>
      </w:r>
      <w:r w:rsidR="00FB058F" w:rsidRPr="007C4E34">
        <w:rPr>
          <w:szCs w:val="24"/>
        </w:rPr>
        <w:t xml:space="preserve"> larger than annual reconciliation adjustments and can cause a much greater distortion.  The quarterly reconciliation of the GSC-1, together with the decreasing default service customer base, has caused continued rate instability for the GSC-1 rates.  PPL St. 1-R, p. 33; PPL St. 1-SR , p. 7; OSBA Hearing Exhibit No. A.</w:t>
      </w:r>
    </w:p>
    <w:p w:rsidR="00FB058F" w:rsidRPr="007C4E34" w:rsidRDefault="00FB058F" w:rsidP="00E352B0">
      <w:pPr>
        <w:spacing w:line="240" w:lineRule="auto"/>
        <w:ind w:left="1440" w:right="1440"/>
        <w:contextualSpacing/>
        <w:rPr>
          <w:szCs w:val="24"/>
        </w:rPr>
      </w:pPr>
      <w:r w:rsidRPr="007C4E34">
        <w:rPr>
          <w:szCs w:val="24"/>
        </w:rPr>
        <w:t>PPL Electric MB at 25.</w:t>
      </w:r>
    </w:p>
    <w:p w:rsidR="003975C9" w:rsidRPr="007C4E34" w:rsidRDefault="003975C9" w:rsidP="00E352B0">
      <w:pPr>
        <w:spacing w:line="240" w:lineRule="auto"/>
        <w:rPr>
          <w:szCs w:val="24"/>
        </w:rPr>
      </w:pPr>
    </w:p>
    <w:p w:rsidR="003975C9" w:rsidRDefault="003975C9" w:rsidP="00E352B0">
      <w:pPr>
        <w:spacing w:line="240" w:lineRule="auto"/>
        <w:rPr>
          <w:szCs w:val="24"/>
        </w:rPr>
      </w:pPr>
      <w:r w:rsidRPr="007C4E34">
        <w:rPr>
          <w:szCs w:val="24"/>
        </w:rPr>
        <w:tab/>
      </w:r>
      <w:r w:rsidRPr="007C4E34">
        <w:rPr>
          <w:szCs w:val="24"/>
        </w:rPr>
        <w:tab/>
        <w:t xml:space="preserve">PPL Electric cites the recent </w:t>
      </w:r>
      <w:r w:rsidRPr="007C4E34">
        <w:rPr>
          <w:i/>
          <w:szCs w:val="24"/>
        </w:rPr>
        <w:t>Retail Investigation Order</w:t>
      </w:r>
      <w:r w:rsidRPr="007C4E34">
        <w:rPr>
          <w:szCs w:val="24"/>
        </w:rPr>
        <w:t xml:space="preserve"> for support:</w:t>
      </w:r>
    </w:p>
    <w:p w:rsidR="00E352B0" w:rsidRPr="007C4E34" w:rsidRDefault="00E352B0" w:rsidP="00E352B0">
      <w:pPr>
        <w:spacing w:line="240" w:lineRule="auto"/>
        <w:rPr>
          <w:szCs w:val="24"/>
        </w:rPr>
      </w:pPr>
    </w:p>
    <w:p w:rsidR="003975C9" w:rsidRPr="007C4E34" w:rsidRDefault="003975C9" w:rsidP="00E352B0">
      <w:pPr>
        <w:spacing w:line="240" w:lineRule="auto"/>
        <w:ind w:left="1440" w:right="1440"/>
        <w:rPr>
          <w:szCs w:val="24"/>
        </w:rPr>
      </w:pPr>
      <w:r w:rsidRPr="007C4E34">
        <w:rPr>
          <w:szCs w:val="24"/>
        </w:rPr>
        <w:t>The Commission also finds merit in the comments that the method of calculation of reconciled amounts may also have contributed to the volatility of reconciliation adjustment amounts to the generation and transmission bills.</w:t>
      </w:r>
    </w:p>
    <w:p w:rsidR="003975C9" w:rsidRPr="007C4E34" w:rsidRDefault="003975C9" w:rsidP="00C6058C">
      <w:pPr>
        <w:spacing w:line="240" w:lineRule="auto"/>
        <w:ind w:left="1440" w:right="1440"/>
        <w:rPr>
          <w:szCs w:val="24"/>
        </w:rPr>
      </w:pPr>
      <w:r w:rsidRPr="007C4E34">
        <w:rPr>
          <w:i/>
          <w:szCs w:val="24"/>
        </w:rPr>
        <w:t>Investigation of Pennsylvania's Retail Electricity Market: Recommendations Regarding Upcoming Default Service Plans</w:t>
      </w:r>
      <w:r w:rsidRPr="007C4E34">
        <w:rPr>
          <w:szCs w:val="24"/>
        </w:rPr>
        <w:t>, Docket No. I-2011-2237952 (December 16, 2011) at 54.</w:t>
      </w:r>
    </w:p>
    <w:p w:rsidR="00E35ECD" w:rsidRPr="007C4E34" w:rsidRDefault="00E35ECD" w:rsidP="00E7599F">
      <w:pPr>
        <w:rPr>
          <w:szCs w:val="24"/>
        </w:rPr>
      </w:pPr>
    </w:p>
    <w:p w:rsidR="00E352B0" w:rsidRDefault="00E352B0" w:rsidP="00E7599F">
      <w:pPr>
        <w:rPr>
          <w:b/>
          <w:szCs w:val="24"/>
        </w:rPr>
      </w:pPr>
      <w:r>
        <w:rPr>
          <w:b/>
          <w:szCs w:val="24"/>
        </w:rPr>
        <w:br w:type="page"/>
      </w:r>
    </w:p>
    <w:p w:rsidR="003975C9" w:rsidRPr="007E4102" w:rsidRDefault="007E4102" w:rsidP="007E4102">
      <w:pPr>
        <w:ind w:left="1440"/>
        <w:rPr>
          <w:b/>
          <w:szCs w:val="24"/>
        </w:rPr>
      </w:pPr>
      <w:r>
        <w:rPr>
          <w:b/>
          <w:szCs w:val="24"/>
        </w:rPr>
        <w:t>b.</w:t>
      </w:r>
      <w:r>
        <w:rPr>
          <w:b/>
          <w:szCs w:val="24"/>
        </w:rPr>
        <w:tab/>
      </w:r>
      <w:r w:rsidR="0045007D" w:rsidRPr="007E4102">
        <w:rPr>
          <w:b/>
          <w:szCs w:val="24"/>
        </w:rPr>
        <w:t>Party positions</w:t>
      </w:r>
      <w:r>
        <w:rPr>
          <w:b/>
          <w:szCs w:val="24"/>
        </w:rPr>
        <w:fldChar w:fldCharType="begin"/>
      </w:r>
      <w:r>
        <w:instrText xml:space="preserve"> TC "</w:instrText>
      </w:r>
      <w:bookmarkStart w:id="23" w:name="_Toc320265380"/>
      <w:r w:rsidRPr="0060122C">
        <w:rPr>
          <w:b/>
          <w:szCs w:val="24"/>
        </w:rPr>
        <w:instrText>b.</w:instrText>
      </w:r>
      <w:r w:rsidRPr="0060122C">
        <w:rPr>
          <w:b/>
          <w:szCs w:val="24"/>
        </w:rPr>
        <w:tab/>
        <w:instrText>Party positions</w:instrText>
      </w:r>
      <w:bookmarkEnd w:id="23"/>
      <w:r>
        <w:instrText xml:space="preserve">" \f C \l "4" </w:instrText>
      </w:r>
      <w:r>
        <w:rPr>
          <w:b/>
          <w:szCs w:val="24"/>
        </w:rPr>
        <w:fldChar w:fldCharType="end"/>
      </w:r>
    </w:p>
    <w:p w:rsidR="00E352B0" w:rsidRPr="00E352B0" w:rsidRDefault="00E352B0" w:rsidP="00E352B0">
      <w:pPr>
        <w:rPr>
          <w:b/>
          <w:szCs w:val="24"/>
        </w:rPr>
      </w:pPr>
    </w:p>
    <w:p w:rsidR="0045007D" w:rsidRPr="007C4E34" w:rsidRDefault="0045007D" w:rsidP="00E7599F">
      <w:pPr>
        <w:rPr>
          <w:szCs w:val="24"/>
        </w:rPr>
      </w:pPr>
      <w:r w:rsidRPr="007C4E34">
        <w:rPr>
          <w:szCs w:val="24"/>
        </w:rPr>
        <w:tab/>
      </w:r>
      <w:r w:rsidRPr="007C4E34">
        <w:rPr>
          <w:szCs w:val="24"/>
        </w:rPr>
        <w:tab/>
        <w:t>The OCA supports the Company's proposed modifications to GSC-1 that would move its reconciliation calculation from a quarterly to an annual basis as it will bring GSC-1 reconciliation into line with the procedure for GSC-2 and the TSC and will add stability to the</w:t>
      </w:r>
      <w:r w:rsidR="00322E4D" w:rsidRPr="007C4E34">
        <w:rPr>
          <w:szCs w:val="24"/>
        </w:rPr>
        <w:t xml:space="preserve"> residential rate.  OCA MB at 6; OCA RB at 7-8.</w:t>
      </w:r>
      <w:r w:rsidR="00EA549A" w:rsidRPr="007C4E34">
        <w:rPr>
          <w:szCs w:val="24"/>
        </w:rPr>
        <w:t xml:space="preserve">  In fact, "the added stability envisioned by such a change should have the added benefit of increasing the accuracy of the Company's rate calculation.  The OCA submits that reconciling over 12 months should result in added stability in the residential rate.  As such, the OCA supports the Company</w:t>
      </w:r>
      <w:r w:rsidR="006C2742">
        <w:rPr>
          <w:szCs w:val="24"/>
        </w:rPr>
        <w:t>'s proposed modification to GSC</w:t>
      </w:r>
      <w:r w:rsidR="006C2742">
        <w:rPr>
          <w:szCs w:val="24"/>
        </w:rPr>
        <w:noBreakHyphen/>
      </w:r>
      <w:r w:rsidR="00EA549A" w:rsidRPr="007C4E34">
        <w:rPr>
          <w:szCs w:val="24"/>
        </w:rPr>
        <w:t>1."  OCA MB at 12.</w:t>
      </w:r>
    </w:p>
    <w:p w:rsidR="006577B0" w:rsidRPr="007C4E34" w:rsidRDefault="006577B0" w:rsidP="00E7599F">
      <w:pPr>
        <w:rPr>
          <w:b/>
          <w:szCs w:val="24"/>
        </w:rPr>
      </w:pPr>
    </w:p>
    <w:p w:rsidR="006577B0" w:rsidRDefault="006577B0" w:rsidP="00E7599F">
      <w:pPr>
        <w:rPr>
          <w:szCs w:val="24"/>
        </w:rPr>
      </w:pPr>
      <w:r w:rsidRPr="007C4E34">
        <w:rPr>
          <w:b/>
          <w:szCs w:val="24"/>
        </w:rPr>
        <w:tab/>
      </w:r>
      <w:r w:rsidRPr="007C4E34">
        <w:rPr>
          <w:b/>
          <w:szCs w:val="24"/>
        </w:rPr>
        <w:tab/>
      </w:r>
      <w:r w:rsidRPr="007C4E34">
        <w:rPr>
          <w:szCs w:val="24"/>
        </w:rPr>
        <w:t>The EGSs argue that the regulations require that the EDCs recover their costs on a "current" basis, and that the move from a quarterly to an annual basis is a violation of this requirement:</w:t>
      </w:r>
    </w:p>
    <w:p w:rsidR="00E352B0" w:rsidRPr="007C4E34" w:rsidRDefault="00E352B0" w:rsidP="00E7599F">
      <w:pPr>
        <w:rPr>
          <w:szCs w:val="24"/>
        </w:rPr>
      </w:pPr>
    </w:p>
    <w:p w:rsidR="006577B0" w:rsidRDefault="006577B0" w:rsidP="00711085">
      <w:pPr>
        <w:spacing w:line="240" w:lineRule="auto"/>
        <w:ind w:left="1440" w:right="1440"/>
        <w:rPr>
          <w:szCs w:val="24"/>
        </w:rPr>
      </w:pPr>
      <w:r w:rsidRPr="007C4E34">
        <w:rPr>
          <w:szCs w:val="24"/>
        </w:rPr>
        <w:t xml:space="preserve">It is difficult to conceive of a definition of "current" recovery of costs that allows those costs to be recovered more than a year after they are incurred.  The disassociation caused by elongated recovery divorces the market influence from the rate and causes customer confusion when customers are presented with offers form competitive marketers that are based upon current market conditions.  DR St. No. 1, 12:1-4.  This confusion harms the competitive market by making supplier prices look higher, in most cases, than default service rates. . . . </w:t>
      </w:r>
    </w:p>
    <w:p w:rsidR="00E352B0" w:rsidRPr="007C4E34" w:rsidRDefault="00E352B0" w:rsidP="00711085">
      <w:pPr>
        <w:spacing w:line="240" w:lineRule="auto"/>
        <w:ind w:left="1440" w:right="1440"/>
        <w:rPr>
          <w:szCs w:val="24"/>
        </w:rPr>
      </w:pPr>
    </w:p>
    <w:p w:rsidR="006577B0" w:rsidRPr="007C4E34" w:rsidRDefault="006577B0" w:rsidP="00711085">
      <w:pPr>
        <w:spacing w:line="240" w:lineRule="auto"/>
        <w:ind w:left="1440" w:right="1440"/>
        <w:rPr>
          <w:szCs w:val="24"/>
        </w:rPr>
      </w:pPr>
      <w:r w:rsidRPr="007C4E34">
        <w:rPr>
          <w:szCs w:val="24"/>
        </w:rPr>
        <w:tab/>
        <w:t>While the regulations may not require quarterly reconciliation, 52 Pa. Code § 54.187(h), does require the quarterly adjustment of default service rates, and the inclusion of the over/under reconciliation within the PTC.  It is clear that the only currently approved methodology is quarterly reconciliation, and PPL offers no good reason to modify that approach.</w:t>
      </w:r>
    </w:p>
    <w:p w:rsidR="006577B0" w:rsidRPr="007C4E34" w:rsidRDefault="006577B0" w:rsidP="00711085">
      <w:pPr>
        <w:spacing w:line="240" w:lineRule="auto"/>
        <w:ind w:left="1440" w:right="1440"/>
        <w:rPr>
          <w:szCs w:val="24"/>
        </w:rPr>
      </w:pPr>
      <w:r w:rsidRPr="007C4E34">
        <w:rPr>
          <w:szCs w:val="24"/>
        </w:rPr>
        <w:t>DR MB at 11-12</w:t>
      </w:r>
    </w:p>
    <w:p w:rsidR="003975C9" w:rsidRPr="007C4E34" w:rsidRDefault="003975C9" w:rsidP="00E7599F">
      <w:pPr>
        <w:rPr>
          <w:szCs w:val="24"/>
        </w:rPr>
      </w:pPr>
    </w:p>
    <w:p w:rsidR="00711085" w:rsidRPr="007C4E34" w:rsidRDefault="00711085" w:rsidP="00E7599F">
      <w:pPr>
        <w:rPr>
          <w:szCs w:val="24"/>
        </w:rPr>
      </w:pPr>
      <w:r w:rsidRPr="007C4E34">
        <w:rPr>
          <w:szCs w:val="24"/>
        </w:rPr>
        <w:tab/>
      </w:r>
      <w:r w:rsidRPr="007C4E34">
        <w:rPr>
          <w:szCs w:val="24"/>
        </w:rPr>
        <w:tab/>
        <w:t>The EGSs state that the changes are likely to increase confusion amongst customers and disillusion, as well, from changing the rules "in the middle of the game."  DR MB at 12.</w:t>
      </w:r>
    </w:p>
    <w:p w:rsidR="00905110" w:rsidRPr="007C4E34" w:rsidRDefault="00905110" w:rsidP="00E7599F">
      <w:pPr>
        <w:rPr>
          <w:szCs w:val="24"/>
        </w:rPr>
      </w:pPr>
    </w:p>
    <w:p w:rsidR="003A6CD0" w:rsidRPr="007C4E34" w:rsidRDefault="00691524" w:rsidP="00691524">
      <w:pPr>
        <w:autoSpaceDE/>
        <w:autoSpaceDN/>
        <w:rPr>
          <w:szCs w:val="24"/>
        </w:rPr>
      </w:pPr>
      <w:r w:rsidRPr="007C4E34">
        <w:rPr>
          <w:szCs w:val="24"/>
        </w:rPr>
        <w:tab/>
      </w:r>
      <w:r w:rsidRPr="007C4E34">
        <w:rPr>
          <w:szCs w:val="24"/>
        </w:rPr>
        <w:tab/>
      </w:r>
      <w:r w:rsidR="00315E91" w:rsidRPr="007C4E34">
        <w:rPr>
          <w:szCs w:val="24"/>
        </w:rPr>
        <w:t>In other words,</w:t>
      </w:r>
      <w:r w:rsidRPr="007C4E34">
        <w:rPr>
          <w:szCs w:val="24"/>
        </w:rPr>
        <w:t xml:space="preserve"> the present system inflates the PTC to the point where savvy consumers cannot help but to see the advantage to shopping.  </w:t>
      </w:r>
    </w:p>
    <w:p w:rsidR="003A6CD0" w:rsidRPr="007C4E34" w:rsidRDefault="003A6CD0" w:rsidP="00691524">
      <w:pPr>
        <w:autoSpaceDE/>
        <w:autoSpaceDN/>
        <w:rPr>
          <w:szCs w:val="24"/>
        </w:rPr>
      </w:pPr>
    </w:p>
    <w:p w:rsidR="003A6CD0" w:rsidRPr="007C4E34" w:rsidRDefault="00E352B0" w:rsidP="00DD32C0">
      <w:pPr>
        <w:autoSpaceDE/>
        <w:autoSpaceDN/>
        <w:ind w:left="1440"/>
        <w:rPr>
          <w:b/>
          <w:szCs w:val="24"/>
        </w:rPr>
      </w:pPr>
      <w:r>
        <w:rPr>
          <w:b/>
          <w:szCs w:val="24"/>
        </w:rPr>
        <w:t>c.</w:t>
      </w:r>
      <w:r w:rsidR="00C22D4E" w:rsidRPr="007C4E34">
        <w:rPr>
          <w:b/>
          <w:szCs w:val="24"/>
        </w:rPr>
        <w:tab/>
      </w:r>
      <w:r w:rsidR="003A6CD0" w:rsidRPr="007C4E34">
        <w:rPr>
          <w:b/>
          <w:szCs w:val="24"/>
        </w:rPr>
        <w:t>Recommendation</w:t>
      </w:r>
      <w:r w:rsidR="00E77EC5">
        <w:rPr>
          <w:b/>
          <w:szCs w:val="24"/>
        </w:rPr>
        <w:fldChar w:fldCharType="begin"/>
      </w:r>
      <w:r w:rsidR="00E77EC5">
        <w:instrText xml:space="preserve"> TC "</w:instrText>
      </w:r>
      <w:bookmarkStart w:id="24" w:name="_Toc320265381"/>
      <w:r w:rsidR="00E77EC5" w:rsidRPr="00540968">
        <w:rPr>
          <w:b/>
          <w:szCs w:val="24"/>
        </w:rPr>
        <w:instrText>c.</w:instrText>
      </w:r>
      <w:r w:rsidR="00E77EC5" w:rsidRPr="00540968">
        <w:rPr>
          <w:b/>
          <w:szCs w:val="24"/>
        </w:rPr>
        <w:tab/>
        <w:instrText>Recommendation</w:instrText>
      </w:r>
      <w:bookmarkEnd w:id="24"/>
      <w:r w:rsidR="00E77EC5">
        <w:instrText xml:space="preserve">" \f C \l "4" </w:instrText>
      </w:r>
      <w:r w:rsidR="00E77EC5">
        <w:rPr>
          <w:b/>
          <w:szCs w:val="24"/>
        </w:rPr>
        <w:fldChar w:fldCharType="end"/>
      </w:r>
    </w:p>
    <w:p w:rsidR="003A6CD0" w:rsidRPr="007C4E34" w:rsidRDefault="003A6CD0" w:rsidP="00691524">
      <w:pPr>
        <w:autoSpaceDE/>
        <w:autoSpaceDN/>
        <w:rPr>
          <w:b/>
          <w:szCs w:val="24"/>
        </w:rPr>
      </w:pPr>
    </w:p>
    <w:p w:rsidR="00691524" w:rsidRPr="007C4E34" w:rsidRDefault="003A6CD0" w:rsidP="00691524">
      <w:pPr>
        <w:autoSpaceDE/>
        <w:autoSpaceDN/>
        <w:rPr>
          <w:szCs w:val="24"/>
        </w:rPr>
      </w:pPr>
      <w:r w:rsidRPr="007C4E34">
        <w:rPr>
          <w:b/>
          <w:szCs w:val="24"/>
        </w:rPr>
        <w:tab/>
      </w:r>
      <w:r w:rsidRPr="007C4E34">
        <w:rPr>
          <w:b/>
          <w:szCs w:val="24"/>
        </w:rPr>
        <w:tab/>
      </w:r>
      <w:r w:rsidRPr="007C4E34">
        <w:rPr>
          <w:szCs w:val="24"/>
        </w:rPr>
        <w:t>The</w:t>
      </w:r>
      <w:r w:rsidR="006B06CA" w:rsidRPr="007C4E34">
        <w:rPr>
          <w:szCs w:val="24"/>
        </w:rPr>
        <w:t xml:space="preserve"> Commission has recognized that reconciliation periods may vary:</w:t>
      </w:r>
    </w:p>
    <w:p w:rsidR="008C0E35" w:rsidRPr="007C4E34" w:rsidRDefault="008C0E35" w:rsidP="008C0E35">
      <w:pPr>
        <w:autoSpaceDE/>
        <w:autoSpaceDN/>
        <w:rPr>
          <w:szCs w:val="24"/>
        </w:rPr>
      </w:pPr>
    </w:p>
    <w:p w:rsidR="008C0E35" w:rsidRDefault="008C0E35" w:rsidP="008C0E35">
      <w:pPr>
        <w:autoSpaceDE/>
        <w:autoSpaceDN/>
        <w:spacing w:line="240" w:lineRule="auto"/>
        <w:ind w:left="1440" w:right="1440"/>
        <w:rPr>
          <w:szCs w:val="24"/>
        </w:rPr>
      </w:pPr>
      <w:r w:rsidRPr="007C4E34">
        <w:rPr>
          <w:szCs w:val="24"/>
        </w:rPr>
        <w:tab/>
        <w:t>The Commission recognizes the argument that semi-annual rate adjustment may create rates that are less market-reflective.  Further, the Commission agrees that longer reconciliation periods may help to smooth out over/under collections and therefore keep default rates more market-reflective.  Therefore, the Commission will consider quarterly, as well as semi-annual or annual reconciliation periods in future default service proceedings.</w:t>
      </w:r>
    </w:p>
    <w:p w:rsidR="00E352B0" w:rsidRPr="007C4E34" w:rsidRDefault="00E352B0" w:rsidP="008C0E35">
      <w:pPr>
        <w:autoSpaceDE/>
        <w:autoSpaceDN/>
        <w:spacing w:line="240" w:lineRule="auto"/>
        <w:ind w:left="1440" w:right="1440"/>
        <w:rPr>
          <w:szCs w:val="24"/>
        </w:rPr>
      </w:pPr>
    </w:p>
    <w:p w:rsidR="008C0E35" w:rsidRDefault="008C0E35" w:rsidP="008C0E35">
      <w:pPr>
        <w:autoSpaceDE/>
        <w:autoSpaceDN/>
        <w:spacing w:line="240" w:lineRule="auto"/>
        <w:ind w:left="1440" w:right="1440"/>
        <w:rPr>
          <w:szCs w:val="24"/>
        </w:rPr>
      </w:pPr>
      <w:r w:rsidRPr="007C4E34">
        <w:rPr>
          <w:szCs w:val="24"/>
        </w:rPr>
        <w:tab/>
        <w:t xml:space="preserve">The Commission also finds merit in the comments that the method of calculation of reconciled amounts may also have contributed to the volatility of reconciliation adjustment amounts to the generation and transmission bills.  Therefore, EDCs are asked to include in their default service filings a clear description of how quarterly changes in supply charges will be calculated, adjusted, reconciled, and how various components of the default service costs will be allocated among default service customer rate classes.  </w:t>
      </w:r>
    </w:p>
    <w:p w:rsidR="00E352B0" w:rsidRPr="007C4E34" w:rsidRDefault="00E352B0" w:rsidP="008C0E35">
      <w:pPr>
        <w:autoSpaceDE/>
        <w:autoSpaceDN/>
        <w:spacing w:line="240" w:lineRule="auto"/>
        <w:ind w:left="1440" w:right="1440"/>
        <w:rPr>
          <w:szCs w:val="24"/>
        </w:rPr>
      </w:pPr>
    </w:p>
    <w:p w:rsidR="008C0E35" w:rsidRPr="007C4E34" w:rsidRDefault="008C0E35" w:rsidP="008C0E35">
      <w:pPr>
        <w:autoSpaceDE/>
        <w:autoSpaceDN/>
        <w:spacing w:line="240" w:lineRule="auto"/>
        <w:ind w:left="1440" w:right="1440"/>
        <w:rPr>
          <w:szCs w:val="24"/>
        </w:rPr>
      </w:pPr>
      <w:r w:rsidRPr="007C4E34">
        <w:rPr>
          <w:i/>
          <w:szCs w:val="24"/>
        </w:rPr>
        <w:t>Investigation of Pennsylvania's Retail Electricity Market: Recommendations Regarding Upcoming Default Service Plans</w:t>
      </w:r>
      <w:r w:rsidRPr="007C4E34">
        <w:rPr>
          <w:szCs w:val="24"/>
        </w:rPr>
        <w:t xml:space="preserve">, Docket No. I-2011-2237952 (Final Order entered December 16, 2011) at 54.  </w:t>
      </w:r>
    </w:p>
    <w:p w:rsidR="008C0E35" w:rsidRPr="007C4E34" w:rsidRDefault="008C0E35" w:rsidP="008C0E35">
      <w:pPr>
        <w:autoSpaceDE/>
        <w:autoSpaceDN/>
        <w:rPr>
          <w:b/>
          <w:szCs w:val="24"/>
        </w:rPr>
      </w:pPr>
    </w:p>
    <w:p w:rsidR="00691524" w:rsidRPr="007C4E34" w:rsidRDefault="00691524" w:rsidP="00691524">
      <w:pPr>
        <w:autoSpaceDE/>
        <w:autoSpaceDN/>
        <w:rPr>
          <w:szCs w:val="24"/>
        </w:rPr>
      </w:pPr>
      <w:r w:rsidRPr="007C4E34">
        <w:rPr>
          <w:szCs w:val="24"/>
        </w:rPr>
        <w:tab/>
      </w:r>
      <w:r w:rsidRPr="007C4E34">
        <w:rPr>
          <w:szCs w:val="24"/>
        </w:rPr>
        <w:tab/>
        <w:t>Wh</w:t>
      </w:r>
      <w:r w:rsidR="006B06CA" w:rsidRPr="007C4E34">
        <w:rPr>
          <w:szCs w:val="24"/>
        </w:rPr>
        <w:t xml:space="preserve">ile the higher PTC may promote shopping, it </w:t>
      </w:r>
      <w:r w:rsidRPr="007C4E34">
        <w:rPr>
          <w:szCs w:val="24"/>
        </w:rPr>
        <w:t>does not  result in a fair price to the default service customers, which is also a requirement of the Competition Act, as well as</w:t>
      </w:r>
      <w:r w:rsidR="00A445FE" w:rsidRPr="007C4E34">
        <w:rPr>
          <w:szCs w:val="24"/>
        </w:rPr>
        <w:t xml:space="preserve"> a standard goal to</w:t>
      </w:r>
      <w:r w:rsidRPr="007C4E34">
        <w:rPr>
          <w:szCs w:val="24"/>
        </w:rPr>
        <w:t xml:space="preserve"> ratemaking in general.  </w:t>
      </w:r>
    </w:p>
    <w:p w:rsidR="00691524" w:rsidRPr="007C4E34" w:rsidRDefault="00691524" w:rsidP="00691524">
      <w:pPr>
        <w:autoSpaceDE/>
        <w:autoSpaceDN/>
        <w:rPr>
          <w:szCs w:val="24"/>
        </w:rPr>
      </w:pPr>
    </w:p>
    <w:p w:rsidR="00D8779C" w:rsidRPr="007C4E34" w:rsidRDefault="00C22D4E" w:rsidP="00C22D4E">
      <w:pPr>
        <w:autoSpaceDE/>
        <w:autoSpaceDN/>
        <w:rPr>
          <w:szCs w:val="24"/>
        </w:rPr>
      </w:pPr>
      <w:r w:rsidRPr="007C4E34">
        <w:rPr>
          <w:szCs w:val="24"/>
        </w:rPr>
        <w:tab/>
      </w:r>
      <w:r w:rsidRPr="007C4E34">
        <w:rPr>
          <w:szCs w:val="24"/>
        </w:rPr>
        <w:tab/>
        <w:t xml:space="preserve">The Commission not only fosters competitive markets, </w:t>
      </w:r>
      <w:r w:rsidR="006B06CA" w:rsidRPr="007C4E34">
        <w:rPr>
          <w:szCs w:val="24"/>
        </w:rPr>
        <w:t>but</w:t>
      </w:r>
      <w:r w:rsidR="00691524" w:rsidRPr="007C4E34">
        <w:rPr>
          <w:szCs w:val="24"/>
        </w:rPr>
        <w:t xml:space="preserve"> it balances the needs of the </w:t>
      </w:r>
      <w:r w:rsidRPr="007C4E34">
        <w:rPr>
          <w:szCs w:val="24"/>
        </w:rPr>
        <w:t>c</w:t>
      </w:r>
      <w:r w:rsidR="00691524" w:rsidRPr="007C4E34">
        <w:rPr>
          <w:szCs w:val="24"/>
        </w:rPr>
        <w:t>onsumers</w:t>
      </w:r>
      <w:r w:rsidRPr="007C4E34">
        <w:rPr>
          <w:szCs w:val="24"/>
        </w:rPr>
        <w:t xml:space="preserve"> with utilities to ensure safe and reliable utility service at reasonable rates.  </w:t>
      </w:r>
      <w:r w:rsidRPr="007C4E34">
        <w:rPr>
          <w:i/>
          <w:szCs w:val="24"/>
        </w:rPr>
        <w:t xml:space="preserve">See </w:t>
      </w:r>
      <w:r w:rsidRPr="007C4E34">
        <w:rPr>
          <w:szCs w:val="24"/>
        </w:rPr>
        <w:t>the Commission's Mission Statement.  Th</w:t>
      </w:r>
      <w:r w:rsidR="00691524" w:rsidRPr="007C4E34">
        <w:rPr>
          <w:szCs w:val="24"/>
        </w:rPr>
        <w:t xml:space="preserve">at </w:t>
      </w:r>
      <w:r w:rsidR="000B5F7C" w:rsidRPr="007C4E34">
        <w:rPr>
          <w:szCs w:val="24"/>
        </w:rPr>
        <w:t xml:space="preserve">balance </w:t>
      </w:r>
      <w:r w:rsidR="00691524" w:rsidRPr="007C4E34">
        <w:rPr>
          <w:szCs w:val="24"/>
        </w:rPr>
        <w:t>is not limited to the consumers who shop.  There are default service customers who do not or cannot sho</w:t>
      </w:r>
      <w:r w:rsidR="00D8779C" w:rsidRPr="007C4E34">
        <w:rPr>
          <w:szCs w:val="24"/>
        </w:rPr>
        <w:t>p, and there is simply no basis for charging them unfairly because of their circumstances.</w:t>
      </w:r>
      <w:r w:rsidR="000B5F7C" w:rsidRPr="007C4E34">
        <w:rPr>
          <w:szCs w:val="24"/>
        </w:rPr>
        <w:t xml:space="preserve">  Default service prices must cover the cost of delivering default service but they must still comply with the statutory requirement that "every rate made, demanded, or received by any public utility .</w:t>
      </w:r>
      <w:r w:rsidRPr="007C4E34">
        <w:rPr>
          <w:szCs w:val="24"/>
        </w:rPr>
        <w:t xml:space="preserve"> .</w:t>
      </w:r>
      <w:r w:rsidR="000B5F7C" w:rsidRPr="007C4E34">
        <w:rPr>
          <w:szCs w:val="24"/>
        </w:rPr>
        <w:t xml:space="preserve"> . shall be just and reasonable</w:t>
      </w:r>
      <w:r w:rsidR="00E562F2" w:rsidRPr="007C4E34">
        <w:rPr>
          <w:szCs w:val="24"/>
        </w:rPr>
        <w:t xml:space="preserve"> </w:t>
      </w:r>
      <w:r w:rsidR="000B5F7C" w:rsidRPr="007C4E34">
        <w:rPr>
          <w:szCs w:val="24"/>
        </w:rPr>
        <w:t xml:space="preserve">. . . ."  66 Pa. C.S. § 1301.  In other words, they may not be unfairly inflated </w:t>
      </w:r>
      <w:r w:rsidR="005200DC" w:rsidRPr="007C4E34">
        <w:rPr>
          <w:szCs w:val="24"/>
        </w:rPr>
        <w:t xml:space="preserve">to encourage customers to leave default service.  </w:t>
      </w:r>
      <w:r w:rsidR="00D8779C" w:rsidRPr="007C4E34">
        <w:rPr>
          <w:szCs w:val="24"/>
        </w:rPr>
        <w:t xml:space="preserve">  </w:t>
      </w:r>
    </w:p>
    <w:p w:rsidR="00D8779C" w:rsidRPr="007C4E34" w:rsidRDefault="00D8779C" w:rsidP="00691524">
      <w:pPr>
        <w:autoSpaceDE/>
        <w:autoSpaceDN/>
        <w:rPr>
          <w:szCs w:val="24"/>
        </w:rPr>
      </w:pPr>
    </w:p>
    <w:p w:rsidR="00691524" w:rsidRPr="007C4E34" w:rsidRDefault="00D8779C" w:rsidP="001E6F86">
      <w:pPr>
        <w:rPr>
          <w:szCs w:val="24"/>
        </w:rPr>
      </w:pPr>
      <w:r w:rsidRPr="007C4E34">
        <w:rPr>
          <w:szCs w:val="24"/>
        </w:rPr>
        <w:tab/>
      </w:r>
      <w:r w:rsidRPr="007C4E34">
        <w:rPr>
          <w:szCs w:val="24"/>
        </w:rPr>
        <w:tab/>
        <w:t xml:space="preserve">In order to ensure a fair PTC, reconciliation should occur over a longer period of time than quarterly, which has been proven to contribute to inflated rates.  The OCA and the OSBA advocate trying annual reconciliation.  </w:t>
      </w:r>
      <w:r w:rsidR="00A445FE" w:rsidRPr="007C4E34">
        <w:rPr>
          <w:szCs w:val="24"/>
        </w:rPr>
        <w:t>The Company has amended its request according</w:t>
      </w:r>
      <w:r w:rsidR="00E562F2" w:rsidRPr="007C4E34">
        <w:rPr>
          <w:szCs w:val="24"/>
        </w:rPr>
        <w:t xml:space="preserve"> to</w:t>
      </w:r>
      <w:r w:rsidR="00A445FE" w:rsidRPr="007C4E34">
        <w:rPr>
          <w:szCs w:val="24"/>
        </w:rPr>
        <w:t xml:space="preserve"> the OSBA recommendation that the annual reconciliation be "rolling," which will </w:t>
      </w:r>
      <w:r w:rsidR="001E6F86" w:rsidRPr="007C4E34">
        <w:rPr>
          <w:szCs w:val="24"/>
        </w:rPr>
        <w:t xml:space="preserve">require quarterly evaluation.  Tr. 31-32; PPL Electric MB at 17.  </w:t>
      </w:r>
      <w:r w:rsidRPr="007C4E34">
        <w:rPr>
          <w:szCs w:val="24"/>
        </w:rPr>
        <w:t xml:space="preserve">As there is no legal bar to it, and the quarterly reconciliation did not work fairly, the recommendation is to </w:t>
      </w:r>
      <w:r w:rsidR="00E562F2" w:rsidRPr="007C4E34">
        <w:rPr>
          <w:szCs w:val="24"/>
        </w:rPr>
        <w:t xml:space="preserve">approve </w:t>
      </w:r>
      <w:r w:rsidRPr="007C4E34">
        <w:rPr>
          <w:szCs w:val="24"/>
        </w:rPr>
        <w:t xml:space="preserve">the switch to </w:t>
      </w:r>
      <w:r w:rsidR="00E562F2" w:rsidRPr="007C4E34">
        <w:rPr>
          <w:szCs w:val="24"/>
        </w:rPr>
        <w:t xml:space="preserve">a rolling </w:t>
      </w:r>
      <w:r w:rsidRPr="007C4E34">
        <w:rPr>
          <w:szCs w:val="24"/>
        </w:rPr>
        <w:t>annual reconciliation.</w:t>
      </w:r>
      <w:r w:rsidRPr="007C4E34">
        <w:rPr>
          <w:rStyle w:val="FootnoteReference"/>
          <w:szCs w:val="24"/>
        </w:rPr>
        <w:footnoteReference w:id="8"/>
      </w:r>
      <w:r w:rsidRPr="007C4E34">
        <w:rPr>
          <w:szCs w:val="24"/>
        </w:rPr>
        <w:t xml:space="preserve">    </w:t>
      </w:r>
    </w:p>
    <w:p w:rsidR="003975C9" w:rsidRPr="007C4E34" w:rsidRDefault="003975C9" w:rsidP="00E7599F">
      <w:pPr>
        <w:rPr>
          <w:szCs w:val="24"/>
        </w:rPr>
      </w:pPr>
    </w:p>
    <w:p w:rsidR="00886E0C" w:rsidRDefault="00DD32C0" w:rsidP="00E7599F">
      <w:pPr>
        <w:rPr>
          <w:b/>
          <w:szCs w:val="24"/>
        </w:rPr>
      </w:pPr>
      <w:r>
        <w:rPr>
          <w:b/>
          <w:szCs w:val="24"/>
        </w:rPr>
        <w:t>D</w:t>
      </w:r>
      <w:r w:rsidR="00905110" w:rsidRPr="007C4E34">
        <w:rPr>
          <w:b/>
          <w:szCs w:val="24"/>
        </w:rPr>
        <w:t>.</w:t>
      </w:r>
      <w:r w:rsidR="00905110" w:rsidRPr="007C4E34">
        <w:rPr>
          <w:b/>
          <w:szCs w:val="24"/>
        </w:rPr>
        <w:tab/>
      </w:r>
      <w:r w:rsidR="008C0E35" w:rsidRPr="007C4E34">
        <w:rPr>
          <w:b/>
          <w:szCs w:val="24"/>
        </w:rPr>
        <w:t>Interest Rate for Undercollections</w:t>
      </w:r>
      <w:r w:rsidR="00E77EC5">
        <w:rPr>
          <w:b/>
          <w:szCs w:val="24"/>
        </w:rPr>
        <w:fldChar w:fldCharType="begin"/>
      </w:r>
      <w:r w:rsidR="00E77EC5">
        <w:instrText xml:space="preserve"> TC "</w:instrText>
      </w:r>
      <w:bookmarkStart w:id="25" w:name="_Toc320265382"/>
      <w:r w:rsidR="00E77EC5" w:rsidRPr="00540968">
        <w:rPr>
          <w:b/>
          <w:szCs w:val="24"/>
        </w:rPr>
        <w:instrText>6.</w:instrText>
      </w:r>
      <w:r w:rsidR="00E77EC5" w:rsidRPr="00540968">
        <w:rPr>
          <w:b/>
          <w:szCs w:val="24"/>
        </w:rPr>
        <w:tab/>
        <w:instrText>Interest Rate for Undercollections</w:instrText>
      </w:r>
      <w:bookmarkEnd w:id="25"/>
      <w:r w:rsidR="00E77EC5">
        <w:instrText xml:space="preserve">" \f C \l "2" </w:instrText>
      </w:r>
      <w:r w:rsidR="00E77EC5">
        <w:rPr>
          <w:b/>
          <w:szCs w:val="24"/>
        </w:rPr>
        <w:fldChar w:fldCharType="end"/>
      </w:r>
    </w:p>
    <w:p w:rsidR="00E352B0" w:rsidRPr="007C4E34" w:rsidRDefault="00E352B0" w:rsidP="00E7599F">
      <w:pPr>
        <w:rPr>
          <w:b/>
          <w:szCs w:val="24"/>
        </w:rPr>
      </w:pPr>
    </w:p>
    <w:p w:rsidR="008C0E35" w:rsidRPr="00DD32C0" w:rsidRDefault="007E4102" w:rsidP="00DD32C0">
      <w:pPr>
        <w:ind w:left="720"/>
        <w:rPr>
          <w:b/>
          <w:szCs w:val="24"/>
        </w:rPr>
      </w:pPr>
      <w:r>
        <w:rPr>
          <w:b/>
          <w:szCs w:val="24"/>
        </w:rPr>
        <w:t>1</w:t>
      </w:r>
      <w:r w:rsidR="00DD32C0">
        <w:rPr>
          <w:b/>
          <w:szCs w:val="24"/>
        </w:rPr>
        <w:t>.</w:t>
      </w:r>
      <w:r w:rsidR="00DD32C0">
        <w:rPr>
          <w:b/>
          <w:szCs w:val="24"/>
        </w:rPr>
        <w:tab/>
      </w:r>
      <w:r w:rsidR="00C22D4E" w:rsidRPr="00DD32C0">
        <w:rPr>
          <w:b/>
          <w:szCs w:val="24"/>
        </w:rPr>
        <w:t>Description</w:t>
      </w:r>
      <w:r w:rsidR="00E77EC5" w:rsidRPr="00DD32C0">
        <w:rPr>
          <w:b/>
          <w:szCs w:val="24"/>
        </w:rPr>
        <w:fldChar w:fldCharType="begin"/>
      </w:r>
      <w:r w:rsidR="00E77EC5">
        <w:instrText xml:space="preserve"> TC "</w:instrText>
      </w:r>
      <w:bookmarkStart w:id="26" w:name="_Toc320265383"/>
      <w:r w:rsidR="00E77EC5" w:rsidRPr="00DD32C0">
        <w:rPr>
          <w:b/>
          <w:szCs w:val="24"/>
        </w:rPr>
        <w:instrText>Description</w:instrText>
      </w:r>
      <w:bookmarkEnd w:id="26"/>
      <w:r w:rsidR="00E77EC5">
        <w:instrText xml:space="preserve">" \f C \l "3" </w:instrText>
      </w:r>
      <w:r w:rsidR="00E77EC5" w:rsidRPr="00DD32C0">
        <w:rPr>
          <w:b/>
          <w:szCs w:val="24"/>
        </w:rPr>
        <w:fldChar w:fldCharType="end"/>
      </w:r>
    </w:p>
    <w:p w:rsidR="00E352B0" w:rsidRPr="00E352B0" w:rsidRDefault="00E352B0" w:rsidP="00E352B0">
      <w:pPr>
        <w:rPr>
          <w:b/>
          <w:szCs w:val="24"/>
        </w:rPr>
      </w:pPr>
    </w:p>
    <w:p w:rsidR="002D008A" w:rsidRPr="007C4E34" w:rsidRDefault="00886E0C" w:rsidP="002D008A">
      <w:pPr>
        <w:autoSpaceDE/>
        <w:autoSpaceDN/>
        <w:rPr>
          <w:szCs w:val="24"/>
        </w:rPr>
      </w:pPr>
      <w:r w:rsidRPr="007C4E34">
        <w:rPr>
          <w:szCs w:val="24"/>
        </w:rPr>
        <w:tab/>
      </w:r>
      <w:r w:rsidRPr="007C4E34">
        <w:rPr>
          <w:szCs w:val="24"/>
        </w:rPr>
        <w:tab/>
        <w:t>OSBA is recommending that the interest rates on over and under collections be reduced from the 6% propose</w:t>
      </w:r>
      <w:r w:rsidR="006B06CA" w:rsidRPr="007C4E34">
        <w:rPr>
          <w:szCs w:val="24"/>
        </w:rPr>
        <w:t>d</w:t>
      </w:r>
      <w:r w:rsidRPr="007C4E34">
        <w:rPr>
          <w:szCs w:val="24"/>
        </w:rPr>
        <w:t xml:space="preserve"> by PPL because it exceeds the earnings rate that could be achieved on short-term investment and the Company's short-term cost of capital, which is an incentive to undercollect.  OSBA MB at 7.  </w:t>
      </w:r>
      <w:r w:rsidR="002D008A" w:rsidRPr="007C4E34">
        <w:rPr>
          <w:szCs w:val="24"/>
        </w:rPr>
        <w:t xml:space="preserve">The reduced interest rates are meant to avoid incenting the Company from undercollecting, as the present 6% interest rate is higher than can be earned on short-term investments.  The Company stated that it expected the 6% on undercollections and 8% on overcollections, consistent with the regulations.  52 Pa. Code </w:t>
      </w:r>
      <w:r w:rsidR="006C2742">
        <w:rPr>
          <w:szCs w:val="24"/>
        </w:rPr>
        <w:t>§ </w:t>
      </w:r>
      <w:r w:rsidR="002D008A" w:rsidRPr="007C4E34">
        <w:rPr>
          <w:szCs w:val="24"/>
        </w:rPr>
        <w:t xml:space="preserve">54.187(f).  OSBA MB at 6-8.  </w:t>
      </w:r>
    </w:p>
    <w:p w:rsidR="00886E0C" w:rsidRPr="007C4E34" w:rsidRDefault="00886E0C" w:rsidP="00E7599F">
      <w:pPr>
        <w:rPr>
          <w:szCs w:val="24"/>
        </w:rPr>
      </w:pPr>
    </w:p>
    <w:p w:rsidR="00E352B0" w:rsidRDefault="00E352B0" w:rsidP="00E7599F">
      <w:pPr>
        <w:rPr>
          <w:b/>
          <w:szCs w:val="24"/>
        </w:rPr>
      </w:pPr>
      <w:r>
        <w:rPr>
          <w:b/>
          <w:szCs w:val="24"/>
        </w:rPr>
        <w:br w:type="page"/>
      </w:r>
    </w:p>
    <w:p w:rsidR="003975C9" w:rsidRPr="007C4E34" w:rsidRDefault="00385ED0" w:rsidP="00E7599F">
      <w:pPr>
        <w:rPr>
          <w:b/>
          <w:szCs w:val="24"/>
        </w:rPr>
      </w:pPr>
      <w:r>
        <w:rPr>
          <w:b/>
          <w:szCs w:val="24"/>
        </w:rPr>
        <w:tab/>
      </w:r>
      <w:r w:rsidR="00DD32C0">
        <w:rPr>
          <w:b/>
          <w:szCs w:val="24"/>
        </w:rPr>
        <w:t>2</w:t>
      </w:r>
      <w:r>
        <w:rPr>
          <w:b/>
          <w:szCs w:val="24"/>
        </w:rPr>
        <w:t>.</w:t>
      </w:r>
      <w:r w:rsidR="00C22D4E" w:rsidRPr="007C4E34">
        <w:rPr>
          <w:b/>
          <w:szCs w:val="24"/>
        </w:rPr>
        <w:tab/>
      </w:r>
      <w:r w:rsidR="00262D2C" w:rsidRPr="007C4E34">
        <w:rPr>
          <w:b/>
          <w:szCs w:val="24"/>
        </w:rPr>
        <w:t>Recommendation</w:t>
      </w:r>
      <w:r w:rsidR="00E77EC5">
        <w:rPr>
          <w:b/>
          <w:szCs w:val="24"/>
        </w:rPr>
        <w:fldChar w:fldCharType="begin"/>
      </w:r>
      <w:r w:rsidR="00E77EC5">
        <w:instrText xml:space="preserve"> TC "</w:instrText>
      </w:r>
      <w:bookmarkStart w:id="27" w:name="_Toc320265384"/>
      <w:r w:rsidR="007E4102">
        <w:rPr>
          <w:b/>
        </w:rPr>
        <w:instrText>2</w:instrText>
      </w:r>
      <w:r w:rsidR="00E77EC5" w:rsidRPr="00540968">
        <w:rPr>
          <w:b/>
          <w:szCs w:val="24"/>
        </w:rPr>
        <w:instrText>.</w:instrText>
      </w:r>
      <w:r w:rsidR="00E77EC5" w:rsidRPr="00540968">
        <w:rPr>
          <w:b/>
          <w:szCs w:val="24"/>
        </w:rPr>
        <w:tab/>
        <w:instrText>Recommendation</w:instrText>
      </w:r>
      <w:bookmarkEnd w:id="27"/>
      <w:r w:rsidR="00E77EC5">
        <w:instrText xml:space="preserve">" \f C \l "3" </w:instrText>
      </w:r>
      <w:r w:rsidR="00E77EC5">
        <w:rPr>
          <w:b/>
          <w:szCs w:val="24"/>
        </w:rPr>
        <w:fldChar w:fldCharType="end"/>
      </w:r>
    </w:p>
    <w:p w:rsidR="00262D2C" w:rsidRPr="007C4E34" w:rsidRDefault="00262D2C" w:rsidP="00E7599F">
      <w:pPr>
        <w:rPr>
          <w:b/>
          <w:szCs w:val="24"/>
        </w:rPr>
      </w:pPr>
    </w:p>
    <w:p w:rsidR="00677B9C" w:rsidRPr="007C4E34" w:rsidRDefault="00262D2C" w:rsidP="00F00E5E">
      <w:pPr>
        <w:rPr>
          <w:szCs w:val="24"/>
        </w:rPr>
      </w:pPr>
      <w:r w:rsidRPr="007C4E34">
        <w:rPr>
          <w:szCs w:val="24"/>
        </w:rPr>
        <w:tab/>
      </w:r>
      <w:r w:rsidRPr="007C4E34">
        <w:rPr>
          <w:szCs w:val="24"/>
        </w:rPr>
        <w:tab/>
      </w:r>
      <w:r w:rsidR="001E6F86" w:rsidRPr="007C4E34">
        <w:rPr>
          <w:szCs w:val="24"/>
        </w:rPr>
        <w:t xml:space="preserve">Both sides are correct.  </w:t>
      </w:r>
      <w:r w:rsidR="00C22D4E" w:rsidRPr="007C4E34">
        <w:rPr>
          <w:szCs w:val="24"/>
        </w:rPr>
        <w:t>Although t</w:t>
      </w:r>
      <w:r w:rsidR="001E6F86" w:rsidRPr="007C4E34">
        <w:rPr>
          <w:szCs w:val="24"/>
        </w:rPr>
        <w:t xml:space="preserve">he legal interest rate has </w:t>
      </w:r>
      <w:r w:rsidR="00C22D4E" w:rsidRPr="007C4E34">
        <w:rPr>
          <w:szCs w:val="24"/>
        </w:rPr>
        <w:t>seemed to be</w:t>
      </w:r>
      <w:r w:rsidR="001E6F86" w:rsidRPr="007C4E34">
        <w:rPr>
          <w:szCs w:val="24"/>
        </w:rPr>
        <w:t xml:space="preserve"> pitifully low in comparison to what was available in the marketplace at tim</w:t>
      </w:r>
      <w:r w:rsidR="00C22D4E" w:rsidRPr="007C4E34">
        <w:rPr>
          <w:szCs w:val="24"/>
        </w:rPr>
        <w:t>es in the past</w:t>
      </w:r>
      <w:r w:rsidR="001E6F86" w:rsidRPr="007C4E34">
        <w:rPr>
          <w:szCs w:val="24"/>
        </w:rPr>
        <w:t xml:space="preserve">, this is not one of those times.  Presently, there is little opportunity to recoup 6% </w:t>
      </w:r>
      <w:r w:rsidR="00C22D4E" w:rsidRPr="007C4E34">
        <w:rPr>
          <w:szCs w:val="24"/>
        </w:rPr>
        <w:t>from conventional financial institutions</w:t>
      </w:r>
      <w:r w:rsidR="001E6F86" w:rsidRPr="007C4E34">
        <w:rPr>
          <w:szCs w:val="24"/>
        </w:rPr>
        <w:t>.  This percentage rate is a regulatory windfall</w:t>
      </w:r>
      <w:r w:rsidR="00CD48F8" w:rsidRPr="007C4E34">
        <w:rPr>
          <w:szCs w:val="24"/>
        </w:rPr>
        <w:t xml:space="preserve"> for EDCs, and the irresponsible EDC does have an opportunity for abuse.  However, the regulatory environment should provide oversight for t</w:t>
      </w:r>
      <w:r w:rsidR="00E562F2" w:rsidRPr="007C4E34">
        <w:rPr>
          <w:szCs w:val="24"/>
        </w:rPr>
        <w:t xml:space="preserve">he ratemaking process, and all of the statutory advocates are </w:t>
      </w:r>
      <w:r w:rsidR="00CD48F8" w:rsidRPr="007C4E34">
        <w:rPr>
          <w:szCs w:val="24"/>
        </w:rPr>
        <w:t>encouraged to continue to watch all of the EDCs carefully to ensure due diligence.</w:t>
      </w:r>
      <w:r w:rsidR="001E6F86" w:rsidRPr="007C4E34">
        <w:rPr>
          <w:szCs w:val="24"/>
        </w:rPr>
        <w:t xml:space="preserve"> </w:t>
      </w:r>
    </w:p>
    <w:p w:rsidR="00083ABD" w:rsidRPr="007C4E34" w:rsidRDefault="00083ABD" w:rsidP="00DA39B4">
      <w:pPr>
        <w:autoSpaceDE/>
        <w:autoSpaceDN/>
        <w:rPr>
          <w:szCs w:val="24"/>
        </w:rPr>
      </w:pPr>
    </w:p>
    <w:p w:rsidR="00083ABD" w:rsidRPr="007C4E34" w:rsidRDefault="00083ABD" w:rsidP="00DA39B4">
      <w:pPr>
        <w:autoSpaceDE/>
        <w:autoSpaceDN/>
        <w:rPr>
          <w:szCs w:val="24"/>
        </w:rPr>
      </w:pPr>
      <w:r w:rsidRPr="007C4E34">
        <w:rPr>
          <w:szCs w:val="24"/>
        </w:rPr>
        <w:tab/>
      </w:r>
      <w:r w:rsidRPr="007C4E34">
        <w:rPr>
          <w:szCs w:val="24"/>
        </w:rPr>
        <w:tab/>
        <w:t xml:space="preserve">The Commission's regulations provide that "A DSP may collect interest from retail customers on the recoveries of under </w:t>
      </w:r>
      <w:r w:rsidR="00E562F2" w:rsidRPr="007C4E34">
        <w:rPr>
          <w:szCs w:val="24"/>
        </w:rPr>
        <w:t>collection of default</w:t>
      </w:r>
      <w:r w:rsidRPr="007C4E34">
        <w:rPr>
          <w:szCs w:val="24"/>
        </w:rPr>
        <w:t xml:space="preserve"> service costs at the legal rate of interest.  Refunds to customers for over recoveries shall be made with interest, at the legal rate of interest plus 2%."  52 Pa. Code § 54.187(f).  Without evidence of wrongdoing on the part of the Company in figuring the rates, there is no </w:t>
      </w:r>
      <w:r w:rsidR="00E562F2" w:rsidRPr="007C4E34">
        <w:rPr>
          <w:szCs w:val="24"/>
        </w:rPr>
        <w:t>support for</w:t>
      </w:r>
      <w:r w:rsidRPr="007C4E34">
        <w:rPr>
          <w:szCs w:val="24"/>
        </w:rPr>
        <w:t xml:space="preserve"> apply</w:t>
      </w:r>
      <w:r w:rsidR="00E562F2" w:rsidRPr="007C4E34">
        <w:rPr>
          <w:szCs w:val="24"/>
        </w:rPr>
        <w:t>ing</w:t>
      </w:r>
      <w:r w:rsidRPr="007C4E34">
        <w:rPr>
          <w:szCs w:val="24"/>
        </w:rPr>
        <w:t xml:space="preserve"> any interest rate other than that already required by the Commission's regulations.  This request is denied</w:t>
      </w:r>
      <w:r w:rsidR="00E562F2" w:rsidRPr="007C4E34">
        <w:rPr>
          <w:szCs w:val="24"/>
        </w:rPr>
        <w:t>, with the understanding that the Commission itself may justifiably reach another conclusion</w:t>
      </w:r>
      <w:r w:rsidRPr="007C4E34">
        <w:rPr>
          <w:szCs w:val="24"/>
        </w:rPr>
        <w:t xml:space="preserve">.  </w:t>
      </w:r>
    </w:p>
    <w:p w:rsidR="008A5028" w:rsidRPr="007C4E34" w:rsidRDefault="008A5028" w:rsidP="00DA39B4">
      <w:pPr>
        <w:autoSpaceDE/>
        <w:autoSpaceDN/>
        <w:rPr>
          <w:szCs w:val="24"/>
        </w:rPr>
      </w:pPr>
    </w:p>
    <w:p w:rsidR="00677B9C" w:rsidRPr="0058235F" w:rsidRDefault="00DD32C0" w:rsidP="00385ED0">
      <w:pPr>
        <w:pStyle w:val="ListParagraph"/>
        <w:autoSpaceDE/>
        <w:autoSpaceDN/>
        <w:rPr>
          <w:b/>
          <w:szCs w:val="24"/>
        </w:rPr>
      </w:pPr>
      <w:r>
        <w:rPr>
          <w:b/>
          <w:szCs w:val="24"/>
        </w:rPr>
        <w:t>3</w:t>
      </w:r>
      <w:r w:rsidR="0058235F">
        <w:rPr>
          <w:b/>
          <w:szCs w:val="24"/>
        </w:rPr>
        <w:t>.</w:t>
      </w:r>
      <w:r w:rsidR="0058235F">
        <w:rPr>
          <w:b/>
          <w:szCs w:val="24"/>
        </w:rPr>
        <w:tab/>
      </w:r>
      <w:r w:rsidR="008A5028" w:rsidRPr="0058235F">
        <w:rPr>
          <w:b/>
          <w:szCs w:val="24"/>
        </w:rPr>
        <w:t>C</w:t>
      </w:r>
      <w:r w:rsidR="004F1A21">
        <w:rPr>
          <w:b/>
          <w:szCs w:val="24"/>
        </w:rPr>
        <w:t>onclusion</w:t>
      </w:r>
      <w:r w:rsidR="004F1A21">
        <w:rPr>
          <w:b/>
          <w:szCs w:val="24"/>
        </w:rPr>
        <w:fldChar w:fldCharType="begin"/>
      </w:r>
      <w:r w:rsidR="004F1A21">
        <w:instrText xml:space="preserve"> TC "</w:instrText>
      </w:r>
      <w:bookmarkStart w:id="28" w:name="_Toc320265385"/>
      <w:r w:rsidR="004F1A21" w:rsidRPr="002F0A75">
        <w:rPr>
          <w:b/>
          <w:szCs w:val="24"/>
        </w:rPr>
        <w:instrText>3.</w:instrText>
      </w:r>
      <w:r w:rsidR="004F1A21" w:rsidRPr="002F0A75">
        <w:rPr>
          <w:b/>
          <w:szCs w:val="24"/>
        </w:rPr>
        <w:tab/>
        <w:instrText>CONCLUSION</w:instrText>
      </w:r>
      <w:bookmarkEnd w:id="28"/>
      <w:r w:rsidR="004F1A21">
        <w:instrText xml:space="preserve">" \f C \l "3" </w:instrText>
      </w:r>
      <w:r w:rsidR="004F1A21">
        <w:rPr>
          <w:b/>
          <w:szCs w:val="24"/>
        </w:rPr>
        <w:fldChar w:fldCharType="end"/>
      </w:r>
    </w:p>
    <w:p w:rsidR="008A5028" w:rsidRPr="007C4E34" w:rsidRDefault="008A5028" w:rsidP="008C0E35">
      <w:pPr>
        <w:autoSpaceDE/>
        <w:autoSpaceDN/>
        <w:rPr>
          <w:b/>
          <w:szCs w:val="24"/>
        </w:rPr>
      </w:pPr>
    </w:p>
    <w:p w:rsidR="008A5028" w:rsidRPr="007C4E34" w:rsidRDefault="008A5028" w:rsidP="008C0E35">
      <w:pPr>
        <w:autoSpaceDE/>
        <w:autoSpaceDN/>
        <w:rPr>
          <w:szCs w:val="24"/>
        </w:rPr>
      </w:pPr>
      <w:r w:rsidRPr="007C4E34">
        <w:rPr>
          <w:b/>
          <w:szCs w:val="24"/>
        </w:rPr>
        <w:tab/>
      </w:r>
      <w:r w:rsidRPr="007C4E34">
        <w:rPr>
          <w:b/>
          <w:szCs w:val="24"/>
        </w:rPr>
        <w:tab/>
      </w:r>
      <w:r w:rsidRPr="007C4E34">
        <w:rPr>
          <w:szCs w:val="24"/>
        </w:rPr>
        <w:t xml:space="preserve">For the reasons set forth in this Recommended Decision, I recommend that the Petition of PPL Electric to implement a Reconciliation Rider be granted, providing that the "E" factor be figured by matching the time period to be reconciled for both revenues and expenses; that the proposal to implement a Competitive Transition Rider be denied; that the proposal to include </w:t>
      </w:r>
      <w:r w:rsidR="008172EA" w:rsidRPr="007C4E34">
        <w:rPr>
          <w:szCs w:val="24"/>
        </w:rPr>
        <w:t xml:space="preserve">the over or under collection of the residential and small C&amp;I </w:t>
      </w:r>
      <w:r w:rsidR="00E562F2" w:rsidRPr="007C4E34">
        <w:rPr>
          <w:szCs w:val="24"/>
        </w:rPr>
        <w:t>T</w:t>
      </w:r>
      <w:r w:rsidR="008172EA" w:rsidRPr="007C4E34">
        <w:rPr>
          <w:szCs w:val="24"/>
        </w:rPr>
        <w:t xml:space="preserve">ime of </w:t>
      </w:r>
      <w:r w:rsidR="00E562F2" w:rsidRPr="007C4E34">
        <w:rPr>
          <w:szCs w:val="24"/>
        </w:rPr>
        <w:t>U</w:t>
      </w:r>
      <w:r w:rsidR="008172EA" w:rsidRPr="007C4E34">
        <w:rPr>
          <w:szCs w:val="24"/>
        </w:rPr>
        <w:t>se program rates be reconciled with the respective residential and small C&amp;I customer classes, following the disposition of the case at Docket No. R-2011-2264771</w:t>
      </w:r>
      <w:r w:rsidR="00E562F2" w:rsidRPr="007C4E34">
        <w:rPr>
          <w:szCs w:val="24"/>
        </w:rPr>
        <w:t>, with the E factor determined by matching the time period to be reconciled for both revenues and expenses</w:t>
      </w:r>
      <w:r w:rsidR="008172EA" w:rsidRPr="007C4E34">
        <w:rPr>
          <w:szCs w:val="24"/>
        </w:rPr>
        <w:t xml:space="preserve">; that the proposal regarding the ability to net the over and under collections of the GSC-1 and GSC-2 with the TSC reconciliations be deferred until the Commission's disposition of  is </w:t>
      </w:r>
      <w:r w:rsidR="008172EA" w:rsidRPr="007C4E34">
        <w:rPr>
          <w:i/>
          <w:szCs w:val="24"/>
        </w:rPr>
        <w:t>PPL Electric Utilities Corporation Proposed Transmission Service Charge Reconciliation for the Twelve Months Ending November 30, 2010</w:t>
      </w:r>
      <w:r w:rsidR="008172EA" w:rsidRPr="007C4E34">
        <w:rPr>
          <w:szCs w:val="24"/>
        </w:rPr>
        <w:t>, Docket No. M-2010-2213754; that the length of the reconciliations be changed to "rolling" annual basis; that the interest rate for undercollection remain at 6%; and that the Large C&amp;I customer classes be reconciled separately.</w:t>
      </w:r>
      <w:r w:rsidRPr="007C4E34">
        <w:rPr>
          <w:szCs w:val="24"/>
        </w:rPr>
        <w:t xml:space="preserve">  </w:t>
      </w:r>
    </w:p>
    <w:p w:rsidR="008172EA" w:rsidRPr="007C4E34" w:rsidRDefault="008172EA" w:rsidP="008C0E35">
      <w:pPr>
        <w:autoSpaceDE/>
        <w:autoSpaceDN/>
        <w:jc w:val="center"/>
        <w:rPr>
          <w:szCs w:val="24"/>
        </w:rPr>
      </w:pPr>
    </w:p>
    <w:p w:rsidR="003975C9" w:rsidRPr="004F1A21" w:rsidRDefault="004F1A21" w:rsidP="004F1A21">
      <w:pPr>
        <w:autoSpaceDE/>
        <w:autoSpaceDN/>
        <w:jc w:val="center"/>
        <w:rPr>
          <w:szCs w:val="24"/>
        </w:rPr>
      </w:pPr>
      <w:r w:rsidRPr="004F1A21">
        <w:rPr>
          <w:szCs w:val="24"/>
        </w:rPr>
        <w:t>IV.</w:t>
      </w:r>
      <w:r w:rsidRPr="004F1A21">
        <w:rPr>
          <w:szCs w:val="24"/>
        </w:rPr>
        <w:tab/>
      </w:r>
      <w:r w:rsidR="003975C9" w:rsidRPr="004F1A21">
        <w:rPr>
          <w:szCs w:val="24"/>
          <w:u w:val="single"/>
        </w:rPr>
        <w:t>CONCLUSIONS OF LAW</w:t>
      </w:r>
      <w:r>
        <w:rPr>
          <w:szCs w:val="24"/>
          <w:u w:val="single"/>
        </w:rPr>
        <w:fldChar w:fldCharType="begin"/>
      </w:r>
      <w:r>
        <w:instrText xml:space="preserve"> TC "</w:instrText>
      </w:r>
      <w:bookmarkStart w:id="29" w:name="_Toc320265386"/>
      <w:r w:rsidRPr="00906997">
        <w:rPr>
          <w:szCs w:val="24"/>
        </w:rPr>
        <w:instrText>IV.</w:instrText>
      </w:r>
      <w:r w:rsidRPr="00906997">
        <w:rPr>
          <w:szCs w:val="24"/>
        </w:rPr>
        <w:tab/>
      </w:r>
      <w:r w:rsidRPr="00906997">
        <w:rPr>
          <w:szCs w:val="24"/>
          <w:u w:val="single"/>
        </w:rPr>
        <w:instrText>CONCLUSIONS OF LAW</w:instrText>
      </w:r>
      <w:bookmarkEnd w:id="29"/>
      <w:r>
        <w:instrText xml:space="preserve">" \f C \l "1" </w:instrText>
      </w:r>
      <w:r>
        <w:rPr>
          <w:szCs w:val="24"/>
          <w:u w:val="single"/>
        </w:rPr>
        <w:fldChar w:fldCharType="end"/>
      </w:r>
    </w:p>
    <w:p w:rsidR="003975C9" w:rsidRPr="007C4E34" w:rsidRDefault="003975C9" w:rsidP="003975C9">
      <w:pPr>
        <w:jc w:val="center"/>
        <w:rPr>
          <w:szCs w:val="24"/>
        </w:rPr>
      </w:pPr>
    </w:p>
    <w:p w:rsidR="00E75189" w:rsidRPr="007C4E34" w:rsidRDefault="003975C9" w:rsidP="001A2D84">
      <w:pPr>
        <w:contextualSpacing/>
        <w:rPr>
          <w:szCs w:val="24"/>
        </w:rPr>
      </w:pPr>
      <w:r w:rsidRPr="007C4E34">
        <w:rPr>
          <w:szCs w:val="24"/>
        </w:rPr>
        <w:tab/>
      </w:r>
      <w:r w:rsidRPr="007C4E34">
        <w:rPr>
          <w:szCs w:val="24"/>
        </w:rPr>
        <w:tab/>
        <w:t>1.</w:t>
      </w:r>
      <w:r w:rsidRPr="007C4E34">
        <w:rPr>
          <w:szCs w:val="24"/>
        </w:rPr>
        <w:tab/>
      </w:r>
      <w:r w:rsidR="00E75189" w:rsidRPr="007C4E34">
        <w:rPr>
          <w:szCs w:val="24"/>
        </w:rPr>
        <w:t>PPL Electric Utility Company (“PPL Electric”) is a “public utility” and an “electric distribution company” as those terms are defined under the Public Utility Code, 66 Pa.C.S. §§ 102 and 2803, subject to the regulatory jurisdiction of the Commission.  PPL Electric Ex. No. 1.</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2.</w:t>
      </w:r>
      <w:r w:rsidRPr="007C4E34">
        <w:rPr>
          <w:szCs w:val="24"/>
        </w:rPr>
        <w:tab/>
      </w:r>
      <w:r w:rsidR="00E75189" w:rsidRPr="007C4E34">
        <w:rPr>
          <w:szCs w:val="24"/>
        </w:rPr>
        <w:t>As the party seeking Commission approval of the proposed RR and CTR, PPL Electric bears the burden of proving that the proposed riders are just, reasonable, and in the public interest.  66 Pa.C.S. § 315.</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3.</w:t>
      </w:r>
      <w:r w:rsidRPr="007C4E34">
        <w:rPr>
          <w:szCs w:val="24"/>
        </w:rPr>
        <w:tab/>
      </w:r>
      <w:r w:rsidR="00E75189" w:rsidRPr="007C4E34">
        <w:rPr>
          <w:szCs w:val="24"/>
        </w:rPr>
        <w:t xml:space="preserve">Although PPL Electric, as the applicant, bears the burden of proving that the proposed RR and CTR are in the public interest, a party that proposes an issue that is not included in a public utility’s proposal bears the burden of proof.  For example, in </w:t>
      </w:r>
      <w:r w:rsidR="00E75189" w:rsidRPr="007C4E34">
        <w:rPr>
          <w:i/>
          <w:szCs w:val="24"/>
        </w:rPr>
        <w:t>Pa. P.U.C. v. Metropolitan Edison Company</w:t>
      </w:r>
      <w:r w:rsidR="00E75189" w:rsidRPr="007C4E34">
        <w:rPr>
          <w:szCs w:val="24"/>
        </w:rPr>
        <w:t xml:space="preserve">, et al., Docket Nos. R-00061366, et al., 2007 Pa. PUC LEXIS 5 (January 11, 2007); </w:t>
      </w:r>
      <w:r w:rsidR="00E75189" w:rsidRPr="007C4E34">
        <w:rPr>
          <w:i/>
          <w:szCs w:val="24"/>
        </w:rPr>
        <w:t>Joint Default Service Plan for Citizens’ Electric Company of Lewisburg, PA and Wellsboro Electric Company for the Period of June 1, 2010 through May 31, 2013</w:t>
      </w:r>
      <w:r w:rsidR="00E75189" w:rsidRPr="007C4E34">
        <w:rPr>
          <w:szCs w:val="24"/>
        </w:rPr>
        <w:t>, Docket Nos. P-2009-2110798, et al., 2010 WL 1259684 at *2, 19-20 (February 25, 2010).</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4.</w:t>
      </w:r>
      <w:r w:rsidRPr="007C4E34">
        <w:rPr>
          <w:szCs w:val="24"/>
        </w:rPr>
        <w:tab/>
      </w:r>
      <w:r w:rsidR="00E75189" w:rsidRPr="007C4E34">
        <w:rPr>
          <w:szCs w:val="24"/>
        </w:rPr>
        <w:t>Default service providers are statutorily required to be ready, willing, and able to provide default service to any requesting customer within the provider’s service territory</w:t>
      </w:r>
      <w:r w:rsidR="00E75189" w:rsidRPr="007C4E34">
        <w:rPr>
          <w:i/>
          <w:szCs w:val="24"/>
        </w:rPr>
        <w:t xml:space="preserve"> i.e.</w:t>
      </w:r>
      <w:r w:rsidR="00E75189" w:rsidRPr="007C4E34">
        <w:rPr>
          <w:szCs w:val="24"/>
        </w:rPr>
        <w:t xml:space="preserve">, any existing or new default service customers and customers returning to default service.  66 Pa.C.S. § 2807(e).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5.</w:t>
      </w:r>
      <w:r w:rsidRPr="007C4E34">
        <w:rPr>
          <w:szCs w:val="24"/>
        </w:rPr>
        <w:tab/>
      </w:r>
      <w:r w:rsidR="00E75189" w:rsidRPr="007C4E34">
        <w:rPr>
          <w:szCs w:val="24"/>
        </w:rPr>
        <w:t xml:space="preserve">Under Act No. 129, PPL Electric is statutorily entitled to recover, on a full and current basis, all reasonable costs incurred in providing default service through a reconcilable surcharge.  66 Pa.C.S. § 2807(e)(3.9); </w:t>
      </w:r>
      <w:r w:rsidR="00E75189" w:rsidRPr="007C4E34">
        <w:rPr>
          <w:i/>
          <w:szCs w:val="24"/>
        </w:rPr>
        <w:t>Pa. Power Co. v. Pa. PUC</w:t>
      </w:r>
      <w:r w:rsidR="00E75189" w:rsidRPr="007C4E34">
        <w:rPr>
          <w:szCs w:val="24"/>
        </w:rPr>
        <w:t xml:space="preserve">, 932 A.2d 300, 307 (Pa. Cmwlth. 2007).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6.</w:t>
      </w:r>
      <w:r w:rsidRPr="007C4E34">
        <w:rPr>
          <w:szCs w:val="24"/>
        </w:rPr>
        <w:tab/>
      </w:r>
      <w:r w:rsidR="00E75189" w:rsidRPr="007C4E34">
        <w:rPr>
          <w:szCs w:val="24"/>
        </w:rPr>
        <w:t xml:space="preserve">The Commission previously has found reconciliation mechanisms similar to PPL Electric’s proposed RR as reasonable and appropriate means to recover under collection from or refund over collections to customers who switch from default to competitive supply.  </w:t>
      </w:r>
      <w:r w:rsidR="00E75189" w:rsidRPr="007C4E34">
        <w:rPr>
          <w:i/>
          <w:szCs w:val="24"/>
        </w:rPr>
        <w:t>Enron Capital &amp; Trade Resources Corporation v. The Peoples Natural Gas Company, et al.</w:t>
      </w:r>
      <w:r w:rsidR="00E75189" w:rsidRPr="007C4E34">
        <w:rPr>
          <w:szCs w:val="24"/>
        </w:rPr>
        <w:t xml:space="preserve">, Docket No. R-00973928C0001, 1998 Pa. PUC LEXIS 199 at *20-22 (August 24, 1998); </w:t>
      </w:r>
      <w:r w:rsidR="00E75189" w:rsidRPr="007C4E34">
        <w:rPr>
          <w:i/>
          <w:szCs w:val="24"/>
        </w:rPr>
        <w:t>Pennsylvania Public Utility Commission, et al. v. The Equitable Gas Company</w:t>
      </w:r>
      <w:r w:rsidR="006C2742">
        <w:rPr>
          <w:szCs w:val="24"/>
        </w:rPr>
        <w:t>, Docket No. R</w:t>
      </w:r>
      <w:r w:rsidR="006C2742">
        <w:rPr>
          <w:szCs w:val="24"/>
        </w:rPr>
        <w:noBreakHyphen/>
      </w:r>
      <w:r w:rsidR="00E75189" w:rsidRPr="007C4E34">
        <w:rPr>
          <w:szCs w:val="24"/>
        </w:rPr>
        <w:t xml:space="preserve">00963858, 1997 Pa. PUC LEXIS 92 (December 4, 1997); </w:t>
      </w:r>
      <w:r w:rsidR="00E75189" w:rsidRPr="007C4E34">
        <w:rPr>
          <w:i/>
          <w:szCs w:val="24"/>
        </w:rPr>
        <w:t>Petition of PECO Energy Company for Approval of Its Default Service Program and Rate Mitigation Plan</w:t>
      </w:r>
      <w:r w:rsidR="00E75189" w:rsidRPr="007C4E34">
        <w:rPr>
          <w:szCs w:val="24"/>
        </w:rPr>
        <w:t>, Docket P-2008-2062739 (June 2, 2009).</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7.</w:t>
      </w:r>
      <w:r w:rsidRPr="007C4E34">
        <w:rPr>
          <w:szCs w:val="24"/>
        </w:rPr>
        <w:tab/>
      </w:r>
      <w:r w:rsidR="00E75189" w:rsidRPr="007C4E34">
        <w:rPr>
          <w:szCs w:val="24"/>
        </w:rPr>
        <w:t>The Commission</w:t>
      </w:r>
      <w:r w:rsidRPr="007C4E34">
        <w:rPr>
          <w:szCs w:val="24"/>
        </w:rPr>
        <w:t xml:space="preserve"> has found </w:t>
      </w:r>
      <w:r w:rsidR="00E75189" w:rsidRPr="007C4E34">
        <w:rPr>
          <w:szCs w:val="24"/>
        </w:rPr>
        <w:t>merit in the comments that the method of calculation of reconciled amounts may also have contributed to the volatility of reconciliation adjustment amounts to the generation and transmission bills.</w:t>
      </w:r>
      <w:r w:rsidRPr="007C4E34">
        <w:rPr>
          <w:szCs w:val="24"/>
        </w:rPr>
        <w:t xml:space="preserve">  </w:t>
      </w:r>
      <w:r w:rsidR="00E75189" w:rsidRPr="007C4E34">
        <w:rPr>
          <w:i/>
          <w:szCs w:val="24"/>
        </w:rPr>
        <w:t>Investigation of Pennsylvania’s Retail Electricity Market: Recommendations Regarding Upcoming Default Service Plans</w:t>
      </w:r>
      <w:r w:rsidR="00E75189" w:rsidRPr="007C4E34">
        <w:rPr>
          <w:szCs w:val="24"/>
        </w:rPr>
        <w:t xml:space="preserve">, Docket No. I-2011-2237952, Slip Op. p. 54 (December 16, 2011).  In addition, the Commission specifically agreed that longer reconciliation periods may help to smooth out over/under collections.  Slip Op. p. 54.  </w:t>
      </w:r>
    </w:p>
    <w:p w:rsidR="001A2D84" w:rsidRPr="007C4E34" w:rsidRDefault="001A2D84" w:rsidP="001A2D84">
      <w:pPr>
        <w:contextualSpacing/>
        <w:rPr>
          <w:szCs w:val="24"/>
        </w:rPr>
      </w:pPr>
    </w:p>
    <w:p w:rsidR="001A2D84" w:rsidRPr="007C4E34" w:rsidRDefault="001A2D84" w:rsidP="001A2D84">
      <w:pPr>
        <w:contextualSpacing/>
        <w:rPr>
          <w:szCs w:val="24"/>
        </w:rPr>
      </w:pPr>
      <w:r w:rsidRPr="007C4E34">
        <w:rPr>
          <w:szCs w:val="24"/>
        </w:rPr>
        <w:tab/>
      </w:r>
      <w:r w:rsidRPr="007C4E34">
        <w:rPr>
          <w:szCs w:val="24"/>
        </w:rPr>
        <w:tab/>
        <w:t>8.</w:t>
      </w:r>
      <w:r w:rsidRPr="007C4E34">
        <w:rPr>
          <w:szCs w:val="24"/>
        </w:rPr>
        <w:tab/>
      </w:r>
      <w:r w:rsidR="00E75189" w:rsidRPr="007C4E34">
        <w:rPr>
          <w:szCs w:val="24"/>
        </w:rPr>
        <w:t xml:space="preserve">Section 69.1808(a)(3) is a Commission Policy Statement and Guideline.  </w:t>
      </w:r>
      <w:r w:rsidRPr="007C4E34">
        <w:rPr>
          <w:szCs w:val="24"/>
        </w:rPr>
        <w:t>52 Pa. Code § 69.1808(a)(3).</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9.</w:t>
      </w:r>
      <w:r w:rsidRPr="007C4E34">
        <w:rPr>
          <w:szCs w:val="24"/>
        </w:rPr>
        <w:tab/>
        <w:t>S</w:t>
      </w:r>
      <w:r w:rsidR="00E75189" w:rsidRPr="007C4E34">
        <w:rPr>
          <w:szCs w:val="24"/>
        </w:rPr>
        <w:t xml:space="preserve">tatements of policy and guidelines do not establish binding norms or obligations.  </w:t>
      </w:r>
      <w:r w:rsidR="00E75189" w:rsidRPr="007C4E34">
        <w:rPr>
          <w:i/>
          <w:szCs w:val="24"/>
        </w:rPr>
        <w:t>See Dep’t of Evntl. Res. v. Rushton Mining Co.</w:t>
      </w:r>
      <w:r w:rsidR="00E75189" w:rsidRPr="007C4E34">
        <w:rPr>
          <w:szCs w:val="24"/>
        </w:rPr>
        <w:t xml:space="preserve">, 591 A.2d 1168,1173 (Pa. Cmwlth. 1991); </w:t>
      </w:r>
      <w:r w:rsidR="00E75189" w:rsidRPr="007C4E34">
        <w:rPr>
          <w:i/>
          <w:szCs w:val="24"/>
        </w:rPr>
        <w:t>Mid-Atlantic Power Supply Association v. Pa. P.U.C.</w:t>
      </w:r>
      <w:r w:rsidR="00E75189" w:rsidRPr="007C4E34">
        <w:rPr>
          <w:szCs w:val="24"/>
        </w:rPr>
        <w:t xml:space="preserve">, 746 A.2d 1196, 1201 (Pa. Cmwlth. 2000); 45 P.S. § 1102; 1 Pa. Code § 1.4.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10.</w:t>
      </w:r>
      <w:r w:rsidRPr="007C4E34">
        <w:rPr>
          <w:szCs w:val="24"/>
        </w:rPr>
        <w:tab/>
      </w:r>
      <w:r w:rsidR="00E75189" w:rsidRPr="007C4E34">
        <w:rPr>
          <w:szCs w:val="24"/>
        </w:rPr>
        <w:t>Consistent with Act No. 129, the Commission’s regulations provide that default service providers shall have the right to recover on a full and current basis all reasonable costs incurred in providing default service.  52 Pa. Code § 54.187(a).</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11.</w:t>
      </w:r>
      <w:r w:rsidRPr="007C4E34">
        <w:rPr>
          <w:szCs w:val="24"/>
        </w:rPr>
        <w:tab/>
      </w:r>
      <w:r w:rsidR="00E75189" w:rsidRPr="007C4E34">
        <w:rPr>
          <w:szCs w:val="24"/>
        </w:rPr>
        <w:t>The Commission’s regulations contemplate a reconcilable automatic Section 1307(e) cost recovery surcharge that is not required to be included in the Price to Compare.  52 Pa. Code §§ 54.187(b) and (f).</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12.</w:t>
      </w:r>
      <w:r w:rsidRPr="007C4E34">
        <w:rPr>
          <w:szCs w:val="24"/>
        </w:rPr>
        <w:tab/>
      </w:r>
      <w:r w:rsidR="00E75189" w:rsidRPr="007C4E34">
        <w:rPr>
          <w:szCs w:val="24"/>
        </w:rPr>
        <w:t xml:space="preserve">PPL Electric’s procurements of default service supply are conducted pursuant to a DSP Plan that the Commission previously concluded was just, reasonable, within the public interest, in accord with the rules and regulations of the Commission, and consistent with the provisions of the Pennsylvania Public Utility Code, including Act 129, applicable law, and the prevailing industry standards.  </w:t>
      </w:r>
      <w:r w:rsidR="00E75189" w:rsidRPr="007C4E34">
        <w:rPr>
          <w:i/>
          <w:szCs w:val="24"/>
        </w:rPr>
        <w:t>Petition of PPL Electric Utilities Corporation for Approval of a Default Service Program and Procurement Plan for the Period January 1, 2011 Through May 31, 2013</w:t>
      </w:r>
      <w:r w:rsidR="00E75189" w:rsidRPr="007C4E34">
        <w:rPr>
          <w:szCs w:val="24"/>
        </w:rPr>
        <w:t xml:space="preserve">, Docket No. P-2008-2060309, Slip Op. at pp. 35-36 (June 30, 2009).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13.</w:t>
      </w:r>
      <w:r w:rsidRPr="007C4E34">
        <w:rPr>
          <w:szCs w:val="24"/>
        </w:rPr>
        <w:tab/>
      </w:r>
      <w:r w:rsidR="00E75189" w:rsidRPr="007C4E34">
        <w:rPr>
          <w:szCs w:val="24"/>
        </w:rPr>
        <w:t>The Commission’s default service regulations provide for the appropriate interest rate on over and under collection balances associated with generation supply charges.  52 Pa. Code § 54.187(f).</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14.</w:t>
      </w:r>
      <w:r w:rsidRPr="007C4E34">
        <w:rPr>
          <w:szCs w:val="24"/>
        </w:rPr>
        <w:tab/>
      </w:r>
      <w:r w:rsidR="00E75189" w:rsidRPr="007C4E34">
        <w:rPr>
          <w:szCs w:val="24"/>
        </w:rPr>
        <w:t>Section 1304 of the Public Utility Code prohibits unreasonably prejudicial and disadvantageous rates, it clearly permits class ratemaking.  Section 1304 contains no requirement that rates must be designed based on individual customer</w:t>
      </w:r>
      <w:r w:rsidRPr="007C4E34">
        <w:rPr>
          <w:szCs w:val="24"/>
        </w:rPr>
        <w:t>'</w:t>
      </w:r>
      <w:r w:rsidR="00E75189" w:rsidRPr="007C4E34">
        <w:rPr>
          <w:szCs w:val="24"/>
        </w:rPr>
        <w:t xml:space="preserve">s costs and circumstances.  66 Pa.C.S. § 1304.  </w:t>
      </w:r>
      <w:r w:rsidR="00E75189" w:rsidRPr="007C4E34">
        <w:rPr>
          <w:i/>
          <w:szCs w:val="24"/>
        </w:rPr>
        <w:t>See also Philadelphia Suburban Trans. Co. v. Pa. P.U.C.</w:t>
      </w:r>
      <w:r w:rsidR="00E75189" w:rsidRPr="007C4E34">
        <w:rPr>
          <w:szCs w:val="24"/>
        </w:rPr>
        <w:t xml:space="preserve">, 281 A.2d 179 (Pa. Cmwlth. 1971); </w:t>
      </w:r>
      <w:r w:rsidR="00E75189" w:rsidRPr="007C4E34">
        <w:rPr>
          <w:i/>
          <w:szCs w:val="24"/>
        </w:rPr>
        <w:t>U.S. Steel Corp. v. Pa. P.U.C.</w:t>
      </w:r>
      <w:r w:rsidR="00E75189" w:rsidRPr="007C4E34">
        <w:rPr>
          <w:szCs w:val="24"/>
        </w:rPr>
        <w:t>, 390 A.2d 849 (Pa. Cmwlth. 1978).</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15.</w:t>
      </w:r>
      <w:r w:rsidRPr="007C4E34">
        <w:rPr>
          <w:szCs w:val="24"/>
        </w:rPr>
        <w:tab/>
      </w:r>
      <w:r w:rsidR="00E75189" w:rsidRPr="007C4E34">
        <w:rPr>
          <w:szCs w:val="24"/>
        </w:rPr>
        <w:t xml:space="preserve">PPL Electric, as a default service provider, is required to offer a TOU program under Act No. 129.  66 Pa. C.S. § 2807(f)(5).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16.</w:t>
      </w:r>
      <w:r w:rsidRPr="007C4E34">
        <w:rPr>
          <w:szCs w:val="24"/>
        </w:rPr>
        <w:tab/>
      </w:r>
      <w:r w:rsidR="00E75189" w:rsidRPr="007C4E34">
        <w:rPr>
          <w:szCs w:val="24"/>
        </w:rPr>
        <w:t xml:space="preserve">A TOU program is an element of default service.  </w:t>
      </w:r>
      <w:r w:rsidR="00E75189" w:rsidRPr="007C4E34">
        <w:rPr>
          <w:i/>
          <w:szCs w:val="24"/>
        </w:rPr>
        <w:t>Petition of PECO Energy Company for Approval of its Initial Dynamic Pricing and Customer Acceptance Plan</w:t>
      </w:r>
      <w:r w:rsidR="00E75189" w:rsidRPr="007C4E34">
        <w:rPr>
          <w:szCs w:val="24"/>
        </w:rPr>
        <w:t>, Docket No. M-2009-2123944, 2011 Pa. PUC LEXIS 5 (April 15, 2011).</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17.</w:t>
      </w:r>
      <w:r w:rsidRPr="007C4E34">
        <w:rPr>
          <w:szCs w:val="24"/>
        </w:rPr>
        <w:tab/>
      </w:r>
      <w:r w:rsidR="00E75189" w:rsidRPr="007C4E34">
        <w:rPr>
          <w:szCs w:val="24"/>
        </w:rPr>
        <w:t xml:space="preserve">PPL Electric’s TOU program is a reconcilable Section 1307(e) default service option.  As a default service option, the Company is entitled to recover all of its TOU costs, including the over and under collections associated with the TOU program.  </w:t>
      </w:r>
      <w:r w:rsidR="00E75189" w:rsidRPr="007C4E34">
        <w:rPr>
          <w:i/>
          <w:szCs w:val="24"/>
        </w:rPr>
        <w:t>See</w:t>
      </w:r>
      <w:r w:rsidR="00E75189" w:rsidRPr="007C4E34">
        <w:rPr>
          <w:szCs w:val="24"/>
        </w:rPr>
        <w:t xml:space="preserve"> 66 Pa. C.S. § 2807(e)(3.9).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18.</w:t>
      </w:r>
      <w:r w:rsidRPr="007C4E34">
        <w:rPr>
          <w:szCs w:val="24"/>
        </w:rPr>
        <w:tab/>
      </w:r>
      <w:r w:rsidR="00E75189" w:rsidRPr="007C4E34">
        <w:rPr>
          <w:szCs w:val="24"/>
        </w:rPr>
        <w:t xml:space="preserve">The Commission approved PPL Electric’s TOU program in its Order entered on December 2, 2010.  </w:t>
      </w:r>
      <w:r w:rsidR="00E75189" w:rsidRPr="007C4E34">
        <w:rPr>
          <w:i/>
          <w:szCs w:val="24"/>
        </w:rPr>
        <w:t>See Pa. P.U.C. v. PPL Electric Utilities Corporation</w:t>
      </w:r>
      <w:r w:rsidR="00E75189" w:rsidRPr="007C4E34">
        <w:rPr>
          <w:szCs w:val="24"/>
        </w:rPr>
        <w:t xml:space="preserve">, Docket No. R-2009-2122718 (March 9, 2010).  </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19.</w:t>
      </w:r>
      <w:r w:rsidRPr="007C4E34">
        <w:rPr>
          <w:szCs w:val="24"/>
        </w:rPr>
        <w:tab/>
      </w:r>
      <w:r w:rsidR="00E75189" w:rsidRPr="007C4E34">
        <w:rPr>
          <w:szCs w:val="24"/>
        </w:rPr>
        <w:t>PPL Electric has met its burden to demonstrate that the RR is a just and reasonable Section 1307(e) cost recovery mechanism to refund or recover over and under collection balances incurred for transmission service and generation supply service charges incurred after the effective date of the RR.</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20.</w:t>
      </w:r>
      <w:r w:rsidRPr="007C4E34">
        <w:rPr>
          <w:szCs w:val="24"/>
        </w:rPr>
        <w:tab/>
      </w:r>
      <w:r w:rsidR="00E75189" w:rsidRPr="007C4E34">
        <w:rPr>
          <w:szCs w:val="24"/>
        </w:rPr>
        <w:t xml:space="preserve">PPL Electric has </w:t>
      </w:r>
      <w:r w:rsidRPr="007C4E34">
        <w:rPr>
          <w:szCs w:val="24"/>
        </w:rPr>
        <w:t xml:space="preserve">not </w:t>
      </w:r>
      <w:r w:rsidR="00E75189" w:rsidRPr="007C4E34">
        <w:rPr>
          <w:szCs w:val="24"/>
        </w:rPr>
        <w:t>met its burden to demonstrate that the CTR is a just and reasonable temporary, non-bypassable, reconcilable Section 1307(e) cost recovery mechanism to refund or recover any remaining net historic over and under collection balances incurred for transmission service and generation supply service prior to the effective date of the</w:t>
      </w:r>
      <w:r w:rsidR="00385ED0">
        <w:rPr>
          <w:szCs w:val="24"/>
        </w:rPr>
        <w:t> </w:t>
      </w:r>
      <w:r w:rsidR="00E75189" w:rsidRPr="007C4E34">
        <w:rPr>
          <w:szCs w:val="24"/>
        </w:rPr>
        <w:t>RR.</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21.</w:t>
      </w:r>
      <w:r w:rsidRPr="007C4E34">
        <w:rPr>
          <w:szCs w:val="24"/>
        </w:rPr>
        <w:tab/>
      </w:r>
      <w:r w:rsidR="00E75189" w:rsidRPr="007C4E34">
        <w:rPr>
          <w:szCs w:val="24"/>
        </w:rPr>
        <w:t>PPL Electric has met its burden to demonstrate that it is just and reasonable to net the over and under collections of the respective GSC-1 and GSC-2, with the TSC reconciliations for each customer class for recovery purposes.</w:t>
      </w:r>
    </w:p>
    <w:p w:rsidR="001A2D84" w:rsidRPr="007C4E34" w:rsidRDefault="001A2D84" w:rsidP="001A2D84">
      <w:pPr>
        <w:contextualSpacing/>
        <w:rPr>
          <w:szCs w:val="24"/>
        </w:rPr>
      </w:pPr>
    </w:p>
    <w:p w:rsidR="00E75189" w:rsidRPr="007C4E34" w:rsidRDefault="001A2D84" w:rsidP="001A2D84">
      <w:pPr>
        <w:contextualSpacing/>
        <w:rPr>
          <w:szCs w:val="24"/>
        </w:rPr>
      </w:pPr>
      <w:r w:rsidRPr="007C4E34">
        <w:rPr>
          <w:szCs w:val="24"/>
        </w:rPr>
        <w:tab/>
      </w:r>
      <w:r w:rsidRPr="007C4E34">
        <w:rPr>
          <w:szCs w:val="24"/>
        </w:rPr>
        <w:tab/>
        <w:t>22.</w:t>
      </w:r>
      <w:r w:rsidRPr="007C4E34">
        <w:rPr>
          <w:szCs w:val="24"/>
        </w:rPr>
        <w:tab/>
      </w:r>
      <w:r w:rsidR="00E75189" w:rsidRPr="007C4E34">
        <w:rPr>
          <w:szCs w:val="24"/>
        </w:rPr>
        <w:t>PPL Electric has met its burden to demonstrate that the proposal to modify the reconciliation of the GSC-1 to an annual basis is just and reasonable.</w:t>
      </w:r>
    </w:p>
    <w:p w:rsidR="00C22D4E" w:rsidRPr="007C4E34" w:rsidRDefault="00C22D4E" w:rsidP="001A2D84">
      <w:pPr>
        <w:jc w:val="center"/>
        <w:rPr>
          <w:szCs w:val="24"/>
          <w:u w:val="single"/>
        </w:rPr>
      </w:pPr>
    </w:p>
    <w:p w:rsidR="001A2D84" w:rsidRPr="0058235F" w:rsidRDefault="004F1A21" w:rsidP="004F1A21">
      <w:pPr>
        <w:pStyle w:val="ListParagraph"/>
        <w:ind w:left="0"/>
        <w:jc w:val="center"/>
        <w:rPr>
          <w:szCs w:val="24"/>
          <w:u w:val="single"/>
        </w:rPr>
      </w:pPr>
      <w:r w:rsidRPr="004F1A21">
        <w:rPr>
          <w:szCs w:val="24"/>
        </w:rPr>
        <w:t>V.</w:t>
      </w:r>
      <w:r w:rsidRPr="004F1A21">
        <w:rPr>
          <w:szCs w:val="24"/>
        </w:rPr>
        <w:tab/>
      </w:r>
      <w:r w:rsidR="00E352B0" w:rsidRPr="0058235F">
        <w:rPr>
          <w:szCs w:val="24"/>
          <w:u w:val="single"/>
        </w:rPr>
        <w:t>ORDER</w:t>
      </w:r>
      <w:r>
        <w:rPr>
          <w:szCs w:val="24"/>
          <w:u w:val="single"/>
        </w:rPr>
        <w:fldChar w:fldCharType="begin"/>
      </w:r>
      <w:r>
        <w:instrText xml:space="preserve"> TC "</w:instrText>
      </w:r>
      <w:bookmarkStart w:id="30" w:name="_Toc320265387"/>
      <w:r w:rsidRPr="000E57DA">
        <w:rPr>
          <w:szCs w:val="24"/>
        </w:rPr>
        <w:instrText>V.</w:instrText>
      </w:r>
      <w:r w:rsidRPr="000E57DA">
        <w:rPr>
          <w:szCs w:val="24"/>
        </w:rPr>
        <w:tab/>
      </w:r>
      <w:r w:rsidRPr="000E57DA">
        <w:rPr>
          <w:szCs w:val="24"/>
          <w:u w:val="single"/>
        </w:rPr>
        <w:instrText>ORDER</w:instrText>
      </w:r>
      <w:bookmarkEnd w:id="30"/>
      <w:r>
        <w:instrText xml:space="preserve">" \f C \l "1" </w:instrText>
      </w:r>
      <w:r>
        <w:rPr>
          <w:szCs w:val="24"/>
          <w:u w:val="single"/>
        </w:rPr>
        <w:fldChar w:fldCharType="end"/>
      </w:r>
    </w:p>
    <w:p w:rsidR="00E352B0" w:rsidRPr="007C4E34" w:rsidRDefault="00E352B0" w:rsidP="001A2D84">
      <w:pPr>
        <w:jc w:val="center"/>
        <w:rPr>
          <w:b/>
          <w:szCs w:val="24"/>
          <w:u w:val="single"/>
        </w:rPr>
      </w:pPr>
    </w:p>
    <w:p w:rsidR="001A2D84" w:rsidRPr="007C4E34" w:rsidRDefault="001A2D84" w:rsidP="001A2D84">
      <w:pPr>
        <w:jc w:val="center"/>
        <w:rPr>
          <w:szCs w:val="24"/>
          <w:u w:val="single"/>
        </w:rPr>
      </w:pPr>
    </w:p>
    <w:p w:rsidR="001A2D84" w:rsidRPr="007C4E34" w:rsidRDefault="001A2D84" w:rsidP="001A2D84">
      <w:pPr>
        <w:rPr>
          <w:szCs w:val="24"/>
        </w:rPr>
      </w:pPr>
      <w:r w:rsidRPr="007C4E34">
        <w:rPr>
          <w:szCs w:val="24"/>
        </w:rPr>
        <w:tab/>
      </w:r>
      <w:r w:rsidRPr="007C4E34">
        <w:rPr>
          <w:szCs w:val="24"/>
        </w:rPr>
        <w:tab/>
        <w:t>THEREFORE,</w:t>
      </w:r>
    </w:p>
    <w:p w:rsidR="001A2D84" w:rsidRPr="007C4E34" w:rsidRDefault="001A2D84" w:rsidP="001A2D84">
      <w:pPr>
        <w:rPr>
          <w:szCs w:val="24"/>
        </w:rPr>
      </w:pPr>
    </w:p>
    <w:p w:rsidR="001A2D84" w:rsidRPr="007C4E34" w:rsidRDefault="001A2D84" w:rsidP="001A2D84">
      <w:pPr>
        <w:rPr>
          <w:szCs w:val="24"/>
        </w:rPr>
      </w:pPr>
      <w:r w:rsidRPr="007C4E34">
        <w:rPr>
          <w:szCs w:val="24"/>
        </w:rPr>
        <w:tab/>
      </w:r>
      <w:r w:rsidRPr="007C4E34">
        <w:rPr>
          <w:szCs w:val="24"/>
        </w:rPr>
        <w:tab/>
        <w:t>IT IS RECOMMENDED:</w:t>
      </w:r>
    </w:p>
    <w:p w:rsidR="001A2D84" w:rsidRPr="007C4E34" w:rsidRDefault="001A2D84" w:rsidP="001A2D84">
      <w:pPr>
        <w:rPr>
          <w:szCs w:val="24"/>
        </w:rPr>
      </w:pPr>
    </w:p>
    <w:p w:rsidR="001A2D84" w:rsidRPr="007C4E34" w:rsidRDefault="001A2D84" w:rsidP="001A2D84">
      <w:pPr>
        <w:rPr>
          <w:szCs w:val="24"/>
        </w:rPr>
      </w:pPr>
      <w:r w:rsidRPr="007C4E34">
        <w:rPr>
          <w:szCs w:val="24"/>
        </w:rPr>
        <w:tab/>
      </w:r>
      <w:r w:rsidRPr="007C4E34">
        <w:rPr>
          <w:szCs w:val="24"/>
        </w:rPr>
        <w:tab/>
        <w:t>1.</w:t>
      </w:r>
      <w:r w:rsidRPr="007C4E34">
        <w:rPr>
          <w:szCs w:val="24"/>
        </w:rPr>
        <w:tab/>
        <w:t>That the Petition of PPL Electric Utilities Corporation for Approval to Implement a Reconciliation Rider for Default Service Supply, filed at Docket No. P-2011-2256365, is granted in part and denied in part.</w:t>
      </w:r>
    </w:p>
    <w:p w:rsidR="001A2D84" w:rsidRPr="007C4E34" w:rsidRDefault="001A2D84" w:rsidP="001A2D84">
      <w:pPr>
        <w:rPr>
          <w:szCs w:val="24"/>
        </w:rPr>
      </w:pPr>
    </w:p>
    <w:p w:rsidR="001A2D84" w:rsidRPr="007C4E34" w:rsidRDefault="001A2D84" w:rsidP="001A2D84">
      <w:pPr>
        <w:rPr>
          <w:szCs w:val="24"/>
        </w:rPr>
      </w:pPr>
      <w:r w:rsidRPr="007C4E34">
        <w:rPr>
          <w:szCs w:val="24"/>
        </w:rPr>
        <w:tab/>
      </w:r>
      <w:r w:rsidRPr="007C4E34">
        <w:rPr>
          <w:szCs w:val="24"/>
        </w:rPr>
        <w:tab/>
      </w:r>
      <w:r w:rsidR="008248D6" w:rsidRPr="007C4E34">
        <w:rPr>
          <w:szCs w:val="24"/>
        </w:rPr>
        <w:t>2.</w:t>
      </w:r>
      <w:r w:rsidR="008248D6" w:rsidRPr="007C4E34">
        <w:rPr>
          <w:szCs w:val="24"/>
        </w:rPr>
        <w:tab/>
      </w:r>
      <w:r w:rsidRPr="007C4E34">
        <w:rPr>
          <w:szCs w:val="24"/>
        </w:rPr>
        <w:t xml:space="preserve">That the issue of whether the Residential and Small C&amp;I TOU program over and under collections </w:t>
      </w:r>
      <w:r w:rsidR="008172EA" w:rsidRPr="007C4E34">
        <w:rPr>
          <w:szCs w:val="24"/>
        </w:rPr>
        <w:t xml:space="preserve">are reasonably incurred </w:t>
      </w:r>
      <w:r w:rsidR="00A17A00" w:rsidRPr="007C4E34">
        <w:rPr>
          <w:szCs w:val="24"/>
        </w:rPr>
        <w:t xml:space="preserve">is </w:t>
      </w:r>
      <w:r w:rsidRPr="007C4E34">
        <w:rPr>
          <w:szCs w:val="24"/>
        </w:rPr>
        <w:t xml:space="preserve">deferred to the proceeding captioned </w:t>
      </w:r>
      <w:r w:rsidRPr="007C4E34">
        <w:rPr>
          <w:i/>
          <w:szCs w:val="24"/>
        </w:rPr>
        <w:t xml:space="preserve">Pa. Publ. Util. Comm'n v. PPL Electric Utilities Corporation, Supplement No. 110 to Tariff Electric – PA. P.U.C. NO. 201 Time of Use Program, </w:t>
      </w:r>
      <w:r w:rsidRPr="007C4E34">
        <w:rPr>
          <w:szCs w:val="24"/>
        </w:rPr>
        <w:t xml:space="preserve">R-2011-2264771, and its attendant complaints.  </w:t>
      </w:r>
    </w:p>
    <w:p w:rsidR="008248D6" w:rsidRPr="007C4E34" w:rsidRDefault="008248D6" w:rsidP="001A2D84">
      <w:pPr>
        <w:rPr>
          <w:szCs w:val="24"/>
        </w:rPr>
      </w:pPr>
    </w:p>
    <w:p w:rsidR="00A17A00" w:rsidRPr="007C4E34" w:rsidRDefault="00A17A00" w:rsidP="001A2D84">
      <w:pPr>
        <w:rPr>
          <w:szCs w:val="24"/>
        </w:rPr>
      </w:pPr>
      <w:r w:rsidRPr="007C4E34">
        <w:rPr>
          <w:szCs w:val="24"/>
        </w:rPr>
        <w:tab/>
      </w:r>
      <w:r w:rsidRPr="007C4E34">
        <w:rPr>
          <w:szCs w:val="24"/>
        </w:rPr>
        <w:tab/>
        <w:t>3.</w:t>
      </w:r>
      <w:r w:rsidRPr="007C4E34">
        <w:rPr>
          <w:szCs w:val="24"/>
        </w:rPr>
        <w:tab/>
        <w:t xml:space="preserve">That the proposal to include </w:t>
      </w:r>
      <w:r w:rsidR="00EA42DF" w:rsidRPr="007C4E34">
        <w:rPr>
          <w:szCs w:val="24"/>
        </w:rPr>
        <w:t xml:space="preserve">the Time of Use undercollection amount </w:t>
      </w:r>
      <w:r w:rsidRPr="007C4E34">
        <w:rPr>
          <w:szCs w:val="24"/>
        </w:rPr>
        <w:t>in the Reconciliation Rider</w:t>
      </w:r>
      <w:r w:rsidR="00EA42DF" w:rsidRPr="007C4E34">
        <w:rPr>
          <w:szCs w:val="24"/>
        </w:rPr>
        <w:t xml:space="preserve"> </w:t>
      </w:r>
      <w:r w:rsidRPr="007C4E34">
        <w:rPr>
          <w:szCs w:val="24"/>
        </w:rPr>
        <w:t>rates applicable to the respective Residential and Small C&amp;I customer classes</w:t>
      </w:r>
      <w:r w:rsidR="00EA42DF" w:rsidRPr="007C4E34">
        <w:rPr>
          <w:szCs w:val="24"/>
        </w:rPr>
        <w:t xml:space="preserve">, consistent with the amount approved in </w:t>
      </w:r>
      <w:r w:rsidRPr="007C4E34">
        <w:rPr>
          <w:szCs w:val="24"/>
        </w:rPr>
        <w:t>the Commission decision</w:t>
      </w:r>
      <w:r w:rsidR="00EA42DF" w:rsidRPr="007C4E34">
        <w:rPr>
          <w:szCs w:val="24"/>
        </w:rPr>
        <w:t xml:space="preserve"> regarding whether the undercollection represents reasonably incurred costs,</w:t>
      </w:r>
      <w:r w:rsidRPr="007C4E34">
        <w:rPr>
          <w:szCs w:val="24"/>
        </w:rPr>
        <w:t xml:space="preserve"> in </w:t>
      </w:r>
      <w:r w:rsidRPr="007C4E34">
        <w:rPr>
          <w:i/>
          <w:szCs w:val="24"/>
        </w:rPr>
        <w:t>Pa. Publ. Util. Comm'n v. PPL Electric Utilities Corporation, Supplement No. 110 to Tariff Electric – PA. P.U.C. N</w:t>
      </w:r>
      <w:r w:rsidR="00EA42DF" w:rsidRPr="007C4E34">
        <w:rPr>
          <w:i/>
          <w:szCs w:val="24"/>
        </w:rPr>
        <w:t>o</w:t>
      </w:r>
      <w:r w:rsidRPr="007C4E34">
        <w:rPr>
          <w:i/>
          <w:szCs w:val="24"/>
        </w:rPr>
        <w:t xml:space="preserve">. 201 Time of Use Program, </w:t>
      </w:r>
      <w:r w:rsidRPr="007C4E34">
        <w:rPr>
          <w:szCs w:val="24"/>
        </w:rPr>
        <w:t>R-2011-2264771, and its attendant complaints, is approved.</w:t>
      </w:r>
    </w:p>
    <w:p w:rsidR="00A17A00" w:rsidRPr="007C4E34" w:rsidRDefault="00A17A00" w:rsidP="001A2D84">
      <w:pPr>
        <w:rPr>
          <w:szCs w:val="24"/>
        </w:rPr>
      </w:pPr>
    </w:p>
    <w:p w:rsidR="00E75189" w:rsidRPr="007C4E34" w:rsidRDefault="008248D6" w:rsidP="008248D6">
      <w:pPr>
        <w:rPr>
          <w:szCs w:val="24"/>
        </w:rPr>
      </w:pPr>
      <w:r w:rsidRPr="007C4E34">
        <w:rPr>
          <w:szCs w:val="24"/>
        </w:rPr>
        <w:tab/>
      </w:r>
      <w:r w:rsidRPr="007C4E34">
        <w:rPr>
          <w:szCs w:val="24"/>
        </w:rPr>
        <w:tab/>
      </w:r>
      <w:r w:rsidR="00A17A00" w:rsidRPr="007C4E34">
        <w:rPr>
          <w:szCs w:val="24"/>
        </w:rPr>
        <w:t>4</w:t>
      </w:r>
      <w:r w:rsidRPr="007C4E34">
        <w:rPr>
          <w:szCs w:val="24"/>
        </w:rPr>
        <w:t>.</w:t>
      </w:r>
      <w:r w:rsidRPr="007C4E34">
        <w:rPr>
          <w:szCs w:val="24"/>
        </w:rPr>
        <w:tab/>
      </w:r>
      <w:r w:rsidR="00E75189" w:rsidRPr="007C4E34">
        <w:rPr>
          <w:szCs w:val="24"/>
        </w:rPr>
        <w:t>That PPL Electric Utilities Corporation is authorized to file a revised supplement to PPL Electric’s Tariff – Electric Pa. P.U.C. No. 201 designed to implement the Reconciliation Rider.</w:t>
      </w:r>
    </w:p>
    <w:p w:rsidR="008248D6" w:rsidRPr="007C4E34" w:rsidRDefault="008248D6" w:rsidP="008248D6">
      <w:pPr>
        <w:rPr>
          <w:szCs w:val="24"/>
        </w:rPr>
      </w:pPr>
    </w:p>
    <w:p w:rsidR="006C2742" w:rsidRDefault="00A17A00" w:rsidP="008248D6">
      <w:pPr>
        <w:rPr>
          <w:szCs w:val="24"/>
        </w:rPr>
      </w:pPr>
      <w:r w:rsidRPr="007C4E34">
        <w:rPr>
          <w:szCs w:val="24"/>
        </w:rPr>
        <w:tab/>
      </w:r>
      <w:r w:rsidRPr="007C4E34">
        <w:rPr>
          <w:szCs w:val="24"/>
        </w:rPr>
        <w:tab/>
        <w:t>5</w:t>
      </w:r>
      <w:r w:rsidR="008248D6" w:rsidRPr="007C4E34">
        <w:rPr>
          <w:szCs w:val="24"/>
        </w:rPr>
        <w:t>.</w:t>
      </w:r>
      <w:r w:rsidR="008248D6" w:rsidRPr="007C4E34">
        <w:rPr>
          <w:szCs w:val="24"/>
        </w:rPr>
        <w:tab/>
      </w:r>
      <w:r w:rsidR="00E75189" w:rsidRPr="007C4E34">
        <w:rPr>
          <w:szCs w:val="24"/>
        </w:rPr>
        <w:t>That PPL Electric Utilities Corporation</w:t>
      </w:r>
      <w:r w:rsidR="007F40CC" w:rsidRPr="007C4E34">
        <w:rPr>
          <w:szCs w:val="24"/>
        </w:rPr>
        <w:t>'s request to net</w:t>
      </w:r>
      <w:r w:rsidR="00E75189" w:rsidRPr="007C4E34">
        <w:rPr>
          <w:szCs w:val="24"/>
        </w:rPr>
        <w:t xml:space="preserve"> the over and under collections of the respective Generation Supply Charge-1 and Generation Supply Charge-2 with the Transition Service Charge reconciliations for each customer class</w:t>
      </w:r>
      <w:r w:rsidR="007F40CC" w:rsidRPr="007C4E34">
        <w:rPr>
          <w:szCs w:val="24"/>
        </w:rPr>
        <w:t xml:space="preserve"> is deferred until the </w:t>
      </w:r>
    </w:p>
    <w:p w:rsidR="006C2742" w:rsidRDefault="006C2742">
      <w:pPr>
        <w:autoSpaceDE/>
        <w:autoSpaceDN/>
        <w:jc w:val="center"/>
        <w:rPr>
          <w:szCs w:val="24"/>
        </w:rPr>
      </w:pPr>
      <w:r>
        <w:rPr>
          <w:szCs w:val="24"/>
        </w:rPr>
        <w:br w:type="page"/>
      </w:r>
    </w:p>
    <w:p w:rsidR="00E75189" w:rsidRPr="007C4E34" w:rsidRDefault="007F40CC" w:rsidP="008248D6">
      <w:pPr>
        <w:rPr>
          <w:szCs w:val="24"/>
        </w:rPr>
      </w:pPr>
      <w:r w:rsidRPr="007C4E34">
        <w:rPr>
          <w:szCs w:val="24"/>
        </w:rPr>
        <w:t xml:space="preserve">resolution of </w:t>
      </w:r>
      <w:r w:rsidRPr="007C4E34">
        <w:rPr>
          <w:i/>
          <w:szCs w:val="24"/>
        </w:rPr>
        <w:t>PPL Electric Utilities Corporation Proposed Transmission Service Charge Reconciliation for the Twelve Months Ending November 30, 2010</w:t>
      </w:r>
      <w:r w:rsidRPr="007C4E34">
        <w:rPr>
          <w:szCs w:val="24"/>
        </w:rPr>
        <w:t>, Docket No. M-2010-2213754, Order entered May 19, 2011</w:t>
      </w:r>
      <w:r w:rsidR="00E75189" w:rsidRPr="007C4E34">
        <w:rPr>
          <w:szCs w:val="24"/>
        </w:rPr>
        <w:t>.</w:t>
      </w:r>
    </w:p>
    <w:p w:rsidR="008248D6" w:rsidRPr="007C4E34" w:rsidRDefault="008248D6" w:rsidP="008248D6">
      <w:pPr>
        <w:rPr>
          <w:szCs w:val="24"/>
        </w:rPr>
      </w:pPr>
    </w:p>
    <w:p w:rsidR="00EA42DF" w:rsidRPr="007C4E34" w:rsidRDefault="008248D6" w:rsidP="00EA42DF">
      <w:pPr>
        <w:rPr>
          <w:szCs w:val="24"/>
        </w:rPr>
      </w:pPr>
      <w:r w:rsidRPr="007C4E34">
        <w:rPr>
          <w:szCs w:val="24"/>
        </w:rPr>
        <w:tab/>
      </w:r>
      <w:r w:rsidRPr="007C4E34">
        <w:rPr>
          <w:szCs w:val="24"/>
        </w:rPr>
        <w:tab/>
      </w:r>
      <w:r w:rsidR="00A17A00" w:rsidRPr="007C4E34">
        <w:rPr>
          <w:szCs w:val="24"/>
        </w:rPr>
        <w:t>6</w:t>
      </w:r>
      <w:r w:rsidRPr="007C4E34">
        <w:rPr>
          <w:szCs w:val="24"/>
        </w:rPr>
        <w:t>.</w:t>
      </w:r>
      <w:r w:rsidRPr="007C4E34">
        <w:rPr>
          <w:szCs w:val="24"/>
        </w:rPr>
        <w:tab/>
      </w:r>
      <w:r w:rsidR="00E75189" w:rsidRPr="007C4E34">
        <w:rPr>
          <w:szCs w:val="24"/>
        </w:rPr>
        <w:t>That PPL Electric Utilities Corporation is authorized to file a revised supplement to PPL Electric’s Tariff – Electric Pa. P.U.C. No. 201 designed to modify the provisions of the Generation Supply Charge-1 to permit reconciliation on an annual PJM Planning Year basis.</w:t>
      </w:r>
    </w:p>
    <w:p w:rsidR="00EA42DF" w:rsidRPr="007C4E34" w:rsidRDefault="00EA42DF" w:rsidP="00EA42DF">
      <w:pPr>
        <w:rPr>
          <w:szCs w:val="24"/>
        </w:rPr>
      </w:pPr>
    </w:p>
    <w:p w:rsidR="00EA42DF" w:rsidRPr="007C4E34" w:rsidRDefault="00EA42DF" w:rsidP="00EA42DF">
      <w:pPr>
        <w:rPr>
          <w:szCs w:val="24"/>
        </w:rPr>
      </w:pPr>
      <w:r w:rsidRPr="007C4E34">
        <w:rPr>
          <w:szCs w:val="24"/>
        </w:rPr>
        <w:tab/>
      </w:r>
      <w:r w:rsidRPr="007C4E34">
        <w:rPr>
          <w:szCs w:val="24"/>
        </w:rPr>
        <w:tab/>
        <w:t>7.</w:t>
      </w:r>
      <w:r w:rsidRPr="007C4E34">
        <w:rPr>
          <w:szCs w:val="24"/>
        </w:rPr>
        <w:tab/>
        <w:t>That the annual reconciliation shall be on a rolling quarterly basis, consistent with this Recommended Decision.</w:t>
      </w:r>
    </w:p>
    <w:p w:rsidR="00EA42DF" w:rsidRPr="007C4E34" w:rsidRDefault="00EA42DF" w:rsidP="00EA42DF">
      <w:pPr>
        <w:rPr>
          <w:szCs w:val="24"/>
        </w:rPr>
      </w:pPr>
    </w:p>
    <w:p w:rsidR="00EA42DF" w:rsidRPr="007C4E34" w:rsidRDefault="00EA42DF" w:rsidP="00EA42DF">
      <w:pPr>
        <w:rPr>
          <w:szCs w:val="24"/>
        </w:rPr>
      </w:pPr>
      <w:r w:rsidRPr="007C4E34">
        <w:rPr>
          <w:szCs w:val="24"/>
        </w:rPr>
        <w:tab/>
      </w:r>
      <w:r w:rsidRPr="007C4E34">
        <w:rPr>
          <w:szCs w:val="24"/>
        </w:rPr>
        <w:tab/>
        <w:t>8.</w:t>
      </w:r>
      <w:r w:rsidRPr="007C4E34">
        <w:rPr>
          <w:szCs w:val="24"/>
        </w:rPr>
        <w:tab/>
        <w:t xml:space="preserve">That the reconciliation of the Large C&amp;I classes shall be separate.  </w:t>
      </w:r>
    </w:p>
    <w:p w:rsidR="00EA42DF" w:rsidRPr="007C4E34" w:rsidRDefault="00EA42DF" w:rsidP="00EA42DF">
      <w:pPr>
        <w:rPr>
          <w:szCs w:val="24"/>
        </w:rPr>
      </w:pPr>
    </w:p>
    <w:p w:rsidR="00E7599F" w:rsidRPr="007C4E34" w:rsidRDefault="00E7599F" w:rsidP="00E7599F">
      <w:pPr>
        <w:ind w:left="720"/>
        <w:rPr>
          <w:szCs w:val="24"/>
        </w:rPr>
      </w:pPr>
    </w:p>
    <w:p w:rsidR="00E7599F" w:rsidRPr="007C4E34" w:rsidRDefault="00E7599F" w:rsidP="00E7599F">
      <w:pPr>
        <w:spacing w:line="240" w:lineRule="auto"/>
        <w:rPr>
          <w:szCs w:val="24"/>
        </w:rPr>
      </w:pPr>
      <w:r w:rsidRPr="007C4E34">
        <w:rPr>
          <w:szCs w:val="24"/>
        </w:rPr>
        <w:t xml:space="preserve">Dated: </w:t>
      </w:r>
      <w:r w:rsidRPr="007C4E34">
        <w:rPr>
          <w:szCs w:val="24"/>
        </w:rPr>
        <w:tab/>
      </w:r>
      <w:r w:rsidR="00EA42DF" w:rsidRPr="007C4E34">
        <w:rPr>
          <w:szCs w:val="24"/>
          <w:u w:val="single"/>
        </w:rPr>
        <w:t>March</w:t>
      </w:r>
      <w:r w:rsidR="00A54A17" w:rsidRPr="007C4E34">
        <w:rPr>
          <w:szCs w:val="24"/>
          <w:u w:val="single"/>
        </w:rPr>
        <w:t xml:space="preserve"> </w:t>
      </w:r>
      <w:r w:rsidR="00315E91" w:rsidRPr="007C4E34">
        <w:rPr>
          <w:szCs w:val="24"/>
          <w:u w:val="single"/>
        </w:rPr>
        <w:t>1</w:t>
      </w:r>
      <w:r w:rsidR="00A54A17" w:rsidRPr="007C4E34">
        <w:rPr>
          <w:szCs w:val="24"/>
          <w:u w:val="single"/>
        </w:rPr>
        <w:t>, 2012</w:t>
      </w:r>
      <w:r w:rsidRPr="007C4E34">
        <w:rPr>
          <w:szCs w:val="24"/>
        </w:rPr>
        <w:tab/>
      </w:r>
      <w:r w:rsidRPr="007C4E34">
        <w:rPr>
          <w:szCs w:val="24"/>
        </w:rPr>
        <w:tab/>
      </w:r>
      <w:r w:rsidRPr="007C4E34">
        <w:rPr>
          <w:szCs w:val="24"/>
        </w:rPr>
        <w:tab/>
      </w:r>
      <w:r w:rsidRPr="007C4E34">
        <w:rPr>
          <w:szCs w:val="24"/>
        </w:rPr>
        <w:tab/>
        <w:t>__________________________________</w:t>
      </w:r>
    </w:p>
    <w:p w:rsidR="00E7599F" w:rsidRPr="007C4E34" w:rsidRDefault="00E7599F" w:rsidP="00E7599F">
      <w:pPr>
        <w:spacing w:line="240" w:lineRule="auto"/>
        <w:ind w:left="720"/>
        <w:rPr>
          <w:szCs w:val="24"/>
        </w:rPr>
      </w:pPr>
      <w:r w:rsidRPr="007C4E34">
        <w:rPr>
          <w:szCs w:val="24"/>
        </w:rPr>
        <w:tab/>
      </w:r>
      <w:r w:rsidRPr="007C4E34">
        <w:rPr>
          <w:szCs w:val="24"/>
        </w:rPr>
        <w:tab/>
      </w:r>
      <w:r w:rsidRPr="007C4E34">
        <w:rPr>
          <w:szCs w:val="24"/>
        </w:rPr>
        <w:tab/>
      </w:r>
      <w:r w:rsidRPr="007C4E34">
        <w:rPr>
          <w:szCs w:val="24"/>
        </w:rPr>
        <w:tab/>
      </w:r>
      <w:r w:rsidRPr="007C4E34">
        <w:rPr>
          <w:szCs w:val="24"/>
        </w:rPr>
        <w:tab/>
      </w:r>
      <w:r w:rsidRPr="007C4E34">
        <w:rPr>
          <w:szCs w:val="24"/>
        </w:rPr>
        <w:tab/>
        <w:t>Susan D. Colwell</w:t>
      </w:r>
    </w:p>
    <w:p w:rsidR="00E7599F" w:rsidRPr="007C4E34" w:rsidRDefault="00E7599F" w:rsidP="00E7599F">
      <w:pPr>
        <w:spacing w:line="240" w:lineRule="auto"/>
        <w:ind w:left="720"/>
        <w:rPr>
          <w:szCs w:val="24"/>
        </w:rPr>
      </w:pPr>
      <w:r w:rsidRPr="007C4E34">
        <w:rPr>
          <w:szCs w:val="24"/>
        </w:rPr>
        <w:tab/>
      </w:r>
      <w:r w:rsidRPr="007C4E34">
        <w:rPr>
          <w:szCs w:val="24"/>
        </w:rPr>
        <w:tab/>
      </w:r>
      <w:r w:rsidRPr="007C4E34">
        <w:rPr>
          <w:szCs w:val="24"/>
        </w:rPr>
        <w:tab/>
      </w:r>
      <w:r w:rsidRPr="007C4E34">
        <w:rPr>
          <w:szCs w:val="24"/>
        </w:rPr>
        <w:tab/>
      </w:r>
      <w:r w:rsidRPr="007C4E34">
        <w:rPr>
          <w:szCs w:val="24"/>
        </w:rPr>
        <w:tab/>
      </w:r>
      <w:r w:rsidRPr="007C4E34">
        <w:rPr>
          <w:szCs w:val="24"/>
        </w:rPr>
        <w:tab/>
        <w:t>Administrative Law Judge</w:t>
      </w:r>
    </w:p>
    <w:p w:rsidR="00E7599F" w:rsidRPr="007C4E34" w:rsidRDefault="00E7599F" w:rsidP="00E7599F">
      <w:pPr>
        <w:rPr>
          <w:szCs w:val="24"/>
        </w:rPr>
      </w:pPr>
    </w:p>
    <w:p w:rsidR="00C04960" w:rsidRPr="007C4E34" w:rsidRDefault="00C04960" w:rsidP="00E7599F">
      <w:pPr>
        <w:rPr>
          <w:szCs w:val="24"/>
        </w:rPr>
      </w:pPr>
    </w:p>
    <w:sectPr w:rsidR="00C04960" w:rsidRPr="007C4E34" w:rsidSect="00487E4E">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6BE" w:rsidRDefault="002F46BE" w:rsidP="00E7599F">
      <w:pPr>
        <w:spacing w:line="240" w:lineRule="auto"/>
      </w:pPr>
      <w:r>
        <w:separator/>
      </w:r>
    </w:p>
  </w:endnote>
  <w:endnote w:type="continuationSeparator" w:id="0">
    <w:p w:rsidR="002F46BE" w:rsidRDefault="002F46BE" w:rsidP="00E75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55709938"/>
      <w:docPartObj>
        <w:docPartGallery w:val="Page Numbers (Bottom of Page)"/>
        <w:docPartUnique/>
      </w:docPartObj>
    </w:sdtPr>
    <w:sdtEndPr>
      <w:rPr>
        <w:noProof/>
      </w:rPr>
    </w:sdtEndPr>
    <w:sdtContent>
      <w:p w:rsidR="00A37C47" w:rsidRPr="007C4E34" w:rsidRDefault="00A37C47" w:rsidP="007C4E34">
        <w:pPr>
          <w:pStyle w:val="Footer"/>
          <w:jc w:val="center"/>
          <w:rPr>
            <w:sz w:val="20"/>
          </w:rPr>
        </w:pPr>
        <w:r w:rsidRPr="007C4E34">
          <w:rPr>
            <w:sz w:val="20"/>
          </w:rPr>
          <w:fldChar w:fldCharType="begin"/>
        </w:r>
        <w:r w:rsidRPr="007C4E34">
          <w:rPr>
            <w:sz w:val="20"/>
          </w:rPr>
          <w:instrText xml:space="preserve"> PAGE   \* MERGEFORMAT </w:instrText>
        </w:r>
        <w:r w:rsidRPr="007C4E34">
          <w:rPr>
            <w:sz w:val="20"/>
          </w:rPr>
          <w:fldChar w:fldCharType="separate"/>
        </w:r>
        <w:r w:rsidR="007D6B90">
          <w:rPr>
            <w:noProof/>
            <w:sz w:val="20"/>
          </w:rPr>
          <w:t>39</w:t>
        </w:r>
        <w:r w:rsidRPr="007C4E34">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C47" w:rsidRPr="00385ED0" w:rsidRDefault="00A37C47" w:rsidP="00385ED0">
    <w:pPr>
      <w:pStyle w:val="Footer"/>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777694"/>
      <w:docPartObj>
        <w:docPartGallery w:val="Page Numbers (Bottom of Page)"/>
        <w:docPartUnique/>
      </w:docPartObj>
    </w:sdtPr>
    <w:sdtEndPr>
      <w:rPr>
        <w:noProof/>
      </w:rPr>
    </w:sdtEndPr>
    <w:sdtContent>
      <w:p w:rsidR="00A37C47" w:rsidRPr="00487E4E" w:rsidRDefault="00A37C47" w:rsidP="00487E4E">
        <w:pPr>
          <w:pStyle w:val="Footer"/>
          <w:jc w:val="center"/>
        </w:pPr>
        <w:r>
          <w:fldChar w:fldCharType="begin"/>
        </w:r>
        <w:r>
          <w:instrText xml:space="preserve"> PAGE   \* MERGEFORMAT </w:instrText>
        </w:r>
        <w:r>
          <w:fldChar w:fldCharType="separate"/>
        </w:r>
        <w:r w:rsidR="007D6B90">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8193"/>
      <w:docPartObj>
        <w:docPartGallery w:val="Page Numbers (Bottom of Page)"/>
        <w:docPartUnique/>
      </w:docPartObj>
    </w:sdtPr>
    <w:sdtEndPr>
      <w:rPr>
        <w:noProof/>
        <w:sz w:val="20"/>
      </w:rPr>
    </w:sdtEndPr>
    <w:sdtContent>
      <w:p w:rsidR="00A37C47" w:rsidRPr="00487E4E" w:rsidRDefault="00A37C47">
        <w:pPr>
          <w:pStyle w:val="Footer"/>
          <w:jc w:val="center"/>
          <w:rPr>
            <w:sz w:val="20"/>
          </w:rPr>
        </w:pPr>
        <w:r w:rsidRPr="00487E4E">
          <w:rPr>
            <w:sz w:val="20"/>
          </w:rPr>
          <w:fldChar w:fldCharType="begin"/>
        </w:r>
        <w:r w:rsidRPr="00487E4E">
          <w:rPr>
            <w:sz w:val="20"/>
          </w:rPr>
          <w:instrText xml:space="preserve"> PAGE   \* MERGEFORMAT </w:instrText>
        </w:r>
        <w:r w:rsidRPr="00487E4E">
          <w:rPr>
            <w:sz w:val="20"/>
          </w:rPr>
          <w:fldChar w:fldCharType="separate"/>
        </w:r>
        <w:r w:rsidR="007D6B90">
          <w:rPr>
            <w:noProof/>
            <w:sz w:val="20"/>
          </w:rPr>
          <w:t>1</w:t>
        </w:r>
        <w:r w:rsidRPr="00487E4E">
          <w:rPr>
            <w:noProof/>
            <w:sz w:val="20"/>
          </w:rPr>
          <w:fldChar w:fldCharType="end"/>
        </w:r>
      </w:p>
    </w:sdtContent>
  </w:sdt>
  <w:p w:rsidR="00A37C47" w:rsidRPr="00385ED0" w:rsidRDefault="00A37C47" w:rsidP="00487E4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6BE" w:rsidRDefault="002F46BE" w:rsidP="00E7599F">
      <w:pPr>
        <w:spacing w:line="240" w:lineRule="auto"/>
      </w:pPr>
      <w:r>
        <w:separator/>
      </w:r>
    </w:p>
  </w:footnote>
  <w:footnote w:type="continuationSeparator" w:id="0">
    <w:p w:rsidR="002F46BE" w:rsidRDefault="002F46BE" w:rsidP="00E7599F">
      <w:pPr>
        <w:spacing w:line="240" w:lineRule="auto"/>
      </w:pPr>
      <w:r>
        <w:continuationSeparator/>
      </w:r>
    </w:p>
  </w:footnote>
  <w:footnote w:id="1">
    <w:p w:rsidR="00A37C47" w:rsidRDefault="00A37C47" w:rsidP="00E7599F">
      <w:pPr>
        <w:pStyle w:val="FootnoteText"/>
      </w:pPr>
      <w:r>
        <w:rPr>
          <w:rStyle w:val="FootnoteReference"/>
        </w:rPr>
        <w:footnoteRef/>
      </w:r>
      <w:r>
        <w:t xml:space="preserve"> </w:t>
      </w:r>
      <w:r>
        <w:tab/>
        <w:t>The issuance date on the prehearing order was erroneously listed as March 11, 2011.  The case audit reveals that the correct issuance date was August 29, 2011.</w:t>
      </w:r>
    </w:p>
    <w:p w:rsidR="00A37C47" w:rsidRDefault="00A37C47" w:rsidP="00E7599F">
      <w:pPr>
        <w:pStyle w:val="FootnoteText"/>
      </w:pPr>
    </w:p>
  </w:footnote>
  <w:footnote w:id="2">
    <w:p w:rsidR="00A37C47" w:rsidRDefault="00A37C47" w:rsidP="007C4E34">
      <w:pPr>
        <w:pStyle w:val="FootnoteText"/>
      </w:pPr>
      <w:r>
        <w:rPr>
          <w:rStyle w:val="FootnoteReference"/>
        </w:rPr>
        <w:footnoteRef/>
      </w:r>
      <w:r>
        <w:tab/>
        <w:t xml:space="preserve">Although the Wal-Mart petition was filed after the deadline, it contained the appropriate discussion regarding late-filed interventions, was filed well before the prehearing conference, thus reducing any claim of prejudice to any other party, and was not opposed.  </w:t>
      </w:r>
    </w:p>
    <w:p w:rsidR="00A37C47" w:rsidRDefault="00A37C47" w:rsidP="007C4E34">
      <w:pPr>
        <w:pStyle w:val="FootnoteText"/>
      </w:pPr>
    </w:p>
  </w:footnote>
  <w:footnote w:id="3">
    <w:p w:rsidR="00A37C47" w:rsidRDefault="00A37C47" w:rsidP="00E7599F">
      <w:pPr>
        <w:pStyle w:val="FootnoteText"/>
      </w:pPr>
      <w:r>
        <w:rPr>
          <w:rStyle w:val="FootnoteReference"/>
        </w:rPr>
        <w:footnoteRef/>
      </w:r>
      <w:r>
        <w:tab/>
        <w:t>Richards Energy Group will participate although its counsel was appearing in another hearing room at the time of the prehearing conference.</w:t>
      </w:r>
    </w:p>
  </w:footnote>
  <w:footnote w:id="4">
    <w:p w:rsidR="00A37C47" w:rsidRDefault="00A37C47" w:rsidP="00904A94">
      <w:pPr>
        <w:pStyle w:val="FootnoteText"/>
      </w:pPr>
      <w:r>
        <w:rPr>
          <w:rStyle w:val="FootnoteReference"/>
        </w:rPr>
        <w:footnoteRef/>
      </w:r>
      <w:r>
        <w:tab/>
        <w:t>See, 66 Pa.C.S.A. §§ 332(a), 315.</w:t>
      </w:r>
    </w:p>
  </w:footnote>
  <w:footnote w:id="5">
    <w:p w:rsidR="00A37C47" w:rsidRPr="00C7124A" w:rsidRDefault="00A37C47">
      <w:pPr>
        <w:pStyle w:val="FootnoteText"/>
      </w:pPr>
      <w:r>
        <w:rPr>
          <w:rStyle w:val="FootnoteReference"/>
        </w:rPr>
        <w:footnoteRef/>
      </w:r>
      <w:r>
        <w:tab/>
        <w:t xml:space="preserve">The GSC-1 is presently computed quarterly but is the subject of a companion case, </w:t>
      </w:r>
      <w:r>
        <w:rPr>
          <w:i/>
        </w:rPr>
        <w:t>OSBA v. PPL Electric Utilities Corporation</w:t>
      </w:r>
      <w:r>
        <w:t xml:space="preserve">, C-2011-2245906; and the beginning and ending dates of several reconciliation charges have been changed to conform to the PJM planning year, resulting in a one-time five-month reconciliation period for those charges.    </w:t>
      </w:r>
    </w:p>
  </w:footnote>
  <w:footnote w:id="6">
    <w:p w:rsidR="00A37C47" w:rsidRPr="00261A49" w:rsidRDefault="00A37C47">
      <w:pPr>
        <w:pStyle w:val="FootnoteText"/>
      </w:pPr>
      <w:r>
        <w:rPr>
          <w:rStyle w:val="FootnoteReference"/>
        </w:rPr>
        <w:footnoteRef/>
      </w:r>
      <w:r>
        <w:t xml:space="preserve"> </w:t>
      </w:r>
      <w:r>
        <w:tab/>
        <w:t xml:space="preserve">Note that the Company "respectfully requests that that ALJ and Commission take official and judicial notice of PECO's migration rider pursuant to 52 Pa. Code § 5.408.  </w:t>
      </w:r>
      <w:r>
        <w:rPr>
          <w:i/>
        </w:rPr>
        <w:t>See</w:t>
      </w:r>
      <w:r>
        <w:t xml:space="preserve"> PECO Electric Service Tariff PA. P.U.C. No. 4. Supplement No. 6, Page No. 34.  Section 5.408 requires that notification and opportunity to be heard be given to other parties when the decision will rest upon the item to be noticed.  As that is not the case here, no such procedure was followed.</w:t>
      </w:r>
    </w:p>
  </w:footnote>
  <w:footnote w:id="7">
    <w:p w:rsidR="00A37C47" w:rsidRDefault="00A37C47">
      <w:pPr>
        <w:pStyle w:val="FootnoteText"/>
      </w:pPr>
      <w:r>
        <w:rPr>
          <w:rStyle w:val="FootnoteReference"/>
        </w:rPr>
        <w:footnoteRef/>
      </w:r>
      <w:r>
        <w:t xml:space="preserve"> </w:t>
      </w:r>
      <w:r>
        <w:tab/>
        <w:t xml:space="preserve">DR also addresses at length the unfairness of subjecting a new default customer to a reconciliation fee from the period of time before beginning default service.  OSBA had promoted an amendment to the RR which would exempt a new customer from the RR for twelve months, and the Company accepted it; therefore, this argument is not addressed beyond  pointing out that the DR argument which claiming that new customers should be exempt from application of the RR but that customers who were default customers should not bear the cost/benefit of the RR for up to twelve months following their effective date of shopping is wholly inconsistent.  </w:t>
      </w:r>
    </w:p>
  </w:footnote>
  <w:footnote w:id="8">
    <w:p w:rsidR="00A37C47" w:rsidRDefault="00A37C47">
      <w:pPr>
        <w:pStyle w:val="FootnoteText"/>
      </w:pPr>
      <w:r>
        <w:rPr>
          <w:rStyle w:val="FootnoteReference"/>
        </w:rPr>
        <w:footnoteRef/>
      </w:r>
      <w:r>
        <w:t xml:space="preserve"> </w:t>
      </w:r>
      <w:r>
        <w:tab/>
        <w:t>This recommendation was made in C-2011-2245906 as well, along with the recommendation that the Bureau of Audits be directed to monitor the effect of the switch and to report the differences in rates if they had remained quarterly.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F60EAC"/>
    <w:lvl w:ilvl="0">
      <w:start w:val="1"/>
      <w:numFmt w:val="decimal"/>
      <w:pStyle w:val="ListNumber"/>
      <w:lvlText w:val="%1."/>
      <w:lvlJc w:val="left"/>
      <w:pPr>
        <w:tabs>
          <w:tab w:val="num" w:pos="0"/>
        </w:tabs>
        <w:ind w:left="-720" w:firstLine="720"/>
      </w:pPr>
    </w:lvl>
  </w:abstractNum>
  <w:abstractNum w:abstractNumId="1">
    <w:nsid w:val="1056655D"/>
    <w:multiLevelType w:val="hybridMultilevel"/>
    <w:tmpl w:val="9D54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020D"/>
    <w:multiLevelType w:val="hybridMultilevel"/>
    <w:tmpl w:val="78549BF0"/>
    <w:lvl w:ilvl="0" w:tplc="066CBD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C4A5B"/>
    <w:multiLevelType w:val="singleLevel"/>
    <w:tmpl w:val="F25C77B2"/>
    <w:lvl w:ilvl="0">
      <w:start w:val="1"/>
      <w:numFmt w:val="decimal"/>
      <w:lvlText w:val="%1."/>
      <w:lvlJc w:val="left"/>
      <w:pPr>
        <w:tabs>
          <w:tab w:val="num" w:pos="1440"/>
        </w:tabs>
        <w:ind w:left="0" w:firstLine="720"/>
      </w:pPr>
    </w:lvl>
  </w:abstractNum>
  <w:abstractNum w:abstractNumId="4">
    <w:nsid w:val="137E0BD0"/>
    <w:multiLevelType w:val="hybridMultilevel"/>
    <w:tmpl w:val="05305080"/>
    <w:lvl w:ilvl="0" w:tplc="B4FC9B2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2C1159"/>
    <w:multiLevelType w:val="hybridMultilevel"/>
    <w:tmpl w:val="10E0E906"/>
    <w:lvl w:ilvl="0" w:tplc="B4F005B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14397E"/>
    <w:multiLevelType w:val="multilevel"/>
    <w:tmpl w:val="D578FAFC"/>
    <w:name w:val="PS Standard"/>
    <w:lvl w:ilvl="0">
      <w:start w:val="1"/>
      <w:numFmt w:val="upperRoman"/>
      <w:pStyle w:val="Heading1"/>
      <w:lvlText w:val="%1."/>
      <w:lvlJc w:val="left"/>
      <w:pPr>
        <w:tabs>
          <w:tab w:val="num" w:pos="720"/>
        </w:tabs>
        <w:ind w:left="720" w:hanging="720"/>
      </w:pPr>
      <w:rPr>
        <w:caps w:val="0"/>
        <w:strike w:val="0"/>
        <w:dstrike w:val="0"/>
        <w:color w:val="010000"/>
        <w:u w:val="none"/>
        <w:effect w:val="none"/>
      </w:rPr>
    </w:lvl>
    <w:lvl w:ilvl="1">
      <w:start w:val="1"/>
      <w:numFmt w:val="upperLetter"/>
      <w:pStyle w:val="Heading2"/>
      <w:lvlText w:val="%2."/>
      <w:lvlJc w:val="left"/>
      <w:pPr>
        <w:tabs>
          <w:tab w:val="num" w:pos="1440"/>
        </w:tabs>
        <w:ind w:left="1440" w:hanging="720"/>
      </w:pPr>
      <w:rPr>
        <w:caps w:val="0"/>
        <w:strike w:val="0"/>
        <w:dstrike w:val="0"/>
        <w:color w:val="010000"/>
        <w:u w:val="none"/>
        <w:effect w:val="none"/>
      </w:rPr>
    </w:lvl>
    <w:lvl w:ilvl="2">
      <w:start w:val="1"/>
      <w:numFmt w:val="decimal"/>
      <w:pStyle w:val="Heading3"/>
      <w:lvlText w:val="%3."/>
      <w:lvlJc w:val="left"/>
      <w:pPr>
        <w:tabs>
          <w:tab w:val="num" w:pos="2160"/>
        </w:tabs>
        <w:ind w:left="2160" w:hanging="720"/>
      </w:pPr>
      <w:rPr>
        <w:caps w:val="0"/>
        <w:strike w:val="0"/>
        <w:dstrike w:val="0"/>
        <w:color w:val="010000"/>
        <w:u w:val="none"/>
        <w:effect w:val="none"/>
      </w:rPr>
    </w:lvl>
    <w:lvl w:ilvl="3">
      <w:start w:val="1"/>
      <w:numFmt w:val="lowerLetter"/>
      <w:pStyle w:val="Heading4"/>
      <w:lvlText w:val="%4."/>
      <w:lvlJc w:val="left"/>
      <w:pPr>
        <w:tabs>
          <w:tab w:val="num" w:pos="2880"/>
        </w:tabs>
        <w:ind w:left="2880" w:hanging="720"/>
      </w:pPr>
      <w:rPr>
        <w:caps w:val="0"/>
        <w:strike w:val="0"/>
        <w:dstrike w:val="0"/>
        <w:color w:val="010000"/>
        <w:u w:val="none"/>
        <w:effect w:val="none"/>
      </w:rPr>
    </w:lvl>
    <w:lvl w:ilvl="4">
      <w:start w:val="1"/>
      <w:numFmt w:val="lowerRoman"/>
      <w:pStyle w:val="Heading5"/>
      <w:lvlText w:val="%5."/>
      <w:lvlJc w:val="left"/>
      <w:pPr>
        <w:tabs>
          <w:tab w:val="num" w:pos="3600"/>
        </w:tabs>
        <w:ind w:left="3600" w:hanging="720"/>
      </w:pPr>
      <w:rPr>
        <w:caps w:val="0"/>
        <w:strike w:val="0"/>
        <w:dstrike w:val="0"/>
        <w:color w:val="010000"/>
        <w:u w:val="none"/>
        <w:effect w:val="none"/>
      </w:rPr>
    </w:lvl>
    <w:lvl w:ilvl="5">
      <w:start w:val="1"/>
      <w:numFmt w:val="upperLetter"/>
      <w:pStyle w:val="Heading6"/>
      <w:lvlText w:val="(%6)"/>
      <w:lvlJc w:val="left"/>
      <w:pPr>
        <w:tabs>
          <w:tab w:val="num" w:pos="4320"/>
        </w:tabs>
        <w:ind w:left="4320" w:hanging="720"/>
      </w:pPr>
      <w:rPr>
        <w:caps w:val="0"/>
        <w:strike w:val="0"/>
        <w:dstrike w:val="0"/>
        <w:color w:val="010000"/>
        <w:u w:val="none"/>
        <w:effect w:val="none"/>
      </w:rPr>
    </w:lvl>
    <w:lvl w:ilvl="6">
      <w:start w:val="1"/>
      <w:numFmt w:val="decimal"/>
      <w:pStyle w:val="Heading7"/>
      <w:lvlText w:val="(%7)"/>
      <w:lvlJc w:val="left"/>
      <w:pPr>
        <w:tabs>
          <w:tab w:val="num" w:pos="5040"/>
        </w:tabs>
        <w:ind w:left="5040" w:hanging="720"/>
      </w:pPr>
      <w:rPr>
        <w:caps w:val="0"/>
        <w:strike w:val="0"/>
        <w:dstrike w:val="0"/>
        <w:color w:val="010000"/>
        <w:u w:val="none"/>
        <w:effect w:val="none"/>
      </w:rPr>
    </w:lvl>
    <w:lvl w:ilvl="7">
      <w:start w:val="1"/>
      <w:numFmt w:val="lowerLetter"/>
      <w:pStyle w:val="Heading8"/>
      <w:lvlText w:val="(%8)"/>
      <w:lvlJc w:val="left"/>
      <w:pPr>
        <w:tabs>
          <w:tab w:val="num" w:pos="5760"/>
        </w:tabs>
        <w:ind w:left="5760" w:hanging="720"/>
      </w:pPr>
      <w:rPr>
        <w:caps w:val="0"/>
        <w:strike w:val="0"/>
        <w:dstrike w:val="0"/>
        <w:color w:val="010000"/>
        <w:u w:val="none"/>
        <w:effect w:val="none"/>
      </w:rPr>
    </w:lvl>
    <w:lvl w:ilvl="8">
      <w:start w:val="1"/>
      <w:numFmt w:val="lowerRoman"/>
      <w:pStyle w:val="Heading9"/>
      <w:lvlText w:val="(%9)"/>
      <w:lvlJc w:val="left"/>
      <w:pPr>
        <w:tabs>
          <w:tab w:val="num" w:pos="6480"/>
        </w:tabs>
        <w:ind w:left="6480" w:hanging="720"/>
      </w:pPr>
      <w:rPr>
        <w:caps w:val="0"/>
        <w:strike w:val="0"/>
        <w:dstrike w:val="0"/>
        <w:color w:val="010000"/>
        <w:u w:val="none"/>
        <w:effect w:val="none"/>
      </w:rPr>
    </w:lvl>
  </w:abstractNum>
  <w:abstractNum w:abstractNumId="7">
    <w:nsid w:val="249C224F"/>
    <w:multiLevelType w:val="hybridMultilevel"/>
    <w:tmpl w:val="F6388DB0"/>
    <w:lvl w:ilvl="0" w:tplc="4B820D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F31949"/>
    <w:multiLevelType w:val="hybridMultilevel"/>
    <w:tmpl w:val="195C30C8"/>
    <w:lvl w:ilvl="0" w:tplc="93CA25E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93775"/>
    <w:multiLevelType w:val="hybridMultilevel"/>
    <w:tmpl w:val="09D0E9C6"/>
    <w:lvl w:ilvl="0" w:tplc="D518B102">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11">
    <w:nsid w:val="45FE5B4A"/>
    <w:multiLevelType w:val="hybridMultilevel"/>
    <w:tmpl w:val="9842BABC"/>
    <w:lvl w:ilvl="0" w:tplc="4BD6E7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412011"/>
    <w:multiLevelType w:val="hybridMultilevel"/>
    <w:tmpl w:val="4A32DD08"/>
    <w:lvl w:ilvl="0" w:tplc="795E7A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1822FE"/>
    <w:multiLevelType w:val="singleLevel"/>
    <w:tmpl w:val="12B89988"/>
    <w:name w:val=" Numbered List"/>
    <w:lvl w:ilvl="0">
      <w:start w:val="1"/>
      <w:numFmt w:val="decimal"/>
      <w:lvlText w:val="%1."/>
      <w:lvlJc w:val="left"/>
      <w:pPr>
        <w:tabs>
          <w:tab w:val="num" w:pos="1440"/>
        </w:tabs>
        <w:ind w:left="0" w:firstLine="720"/>
      </w:pPr>
    </w:lvl>
  </w:abstractNum>
  <w:abstractNum w:abstractNumId="14">
    <w:nsid w:val="5AF41E3A"/>
    <w:multiLevelType w:val="hybridMultilevel"/>
    <w:tmpl w:val="379242BA"/>
    <w:lvl w:ilvl="0" w:tplc="43CC3DCC">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num>
  <w:num w:numId="4">
    <w:abstractNumId w:val="0"/>
    <w:lvlOverride w:ilvl="0">
      <w:startOverride w:val="1"/>
    </w:lvlOverride>
  </w:num>
  <w:num w:numId="5">
    <w:abstractNumId w:val="3"/>
    <w:lvlOverride w:ilvl="0">
      <w:startOverride w:val="1"/>
    </w:lvlOverride>
  </w:num>
  <w:num w:numId="6">
    <w:abstractNumId w:val="3"/>
    <w:lvlOverride w:ilvl="0">
      <w:startOverride w:val="1"/>
    </w:lvlOverride>
  </w:num>
  <w:num w:numId="7">
    <w:abstractNumId w:val="9"/>
  </w:num>
  <w:num w:numId="8">
    <w:abstractNumId w:val="12"/>
  </w:num>
  <w:num w:numId="9">
    <w:abstractNumId w:val="1"/>
  </w:num>
  <w:num w:numId="10">
    <w:abstractNumId w:val="11"/>
  </w:num>
  <w:num w:numId="11">
    <w:abstractNumId w:val="14"/>
  </w:num>
  <w:num w:numId="12">
    <w:abstractNumId w:val="4"/>
  </w:num>
  <w:num w:numId="13">
    <w:abstractNumId w:val="2"/>
  </w:num>
  <w:num w:numId="14">
    <w:abstractNumId w:val="7"/>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9F"/>
    <w:rsid w:val="00001E3A"/>
    <w:rsid w:val="00001EF6"/>
    <w:rsid w:val="000028EA"/>
    <w:rsid w:val="00003D11"/>
    <w:rsid w:val="00004AA3"/>
    <w:rsid w:val="00005558"/>
    <w:rsid w:val="00006425"/>
    <w:rsid w:val="00006949"/>
    <w:rsid w:val="000079FE"/>
    <w:rsid w:val="00010CFB"/>
    <w:rsid w:val="00012104"/>
    <w:rsid w:val="00012655"/>
    <w:rsid w:val="0001305A"/>
    <w:rsid w:val="00016E55"/>
    <w:rsid w:val="0002023D"/>
    <w:rsid w:val="00020760"/>
    <w:rsid w:val="0002105C"/>
    <w:rsid w:val="0002110E"/>
    <w:rsid w:val="00022B3F"/>
    <w:rsid w:val="00022CD0"/>
    <w:rsid w:val="000239A5"/>
    <w:rsid w:val="00025D7A"/>
    <w:rsid w:val="000304BF"/>
    <w:rsid w:val="00032379"/>
    <w:rsid w:val="0003306B"/>
    <w:rsid w:val="00033303"/>
    <w:rsid w:val="000338CD"/>
    <w:rsid w:val="00035BB8"/>
    <w:rsid w:val="000372C5"/>
    <w:rsid w:val="00037484"/>
    <w:rsid w:val="000377F5"/>
    <w:rsid w:val="00037E0F"/>
    <w:rsid w:val="0004002B"/>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753"/>
    <w:rsid w:val="000634EB"/>
    <w:rsid w:val="00063801"/>
    <w:rsid w:val="0006752D"/>
    <w:rsid w:val="000676B2"/>
    <w:rsid w:val="00067CBC"/>
    <w:rsid w:val="00070AA1"/>
    <w:rsid w:val="00071A36"/>
    <w:rsid w:val="00072595"/>
    <w:rsid w:val="00072D46"/>
    <w:rsid w:val="00073BE1"/>
    <w:rsid w:val="00074065"/>
    <w:rsid w:val="00076092"/>
    <w:rsid w:val="000779CB"/>
    <w:rsid w:val="00081171"/>
    <w:rsid w:val="00082363"/>
    <w:rsid w:val="00083ABD"/>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368"/>
    <w:rsid w:val="000A4551"/>
    <w:rsid w:val="000A4E7A"/>
    <w:rsid w:val="000A5DEA"/>
    <w:rsid w:val="000A652E"/>
    <w:rsid w:val="000A770B"/>
    <w:rsid w:val="000B1BFC"/>
    <w:rsid w:val="000B2D0C"/>
    <w:rsid w:val="000B339A"/>
    <w:rsid w:val="000B5F7C"/>
    <w:rsid w:val="000B7111"/>
    <w:rsid w:val="000C0311"/>
    <w:rsid w:val="000C2696"/>
    <w:rsid w:val="000C2A2B"/>
    <w:rsid w:val="000C34F3"/>
    <w:rsid w:val="000C4163"/>
    <w:rsid w:val="000C5976"/>
    <w:rsid w:val="000C671F"/>
    <w:rsid w:val="000C6B6E"/>
    <w:rsid w:val="000C6EF0"/>
    <w:rsid w:val="000C7A4F"/>
    <w:rsid w:val="000D29BA"/>
    <w:rsid w:val="000D3E49"/>
    <w:rsid w:val="000D525D"/>
    <w:rsid w:val="000D5763"/>
    <w:rsid w:val="000E2F36"/>
    <w:rsid w:val="000E373F"/>
    <w:rsid w:val="000E44C4"/>
    <w:rsid w:val="000E49E6"/>
    <w:rsid w:val="000E4A38"/>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543"/>
    <w:rsid w:val="00105AB2"/>
    <w:rsid w:val="00106EE8"/>
    <w:rsid w:val="001077F1"/>
    <w:rsid w:val="00112816"/>
    <w:rsid w:val="00113B1B"/>
    <w:rsid w:val="00113F5E"/>
    <w:rsid w:val="001155EF"/>
    <w:rsid w:val="001159E8"/>
    <w:rsid w:val="00115BB6"/>
    <w:rsid w:val="00116578"/>
    <w:rsid w:val="001170B8"/>
    <w:rsid w:val="0012035F"/>
    <w:rsid w:val="00120D02"/>
    <w:rsid w:val="00120DE8"/>
    <w:rsid w:val="00121291"/>
    <w:rsid w:val="001219A5"/>
    <w:rsid w:val="0012343C"/>
    <w:rsid w:val="00124101"/>
    <w:rsid w:val="001243FD"/>
    <w:rsid w:val="00124D49"/>
    <w:rsid w:val="00126739"/>
    <w:rsid w:val="0012770C"/>
    <w:rsid w:val="0013068D"/>
    <w:rsid w:val="00130A2C"/>
    <w:rsid w:val="00134B11"/>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BBD"/>
    <w:rsid w:val="00170FE6"/>
    <w:rsid w:val="00171416"/>
    <w:rsid w:val="00172857"/>
    <w:rsid w:val="00172B0B"/>
    <w:rsid w:val="00172E8C"/>
    <w:rsid w:val="00173570"/>
    <w:rsid w:val="00173C70"/>
    <w:rsid w:val="00174F7E"/>
    <w:rsid w:val="0017580D"/>
    <w:rsid w:val="00175F76"/>
    <w:rsid w:val="00176C44"/>
    <w:rsid w:val="00177989"/>
    <w:rsid w:val="00181AB1"/>
    <w:rsid w:val="0018435C"/>
    <w:rsid w:val="001857EA"/>
    <w:rsid w:val="00186328"/>
    <w:rsid w:val="001868F5"/>
    <w:rsid w:val="00190B2C"/>
    <w:rsid w:val="00190D8F"/>
    <w:rsid w:val="00191522"/>
    <w:rsid w:val="00192EB5"/>
    <w:rsid w:val="00195C2B"/>
    <w:rsid w:val="001966CB"/>
    <w:rsid w:val="001969A7"/>
    <w:rsid w:val="00196C5A"/>
    <w:rsid w:val="0019791B"/>
    <w:rsid w:val="00197E5D"/>
    <w:rsid w:val="001A0F84"/>
    <w:rsid w:val="001A103D"/>
    <w:rsid w:val="001A1644"/>
    <w:rsid w:val="001A216A"/>
    <w:rsid w:val="001A2732"/>
    <w:rsid w:val="001A2D84"/>
    <w:rsid w:val="001A33F5"/>
    <w:rsid w:val="001A3A31"/>
    <w:rsid w:val="001A3D48"/>
    <w:rsid w:val="001A5421"/>
    <w:rsid w:val="001A6541"/>
    <w:rsid w:val="001A69B1"/>
    <w:rsid w:val="001A7F95"/>
    <w:rsid w:val="001B06B8"/>
    <w:rsid w:val="001B0CCD"/>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C7933"/>
    <w:rsid w:val="001D05DB"/>
    <w:rsid w:val="001D0876"/>
    <w:rsid w:val="001D0F91"/>
    <w:rsid w:val="001D1F1B"/>
    <w:rsid w:val="001D38C1"/>
    <w:rsid w:val="001D4223"/>
    <w:rsid w:val="001D4C12"/>
    <w:rsid w:val="001D556B"/>
    <w:rsid w:val="001E2642"/>
    <w:rsid w:val="001E3C9A"/>
    <w:rsid w:val="001E5447"/>
    <w:rsid w:val="001E5DF5"/>
    <w:rsid w:val="001E604F"/>
    <w:rsid w:val="001E61CD"/>
    <w:rsid w:val="001E6F86"/>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29CF"/>
    <w:rsid w:val="002241D0"/>
    <w:rsid w:val="00224756"/>
    <w:rsid w:val="0022478F"/>
    <w:rsid w:val="00226A17"/>
    <w:rsid w:val="00227A4A"/>
    <w:rsid w:val="00230CC6"/>
    <w:rsid w:val="002337D7"/>
    <w:rsid w:val="00234DEB"/>
    <w:rsid w:val="0023584A"/>
    <w:rsid w:val="00236C44"/>
    <w:rsid w:val="00240343"/>
    <w:rsid w:val="002403E6"/>
    <w:rsid w:val="002421C8"/>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A49"/>
    <w:rsid w:val="00262A17"/>
    <w:rsid w:val="00262AF8"/>
    <w:rsid w:val="00262D2C"/>
    <w:rsid w:val="00263AD5"/>
    <w:rsid w:val="002656EC"/>
    <w:rsid w:val="0026705F"/>
    <w:rsid w:val="002704DD"/>
    <w:rsid w:val="00270AF3"/>
    <w:rsid w:val="0027207B"/>
    <w:rsid w:val="0027210A"/>
    <w:rsid w:val="002748C2"/>
    <w:rsid w:val="002752C3"/>
    <w:rsid w:val="00275659"/>
    <w:rsid w:val="002761E2"/>
    <w:rsid w:val="00277591"/>
    <w:rsid w:val="00280A74"/>
    <w:rsid w:val="00281C39"/>
    <w:rsid w:val="00283282"/>
    <w:rsid w:val="00284760"/>
    <w:rsid w:val="00286A34"/>
    <w:rsid w:val="002871C2"/>
    <w:rsid w:val="0028732E"/>
    <w:rsid w:val="00287CB1"/>
    <w:rsid w:val="0029096F"/>
    <w:rsid w:val="00290AD2"/>
    <w:rsid w:val="00291655"/>
    <w:rsid w:val="00292C01"/>
    <w:rsid w:val="0029353E"/>
    <w:rsid w:val="00293F4E"/>
    <w:rsid w:val="00296B74"/>
    <w:rsid w:val="00297286"/>
    <w:rsid w:val="002A05C6"/>
    <w:rsid w:val="002A1522"/>
    <w:rsid w:val="002A17F4"/>
    <w:rsid w:val="002A4E7E"/>
    <w:rsid w:val="002A5F4D"/>
    <w:rsid w:val="002A70E9"/>
    <w:rsid w:val="002A7A0A"/>
    <w:rsid w:val="002B0413"/>
    <w:rsid w:val="002B0D61"/>
    <w:rsid w:val="002B2AF4"/>
    <w:rsid w:val="002B3E20"/>
    <w:rsid w:val="002B541A"/>
    <w:rsid w:val="002B754D"/>
    <w:rsid w:val="002B7D7E"/>
    <w:rsid w:val="002C0694"/>
    <w:rsid w:val="002C1023"/>
    <w:rsid w:val="002C3579"/>
    <w:rsid w:val="002C4F02"/>
    <w:rsid w:val="002C69AD"/>
    <w:rsid w:val="002D008A"/>
    <w:rsid w:val="002D0E4D"/>
    <w:rsid w:val="002D11F2"/>
    <w:rsid w:val="002D1E71"/>
    <w:rsid w:val="002D29B0"/>
    <w:rsid w:val="002D2AA4"/>
    <w:rsid w:val="002D5AEF"/>
    <w:rsid w:val="002D6B36"/>
    <w:rsid w:val="002D7136"/>
    <w:rsid w:val="002D7978"/>
    <w:rsid w:val="002E2283"/>
    <w:rsid w:val="002E2CAD"/>
    <w:rsid w:val="002E32C2"/>
    <w:rsid w:val="002E5790"/>
    <w:rsid w:val="002E62D9"/>
    <w:rsid w:val="002E6CB4"/>
    <w:rsid w:val="002E7DDB"/>
    <w:rsid w:val="002F17FB"/>
    <w:rsid w:val="002F21B6"/>
    <w:rsid w:val="002F222D"/>
    <w:rsid w:val="002F2A4A"/>
    <w:rsid w:val="002F42FC"/>
    <w:rsid w:val="002F46BE"/>
    <w:rsid w:val="002F5C03"/>
    <w:rsid w:val="002F6F4F"/>
    <w:rsid w:val="002F75DA"/>
    <w:rsid w:val="00303526"/>
    <w:rsid w:val="00303761"/>
    <w:rsid w:val="00304AA1"/>
    <w:rsid w:val="0030682B"/>
    <w:rsid w:val="00306AED"/>
    <w:rsid w:val="00306C33"/>
    <w:rsid w:val="00310D0C"/>
    <w:rsid w:val="00311531"/>
    <w:rsid w:val="003115D2"/>
    <w:rsid w:val="00312F06"/>
    <w:rsid w:val="00313595"/>
    <w:rsid w:val="0031425A"/>
    <w:rsid w:val="00314713"/>
    <w:rsid w:val="003149F5"/>
    <w:rsid w:val="003151E4"/>
    <w:rsid w:val="003156D7"/>
    <w:rsid w:val="00315E91"/>
    <w:rsid w:val="00317261"/>
    <w:rsid w:val="0032130D"/>
    <w:rsid w:val="00321DB1"/>
    <w:rsid w:val="00322E4D"/>
    <w:rsid w:val="0032645E"/>
    <w:rsid w:val="00326EEE"/>
    <w:rsid w:val="00326F3E"/>
    <w:rsid w:val="00330A67"/>
    <w:rsid w:val="00332A51"/>
    <w:rsid w:val="003332BF"/>
    <w:rsid w:val="00333ADD"/>
    <w:rsid w:val="00334F62"/>
    <w:rsid w:val="00336496"/>
    <w:rsid w:val="003364EB"/>
    <w:rsid w:val="00336CE8"/>
    <w:rsid w:val="003425CF"/>
    <w:rsid w:val="0034272B"/>
    <w:rsid w:val="00342BFE"/>
    <w:rsid w:val="00344C34"/>
    <w:rsid w:val="00345C65"/>
    <w:rsid w:val="00346679"/>
    <w:rsid w:val="003470E8"/>
    <w:rsid w:val="0035100D"/>
    <w:rsid w:val="003534C5"/>
    <w:rsid w:val="003534EB"/>
    <w:rsid w:val="00354574"/>
    <w:rsid w:val="00354BD0"/>
    <w:rsid w:val="003550C3"/>
    <w:rsid w:val="00356988"/>
    <w:rsid w:val="003601E1"/>
    <w:rsid w:val="00360427"/>
    <w:rsid w:val="00360F5F"/>
    <w:rsid w:val="0036124A"/>
    <w:rsid w:val="0036153E"/>
    <w:rsid w:val="0036237C"/>
    <w:rsid w:val="003625F5"/>
    <w:rsid w:val="003643C9"/>
    <w:rsid w:val="003657F1"/>
    <w:rsid w:val="00365826"/>
    <w:rsid w:val="00365A2F"/>
    <w:rsid w:val="00366696"/>
    <w:rsid w:val="0036754C"/>
    <w:rsid w:val="00375889"/>
    <w:rsid w:val="003760EB"/>
    <w:rsid w:val="00376D97"/>
    <w:rsid w:val="00380892"/>
    <w:rsid w:val="00381B05"/>
    <w:rsid w:val="003823DF"/>
    <w:rsid w:val="00383321"/>
    <w:rsid w:val="00385BF0"/>
    <w:rsid w:val="00385DAD"/>
    <w:rsid w:val="00385ED0"/>
    <w:rsid w:val="00386626"/>
    <w:rsid w:val="00387249"/>
    <w:rsid w:val="003908D7"/>
    <w:rsid w:val="00390929"/>
    <w:rsid w:val="00390DBB"/>
    <w:rsid w:val="00391CFF"/>
    <w:rsid w:val="003924CC"/>
    <w:rsid w:val="00396333"/>
    <w:rsid w:val="00396ADD"/>
    <w:rsid w:val="0039716B"/>
    <w:rsid w:val="003975C9"/>
    <w:rsid w:val="003A0B9C"/>
    <w:rsid w:val="003A0E5A"/>
    <w:rsid w:val="003A0F8D"/>
    <w:rsid w:val="003A5E83"/>
    <w:rsid w:val="003A645E"/>
    <w:rsid w:val="003A6A5F"/>
    <w:rsid w:val="003A6CD0"/>
    <w:rsid w:val="003A7581"/>
    <w:rsid w:val="003B2E77"/>
    <w:rsid w:val="003B3FDD"/>
    <w:rsid w:val="003B4D40"/>
    <w:rsid w:val="003B5D19"/>
    <w:rsid w:val="003B610B"/>
    <w:rsid w:val="003C34F1"/>
    <w:rsid w:val="003C47E8"/>
    <w:rsid w:val="003C5102"/>
    <w:rsid w:val="003C5586"/>
    <w:rsid w:val="003C610C"/>
    <w:rsid w:val="003C6962"/>
    <w:rsid w:val="003C6A5D"/>
    <w:rsid w:val="003C6F65"/>
    <w:rsid w:val="003D1F46"/>
    <w:rsid w:val="003D41CF"/>
    <w:rsid w:val="003D5045"/>
    <w:rsid w:val="003E1442"/>
    <w:rsid w:val="003E2749"/>
    <w:rsid w:val="003E2B14"/>
    <w:rsid w:val="003E2FDE"/>
    <w:rsid w:val="003E447A"/>
    <w:rsid w:val="003E5240"/>
    <w:rsid w:val="003E611C"/>
    <w:rsid w:val="003E7E85"/>
    <w:rsid w:val="003F01A7"/>
    <w:rsid w:val="003F2E62"/>
    <w:rsid w:val="003F3925"/>
    <w:rsid w:val="003F425B"/>
    <w:rsid w:val="003F6F08"/>
    <w:rsid w:val="00401386"/>
    <w:rsid w:val="004017C5"/>
    <w:rsid w:val="00401AD5"/>
    <w:rsid w:val="004047B1"/>
    <w:rsid w:val="00404E55"/>
    <w:rsid w:val="0040584C"/>
    <w:rsid w:val="004065C5"/>
    <w:rsid w:val="00406807"/>
    <w:rsid w:val="004078EF"/>
    <w:rsid w:val="00407C2F"/>
    <w:rsid w:val="0041082C"/>
    <w:rsid w:val="00411425"/>
    <w:rsid w:val="00413B28"/>
    <w:rsid w:val="00413BA5"/>
    <w:rsid w:val="00413DAC"/>
    <w:rsid w:val="0041623E"/>
    <w:rsid w:val="00416A3B"/>
    <w:rsid w:val="00416A49"/>
    <w:rsid w:val="00416AB2"/>
    <w:rsid w:val="00421203"/>
    <w:rsid w:val="004212AA"/>
    <w:rsid w:val="004222CB"/>
    <w:rsid w:val="00423359"/>
    <w:rsid w:val="00425C94"/>
    <w:rsid w:val="00426277"/>
    <w:rsid w:val="004262B3"/>
    <w:rsid w:val="00426605"/>
    <w:rsid w:val="00431130"/>
    <w:rsid w:val="00433AE5"/>
    <w:rsid w:val="0043485A"/>
    <w:rsid w:val="00434FD6"/>
    <w:rsid w:val="00435727"/>
    <w:rsid w:val="00440521"/>
    <w:rsid w:val="004407EE"/>
    <w:rsid w:val="00441078"/>
    <w:rsid w:val="00442254"/>
    <w:rsid w:val="00443307"/>
    <w:rsid w:val="004440AA"/>
    <w:rsid w:val="00444DBF"/>
    <w:rsid w:val="00444E41"/>
    <w:rsid w:val="00444F88"/>
    <w:rsid w:val="00445003"/>
    <w:rsid w:val="00445B46"/>
    <w:rsid w:val="00446B02"/>
    <w:rsid w:val="00446C81"/>
    <w:rsid w:val="00446CF6"/>
    <w:rsid w:val="0044708D"/>
    <w:rsid w:val="00447133"/>
    <w:rsid w:val="00447A63"/>
    <w:rsid w:val="00447B02"/>
    <w:rsid w:val="00447DB3"/>
    <w:rsid w:val="0045007D"/>
    <w:rsid w:val="0045199A"/>
    <w:rsid w:val="004521D4"/>
    <w:rsid w:val="00452EEE"/>
    <w:rsid w:val="0045300F"/>
    <w:rsid w:val="00453A6E"/>
    <w:rsid w:val="00454158"/>
    <w:rsid w:val="00454723"/>
    <w:rsid w:val="00455319"/>
    <w:rsid w:val="00455691"/>
    <w:rsid w:val="00456049"/>
    <w:rsid w:val="004565C0"/>
    <w:rsid w:val="00460024"/>
    <w:rsid w:val="00460031"/>
    <w:rsid w:val="00460140"/>
    <w:rsid w:val="0046238B"/>
    <w:rsid w:val="004625E8"/>
    <w:rsid w:val="00464B18"/>
    <w:rsid w:val="00465D71"/>
    <w:rsid w:val="00466D15"/>
    <w:rsid w:val="0047070D"/>
    <w:rsid w:val="00477A71"/>
    <w:rsid w:val="00480C51"/>
    <w:rsid w:val="00481269"/>
    <w:rsid w:val="004839FC"/>
    <w:rsid w:val="00483C70"/>
    <w:rsid w:val="00484589"/>
    <w:rsid w:val="00484BCE"/>
    <w:rsid w:val="00487E4E"/>
    <w:rsid w:val="00487E8F"/>
    <w:rsid w:val="00491F39"/>
    <w:rsid w:val="004938B5"/>
    <w:rsid w:val="00493AC3"/>
    <w:rsid w:val="0049422F"/>
    <w:rsid w:val="0049475D"/>
    <w:rsid w:val="0049575D"/>
    <w:rsid w:val="00496768"/>
    <w:rsid w:val="00496D95"/>
    <w:rsid w:val="00496DB8"/>
    <w:rsid w:val="004A11A6"/>
    <w:rsid w:val="004A1729"/>
    <w:rsid w:val="004A21F4"/>
    <w:rsid w:val="004A3363"/>
    <w:rsid w:val="004A4B6C"/>
    <w:rsid w:val="004A5318"/>
    <w:rsid w:val="004A5D57"/>
    <w:rsid w:val="004A741E"/>
    <w:rsid w:val="004B0321"/>
    <w:rsid w:val="004B1A37"/>
    <w:rsid w:val="004B1ADE"/>
    <w:rsid w:val="004B2625"/>
    <w:rsid w:val="004B46D2"/>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0311"/>
    <w:rsid w:val="004E1B61"/>
    <w:rsid w:val="004E1FD5"/>
    <w:rsid w:val="004E23ED"/>
    <w:rsid w:val="004E429F"/>
    <w:rsid w:val="004E60E4"/>
    <w:rsid w:val="004F160A"/>
    <w:rsid w:val="004F1A21"/>
    <w:rsid w:val="004F2F62"/>
    <w:rsid w:val="004F37CB"/>
    <w:rsid w:val="004F45CA"/>
    <w:rsid w:val="004F5216"/>
    <w:rsid w:val="004F616B"/>
    <w:rsid w:val="004F64E4"/>
    <w:rsid w:val="00500A53"/>
    <w:rsid w:val="00503634"/>
    <w:rsid w:val="00504F92"/>
    <w:rsid w:val="00505551"/>
    <w:rsid w:val="005068C2"/>
    <w:rsid w:val="005078B3"/>
    <w:rsid w:val="00510A28"/>
    <w:rsid w:val="00511C54"/>
    <w:rsid w:val="0051292E"/>
    <w:rsid w:val="00514632"/>
    <w:rsid w:val="00515A85"/>
    <w:rsid w:val="00516207"/>
    <w:rsid w:val="005200DC"/>
    <w:rsid w:val="00520C27"/>
    <w:rsid w:val="00521B57"/>
    <w:rsid w:val="00522DE9"/>
    <w:rsid w:val="00522EF8"/>
    <w:rsid w:val="00522FE7"/>
    <w:rsid w:val="0052399F"/>
    <w:rsid w:val="00523F60"/>
    <w:rsid w:val="00523FBA"/>
    <w:rsid w:val="00524079"/>
    <w:rsid w:val="005255C0"/>
    <w:rsid w:val="005258BD"/>
    <w:rsid w:val="00526890"/>
    <w:rsid w:val="0052764F"/>
    <w:rsid w:val="00527AFE"/>
    <w:rsid w:val="005328F4"/>
    <w:rsid w:val="00535220"/>
    <w:rsid w:val="00536293"/>
    <w:rsid w:val="00536ABE"/>
    <w:rsid w:val="00536E9D"/>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5F67"/>
    <w:rsid w:val="0058036C"/>
    <w:rsid w:val="0058073B"/>
    <w:rsid w:val="00580815"/>
    <w:rsid w:val="00582289"/>
    <w:rsid w:val="0058235F"/>
    <w:rsid w:val="0058363F"/>
    <w:rsid w:val="00584CB9"/>
    <w:rsid w:val="00585BD9"/>
    <w:rsid w:val="00587B74"/>
    <w:rsid w:val="00591696"/>
    <w:rsid w:val="00593FF1"/>
    <w:rsid w:val="00594648"/>
    <w:rsid w:val="00594E77"/>
    <w:rsid w:val="0059623B"/>
    <w:rsid w:val="00596D1D"/>
    <w:rsid w:val="00597613"/>
    <w:rsid w:val="005A0C5B"/>
    <w:rsid w:val="005A1839"/>
    <w:rsid w:val="005A2923"/>
    <w:rsid w:val="005A3759"/>
    <w:rsid w:val="005A44D9"/>
    <w:rsid w:val="005A5826"/>
    <w:rsid w:val="005A5F39"/>
    <w:rsid w:val="005A6ADE"/>
    <w:rsid w:val="005B3D45"/>
    <w:rsid w:val="005B3D4C"/>
    <w:rsid w:val="005B78C4"/>
    <w:rsid w:val="005C373B"/>
    <w:rsid w:val="005C3DD2"/>
    <w:rsid w:val="005C4AAA"/>
    <w:rsid w:val="005C610A"/>
    <w:rsid w:val="005D1442"/>
    <w:rsid w:val="005D1660"/>
    <w:rsid w:val="005D1922"/>
    <w:rsid w:val="005D2788"/>
    <w:rsid w:val="005D312C"/>
    <w:rsid w:val="005D4281"/>
    <w:rsid w:val="005D6E32"/>
    <w:rsid w:val="005E06D4"/>
    <w:rsid w:val="005E1521"/>
    <w:rsid w:val="005E3768"/>
    <w:rsid w:val="005E391C"/>
    <w:rsid w:val="005E448D"/>
    <w:rsid w:val="005F064D"/>
    <w:rsid w:val="005F3618"/>
    <w:rsid w:val="005F512E"/>
    <w:rsid w:val="005F5A21"/>
    <w:rsid w:val="005F6A04"/>
    <w:rsid w:val="00600458"/>
    <w:rsid w:val="0060118D"/>
    <w:rsid w:val="006024EE"/>
    <w:rsid w:val="0060369E"/>
    <w:rsid w:val="00603824"/>
    <w:rsid w:val="00603ABD"/>
    <w:rsid w:val="0060530E"/>
    <w:rsid w:val="00605D75"/>
    <w:rsid w:val="006073B5"/>
    <w:rsid w:val="00610CE1"/>
    <w:rsid w:val="006113D8"/>
    <w:rsid w:val="00612C6B"/>
    <w:rsid w:val="006151E3"/>
    <w:rsid w:val="00616232"/>
    <w:rsid w:val="00620850"/>
    <w:rsid w:val="006209DF"/>
    <w:rsid w:val="00620DB5"/>
    <w:rsid w:val="00621A59"/>
    <w:rsid w:val="0062201A"/>
    <w:rsid w:val="006225AC"/>
    <w:rsid w:val="006230A9"/>
    <w:rsid w:val="00623799"/>
    <w:rsid w:val="00624D32"/>
    <w:rsid w:val="006273ED"/>
    <w:rsid w:val="00627ACC"/>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2EB5"/>
    <w:rsid w:val="006540C5"/>
    <w:rsid w:val="006543FB"/>
    <w:rsid w:val="006549F5"/>
    <w:rsid w:val="00655505"/>
    <w:rsid w:val="00655AA7"/>
    <w:rsid w:val="00655F80"/>
    <w:rsid w:val="00656541"/>
    <w:rsid w:val="006577B0"/>
    <w:rsid w:val="00660216"/>
    <w:rsid w:val="006621E9"/>
    <w:rsid w:val="00662904"/>
    <w:rsid w:val="00664A57"/>
    <w:rsid w:val="00664C73"/>
    <w:rsid w:val="00665455"/>
    <w:rsid w:val="00671999"/>
    <w:rsid w:val="006764EA"/>
    <w:rsid w:val="00677B03"/>
    <w:rsid w:val="00677B9C"/>
    <w:rsid w:val="00677DDE"/>
    <w:rsid w:val="00680B65"/>
    <w:rsid w:val="00681287"/>
    <w:rsid w:val="006815A6"/>
    <w:rsid w:val="00681FD9"/>
    <w:rsid w:val="0068285E"/>
    <w:rsid w:val="006831B4"/>
    <w:rsid w:val="006848D5"/>
    <w:rsid w:val="00684EF6"/>
    <w:rsid w:val="006856E2"/>
    <w:rsid w:val="006901D1"/>
    <w:rsid w:val="00690E46"/>
    <w:rsid w:val="00691524"/>
    <w:rsid w:val="00693743"/>
    <w:rsid w:val="00693995"/>
    <w:rsid w:val="00693C61"/>
    <w:rsid w:val="00695397"/>
    <w:rsid w:val="0069562F"/>
    <w:rsid w:val="006A177A"/>
    <w:rsid w:val="006A1A5D"/>
    <w:rsid w:val="006A2EE6"/>
    <w:rsid w:val="006A3267"/>
    <w:rsid w:val="006A3790"/>
    <w:rsid w:val="006A4533"/>
    <w:rsid w:val="006A5968"/>
    <w:rsid w:val="006A5F8B"/>
    <w:rsid w:val="006A600F"/>
    <w:rsid w:val="006B06CA"/>
    <w:rsid w:val="006B1A6D"/>
    <w:rsid w:val="006B2B00"/>
    <w:rsid w:val="006B2FA8"/>
    <w:rsid w:val="006B3210"/>
    <w:rsid w:val="006B3E08"/>
    <w:rsid w:val="006B49AE"/>
    <w:rsid w:val="006B529B"/>
    <w:rsid w:val="006C2742"/>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4B8"/>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1085"/>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19A1"/>
    <w:rsid w:val="0074239D"/>
    <w:rsid w:val="00742CE1"/>
    <w:rsid w:val="0074372C"/>
    <w:rsid w:val="00744C7C"/>
    <w:rsid w:val="00745862"/>
    <w:rsid w:val="00746657"/>
    <w:rsid w:val="0074687F"/>
    <w:rsid w:val="00746973"/>
    <w:rsid w:val="00747C4D"/>
    <w:rsid w:val="00751055"/>
    <w:rsid w:val="007517A4"/>
    <w:rsid w:val="00751CEF"/>
    <w:rsid w:val="00752124"/>
    <w:rsid w:val="0075585E"/>
    <w:rsid w:val="00755A77"/>
    <w:rsid w:val="007631D1"/>
    <w:rsid w:val="007635AC"/>
    <w:rsid w:val="00766B38"/>
    <w:rsid w:val="007708EF"/>
    <w:rsid w:val="00771109"/>
    <w:rsid w:val="00772458"/>
    <w:rsid w:val="00775812"/>
    <w:rsid w:val="00781068"/>
    <w:rsid w:val="00781AFB"/>
    <w:rsid w:val="00782461"/>
    <w:rsid w:val="0078261F"/>
    <w:rsid w:val="007833DA"/>
    <w:rsid w:val="00783492"/>
    <w:rsid w:val="00784522"/>
    <w:rsid w:val="0078470A"/>
    <w:rsid w:val="00784C15"/>
    <w:rsid w:val="0078583D"/>
    <w:rsid w:val="00785939"/>
    <w:rsid w:val="00785D73"/>
    <w:rsid w:val="00786FA8"/>
    <w:rsid w:val="00787AF1"/>
    <w:rsid w:val="00787CCD"/>
    <w:rsid w:val="0079132B"/>
    <w:rsid w:val="0079360E"/>
    <w:rsid w:val="00795245"/>
    <w:rsid w:val="007969E6"/>
    <w:rsid w:val="00796DA1"/>
    <w:rsid w:val="007A2C57"/>
    <w:rsid w:val="007A3440"/>
    <w:rsid w:val="007A34B3"/>
    <w:rsid w:val="007B1039"/>
    <w:rsid w:val="007B1644"/>
    <w:rsid w:val="007B33F8"/>
    <w:rsid w:val="007B3B6F"/>
    <w:rsid w:val="007B3C34"/>
    <w:rsid w:val="007B3F3D"/>
    <w:rsid w:val="007B413B"/>
    <w:rsid w:val="007B4FD7"/>
    <w:rsid w:val="007B5461"/>
    <w:rsid w:val="007B5904"/>
    <w:rsid w:val="007B6474"/>
    <w:rsid w:val="007B7F0F"/>
    <w:rsid w:val="007C0E6F"/>
    <w:rsid w:val="007C19EC"/>
    <w:rsid w:val="007C2F55"/>
    <w:rsid w:val="007C342D"/>
    <w:rsid w:val="007C3C7F"/>
    <w:rsid w:val="007C42F3"/>
    <w:rsid w:val="007C4E34"/>
    <w:rsid w:val="007C51EB"/>
    <w:rsid w:val="007C60E2"/>
    <w:rsid w:val="007C7435"/>
    <w:rsid w:val="007D158A"/>
    <w:rsid w:val="007D5B1C"/>
    <w:rsid w:val="007D6B90"/>
    <w:rsid w:val="007D6D87"/>
    <w:rsid w:val="007D6FD6"/>
    <w:rsid w:val="007E0ADA"/>
    <w:rsid w:val="007E15CF"/>
    <w:rsid w:val="007E1DB4"/>
    <w:rsid w:val="007E27F6"/>
    <w:rsid w:val="007E4102"/>
    <w:rsid w:val="007E5866"/>
    <w:rsid w:val="007E7C76"/>
    <w:rsid w:val="007E7E6F"/>
    <w:rsid w:val="007F07AF"/>
    <w:rsid w:val="007F2A44"/>
    <w:rsid w:val="007F40CC"/>
    <w:rsid w:val="007F4F20"/>
    <w:rsid w:val="007F6E2B"/>
    <w:rsid w:val="007F7699"/>
    <w:rsid w:val="007F773D"/>
    <w:rsid w:val="008003C8"/>
    <w:rsid w:val="00802118"/>
    <w:rsid w:val="00802E12"/>
    <w:rsid w:val="00804065"/>
    <w:rsid w:val="008047DD"/>
    <w:rsid w:val="0080611B"/>
    <w:rsid w:val="00806213"/>
    <w:rsid w:val="008121D7"/>
    <w:rsid w:val="00812B80"/>
    <w:rsid w:val="008168A2"/>
    <w:rsid w:val="008172EA"/>
    <w:rsid w:val="00820421"/>
    <w:rsid w:val="008213E7"/>
    <w:rsid w:val="0082147C"/>
    <w:rsid w:val="00821687"/>
    <w:rsid w:val="0082217D"/>
    <w:rsid w:val="00822A40"/>
    <w:rsid w:val="00823683"/>
    <w:rsid w:val="008236C7"/>
    <w:rsid w:val="00823E67"/>
    <w:rsid w:val="008248D6"/>
    <w:rsid w:val="00826045"/>
    <w:rsid w:val="008307DB"/>
    <w:rsid w:val="00830A48"/>
    <w:rsid w:val="0083107C"/>
    <w:rsid w:val="00833331"/>
    <w:rsid w:val="00833C36"/>
    <w:rsid w:val="00834B96"/>
    <w:rsid w:val="00836409"/>
    <w:rsid w:val="00836415"/>
    <w:rsid w:val="0083644A"/>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A57"/>
    <w:rsid w:val="00865C18"/>
    <w:rsid w:val="0086621E"/>
    <w:rsid w:val="0086717D"/>
    <w:rsid w:val="0087121E"/>
    <w:rsid w:val="00876B32"/>
    <w:rsid w:val="00882CB8"/>
    <w:rsid w:val="00883949"/>
    <w:rsid w:val="00884366"/>
    <w:rsid w:val="00884650"/>
    <w:rsid w:val="008851B9"/>
    <w:rsid w:val="00885F50"/>
    <w:rsid w:val="00886E0C"/>
    <w:rsid w:val="00887314"/>
    <w:rsid w:val="00890EB4"/>
    <w:rsid w:val="00891D35"/>
    <w:rsid w:val="00893901"/>
    <w:rsid w:val="0089667B"/>
    <w:rsid w:val="0089728F"/>
    <w:rsid w:val="008A0874"/>
    <w:rsid w:val="008A0FF6"/>
    <w:rsid w:val="008A28F5"/>
    <w:rsid w:val="008A2A11"/>
    <w:rsid w:val="008A5028"/>
    <w:rsid w:val="008A51AD"/>
    <w:rsid w:val="008B2982"/>
    <w:rsid w:val="008B2F05"/>
    <w:rsid w:val="008B456E"/>
    <w:rsid w:val="008B51B9"/>
    <w:rsid w:val="008B5BC6"/>
    <w:rsid w:val="008B6119"/>
    <w:rsid w:val="008B62FA"/>
    <w:rsid w:val="008B7153"/>
    <w:rsid w:val="008C03AD"/>
    <w:rsid w:val="008C0E35"/>
    <w:rsid w:val="008C11EE"/>
    <w:rsid w:val="008C1485"/>
    <w:rsid w:val="008C175C"/>
    <w:rsid w:val="008C2DAF"/>
    <w:rsid w:val="008C3720"/>
    <w:rsid w:val="008C5F7D"/>
    <w:rsid w:val="008C668F"/>
    <w:rsid w:val="008C6C13"/>
    <w:rsid w:val="008D2DBA"/>
    <w:rsid w:val="008D530C"/>
    <w:rsid w:val="008D56D1"/>
    <w:rsid w:val="008D638B"/>
    <w:rsid w:val="008D760B"/>
    <w:rsid w:val="008D7ECE"/>
    <w:rsid w:val="008E01A0"/>
    <w:rsid w:val="008E1BF6"/>
    <w:rsid w:val="008E44FF"/>
    <w:rsid w:val="008E5A58"/>
    <w:rsid w:val="008E5F96"/>
    <w:rsid w:val="008E6FB7"/>
    <w:rsid w:val="008E7557"/>
    <w:rsid w:val="008E7FE5"/>
    <w:rsid w:val="008F1874"/>
    <w:rsid w:val="008F25DF"/>
    <w:rsid w:val="008F29E0"/>
    <w:rsid w:val="008F4D40"/>
    <w:rsid w:val="008F4FCE"/>
    <w:rsid w:val="008F63E4"/>
    <w:rsid w:val="008F7843"/>
    <w:rsid w:val="008F7E50"/>
    <w:rsid w:val="00900008"/>
    <w:rsid w:val="00900E6A"/>
    <w:rsid w:val="00902EB1"/>
    <w:rsid w:val="00904A94"/>
    <w:rsid w:val="00904C01"/>
    <w:rsid w:val="009050BB"/>
    <w:rsid w:val="00905110"/>
    <w:rsid w:val="00905195"/>
    <w:rsid w:val="00905609"/>
    <w:rsid w:val="00905F7A"/>
    <w:rsid w:val="00906A31"/>
    <w:rsid w:val="00906A38"/>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09F"/>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25"/>
    <w:rsid w:val="009540FD"/>
    <w:rsid w:val="0095579C"/>
    <w:rsid w:val="00956E7E"/>
    <w:rsid w:val="0096539B"/>
    <w:rsid w:val="00966487"/>
    <w:rsid w:val="009664B9"/>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4EE9"/>
    <w:rsid w:val="0099627F"/>
    <w:rsid w:val="00997443"/>
    <w:rsid w:val="009A02B6"/>
    <w:rsid w:val="009A1BA1"/>
    <w:rsid w:val="009A2A81"/>
    <w:rsid w:val="009A2AFB"/>
    <w:rsid w:val="009A2DE2"/>
    <w:rsid w:val="009A386E"/>
    <w:rsid w:val="009A3B62"/>
    <w:rsid w:val="009A3ED4"/>
    <w:rsid w:val="009A4F48"/>
    <w:rsid w:val="009A56EE"/>
    <w:rsid w:val="009A5C47"/>
    <w:rsid w:val="009A68E7"/>
    <w:rsid w:val="009A6BC5"/>
    <w:rsid w:val="009B0164"/>
    <w:rsid w:val="009B2B90"/>
    <w:rsid w:val="009B4A92"/>
    <w:rsid w:val="009B4B7B"/>
    <w:rsid w:val="009B4CB6"/>
    <w:rsid w:val="009B66C0"/>
    <w:rsid w:val="009B6D07"/>
    <w:rsid w:val="009B72A1"/>
    <w:rsid w:val="009B74A5"/>
    <w:rsid w:val="009B7FB4"/>
    <w:rsid w:val="009C008A"/>
    <w:rsid w:val="009C0E90"/>
    <w:rsid w:val="009C24F9"/>
    <w:rsid w:val="009C54B7"/>
    <w:rsid w:val="009C638A"/>
    <w:rsid w:val="009D023E"/>
    <w:rsid w:val="009D3AAC"/>
    <w:rsid w:val="009D5B63"/>
    <w:rsid w:val="009D6C48"/>
    <w:rsid w:val="009D6CA9"/>
    <w:rsid w:val="009E1679"/>
    <w:rsid w:val="009E1BE9"/>
    <w:rsid w:val="009E2348"/>
    <w:rsid w:val="009E239E"/>
    <w:rsid w:val="009E271D"/>
    <w:rsid w:val="009E362F"/>
    <w:rsid w:val="009E40DF"/>
    <w:rsid w:val="009E59CA"/>
    <w:rsid w:val="009E5C22"/>
    <w:rsid w:val="009F1879"/>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17A00"/>
    <w:rsid w:val="00A215E2"/>
    <w:rsid w:val="00A2164F"/>
    <w:rsid w:val="00A23803"/>
    <w:rsid w:val="00A249F6"/>
    <w:rsid w:val="00A2509D"/>
    <w:rsid w:val="00A250AD"/>
    <w:rsid w:val="00A26704"/>
    <w:rsid w:val="00A27248"/>
    <w:rsid w:val="00A27289"/>
    <w:rsid w:val="00A321F9"/>
    <w:rsid w:val="00A34AEC"/>
    <w:rsid w:val="00A35AA0"/>
    <w:rsid w:val="00A35AFD"/>
    <w:rsid w:val="00A3659B"/>
    <w:rsid w:val="00A37C47"/>
    <w:rsid w:val="00A40295"/>
    <w:rsid w:val="00A40731"/>
    <w:rsid w:val="00A40A39"/>
    <w:rsid w:val="00A429D5"/>
    <w:rsid w:val="00A42E39"/>
    <w:rsid w:val="00A433E2"/>
    <w:rsid w:val="00A43A0F"/>
    <w:rsid w:val="00A445FE"/>
    <w:rsid w:val="00A448EF"/>
    <w:rsid w:val="00A4598C"/>
    <w:rsid w:val="00A45BB4"/>
    <w:rsid w:val="00A46087"/>
    <w:rsid w:val="00A50A59"/>
    <w:rsid w:val="00A510EE"/>
    <w:rsid w:val="00A51638"/>
    <w:rsid w:val="00A52A4E"/>
    <w:rsid w:val="00A5343C"/>
    <w:rsid w:val="00A53A01"/>
    <w:rsid w:val="00A54A17"/>
    <w:rsid w:val="00A55081"/>
    <w:rsid w:val="00A5538B"/>
    <w:rsid w:val="00A57796"/>
    <w:rsid w:val="00A57AB1"/>
    <w:rsid w:val="00A635D9"/>
    <w:rsid w:val="00A64C8D"/>
    <w:rsid w:val="00A6721B"/>
    <w:rsid w:val="00A70355"/>
    <w:rsid w:val="00A7046F"/>
    <w:rsid w:val="00A711A7"/>
    <w:rsid w:val="00A71E4D"/>
    <w:rsid w:val="00A73547"/>
    <w:rsid w:val="00A73D17"/>
    <w:rsid w:val="00A73D4F"/>
    <w:rsid w:val="00A74128"/>
    <w:rsid w:val="00A7484B"/>
    <w:rsid w:val="00A7538D"/>
    <w:rsid w:val="00A75DD6"/>
    <w:rsid w:val="00A7618B"/>
    <w:rsid w:val="00A7646D"/>
    <w:rsid w:val="00A77155"/>
    <w:rsid w:val="00A77757"/>
    <w:rsid w:val="00A77C4C"/>
    <w:rsid w:val="00A8008F"/>
    <w:rsid w:val="00A8092D"/>
    <w:rsid w:val="00A80D3B"/>
    <w:rsid w:val="00A80E74"/>
    <w:rsid w:val="00A851A4"/>
    <w:rsid w:val="00A86BD8"/>
    <w:rsid w:val="00A86FE7"/>
    <w:rsid w:val="00A8787E"/>
    <w:rsid w:val="00A87EDF"/>
    <w:rsid w:val="00A90897"/>
    <w:rsid w:val="00A909E1"/>
    <w:rsid w:val="00A90C67"/>
    <w:rsid w:val="00A92B4B"/>
    <w:rsid w:val="00A93509"/>
    <w:rsid w:val="00A935BC"/>
    <w:rsid w:val="00A940DD"/>
    <w:rsid w:val="00A9585F"/>
    <w:rsid w:val="00A97150"/>
    <w:rsid w:val="00AA013D"/>
    <w:rsid w:val="00AA0422"/>
    <w:rsid w:val="00AA1496"/>
    <w:rsid w:val="00AA155D"/>
    <w:rsid w:val="00AA3354"/>
    <w:rsid w:val="00AA3C3C"/>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2CE1"/>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5CD5"/>
    <w:rsid w:val="00AE7E8A"/>
    <w:rsid w:val="00AF32D8"/>
    <w:rsid w:val="00AF3F64"/>
    <w:rsid w:val="00AF40CA"/>
    <w:rsid w:val="00AF4C64"/>
    <w:rsid w:val="00AF70FF"/>
    <w:rsid w:val="00B01BE5"/>
    <w:rsid w:val="00B02385"/>
    <w:rsid w:val="00B03878"/>
    <w:rsid w:val="00B06DDF"/>
    <w:rsid w:val="00B07809"/>
    <w:rsid w:val="00B079A5"/>
    <w:rsid w:val="00B11C89"/>
    <w:rsid w:val="00B12A51"/>
    <w:rsid w:val="00B134C7"/>
    <w:rsid w:val="00B136CC"/>
    <w:rsid w:val="00B143BA"/>
    <w:rsid w:val="00B17521"/>
    <w:rsid w:val="00B17683"/>
    <w:rsid w:val="00B20FAA"/>
    <w:rsid w:val="00B21806"/>
    <w:rsid w:val="00B21CD8"/>
    <w:rsid w:val="00B21FBA"/>
    <w:rsid w:val="00B23036"/>
    <w:rsid w:val="00B23264"/>
    <w:rsid w:val="00B2793E"/>
    <w:rsid w:val="00B3022C"/>
    <w:rsid w:val="00B304DA"/>
    <w:rsid w:val="00B32ABD"/>
    <w:rsid w:val="00B32E35"/>
    <w:rsid w:val="00B33B37"/>
    <w:rsid w:val="00B35017"/>
    <w:rsid w:val="00B358BA"/>
    <w:rsid w:val="00B374E5"/>
    <w:rsid w:val="00B3764A"/>
    <w:rsid w:val="00B37AA5"/>
    <w:rsid w:val="00B41FA0"/>
    <w:rsid w:val="00B42826"/>
    <w:rsid w:val="00B430FA"/>
    <w:rsid w:val="00B43982"/>
    <w:rsid w:val="00B459AF"/>
    <w:rsid w:val="00B475B6"/>
    <w:rsid w:val="00B51089"/>
    <w:rsid w:val="00B55869"/>
    <w:rsid w:val="00B55A2C"/>
    <w:rsid w:val="00B567F1"/>
    <w:rsid w:val="00B569FA"/>
    <w:rsid w:val="00B571D3"/>
    <w:rsid w:val="00B60E2D"/>
    <w:rsid w:val="00B635A5"/>
    <w:rsid w:val="00B63BE5"/>
    <w:rsid w:val="00B64CAA"/>
    <w:rsid w:val="00B66D36"/>
    <w:rsid w:val="00B67568"/>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5AC"/>
    <w:rsid w:val="00B878F5"/>
    <w:rsid w:val="00B91893"/>
    <w:rsid w:val="00B926BD"/>
    <w:rsid w:val="00B92DE8"/>
    <w:rsid w:val="00B93D8F"/>
    <w:rsid w:val="00B96A32"/>
    <w:rsid w:val="00B9799D"/>
    <w:rsid w:val="00BA1322"/>
    <w:rsid w:val="00BA25FD"/>
    <w:rsid w:val="00BA2D85"/>
    <w:rsid w:val="00BA3814"/>
    <w:rsid w:val="00BA3A60"/>
    <w:rsid w:val="00BA3AA7"/>
    <w:rsid w:val="00BA3C3F"/>
    <w:rsid w:val="00BA5747"/>
    <w:rsid w:val="00BA5CEA"/>
    <w:rsid w:val="00BA5CFD"/>
    <w:rsid w:val="00BA690D"/>
    <w:rsid w:val="00BA6AB5"/>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5974"/>
    <w:rsid w:val="00C211F9"/>
    <w:rsid w:val="00C22D4E"/>
    <w:rsid w:val="00C22F92"/>
    <w:rsid w:val="00C238EE"/>
    <w:rsid w:val="00C25927"/>
    <w:rsid w:val="00C27126"/>
    <w:rsid w:val="00C273D7"/>
    <w:rsid w:val="00C2755A"/>
    <w:rsid w:val="00C3028D"/>
    <w:rsid w:val="00C302B0"/>
    <w:rsid w:val="00C310B8"/>
    <w:rsid w:val="00C31DBD"/>
    <w:rsid w:val="00C32633"/>
    <w:rsid w:val="00C32A51"/>
    <w:rsid w:val="00C3305D"/>
    <w:rsid w:val="00C3343C"/>
    <w:rsid w:val="00C3343E"/>
    <w:rsid w:val="00C3643C"/>
    <w:rsid w:val="00C36C29"/>
    <w:rsid w:val="00C41646"/>
    <w:rsid w:val="00C4383B"/>
    <w:rsid w:val="00C44DA3"/>
    <w:rsid w:val="00C4601A"/>
    <w:rsid w:val="00C478FE"/>
    <w:rsid w:val="00C502DD"/>
    <w:rsid w:val="00C54513"/>
    <w:rsid w:val="00C6058C"/>
    <w:rsid w:val="00C613E2"/>
    <w:rsid w:val="00C620C7"/>
    <w:rsid w:val="00C621E3"/>
    <w:rsid w:val="00C6430C"/>
    <w:rsid w:val="00C64E24"/>
    <w:rsid w:val="00C65047"/>
    <w:rsid w:val="00C653CC"/>
    <w:rsid w:val="00C665D4"/>
    <w:rsid w:val="00C67E56"/>
    <w:rsid w:val="00C7124A"/>
    <w:rsid w:val="00C73CE1"/>
    <w:rsid w:val="00C74775"/>
    <w:rsid w:val="00C763D7"/>
    <w:rsid w:val="00C76F9B"/>
    <w:rsid w:val="00C77064"/>
    <w:rsid w:val="00C8028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1B69"/>
    <w:rsid w:val="00CC3092"/>
    <w:rsid w:val="00CC30C3"/>
    <w:rsid w:val="00CC363A"/>
    <w:rsid w:val="00CC3D4E"/>
    <w:rsid w:val="00CC4003"/>
    <w:rsid w:val="00CC74BD"/>
    <w:rsid w:val="00CD0768"/>
    <w:rsid w:val="00CD2ACE"/>
    <w:rsid w:val="00CD30C8"/>
    <w:rsid w:val="00CD3CC4"/>
    <w:rsid w:val="00CD48F8"/>
    <w:rsid w:val="00CD788F"/>
    <w:rsid w:val="00CE047D"/>
    <w:rsid w:val="00CE1017"/>
    <w:rsid w:val="00CE358A"/>
    <w:rsid w:val="00CE373E"/>
    <w:rsid w:val="00CE43AF"/>
    <w:rsid w:val="00CE4903"/>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43A5"/>
    <w:rsid w:val="00D24D3B"/>
    <w:rsid w:val="00D251C3"/>
    <w:rsid w:val="00D265AF"/>
    <w:rsid w:val="00D26CB5"/>
    <w:rsid w:val="00D27EA0"/>
    <w:rsid w:val="00D31593"/>
    <w:rsid w:val="00D33231"/>
    <w:rsid w:val="00D349E8"/>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7AA"/>
    <w:rsid w:val="00D65AB8"/>
    <w:rsid w:val="00D65E10"/>
    <w:rsid w:val="00D66FA9"/>
    <w:rsid w:val="00D67337"/>
    <w:rsid w:val="00D67ADC"/>
    <w:rsid w:val="00D706BA"/>
    <w:rsid w:val="00D709A0"/>
    <w:rsid w:val="00D70A78"/>
    <w:rsid w:val="00D71394"/>
    <w:rsid w:val="00D722E3"/>
    <w:rsid w:val="00D7252A"/>
    <w:rsid w:val="00D73BC0"/>
    <w:rsid w:val="00D76C93"/>
    <w:rsid w:val="00D80799"/>
    <w:rsid w:val="00D81512"/>
    <w:rsid w:val="00D8229A"/>
    <w:rsid w:val="00D8249E"/>
    <w:rsid w:val="00D84747"/>
    <w:rsid w:val="00D84BD3"/>
    <w:rsid w:val="00D85346"/>
    <w:rsid w:val="00D8779C"/>
    <w:rsid w:val="00D90E7B"/>
    <w:rsid w:val="00D91EDC"/>
    <w:rsid w:val="00D92D94"/>
    <w:rsid w:val="00D961DB"/>
    <w:rsid w:val="00DA0625"/>
    <w:rsid w:val="00DA3748"/>
    <w:rsid w:val="00DA39B4"/>
    <w:rsid w:val="00DA4802"/>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0373"/>
    <w:rsid w:val="00DC1ACA"/>
    <w:rsid w:val="00DC4772"/>
    <w:rsid w:val="00DC48CF"/>
    <w:rsid w:val="00DC4CEF"/>
    <w:rsid w:val="00DC5BB0"/>
    <w:rsid w:val="00DC6711"/>
    <w:rsid w:val="00DC6826"/>
    <w:rsid w:val="00DD20E3"/>
    <w:rsid w:val="00DD2605"/>
    <w:rsid w:val="00DD2AAA"/>
    <w:rsid w:val="00DD32C0"/>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41D"/>
    <w:rsid w:val="00DE5D8B"/>
    <w:rsid w:val="00DE7607"/>
    <w:rsid w:val="00DE761A"/>
    <w:rsid w:val="00DF2338"/>
    <w:rsid w:val="00DF37CE"/>
    <w:rsid w:val="00DF4C70"/>
    <w:rsid w:val="00DF4D56"/>
    <w:rsid w:val="00DF63EB"/>
    <w:rsid w:val="00DF78BC"/>
    <w:rsid w:val="00DF7E2A"/>
    <w:rsid w:val="00E0212C"/>
    <w:rsid w:val="00E027E6"/>
    <w:rsid w:val="00E02A20"/>
    <w:rsid w:val="00E030AE"/>
    <w:rsid w:val="00E03296"/>
    <w:rsid w:val="00E04587"/>
    <w:rsid w:val="00E04EFF"/>
    <w:rsid w:val="00E05212"/>
    <w:rsid w:val="00E05D02"/>
    <w:rsid w:val="00E0690D"/>
    <w:rsid w:val="00E101A9"/>
    <w:rsid w:val="00E10656"/>
    <w:rsid w:val="00E1197F"/>
    <w:rsid w:val="00E12954"/>
    <w:rsid w:val="00E12A2F"/>
    <w:rsid w:val="00E12D9F"/>
    <w:rsid w:val="00E12FAE"/>
    <w:rsid w:val="00E13468"/>
    <w:rsid w:val="00E1638A"/>
    <w:rsid w:val="00E20C05"/>
    <w:rsid w:val="00E24543"/>
    <w:rsid w:val="00E2457B"/>
    <w:rsid w:val="00E247DE"/>
    <w:rsid w:val="00E257AB"/>
    <w:rsid w:val="00E3212A"/>
    <w:rsid w:val="00E32221"/>
    <w:rsid w:val="00E32512"/>
    <w:rsid w:val="00E333C7"/>
    <w:rsid w:val="00E3374E"/>
    <w:rsid w:val="00E33A7F"/>
    <w:rsid w:val="00E34A79"/>
    <w:rsid w:val="00E35043"/>
    <w:rsid w:val="00E352B0"/>
    <w:rsid w:val="00E35ECD"/>
    <w:rsid w:val="00E376F7"/>
    <w:rsid w:val="00E37744"/>
    <w:rsid w:val="00E4104D"/>
    <w:rsid w:val="00E41293"/>
    <w:rsid w:val="00E41C3F"/>
    <w:rsid w:val="00E41CE3"/>
    <w:rsid w:val="00E4277D"/>
    <w:rsid w:val="00E44479"/>
    <w:rsid w:val="00E45108"/>
    <w:rsid w:val="00E4622A"/>
    <w:rsid w:val="00E46B3B"/>
    <w:rsid w:val="00E475F0"/>
    <w:rsid w:val="00E5099A"/>
    <w:rsid w:val="00E50CA8"/>
    <w:rsid w:val="00E519D9"/>
    <w:rsid w:val="00E536DE"/>
    <w:rsid w:val="00E538E6"/>
    <w:rsid w:val="00E5535A"/>
    <w:rsid w:val="00E553E9"/>
    <w:rsid w:val="00E562F2"/>
    <w:rsid w:val="00E563DF"/>
    <w:rsid w:val="00E569B2"/>
    <w:rsid w:val="00E577FD"/>
    <w:rsid w:val="00E61098"/>
    <w:rsid w:val="00E619A4"/>
    <w:rsid w:val="00E62177"/>
    <w:rsid w:val="00E622AF"/>
    <w:rsid w:val="00E62A45"/>
    <w:rsid w:val="00E638EF"/>
    <w:rsid w:val="00E645FC"/>
    <w:rsid w:val="00E6494D"/>
    <w:rsid w:val="00E66241"/>
    <w:rsid w:val="00E6634F"/>
    <w:rsid w:val="00E6716A"/>
    <w:rsid w:val="00E67F40"/>
    <w:rsid w:val="00E70167"/>
    <w:rsid w:val="00E703C3"/>
    <w:rsid w:val="00E72958"/>
    <w:rsid w:val="00E73F29"/>
    <w:rsid w:val="00E74899"/>
    <w:rsid w:val="00E75189"/>
    <w:rsid w:val="00E7599F"/>
    <w:rsid w:val="00E759B1"/>
    <w:rsid w:val="00E7625C"/>
    <w:rsid w:val="00E779AA"/>
    <w:rsid w:val="00E77EC5"/>
    <w:rsid w:val="00E80333"/>
    <w:rsid w:val="00E8107B"/>
    <w:rsid w:val="00E83629"/>
    <w:rsid w:val="00E838DB"/>
    <w:rsid w:val="00E83F7E"/>
    <w:rsid w:val="00E83F8B"/>
    <w:rsid w:val="00E865F0"/>
    <w:rsid w:val="00E868E7"/>
    <w:rsid w:val="00E872A1"/>
    <w:rsid w:val="00E87386"/>
    <w:rsid w:val="00E9310C"/>
    <w:rsid w:val="00E9366F"/>
    <w:rsid w:val="00E93979"/>
    <w:rsid w:val="00E93CD3"/>
    <w:rsid w:val="00E93F61"/>
    <w:rsid w:val="00E9501F"/>
    <w:rsid w:val="00E962BC"/>
    <w:rsid w:val="00E96723"/>
    <w:rsid w:val="00E9676A"/>
    <w:rsid w:val="00EA15A6"/>
    <w:rsid w:val="00EA379C"/>
    <w:rsid w:val="00EA42DF"/>
    <w:rsid w:val="00EA4CB5"/>
    <w:rsid w:val="00EA549A"/>
    <w:rsid w:val="00EA67B2"/>
    <w:rsid w:val="00EB0757"/>
    <w:rsid w:val="00EB3C74"/>
    <w:rsid w:val="00EB5926"/>
    <w:rsid w:val="00EB5D98"/>
    <w:rsid w:val="00EB683B"/>
    <w:rsid w:val="00EB7A35"/>
    <w:rsid w:val="00EC027A"/>
    <w:rsid w:val="00EC05B4"/>
    <w:rsid w:val="00EC074E"/>
    <w:rsid w:val="00EC0B10"/>
    <w:rsid w:val="00EC33EA"/>
    <w:rsid w:val="00EC41C2"/>
    <w:rsid w:val="00EC49F5"/>
    <w:rsid w:val="00EC4E71"/>
    <w:rsid w:val="00EC62F1"/>
    <w:rsid w:val="00EC6D3E"/>
    <w:rsid w:val="00EC6D41"/>
    <w:rsid w:val="00EC79CA"/>
    <w:rsid w:val="00ED03A3"/>
    <w:rsid w:val="00ED0AA7"/>
    <w:rsid w:val="00ED2F8A"/>
    <w:rsid w:val="00ED58AF"/>
    <w:rsid w:val="00ED7658"/>
    <w:rsid w:val="00EE13F4"/>
    <w:rsid w:val="00EE171F"/>
    <w:rsid w:val="00EE1EE5"/>
    <w:rsid w:val="00EE2928"/>
    <w:rsid w:val="00EE2E23"/>
    <w:rsid w:val="00EE359A"/>
    <w:rsid w:val="00EE388B"/>
    <w:rsid w:val="00EE4BD0"/>
    <w:rsid w:val="00EE5BA1"/>
    <w:rsid w:val="00EF2966"/>
    <w:rsid w:val="00EF5346"/>
    <w:rsid w:val="00EF7235"/>
    <w:rsid w:val="00F00A4D"/>
    <w:rsid w:val="00F00E5E"/>
    <w:rsid w:val="00F014D5"/>
    <w:rsid w:val="00F01EA8"/>
    <w:rsid w:val="00F023A3"/>
    <w:rsid w:val="00F02A6F"/>
    <w:rsid w:val="00F030F9"/>
    <w:rsid w:val="00F04308"/>
    <w:rsid w:val="00F04C8C"/>
    <w:rsid w:val="00F054DA"/>
    <w:rsid w:val="00F06144"/>
    <w:rsid w:val="00F06530"/>
    <w:rsid w:val="00F07B2D"/>
    <w:rsid w:val="00F07BCF"/>
    <w:rsid w:val="00F11B74"/>
    <w:rsid w:val="00F128B8"/>
    <w:rsid w:val="00F14DA7"/>
    <w:rsid w:val="00F1597D"/>
    <w:rsid w:val="00F16EF8"/>
    <w:rsid w:val="00F16FAB"/>
    <w:rsid w:val="00F170B7"/>
    <w:rsid w:val="00F17476"/>
    <w:rsid w:val="00F20285"/>
    <w:rsid w:val="00F21CA5"/>
    <w:rsid w:val="00F255B6"/>
    <w:rsid w:val="00F26ED7"/>
    <w:rsid w:val="00F30F4B"/>
    <w:rsid w:val="00F31625"/>
    <w:rsid w:val="00F31BDC"/>
    <w:rsid w:val="00F32232"/>
    <w:rsid w:val="00F32242"/>
    <w:rsid w:val="00F361A3"/>
    <w:rsid w:val="00F36CDE"/>
    <w:rsid w:val="00F36E39"/>
    <w:rsid w:val="00F4003B"/>
    <w:rsid w:val="00F40A8F"/>
    <w:rsid w:val="00F40D40"/>
    <w:rsid w:val="00F40FF5"/>
    <w:rsid w:val="00F41E1E"/>
    <w:rsid w:val="00F42E56"/>
    <w:rsid w:val="00F43ED1"/>
    <w:rsid w:val="00F44759"/>
    <w:rsid w:val="00F45144"/>
    <w:rsid w:val="00F46284"/>
    <w:rsid w:val="00F4680B"/>
    <w:rsid w:val="00F4734D"/>
    <w:rsid w:val="00F473D4"/>
    <w:rsid w:val="00F47445"/>
    <w:rsid w:val="00F5046F"/>
    <w:rsid w:val="00F5088C"/>
    <w:rsid w:val="00F510AC"/>
    <w:rsid w:val="00F5374F"/>
    <w:rsid w:val="00F542A4"/>
    <w:rsid w:val="00F545DD"/>
    <w:rsid w:val="00F54ECF"/>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50"/>
    <w:rsid w:val="00F83E64"/>
    <w:rsid w:val="00F86EF9"/>
    <w:rsid w:val="00F86FB1"/>
    <w:rsid w:val="00F87E61"/>
    <w:rsid w:val="00F9033B"/>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58F"/>
    <w:rsid w:val="00FB106B"/>
    <w:rsid w:val="00FB4326"/>
    <w:rsid w:val="00FB4C6F"/>
    <w:rsid w:val="00FB64A1"/>
    <w:rsid w:val="00FB6686"/>
    <w:rsid w:val="00FB6732"/>
    <w:rsid w:val="00FB7D16"/>
    <w:rsid w:val="00FC0858"/>
    <w:rsid w:val="00FC110D"/>
    <w:rsid w:val="00FC223B"/>
    <w:rsid w:val="00FC3800"/>
    <w:rsid w:val="00FC4527"/>
    <w:rsid w:val="00FC65BE"/>
    <w:rsid w:val="00FC70C0"/>
    <w:rsid w:val="00FC7307"/>
    <w:rsid w:val="00FD1EEA"/>
    <w:rsid w:val="00FD30C0"/>
    <w:rsid w:val="00FD33CF"/>
    <w:rsid w:val="00FD36CA"/>
    <w:rsid w:val="00FD3B41"/>
    <w:rsid w:val="00FD4E22"/>
    <w:rsid w:val="00FD6C73"/>
    <w:rsid w:val="00FE1C43"/>
    <w:rsid w:val="00FE233B"/>
    <w:rsid w:val="00FE263F"/>
    <w:rsid w:val="00FE2906"/>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9F"/>
    <w:pPr>
      <w:autoSpaceDE w:val="0"/>
      <w:autoSpaceDN w:val="0"/>
      <w:jc w:val="left"/>
    </w:pPr>
    <w:rPr>
      <w:rFonts w:eastAsia="Times New Roman"/>
      <w:szCs w:val="20"/>
    </w:rPr>
  </w:style>
  <w:style w:type="paragraph" w:styleId="Heading1">
    <w:name w:val="heading 1"/>
    <w:basedOn w:val="Normal"/>
    <w:next w:val="BodyText2"/>
    <w:link w:val="Heading1Char"/>
    <w:qFormat/>
    <w:rsid w:val="007E7C76"/>
    <w:pPr>
      <w:keepLines/>
      <w:numPr>
        <w:numId w:val="2"/>
      </w:numPr>
      <w:autoSpaceDE/>
      <w:autoSpaceDN/>
      <w:spacing w:after="240" w:line="240" w:lineRule="auto"/>
      <w:jc w:val="both"/>
      <w:outlineLvl w:val="0"/>
    </w:pPr>
    <w:rPr>
      <w:b/>
      <w:bCs/>
      <w:caps/>
      <w:szCs w:val="32"/>
      <w:u w:val="single"/>
    </w:rPr>
  </w:style>
  <w:style w:type="paragraph" w:styleId="Heading2">
    <w:name w:val="heading 2"/>
    <w:basedOn w:val="Normal"/>
    <w:next w:val="BodyText2"/>
    <w:link w:val="Heading2Char"/>
    <w:semiHidden/>
    <w:unhideWhenUsed/>
    <w:qFormat/>
    <w:rsid w:val="007E7C76"/>
    <w:pPr>
      <w:keepLines/>
      <w:numPr>
        <w:ilvl w:val="1"/>
        <w:numId w:val="2"/>
      </w:numPr>
      <w:autoSpaceDE/>
      <w:autoSpaceDN/>
      <w:spacing w:after="240" w:line="240" w:lineRule="auto"/>
      <w:jc w:val="both"/>
      <w:outlineLvl w:val="1"/>
    </w:pPr>
    <w:rPr>
      <w:b/>
      <w:bCs/>
      <w:iCs/>
      <w:caps/>
      <w:szCs w:val="28"/>
    </w:rPr>
  </w:style>
  <w:style w:type="paragraph" w:styleId="Heading3">
    <w:name w:val="heading 3"/>
    <w:basedOn w:val="Normal"/>
    <w:next w:val="BodyText2"/>
    <w:link w:val="Heading3Char"/>
    <w:semiHidden/>
    <w:unhideWhenUsed/>
    <w:qFormat/>
    <w:rsid w:val="007E7C76"/>
    <w:pPr>
      <w:numPr>
        <w:ilvl w:val="2"/>
        <w:numId w:val="2"/>
      </w:numPr>
      <w:autoSpaceDE/>
      <w:autoSpaceDN/>
      <w:spacing w:after="240" w:line="240" w:lineRule="auto"/>
      <w:jc w:val="both"/>
      <w:outlineLvl w:val="2"/>
    </w:pPr>
    <w:rPr>
      <w:b/>
      <w:bCs/>
      <w:szCs w:val="26"/>
    </w:rPr>
  </w:style>
  <w:style w:type="paragraph" w:styleId="Heading4">
    <w:name w:val="heading 4"/>
    <w:basedOn w:val="Normal"/>
    <w:next w:val="BodyText2"/>
    <w:link w:val="Heading4Char"/>
    <w:semiHidden/>
    <w:unhideWhenUsed/>
    <w:qFormat/>
    <w:rsid w:val="007E7C76"/>
    <w:pPr>
      <w:numPr>
        <w:ilvl w:val="3"/>
        <w:numId w:val="2"/>
      </w:numPr>
      <w:autoSpaceDE/>
      <w:autoSpaceDN/>
      <w:spacing w:after="240" w:line="240" w:lineRule="auto"/>
      <w:jc w:val="both"/>
      <w:outlineLvl w:val="3"/>
    </w:pPr>
    <w:rPr>
      <w:b/>
      <w:bCs/>
      <w:szCs w:val="28"/>
    </w:rPr>
  </w:style>
  <w:style w:type="paragraph" w:styleId="Heading5">
    <w:name w:val="heading 5"/>
    <w:basedOn w:val="Normal"/>
    <w:next w:val="BodyText2"/>
    <w:link w:val="Heading5Char"/>
    <w:semiHidden/>
    <w:unhideWhenUsed/>
    <w:qFormat/>
    <w:rsid w:val="007E7C76"/>
    <w:pPr>
      <w:numPr>
        <w:ilvl w:val="4"/>
        <w:numId w:val="2"/>
      </w:numPr>
      <w:autoSpaceDE/>
      <w:autoSpaceDN/>
      <w:spacing w:after="240" w:line="240" w:lineRule="auto"/>
      <w:jc w:val="both"/>
      <w:outlineLvl w:val="4"/>
    </w:pPr>
    <w:rPr>
      <w:b/>
      <w:bCs/>
      <w:iCs/>
      <w:szCs w:val="26"/>
    </w:rPr>
  </w:style>
  <w:style w:type="paragraph" w:styleId="Heading6">
    <w:name w:val="heading 6"/>
    <w:basedOn w:val="Normal"/>
    <w:next w:val="BodyText2"/>
    <w:link w:val="Heading6Char"/>
    <w:semiHidden/>
    <w:unhideWhenUsed/>
    <w:qFormat/>
    <w:rsid w:val="007E7C76"/>
    <w:pPr>
      <w:numPr>
        <w:ilvl w:val="5"/>
        <w:numId w:val="2"/>
      </w:numPr>
      <w:autoSpaceDE/>
      <w:autoSpaceDN/>
      <w:spacing w:after="240" w:line="240" w:lineRule="auto"/>
      <w:outlineLvl w:val="5"/>
    </w:pPr>
    <w:rPr>
      <w:b/>
      <w:bCs/>
      <w:szCs w:val="22"/>
    </w:rPr>
  </w:style>
  <w:style w:type="paragraph" w:styleId="Heading7">
    <w:name w:val="heading 7"/>
    <w:basedOn w:val="Normal"/>
    <w:next w:val="BodyText2"/>
    <w:link w:val="Heading7Char"/>
    <w:semiHidden/>
    <w:unhideWhenUsed/>
    <w:qFormat/>
    <w:rsid w:val="007E7C76"/>
    <w:pPr>
      <w:numPr>
        <w:ilvl w:val="6"/>
        <w:numId w:val="2"/>
      </w:numPr>
      <w:autoSpaceDE/>
      <w:autoSpaceDN/>
      <w:spacing w:after="240" w:line="240" w:lineRule="auto"/>
      <w:outlineLvl w:val="6"/>
    </w:pPr>
    <w:rPr>
      <w:b/>
      <w:szCs w:val="24"/>
    </w:rPr>
  </w:style>
  <w:style w:type="paragraph" w:styleId="Heading8">
    <w:name w:val="heading 8"/>
    <w:basedOn w:val="Normal"/>
    <w:next w:val="BodyText2"/>
    <w:link w:val="Heading8Char"/>
    <w:semiHidden/>
    <w:unhideWhenUsed/>
    <w:qFormat/>
    <w:rsid w:val="007E7C76"/>
    <w:pPr>
      <w:numPr>
        <w:ilvl w:val="7"/>
        <w:numId w:val="2"/>
      </w:numPr>
      <w:autoSpaceDE/>
      <w:autoSpaceDN/>
      <w:spacing w:after="240" w:line="240" w:lineRule="auto"/>
      <w:jc w:val="both"/>
      <w:outlineLvl w:val="7"/>
    </w:pPr>
    <w:rPr>
      <w:b/>
      <w:iCs/>
      <w:szCs w:val="24"/>
    </w:rPr>
  </w:style>
  <w:style w:type="paragraph" w:styleId="Heading9">
    <w:name w:val="heading 9"/>
    <w:basedOn w:val="Normal"/>
    <w:next w:val="BodyText2"/>
    <w:link w:val="Heading9Char"/>
    <w:semiHidden/>
    <w:unhideWhenUsed/>
    <w:qFormat/>
    <w:rsid w:val="007E7C76"/>
    <w:pPr>
      <w:numPr>
        <w:ilvl w:val="8"/>
        <w:numId w:val="2"/>
      </w:numPr>
      <w:autoSpaceDE/>
      <w:autoSpaceDN/>
      <w:spacing w:after="240" w:line="240" w:lineRule="auto"/>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99F"/>
    <w:rPr>
      <w:color w:val="0000FF"/>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E7599F"/>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E7599F"/>
    <w:rPr>
      <w:rFonts w:eastAsia="Times New Roman"/>
      <w:sz w:val="20"/>
      <w:szCs w:val="20"/>
    </w:rPr>
  </w:style>
  <w:style w:type="character" w:styleId="FootnoteReference">
    <w:name w:val="footnote reference"/>
    <w:aliases w:val="o,fr"/>
    <w:basedOn w:val="DefaultParagraphFont"/>
    <w:unhideWhenUsed/>
    <w:rsid w:val="00E7599F"/>
    <w:rPr>
      <w:vertAlign w:val="superscript"/>
    </w:rPr>
  </w:style>
  <w:style w:type="paragraph" w:styleId="Footer">
    <w:name w:val="footer"/>
    <w:basedOn w:val="Normal"/>
    <w:link w:val="FooterChar"/>
    <w:uiPriority w:val="99"/>
    <w:unhideWhenUsed/>
    <w:rsid w:val="00E7599F"/>
    <w:pPr>
      <w:tabs>
        <w:tab w:val="center" w:pos="4680"/>
        <w:tab w:val="right" w:pos="9360"/>
      </w:tabs>
      <w:spacing w:line="240" w:lineRule="auto"/>
    </w:pPr>
  </w:style>
  <w:style w:type="character" w:customStyle="1" w:styleId="FooterChar">
    <w:name w:val="Footer Char"/>
    <w:basedOn w:val="DefaultParagraphFont"/>
    <w:link w:val="Footer"/>
    <w:uiPriority w:val="99"/>
    <w:rsid w:val="00E7599F"/>
    <w:rPr>
      <w:rFonts w:eastAsia="Times New Roman"/>
      <w:szCs w:val="20"/>
    </w:rPr>
  </w:style>
  <w:style w:type="paragraph" w:customStyle="1" w:styleId="Pleading2L1">
    <w:name w:val="Pleading2_L1"/>
    <w:basedOn w:val="Normal"/>
    <w:next w:val="BodyText"/>
    <w:rsid w:val="000E373F"/>
    <w:pPr>
      <w:numPr>
        <w:numId w:val="1"/>
      </w:numPr>
      <w:autoSpaceDE/>
      <w:autoSpaceDN/>
      <w:spacing w:after="240" w:line="240" w:lineRule="auto"/>
      <w:jc w:val="center"/>
      <w:outlineLvl w:val="0"/>
    </w:pPr>
    <w:rPr>
      <w:b/>
      <w:caps/>
      <w:u w:val="single"/>
    </w:rPr>
  </w:style>
  <w:style w:type="paragraph" w:customStyle="1" w:styleId="Pleading2L2">
    <w:name w:val="Pleading2_L2"/>
    <w:basedOn w:val="Pleading2L1"/>
    <w:rsid w:val="000E373F"/>
    <w:pPr>
      <w:numPr>
        <w:ilvl w:val="1"/>
      </w:numPr>
      <w:spacing w:after="0" w:line="480" w:lineRule="auto"/>
      <w:jc w:val="left"/>
      <w:outlineLvl w:val="1"/>
    </w:pPr>
    <w:rPr>
      <w:b w:val="0"/>
      <w:caps w:val="0"/>
      <w:u w:val="none"/>
    </w:rPr>
  </w:style>
  <w:style w:type="paragraph" w:customStyle="1" w:styleId="Pleading2L3">
    <w:name w:val="Pleading2_L3"/>
    <w:basedOn w:val="Pleading2L2"/>
    <w:rsid w:val="000E373F"/>
    <w:pPr>
      <w:numPr>
        <w:ilvl w:val="2"/>
      </w:numPr>
      <w:outlineLvl w:val="2"/>
    </w:pPr>
  </w:style>
  <w:style w:type="paragraph" w:customStyle="1" w:styleId="Pleading2L4">
    <w:name w:val="Pleading2_L4"/>
    <w:basedOn w:val="Pleading2L3"/>
    <w:rsid w:val="000E373F"/>
    <w:pPr>
      <w:numPr>
        <w:ilvl w:val="3"/>
      </w:numPr>
      <w:outlineLvl w:val="3"/>
    </w:pPr>
  </w:style>
  <w:style w:type="paragraph" w:customStyle="1" w:styleId="Pleading2L5">
    <w:name w:val="Pleading2_L5"/>
    <w:basedOn w:val="Pleading2L4"/>
    <w:rsid w:val="000E373F"/>
    <w:pPr>
      <w:keepNext/>
      <w:keepLines/>
      <w:widowControl w:val="0"/>
      <w:numPr>
        <w:ilvl w:val="4"/>
      </w:numPr>
      <w:spacing w:after="240" w:line="240" w:lineRule="auto"/>
      <w:outlineLvl w:val="4"/>
    </w:pPr>
  </w:style>
  <w:style w:type="paragraph" w:customStyle="1" w:styleId="Pleading2L6">
    <w:name w:val="Pleading2_L6"/>
    <w:basedOn w:val="Pleading2L5"/>
    <w:rsid w:val="000E373F"/>
    <w:pPr>
      <w:numPr>
        <w:ilvl w:val="5"/>
      </w:numPr>
      <w:outlineLvl w:val="5"/>
    </w:pPr>
  </w:style>
  <w:style w:type="paragraph" w:customStyle="1" w:styleId="Pleading2L7">
    <w:name w:val="Pleading2_L7"/>
    <w:basedOn w:val="Pleading2L6"/>
    <w:rsid w:val="000E373F"/>
    <w:pPr>
      <w:numPr>
        <w:ilvl w:val="6"/>
      </w:numPr>
      <w:outlineLvl w:val="6"/>
    </w:pPr>
  </w:style>
  <w:style w:type="paragraph" w:customStyle="1" w:styleId="Pleading2L8">
    <w:name w:val="Pleading2_L8"/>
    <w:basedOn w:val="Pleading2L7"/>
    <w:rsid w:val="000E373F"/>
    <w:pPr>
      <w:numPr>
        <w:ilvl w:val="7"/>
      </w:numPr>
      <w:outlineLvl w:val="7"/>
    </w:pPr>
  </w:style>
  <w:style w:type="paragraph" w:customStyle="1" w:styleId="Pleading2L9">
    <w:name w:val="Pleading2_L9"/>
    <w:basedOn w:val="Pleading2L8"/>
    <w:rsid w:val="000E373F"/>
    <w:pPr>
      <w:numPr>
        <w:ilvl w:val="8"/>
      </w:numPr>
      <w:outlineLvl w:val="8"/>
    </w:pPr>
  </w:style>
  <w:style w:type="paragraph" w:styleId="BodyText">
    <w:name w:val="Body Text"/>
    <w:basedOn w:val="Normal"/>
    <w:link w:val="BodyTextChar"/>
    <w:uiPriority w:val="99"/>
    <w:semiHidden/>
    <w:unhideWhenUsed/>
    <w:rsid w:val="000E373F"/>
    <w:pPr>
      <w:spacing w:after="120"/>
    </w:pPr>
  </w:style>
  <w:style w:type="character" w:customStyle="1" w:styleId="BodyTextChar">
    <w:name w:val="Body Text Char"/>
    <w:basedOn w:val="DefaultParagraphFont"/>
    <w:link w:val="BodyText"/>
    <w:uiPriority w:val="99"/>
    <w:semiHidden/>
    <w:rsid w:val="000E373F"/>
    <w:rPr>
      <w:rFonts w:eastAsia="Times New Roman"/>
      <w:szCs w:val="20"/>
    </w:rPr>
  </w:style>
  <w:style w:type="paragraph" w:styleId="BodyText2">
    <w:name w:val="Body Text 2"/>
    <w:basedOn w:val="Normal"/>
    <w:link w:val="BodyText2Char"/>
    <w:uiPriority w:val="99"/>
    <w:semiHidden/>
    <w:unhideWhenUsed/>
    <w:rsid w:val="007E7C76"/>
    <w:pPr>
      <w:spacing w:after="120" w:line="480" w:lineRule="auto"/>
    </w:pPr>
  </w:style>
  <w:style w:type="character" w:customStyle="1" w:styleId="BodyText2Char">
    <w:name w:val="Body Text 2 Char"/>
    <w:basedOn w:val="DefaultParagraphFont"/>
    <w:link w:val="BodyText2"/>
    <w:uiPriority w:val="99"/>
    <w:semiHidden/>
    <w:rsid w:val="007E7C76"/>
    <w:rPr>
      <w:rFonts w:eastAsia="Times New Roman"/>
      <w:szCs w:val="20"/>
    </w:rPr>
  </w:style>
  <w:style w:type="character" w:customStyle="1" w:styleId="Heading1Char">
    <w:name w:val="Heading 1 Char"/>
    <w:basedOn w:val="DefaultParagraphFont"/>
    <w:link w:val="Heading1"/>
    <w:rsid w:val="007E7C76"/>
    <w:rPr>
      <w:rFonts w:eastAsia="Times New Roman"/>
      <w:b/>
      <w:bCs/>
      <w:caps/>
      <w:szCs w:val="32"/>
      <w:u w:val="single"/>
    </w:rPr>
  </w:style>
  <w:style w:type="character" w:customStyle="1" w:styleId="Heading2Char">
    <w:name w:val="Heading 2 Char"/>
    <w:basedOn w:val="DefaultParagraphFont"/>
    <w:link w:val="Heading2"/>
    <w:semiHidden/>
    <w:rsid w:val="007E7C76"/>
    <w:rPr>
      <w:rFonts w:eastAsia="Times New Roman"/>
      <w:b/>
      <w:bCs/>
      <w:iCs/>
      <w:caps/>
      <w:szCs w:val="28"/>
    </w:rPr>
  </w:style>
  <w:style w:type="character" w:customStyle="1" w:styleId="Heading3Char">
    <w:name w:val="Heading 3 Char"/>
    <w:basedOn w:val="DefaultParagraphFont"/>
    <w:link w:val="Heading3"/>
    <w:semiHidden/>
    <w:rsid w:val="007E7C76"/>
    <w:rPr>
      <w:rFonts w:eastAsia="Times New Roman"/>
      <w:b/>
      <w:bCs/>
      <w:szCs w:val="26"/>
    </w:rPr>
  </w:style>
  <w:style w:type="character" w:customStyle="1" w:styleId="Heading4Char">
    <w:name w:val="Heading 4 Char"/>
    <w:basedOn w:val="DefaultParagraphFont"/>
    <w:link w:val="Heading4"/>
    <w:semiHidden/>
    <w:rsid w:val="007E7C76"/>
    <w:rPr>
      <w:rFonts w:eastAsia="Times New Roman"/>
      <w:b/>
      <w:bCs/>
      <w:szCs w:val="28"/>
    </w:rPr>
  </w:style>
  <w:style w:type="character" w:customStyle="1" w:styleId="Heading5Char">
    <w:name w:val="Heading 5 Char"/>
    <w:basedOn w:val="DefaultParagraphFont"/>
    <w:link w:val="Heading5"/>
    <w:semiHidden/>
    <w:rsid w:val="007E7C76"/>
    <w:rPr>
      <w:rFonts w:eastAsia="Times New Roman"/>
      <w:b/>
      <w:bCs/>
      <w:iCs/>
      <w:szCs w:val="26"/>
    </w:rPr>
  </w:style>
  <w:style w:type="character" w:customStyle="1" w:styleId="Heading6Char">
    <w:name w:val="Heading 6 Char"/>
    <w:basedOn w:val="DefaultParagraphFont"/>
    <w:link w:val="Heading6"/>
    <w:semiHidden/>
    <w:rsid w:val="007E7C76"/>
    <w:rPr>
      <w:rFonts w:eastAsia="Times New Roman"/>
      <w:b/>
      <w:bCs/>
      <w:szCs w:val="22"/>
    </w:rPr>
  </w:style>
  <w:style w:type="character" w:customStyle="1" w:styleId="Heading7Char">
    <w:name w:val="Heading 7 Char"/>
    <w:basedOn w:val="DefaultParagraphFont"/>
    <w:link w:val="Heading7"/>
    <w:semiHidden/>
    <w:rsid w:val="007E7C76"/>
    <w:rPr>
      <w:rFonts w:eastAsia="Times New Roman"/>
      <w:b/>
    </w:rPr>
  </w:style>
  <w:style w:type="character" w:customStyle="1" w:styleId="Heading8Char">
    <w:name w:val="Heading 8 Char"/>
    <w:basedOn w:val="DefaultParagraphFont"/>
    <w:link w:val="Heading8"/>
    <w:semiHidden/>
    <w:rsid w:val="007E7C76"/>
    <w:rPr>
      <w:rFonts w:eastAsia="Times New Roman"/>
      <w:b/>
      <w:iCs/>
    </w:rPr>
  </w:style>
  <w:style w:type="character" w:customStyle="1" w:styleId="Heading9Char">
    <w:name w:val="Heading 9 Char"/>
    <w:basedOn w:val="DefaultParagraphFont"/>
    <w:link w:val="Heading9"/>
    <w:semiHidden/>
    <w:rsid w:val="007E7C76"/>
    <w:rPr>
      <w:rFonts w:eastAsia="Times New Roman"/>
      <w:b/>
      <w:szCs w:val="22"/>
    </w:rPr>
  </w:style>
  <w:style w:type="paragraph" w:styleId="BlockText">
    <w:name w:val="Block Text"/>
    <w:basedOn w:val="Normal"/>
    <w:rsid w:val="007E7C76"/>
    <w:pPr>
      <w:autoSpaceDE/>
      <w:autoSpaceDN/>
      <w:spacing w:after="240" w:line="240" w:lineRule="auto"/>
      <w:ind w:left="1440" w:right="1440"/>
      <w:jc w:val="both"/>
    </w:pPr>
    <w:rPr>
      <w:szCs w:val="24"/>
    </w:rPr>
  </w:style>
  <w:style w:type="paragraph" w:styleId="ListNumber">
    <w:name w:val="List Number"/>
    <w:basedOn w:val="Normal"/>
    <w:unhideWhenUsed/>
    <w:rsid w:val="00E35043"/>
    <w:pPr>
      <w:numPr>
        <w:numId w:val="4"/>
      </w:numPr>
      <w:tabs>
        <w:tab w:val="num" w:pos="1440"/>
      </w:tabs>
      <w:autoSpaceDE/>
      <w:autoSpaceDN/>
      <w:spacing w:line="480" w:lineRule="auto"/>
    </w:pPr>
    <w:rPr>
      <w:szCs w:val="24"/>
    </w:rPr>
  </w:style>
  <w:style w:type="paragraph" w:styleId="BalloonText">
    <w:name w:val="Balloon Text"/>
    <w:basedOn w:val="Normal"/>
    <w:link w:val="BalloonTextChar"/>
    <w:uiPriority w:val="99"/>
    <w:semiHidden/>
    <w:unhideWhenUsed/>
    <w:rsid w:val="003604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27"/>
    <w:rPr>
      <w:rFonts w:ascii="Tahoma" w:eastAsia="Times New Roman" w:hAnsi="Tahoma" w:cs="Tahoma"/>
      <w:sz w:val="16"/>
      <w:szCs w:val="16"/>
    </w:rPr>
  </w:style>
  <w:style w:type="paragraph" w:styleId="Header">
    <w:name w:val="header"/>
    <w:basedOn w:val="Normal"/>
    <w:link w:val="HeaderChar"/>
    <w:uiPriority w:val="99"/>
    <w:unhideWhenUsed/>
    <w:rsid w:val="00EC6D3E"/>
    <w:pPr>
      <w:tabs>
        <w:tab w:val="center" w:pos="4680"/>
        <w:tab w:val="right" w:pos="9360"/>
      </w:tabs>
      <w:spacing w:line="240" w:lineRule="auto"/>
    </w:pPr>
  </w:style>
  <w:style w:type="character" w:customStyle="1" w:styleId="HeaderChar">
    <w:name w:val="Header Char"/>
    <w:basedOn w:val="DefaultParagraphFont"/>
    <w:link w:val="Header"/>
    <w:uiPriority w:val="99"/>
    <w:rsid w:val="00EC6D3E"/>
    <w:rPr>
      <w:rFonts w:eastAsia="Times New Roman"/>
      <w:szCs w:val="20"/>
    </w:rPr>
  </w:style>
  <w:style w:type="paragraph" w:styleId="ListParagraph">
    <w:name w:val="List Paragraph"/>
    <w:basedOn w:val="Normal"/>
    <w:uiPriority w:val="34"/>
    <w:qFormat/>
    <w:rsid w:val="007C4E34"/>
    <w:pPr>
      <w:ind w:left="720"/>
      <w:contextualSpacing/>
    </w:pPr>
  </w:style>
  <w:style w:type="paragraph" w:styleId="TOC1">
    <w:name w:val="toc 1"/>
    <w:basedOn w:val="Normal"/>
    <w:next w:val="Normal"/>
    <w:autoRedefine/>
    <w:uiPriority w:val="39"/>
    <w:unhideWhenUsed/>
    <w:rsid w:val="00134B11"/>
    <w:pPr>
      <w:tabs>
        <w:tab w:val="left" w:pos="720"/>
        <w:tab w:val="right" w:leader="dot" w:pos="9350"/>
      </w:tabs>
      <w:spacing w:after="100"/>
    </w:pPr>
  </w:style>
  <w:style w:type="paragraph" w:styleId="TOC2">
    <w:name w:val="toc 2"/>
    <w:basedOn w:val="Normal"/>
    <w:next w:val="Normal"/>
    <w:autoRedefine/>
    <w:uiPriority w:val="39"/>
    <w:unhideWhenUsed/>
    <w:rsid w:val="00134B11"/>
    <w:pPr>
      <w:tabs>
        <w:tab w:val="left" w:pos="1440"/>
        <w:tab w:val="right" w:leader="dot" w:pos="9350"/>
      </w:tabs>
      <w:spacing w:after="100"/>
      <w:ind w:left="720"/>
    </w:pPr>
  </w:style>
  <w:style w:type="paragraph" w:styleId="TOC3">
    <w:name w:val="toc 3"/>
    <w:basedOn w:val="Normal"/>
    <w:next w:val="Normal"/>
    <w:autoRedefine/>
    <w:uiPriority w:val="39"/>
    <w:unhideWhenUsed/>
    <w:rsid w:val="00134B11"/>
    <w:pPr>
      <w:tabs>
        <w:tab w:val="left" w:pos="2160"/>
        <w:tab w:val="right" w:leader="dot" w:pos="9350"/>
      </w:tabs>
      <w:spacing w:after="100"/>
      <w:ind w:left="1440"/>
    </w:pPr>
  </w:style>
  <w:style w:type="paragraph" w:styleId="TOC4">
    <w:name w:val="toc 4"/>
    <w:basedOn w:val="Normal"/>
    <w:next w:val="Normal"/>
    <w:autoRedefine/>
    <w:uiPriority w:val="39"/>
    <w:unhideWhenUsed/>
    <w:rsid w:val="00134B11"/>
    <w:pPr>
      <w:tabs>
        <w:tab w:val="left" w:pos="2880"/>
        <w:tab w:val="right" w:leader="dot" w:pos="9350"/>
      </w:tabs>
      <w:spacing w:after="100"/>
      <w:ind w:left="2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9F"/>
    <w:pPr>
      <w:autoSpaceDE w:val="0"/>
      <w:autoSpaceDN w:val="0"/>
      <w:jc w:val="left"/>
    </w:pPr>
    <w:rPr>
      <w:rFonts w:eastAsia="Times New Roman"/>
      <w:szCs w:val="20"/>
    </w:rPr>
  </w:style>
  <w:style w:type="paragraph" w:styleId="Heading1">
    <w:name w:val="heading 1"/>
    <w:basedOn w:val="Normal"/>
    <w:next w:val="BodyText2"/>
    <w:link w:val="Heading1Char"/>
    <w:qFormat/>
    <w:rsid w:val="007E7C76"/>
    <w:pPr>
      <w:keepLines/>
      <w:numPr>
        <w:numId w:val="2"/>
      </w:numPr>
      <w:autoSpaceDE/>
      <w:autoSpaceDN/>
      <w:spacing w:after="240" w:line="240" w:lineRule="auto"/>
      <w:jc w:val="both"/>
      <w:outlineLvl w:val="0"/>
    </w:pPr>
    <w:rPr>
      <w:b/>
      <w:bCs/>
      <w:caps/>
      <w:szCs w:val="32"/>
      <w:u w:val="single"/>
    </w:rPr>
  </w:style>
  <w:style w:type="paragraph" w:styleId="Heading2">
    <w:name w:val="heading 2"/>
    <w:basedOn w:val="Normal"/>
    <w:next w:val="BodyText2"/>
    <w:link w:val="Heading2Char"/>
    <w:semiHidden/>
    <w:unhideWhenUsed/>
    <w:qFormat/>
    <w:rsid w:val="007E7C76"/>
    <w:pPr>
      <w:keepLines/>
      <w:numPr>
        <w:ilvl w:val="1"/>
        <w:numId w:val="2"/>
      </w:numPr>
      <w:autoSpaceDE/>
      <w:autoSpaceDN/>
      <w:spacing w:after="240" w:line="240" w:lineRule="auto"/>
      <w:jc w:val="both"/>
      <w:outlineLvl w:val="1"/>
    </w:pPr>
    <w:rPr>
      <w:b/>
      <w:bCs/>
      <w:iCs/>
      <w:caps/>
      <w:szCs w:val="28"/>
    </w:rPr>
  </w:style>
  <w:style w:type="paragraph" w:styleId="Heading3">
    <w:name w:val="heading 3"/>
    <w:basedOn w:val="Normal"/>
    <w:next w:val="BodyText2"/>
    <w:link w:val="Heading3Char"/>
    <w:semiHidden/>
    <w:unhideWhenUsed/>
    <w:qFormat/>
    <w:rsid w:val="007E7C76"/>
    <w:pPr>
      <w:numPr>
        <w:ilvl w:val="2"/>
        <w:numId w:val="2"/>
      </w:numPr>
      <w:autoSpaceDE/>
      <w:autoSpaceDN/>
      <w:spacing w:after="240" w:line="240" w:lineRule="auto"/>
      <w:jc w:val="both"/>
      <w:outlineLvl w:val="2"/>
    </w:pPr>
    <w:rPr>
      <w:b/>
      <w:bCs/>
      <w:szCs w:val="26"/>
    </w:rPr>
  </w:style>
  <w:style w:type="paragraph" w:styleId="Heading4">
    <w:name w:val="heading 4"/>
    <w:basedOn w:val="Normal"/>
    <w:next w:val="BodyText2"/>
    <w:link w:val="Heading4Char"/>
    <w:semiHidden/>
    <w:unhideWhenUsed/>
    <w:qFormat/>
    <w:rsid w:val="007E7C76"/>
    <w:pPr>
      <w:numPr>
        <w:ilvl w:val="3"/>
        <w:numId w:val="2"/>
      </w:numPr>
      <w:autoSpaceDE/>
      <w:autoSpaceDN/>
      <w:spacing w:after="240" w:line="240" w:lineRule="auto"/>
      <w:jc w:val="both"/>
      <w:outlineLvl w:val="3"/>
    </w:pPr>
    <w:rPr>
      <w:b/>
      <w:bCs/>
      <w:szCs w:val="28"/>
    </w:rPr>
  </w:style>
  <w:style w:type="paragraph" w:styleId="Heading5">
    <w:name w:val="heading 5"/>
    <w:basedOn w:val="Normal"/>
    <w:next w:val="BodyText2"/>
    <w:link w:val="Heading5Char"/>
    <w:semiHidden/>
    <w:unhideWhenUsed/>
    <w:qFormat/>
    <w:rsid w:val="007E7C76"/>
    <w:pPr>
      <w:numPr>
        <w:ilvl w:val="4"/>
        <w:numId w:val="2"/>
      </w:numPr>
      <w:autoSpaceDE/>
      <w:autoSpaceDN/>
      <w:spacing w:after="240" w:line="240" w:lineRule="auto"/>
      <w:jc w:val="both"/>
      <w:outlineLvl w:val="4"/>
    </w:pPr>
    <w:rPr>
      <w:b/>
      <w:bCs/>
      <w:iCs/>
      <w:szCs w:val="26"/>
    </w:rPr>
  </w:style>
  <w:style w:type="paragraph" w:styleId="Heading6">
    <w:name w:val="heading 6"/>
    <w:basedOn w:val="Normal"/>
    <w:next w:val="BodyText2"/>
    <w:link w:val="Heading6Char"/>
    <w:semiHidden/>
    <w:unhideWhenUsed/>
    <w:qFormat/>
    <w:rsid w:val="007E7C76"/>
    <w:pPr>
      <w:numPr>
        <w:ilvl w:val="5"/>
        <w:numId w:val="2"/>
      </w:numPr>
      <w:autoSpaceDE/>
      <w:autoSpaceDN/>
      <w:spacing w:after="240" w:line="240" w:lineRule="auto"/>
      <w:outlineLvl w:val="5"/>
    </w:pPr>
    <w:rPr>
      <w:b/>
      <w:bCs/>
      <w:szCs w:val="22"/>
    </w:rPr>
  </w:style>
  <w:style w:type="paragraph" w:styleId="Heading7">
    <w:name w:val="heading 7"/>
    <w:basedOn w:val="Normal"/>
    <w:next w:val="BodyText2"/>
    <w:link w:val="Heading7Char"/>
    <w:semiHidden/>
    <w:unhideWhenUsed/>
    <w:qFormat/>
    <w:rsid w:val="007E7C76"/>
    <w:pPr>
      <w:numPr>
        <w:ilvl w:val="6"/>
        <w:numId w:val="2"/>
      </w:numPr>
      <w:autoSpaceDE/>
      <w:autoSpaceDN/>
      <w:spacing w:after="240" w:line="240" w:lineRule="auto"/>
      <w:outlineLvl w:val="6"/>
    </w:pPr>
    <w:rPr>
      <w:b/>
      <w:szCs w:val="24"/>
    </w:rPr>
  </w:style>
  <w:style w:type="paragraph" w:styleId="Heading8">
    <w:name w:val="heading 8"/>
    <w:basedOn w:val="Normal"/>
    <w:next w:val="BodyText2"/>
    <w:link w:val="Heading8Char"/>
    <w:semiHidden/>
    <w:unhideWhenUsed/>
    <w:qFormat/>
    <w:rsid w:val="007E7C76"/>
    <w:pPr>
      <w:numPr>
        <w:ilvl w:val="7"/>
        <w:numId w:val="2"/>
      </w:numPr>
      <w:autoSpaceDE/>
      <w:autoSpaceDN/>
      <w:spacing w:after="240" w:line="240" w:lineRule="auto"/>
      <w:jc w:val="both"/>
      <w:outlineLvl w:val="7"/>
    </w:pPr>
    <w:rPr>
      <w:b/>
      <w:iCs/>
      <w:szCs w:val="24"/>
    </w:rPr>
  </w:style>
  <w:style w:type="paragraph" w:styleId="Heading9">
    <w:name w:val="heading 9"/>
    <w:basedOn w:val="Normal"/>
    <w:next w:val="BodyText2"/>
    <w:link w:val="Heading9Char"/>
    <w:semiHidden/>
    <w:unhideWhenUsed/>
    <w:qFormat/>
    <w:rsid w:val="007E7C76"/>
    <w:pPr>
      <w:numPr>
        <w:ilvl w:val="8"/>
        <w:numId w:val="2"/>
      </w:numPr>
      <w:autoSpaceDE/>
      <w:autoSpaceDN/>
      <w:spacing w:after="240" w:line="240" w:lineRule="auto"/>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99F"/>
    <w:rPr>
      <w:color w:val="0000FF"/>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E7599F"/>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E7599F"/>
    <w:rPr>
      <w:rFonts w:eastAsia="Times New Roman"/>
      <w:sz w:val="20"/>
      <w:szCs w:val="20"/>
    </w:rPr>
  </w:style>
  <w:style w:type="character" w:styleId="FootnoteReference">
    <w:name w:val="footnote reference"/>
    <w:aliases w:val="o,fr"/>
    <w:basedOn w:val="DefaultParagraphFont"/>
    <w:unhideWhenUsed/>
    <w:rsid w:val="00E7599F"/>
    <w:rPr>
      <w:vertAlign w:val="superscript"/>
    </w:rPr>
  </w:style>
  <w:style w:type="paragraph" w:styleId="Footer">
    <w:name w:val="footer"/>
    <w:basedOn w:val="Normal"/>
    <w:link w:val="FooterChar"/>
    <w:uiPriority w:val="99"/>
    <w:unhideWhenUsed/>
    <w:rsid w:val="00E7599F"/>
    <w:pPr>
      <w:tabs>
        <w:tab w:val="center" w:pos="4680"/>
        <w:tab w:val="right" w:pos="9360"/>
      </w:tabs>
      <w:spacing w:line="240" w:lineRule="auto"/>
    </w:pPr>
  </w:style>
  <w:style w:type="character" w:customStyle="1" w:styleId="FooterChar">
    <w:name w:val="Footer Char"/>
    <w:basedOn w:val="DefaultParagraphFont"/>
    <w:link w:val="Footer"/>
    <w:uiPriority w:val="99"/>
    <w:rsid w:val="00E7599F"/>
    <w:rPr>
      <w:rFonts w:eastAsia="Times New Roman"/>
      <w:szCs w:val="20"/>
    </w:rPr>
  </w:style>
  <w:style w:type="paragraph" w:customStyle="1" w:styleId="Pleading2L1">
    <w:name w:val="Pleading2_L1"/>
    <w:basedOn w:val="Normal"/>
    <w:next w:val="BodyText"/>
    <w:rsid w:val="000E373F"/>
    <w:pPr>
      <w:numPr>
        <w:numId w:val="1"/>
      </w:numPr>
      <w:autoSpaceDE/>
      <w:autoSpaceDN/>
      <w:spacing w:after="240" w:line="240" w:lineRule="auto"/>
      <w:jc w:val="center"/>
      <w:outlineLvl w:val="0"/>
    </w:pPr>
    <w:rPr>
      <w:b/>
      <w:caps/>
      <w:u w:val="single"/>
    </w:rPr>
  </w:style>
  <w:style w:type="paragraph" w:customStyle="1" w:styleId="Pleading2L2">
    <w:name w:val="Pleading2_L2"/>
    <w:basedOn w:val="Pleading2L1"/>
    <w:rsid w:val="000E373F"/>
    <w:pPr>
      <w:numPr>
        <w:ilvl w:val="1"/>
      </w:numPr>
      <w:spacing w:after="0" w:line="480" w:lineRule="auto"/>
      <w:jc w:val="left"/>
      <w:outlineLvl w:val="1"/>
    </w:pPr>
    <w:rPr>
      <w:b w:val="0"/>
      <w:caps w:val="0"/>
      <w:u w:val="none"/>
    </w:rPr>
  </w:style>
  <w:style w:type="paragraph" w:customStyle="1" w:styleId="Pleading2L3">
    <w:name w:val="Pleading2_L3"/>
    <w:basedOn w:val="Pleading2L2"/>
    <w:rsid w:val="000E373F"/>
    <w:pPr>
      <w:numPr>
        <w:ilvl w:val="2"/>
      </w:numPr>
      <w:outlineLvl w:val="2"/>
    </w:pPr>
  </w:style>
  <w:style w:type="paragraph" w:customStyle="1" w:styleId="Pleading2L4">
    <w:name w:val="Pleading2_L4"/>
    <w:basedOn w:val="Pleading2L3"/>
    <w:rsid w:val="000E373F"/>
    <w:pPr>
      <w:numPr>
        <w:ilvl w:val="3"/>
      </w:numPr>
      <w:outlineLvl w:val="3"/>
    </w:pPr>
  </w:style>
  <w:style w:type="paragraph" w:customStyle="1" w:styleId="Pleading2L5">
    <w:name w:val="Pleading2_L5"/>
    <w:basedOn w:val="Pleading2L4"/>
    <w:rsid w:val="000E373F"/>
    <w:pPr>
      <w:keepNext/>
      <w:keepLines/>
      <w:widowControl w:val="0"/>
      <w:numPr>
        <w:ilvl w:val="4"/>
      </w:numPr>
      <w:spacing w:after="240" w:line="240" w:lineRule="auto"/>
      <w:outlineLvl w:val="4"/>
    </w:pPr>
  </w:style>
  <w:style w:type="paragraph" w:customStyle="1" w:styleId="Pleading2L6">
    <w:name w:val="Pleading2_L6"/>
    <w:basedOn w:val="Pleading2L5"/>
    <w:rsid w:val="000E373F"/>
    <w:pPr>
      <w:numPr>
        <w:ilvl w:val="5"/>
      </w:numPr>
      <w:outlineLvl w:val="5"/>
    </w:pPr>
  </w:style>
  <w:style w:type="paragraph" w:customStyle="1" w:styleId="Pleading2L7">
    <w:name w:val="Pleading2_L7"/>
    <w:basedOn w:val="Pleading2L6"/>
    <w:rsid w:val="000E373F"/>
    <w:pPr>
      <w:numPr>
        <w:ilvl w:val="6"/>
      </w:numPr>
      <w:outlineLvl w:val="6"/>
    </w:pPr>
  </w:style>
  <w:style w:type="paragraph" w:customStyle="1" w:styleId="Pleading2L8">
    <w:name w:val="Pleading2_L8"/>
    <w:basedOn w:val="Pleading2L7"/>
    <w:rsid w:val="000E373F"/>
    <w:pPr>
      <w:numPr>
        <w:ilvl w:val="7"/>
      </w:numPr>
      <w:outlineLvl w:val="7"/>
    </w:pPr>
  </w:style>
  <w:style w:type="paragraph" w:customStyle="1" w:styleId="Pleading2L9">
    <w:name w:val="Pleading2_L9"/>
    <w:basedOn w:val="Pleading2L8"/>
    <w:rsid w:val="000E373F"/>
    <w:pPr>
      <w:numPr>
        <w:ilvl w:val="8"/>
      </w:numPr>
      <w:outlineLvl w:val="8"/>
    </w:pPr>
  </w:style>
  <w:style w:type="paragraph" w:styleId="BodyText">
    <w:name w:val="Body Text"/>
    <w:basedOn w:val="Normal"/>
    <w:link w:val="BodyTextChar"/>
    <w:uiPriority w:val="99"/>
    <w:semiHidden/>
    <w:unhideWhenUsed/>
    <w:rsid w:val="000E373F"/>
    <w:pPr>
      <w:spacing w:after="120"/>
    </w:pPr>
  </w:style>
  <w:style w:type="character" w:customStyle="1" w:styleId="BodyTextChar">
    <w:name w:val="Body Text Char"/>
    <w:basedOn w:val="DefaultParagraphFont"/>
    <w:link w:val="BodyText"/>
    <w:uiPriority w:val="99"/>
    <w:semiHidden/>
    <w:rsid w:val="000E373F"/>
    <w:rPr>
      <w:rFonts w:eastAsia="Times New Roman"/>
      <w:szCs w:val="20"/>
    </w:rPr>
  </w:style>
  <w:style w:type="paragraph" w:styleId="BodyText2">
    <w:name w:val="Body Text 2"/>
    <w:basedOn w:val="Normal"/>
    <w:link w:val="BodyText2Char"/>
    <w:uiPriority w:val="99"/>
    <w:semiHidden/>
    <w:unhideWhenUsed/>
    <w:rsid w:val="007E7C76"/>
    <w:pPr>
      <w:spacing w:after="120" w:line="480" w:lineRule="auto"/>
    </w:pPr>
  </w:style>
  <w:style w:type="character" w:customStyle="1" w:styleId="BodyText2Char">
    <w:name w:val="Body Text 2 Char"/>
    <w:basedOn w:val="DefaultParagraphFont"/>
    <w:link w:val="BodyText2"/>
    <w:uiPriority w:val="99"/>
    <w:semiHidden/>
    <w:rsid w:val="007E7C76"/>
    <w:rPr>
      <w:rFonts w:eastAsia="Times New Roman"/>
      <w:szCs w:val="20"/>
    </w:rPr>
  </w:style>
  <w:style w:type="character" w:customStyle="1" w:styleId="Heading1Char">
    <w:name w:val="Heading 1 Char"/>
    <w:basedOn w:val="DefaultParagraphFont"/>
    <w:link w:val="Heading1"/>
    <w:rsid w:val="007E7C76"/>
    <w:rPr>
      <w:rFonts w:eastAsia="Times New Roman"/>
      <w:b/>
      <w:bCs/>
      <w:caps/>
      <w:szCs w:val="32"/>
      <w:u w:val="single"/>
    </w:rPr>
  </w:style>
  <w:style w:type="character" w:customStyle="1" w:styleId="Heading2Char">
    <w:name w:val="Heading 2 Char"/>
    <w:basedOn w:val="DefaultParagraphFont"/>
    <w:link w:val="Heading2"/>
    <w:semiHidden/>
    <w:rsid w:val="007E7C76"/>
    <w:rPr>
      <w:rFonts w:eastAsia="Times New Roman"/>
      <w:b/>
      <w:bCs/>
      <w:iCs/>
      <w:caps/>
      <w:szCs w:val="28"/>
    </w:rPr>
  </w:style>
  <w:style w:type="character" w:customStyle="1" w:styleId="Heading3Char">
    <w:name w:val="Heading 3 Char"/>
    <w:basedOn w:val="DefaultParagraphFont"/>
    <w:link w:val="Heading3"/>
    <w:semiHidden/>
    <w:rsid w:val="007E7C76"/>
    <w:rPr>
      <w:rFonts w:eastAsia="Times New Roman"/>
      <w:b/>
      <w:bCs/>
      <w:szCs w:val="26"/>
    </w:rPr>
  </w:style>
  <w:style w:type="character" w:customStyle="1" w:styleId="Heading4Char">
    <w:name w:val="Heading 4 Char"/>
    <w:basedOn w:val="DefaultParagraphFont"/>
    <w:link w:val="Heading4"/>
    <w:semiHidden/>
    <w:rsid w:val="007E7C76"/>
    <w:rPr>
      <w:rFonts w:eastAsia="Times New Roman"/>
      <w:b/>
      <w:bCs/>
      <w:szCs w:val="28"/>
    </w:rPr>
  </w:style>
  <w:style w:type="character" w:customStyle="1" w:styleId="Heading5Char">
    <w:name w:val="Heading 5 Char"/>
    <w:basedOn w:val="DefaultParagraphFont"/>
    <w:link w:val="Heading5"/>
    <w:semiHidden/>
    <w:rsid w:val="007E7C76"/>
    <w:rPr>
      <w:rFonts w:eastAsia="Times New Roman"/>
      <w:b/>
      <w:bCs/>
      <w:iCs/>
      <w:szCs w:val="26"/>
    </w:rPr>
  </w:style>
  <w:style w:type="character" w:customStyle="1" w:styleId="Heading6Char">
    <w:name w:val="Heading 6 Char"/>
    <w:basedOn w:val="DefaultParagraphFont"/>
    <w:link w:val="Heading6"/>
    <w:semiHidden/>
    <w:rsid w:val="007E7C76"/>
    <w:rPr>
      <w:rFonts w:eastAsia="Times New Roman"/>
      <w:b/>
      <w:bCs/>
      <w:szCs w:val="22"/>
    </w:rPr>
  </w:style>
  <w:style w:type="character" w:customStyle="1" w:styleId="Heading7Char">
    <w:name w:val="Heading 7 Char"/>
    <w:basedOn w:val="DefaultParagraphFont"/>
    <w:link w:val="Heading7"/>
    <w:semiHidden/>
    <w:rsid w:val="007E7C76"/>
    <w:rPr>
      <w:rFonts w:eastAsia="Times New Roman"/>
      <w:b/>
    </w:rPr>
  </w:style>
  <w:style w:type="character" w:customStyle="1" w:styleId="Heading8Char">
    <w:name w:val="Heading 8 Char"/>
    <w:basedOn w:val="DefaultParagraphFont"/>
    <w:link w:val="Heading8"/>
    <w:semiHidden/>
    <w:rsid w:val="007E7C76"/>
    <w:rPr>
      <w:rFonts w:eastAsia="Times New Roman"/>
      <w:b/>
      <w:iCs/>
    </w:rPr>
  </w:style>
  <w:style w:type="character" w:customStyle="1" w:styleId="Heading9Char">
    <w:name w:val="Heading 9 Char"/>
    <w:basedOn w:val="DefaultParagraphFont"/>
    <w:link w:val="Heading9"/>
    <w:semiHidden/>
    <w:rsid w:val="007E7C76"/>
    <w:rPr>
      <w:rFonts w:eastAsia="Times New Roman"/>
      <w:b/>
      <w:szCs w:val="22"/>
    </w:rPr>
  </w:style>
  <w:style w:type="paragraph" w:styleId="BlockText">
    <w:name w:val="Block Text"/>
    <w:basedOn w:val="Normal"/>
    <w:rsid w:val="007E7C76"/>
    <w:pPr>
      <w:autoSpaceDE/>
      <w:autoSpaceDN/>
      <w:spacing w:after="240" w:line="240" w:lineRule="auto"/>
      <w:ind w:left="1440" w:right="1440"/>
      <w:jc w:val="both"/>
    </w:pPr>
    <w:rPr>
      <w:szCs w:val="24"/>
    </w:rPr>
  </w:style>
  <w:style w:type="paragraph" w:styleId="ListNumber">
    <w:name w:val="List Number"/>
    <w:basedOn w:val="Normal"/>
    <w:unhideWhenUsed/>
    <w:rsid w:val="00E35043"/>
    <w:pPr>
      <w:numPr>
        <w:numId w:val="4"/>
      </w:numPr>
      <w:tabs>
        <w:tab w:val="num" w:pos="1440"/>
      </w:tabs>
      <w:autoSpaceDE/>
      <w:autoSpaceDN/>
      <w:spacing w:line="480" w:lineRule="auto"/>
    </w:pPr>
    <w:rPr>
      <w:szCs w:val="24"/>
    </w:rPr>
  </w:style>
  <w:style w:type="paragraph" w:styleId="BalloonText">
    <w:name w:val="Balloon Text"/>
    <w:basedOn w:val="Normal"/>
    <w:link w:val="BalloonTextChar"/>
    <w:uiPriority w:val="99"/>
    <w:semiHidden/>
    <w:unhideWhenUsed/>
    <w:rsid w:val="003604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27"/>
    <w:rPr>
      <w:rFonts w:ascii="Tahoma" w:eastAsia="Times New Roman" w:hAnsi="Tahoma" w:cs="Tahoma"/>
      <w:sz w:val="16"/>
      <w:szCs w:val="16"/>
    </w:rPr>
  </w:style>
  <w:style w:type="paragraph" w:styleId="Header">
    <w:name w:val="header"/>
    <w:basedOn w:val="Normal"/>
    <w:link w:val="HeaderChar"/>
    <w:uiPriority w:val="99"/>
    <w:unhideWhenUsed/>
    <w:rsid w:val="00EC6D3E"/>
    <w:pPr>
      <w:tabs>
        <w:tab w:val="center" w:pos="4680"/>
        <w:tab w:val="right" w:pos="9360"/>
      </w:tabs>
      <w:spacing w:line="240" w:lineRule="auto"/>
    </w:pPr>
  </w:style>
  <w:style w:type="character" w:customStyle="1" w:styleId="HeaderChar">
    <w:name w:val="Header Char"/>
    <w:basedOn w:val="DefaultParagraphFont"/>
    <w:link w:val="Header"/>
    <w:uiPriority w:val="99"/>
    <w:rsid w:val="00EC6D3E"/>
    <w:rPr>
      <w:rFonts w:eastAsia="Times New Roman"/>
      <w:szCs w:val="20"/>
    </w:rPr>
  </w:style>
  <w:style w:type="paragraph" w:styleId="ListParagraph">
    <w:name w:val="List Paragraph"/>
    <w:basedOn w:val="Normal"/>
    <w:uiPriority w:val="34"/>
    <w:qFormat/>
    <w:rsid w:val="007C4E34"/>
    <w:pPr>
      <w:ind w:left="720"/>
      <w:contextualSpacing/>
    </w:pPr>
  </w:style>
  <w:style w:type="paragraph" w:styleId="TOC1">
    <w:name w:val="toc 1"/>
    <w:basedOn w:val="Normal"/>
    <w:next w:val="Normal"/>
    <w:autoRedefine/>
    <w:uiPriority w:val="39"/>
    <w:unhideWhenUsed/>
    <w:rsid w:val="00134B11"/>
    <w:pPr>
      <w:tabs>
        <w:tab w:val="left" w:pos="720"/>
        <w:tab w:val="right" w:leader="dot" w:pos="9350"/>
      </w:tabs>
      <w:spacing w:after="100"/>
    </w:pPr>
  </w:style>
  <w:style w:type="paragraph" w:styleId="TOC2">
    <w:name w:val="toc 2"/>
    <w:basedOn w:val="Normal"/>
    <w:next w:val="Normal"/>
    <w:autoRedefine/>
    <w:uiPriority w:val="39"/>
    <w:unhideWhenUsed/>
    <w:rsid w:val="00134B11"/>
    <w:pPr>
      <w:tabs>
        <w:tab w:val="left" w:pos="1440"/>
        <w:tab w:val="right" w:leader="dot" w:pos="9350"/>
      </w:tabs>
      <w:spacing w:after="100"/>
      <w:ind w:left="720"/>
    </w:pPr>
  </w:style>
  <w:style w:type="paragraph" w:styleId="TOC3">
    <w:name w:val="toc 3"/>
    <w:basedOn w:val="Normal"/>
    <w:next w:val="Normal"/>
    <w:autoRedefine/>
    <w:uiPriority w:val="39"/>
    <w:unhideWhenUsed/>
    <w:rsid w:val="00134B11"/>
    <w:pPr>
      <w:tabs>
        <w:tab w:val="left" w:pos="2160"/>
        <w:tab w:val="right" w:leader="dot" w:pos="9350"/>
      </w:tabs>
      <w:spacing w:after="100"/>
      <w:ind w:left="1440"/>
    </w:pPr>
  </w:style>
  <w:style w:type="paragraph" w:styleId="TOC4">
    <w:name w:val="toc 4"/>
    <w:basedOn w:val="Normal"/>
    <w:next w:val="Normal"/>
    <w:autoRedefine/>
    <w:uiPriority w:val="39"/>
    <w:unhideWhenUsed/>
    <w:rsid w:val="00134B11"/>
    <w:pPr>
      <w:tabs>
        <w:tab w:val="left" w:pos="2880"/>
        <w:tab w:val="right" w:leader="dot" w:pos="9350"/>
      </w:tabs>
      <w:spacing w:after="100"/>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42929">
      <w:bodyDiv w:val="1"/>
      <w:marLeft w:val="0"/>
      <w:marRight w:val="0"/>
      <w:marTop w:val="0"/>
      <w:marBottom w:val="0"/>
      <w:divBdr>
        <w:top w:val="none" w:sz="0" w:space="0" w:color="auto"/>
        <w:left w:val="none" w:sz="0" w:space="0" w:color="auto"/>
        <w:bottom w:val="none" w:sz="0" w:space="0" w:color="auto"/>
        <w:right w:val="none" w:sz="0" w:space="0" w:color="auto"/>
      </w:divBdr>
    </w:div>
    <w:div w:id="16973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F2F2-B4FA-4620-BBCE-D9F104A4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18565</Words>
  <Characters>105827</Characters>
  <Application>Microsoft Office Word</Application>
  <DocSecurity>0</DocSecurity>
  <Lines>881</Lines>
  <Paragraphs>248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1.	PPL Electric Utilities Corporation is an electric distribution company prov</vt:lpstr>
      <vt:lpstr>        </vt:lpstr>
      <vt:lpstr>        2.	OCA is a statutorily created public advocate empowered to represent the int</vt:lpstr>
      <vt:lpstr>        </vt:lpstr>
      <vt:lpstr>        3.	The Commission's Office of Trial Staff filed its Notice of Appearance.  The</vt:lpstr>
      <vt:lpstr>        </vt:lpstr>
      <vt:lpstr>        4.	OSBA is authorized to represent the interests of small business customers o</vt:lpstr>
      <vt:lpstr>        </vt:lpstr>
      <vt:lpstr>        5.	Richards Energy Group, Inc. is a licensed electric generation supplier, A-1</vt:lpstr>
      <vt:lpstr>        </vt:lpstr>
      <vt:lpstr>        6.	RESA is a trade association of power marketers, independent power producers</vt:lpstr>
      <vt:lpstr>        </vt:lpstr>
      <vt:lpstr>        7.	PPLICA is a an organization of industrial and commercial users which includ</vt:lpstr>
      <vt:lpstr>        </vt:lpstr>
      <vt:lpstr>        8.	Dominion Retail, Inc., is a licensed electric generation supplier in PPL El</vt:lpstr>
      <vt:lpstr>        </vt:lpstr>
      <vt:lpstr>        9.	Wal-Mart Stores East, LP is a national retailer of goods and services throu</vt:lpstr>
      <vt:lpstr>        </vt:lpstr>
    </vt:vector>
  </TitlesOfParts>
  <Company>Pa Public Utility Commission</Company>
  <LinksUpToDate>false</LinksUpToDate>
  <CharactersWithSpaces>124144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16</cp:revision>
  <cp:lastPrinted>2012-03-23T17:17:00Z</cp:lastPrinted>
  <dcterms:created xsi:type="dcterms:W3CDTF">2012-03-22T15:47:00Z</dcterms:created>
  <dcterms:modified xsi:type="dcterms:W3CDTF">2012-03-23T17:18:00Z</dcterms:modified>
</cp:coreProperties>
</file>