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63" w:rsidRPr="004F20ED" w:rsidRDefault="00D97263" w:rsidP="00D97263">
      <w:pPr>
        <w:jc w:val="center"/>
        <w:rPr>
          <w:b/>
        </w:rPr>
      </w:pPr>
      <w:bookmarkStart w:id="0" w:name="_GoBack"/>
      <w:bookmarkEnd w:id="0"/>
      <w:r w:rsidRPr="004F20ED">
        <w:rPr>
          <w:b/>
        </w:rPr>
        <w:t>BEFORE THE</w:t>
      </w:r>
    </w:p>
    <w:p w:rsidR="00D97263" w:rsidRDefault="00D97263" w:rsidP="00D97263">
      <w:pPr>
        <w:jc w:val="center"/>
        <w:rPr>
          <w:b/>
        </w:rPr>
      </w:pPr>
      <w:smartTag w:uri="urn:schemas-microsoft-com:office:smarttags" w:element="State">
        <w:smartTag w:uri="urn:schemas-microsoft-com:office:smarttags" w:element="place">
          <w:r w:rsidRPr="004F20ED">
            <w:rPr>
              <w:b/>
            </w:rPr>
            <w:t>PENNSYLVANIA</w:t>
          </w:r>
        </w:smartTag>
      </w:smartTag>
      <w:r w:rsidRPr="004F20ED">
        <w:rPr>
          <w:b/>
        </w:rPr>
        <w:t xml:space="preserve"> PUBLIC UTILITY COMMISSION</w:t>
      </w:r>
    </w:p>
    <w:p w:rsidR="00D97263" w:rsidRPr="004F20ED" w:rsidRDefault="00D97263" w:rsidP="00D97263">
      <w:pPr>
        <w:jc w:val="center"/>
        <w:rPr>
          <w:b/>
        </w:rPr>
      </w:pPr>
    </w:p>
    <w:p w:rsidR="00D97263" w:rsidRPr="004F20ED" w:rsidRDefault="00D97263" w:rsidP="00D97263"/>
    <w:p w:rsidR="00D97263" w:rsidRPr="004F20ED" w:rsidRDefault="00D97263" w:rsidP="00D97263"/>
    <w:p w:rsidR="00D97263" w:rsidRPr="004F20ED" w:rsidRDefault="00D97263" w:rsidP="00D97263">
      <w:r w:rsidRPr="004F20ED">
        <w:t>Pennsylvania Public Utility Commission,</w:t>
      </w:r>
      <w:r w:rsidRPr="004F20ED">
        <w:tab/>
      </w:r>
      <w:r w:rsidRPr="004F20ED">
        <w:tab/>
        <w:t>:</w:t>
      </w:r>
    </w:p>
    <w:p w:rsidR="00D97263" w:rsidRPr="004F20ED" w:rsidRDefault="00D97263" w:rsidP="00D97263">
      <w:r w:rsidRPr="004F20ED">
        <w:t>Bureau of Transportation and Safety</w:t>
      </w:r>
      <w:r w:rsidRPr="004F20ED">
        <w:tab/>
      </w:r>
      <w:r w:rsidRPr="004F20ED">
        <w:tab/>
      </w:r>
      <w:r w:rsidRPr="004F20ED">
        <w:tab/>
        <w:t>:</w:t>
      </w:r>
    </w:p>
    <w:p w:rsidR="00D97263" w:rsidRPr="004F20ED" w:rsidRDefault="00D97263" w:rsidP="00D97263">
      <w:r w:rsidRPr="004F20ED">
        <w:tab/>
      </w:r>
      <w:r w:rsidRPr="004F20ED">
        <w:tab/>
      </w:r>
      <w:r w:rsidRPr="004F20ED">
        <w:tab/>
      </w:r>
      <w:r w:rsidRPr="004F20ED">
        <w:tab/>
      </w:r>
      <w:r w:rsidRPr="004F20ED">
        <w:tab/>
      </w:r>
      <w:r w:rsidRPr="004F20ED">
        <w:tab/>
      </w:r>
      <w:r w:rsidRPr="004F20ED">
        <w:tab/>
        <w:t>:</w:t>
      </w:r>
    </w:p>
    <w:p w:rsidR="00D97263" w:rsidRPr="004F20ED" w:rsidRDefault="00D97263" w:rsidP="00D97263">
      <w:r w:rsidRPr="004F20ED">
        <w:tab/>
        <w:t>v.</w:t>
      </w:r>
      <w:r w:rsidRPr="004F20ED">
        <w:tab/>
      </w:r>
      <w:r w:rsidRPr="004F20ED">
        <w:tab/>
      </w:r>
      <w:r w:rsidRPr="004F20ED">
        <w:tab/>
      </w:r>
      <w:r w:rsidRPr="004F20ED">
        <w:tab/>
      </w:r>
      <w:r w:rsidRPr="004F20ED">
        <w:tab/>
      </w:r>
      <w:r w:rsidRPr="004F20ED">
        <w:tab/>
        <w:t>:</w:t>
      </w:r>
      <w:r w:rsidRPr="004F20ED">
        <w:tab/>
      </w:r>
      <w:r w:rsidRPr="004F20ED">
        <w:tab/>
        <w:t>C-</w:t>
      </w:r>
      <w:r>
        <w:t>2011-2</w:t>
      </w:r>
      <w:r w:rsidR="00F101B4">
        <w:t>211682</w:t>
      </w:r>
    </w:p>
    <w:p w:rsidR="00D97263" w:rsidRPr="004F20ED" w:rsidRDefault="00D97263" w:rsidP="00D97263">
      <w:r w:rsidRPr="004F20ED">
        <w:tab/>
      </w:r>
      <w:r w:rsidRPr="004F20ED">
        <w:tab/>
      </w:r>
      <w:r w:rsidRPr="004F20ED">
        <w:tab/>
      </w:r>
      <w:r w:rsidRPr="004F20ED">
        <w:tab/>
      </w:r>
      <w:r w:rsidRPr="004F20ED">
        <w:tab/>
      </w:r>
      <w:r w:rsidRPr="004F20ED">
        <w:tab/>
      </w:r>
      <w:r w:rsidRPr="004F20ED">
        <w:tab/>
        <w:t>:</w:t>
      </w:r>
    </w:p>
    <w:p w:rsidR="00D97263" w:rsidRPr="004F20ED" w:rsidRDefault="00F101B4" w:rsidP="00D97263">
      <w:r>
        <w:t>Yellow Cab Company of Pittsburgh</w:t>
      </w:r>
      <w:r w:rsidR="00D97263">
        <w:tab/>
      </w:r>
      <w:r w:rsidR="00D97263" w:rsidRPr="004F20ED">
        <w:tab/>
      </w:r>
      <w:r w:rsidR="00D97263" w:rsidRPr="004F20ED">
        <w:tab/>
        <w:t>:</w:t>
      </w:r>
    </w:p>
    <w:p w:rsidR="00D97263" w:rsidRPr="004F20ED" w:rsidRDefault="00D97263" w:rsidP="00D97263"/>
    <w:p w:rsidR="00D97263" w:rsidRPr="004F20ED" w:rsidRDefault="00D97263" w:rsidP="00D97263"/>
    <w:p w:rsidR="00D97263" w:rsidRDefault="00D97263" w:rsidP="00D97263">
      <w:pPr>
        <w:jc w:val="center"/>
        <w:rPr>
          <w:b/>
          <w:u w:val="single"/>
        </w:rPr>
      </w:pPr>
    </w:p>
    <w:p w:rsidR="00D97263" w:rsidRPr="004F20ED" w:rsidRDefault="00D97263" w:rsidP="00D97263">
      <w:pPr>
        <w:jc w:val="center"/>
        <w:rPr>
          <w:b/>
          <w:u w:val="single"/>
        </w:rPr>
      </w:pPr>
      <w:r w:rsidRPr="004F20ED">
        <w:rPr>
          <w:b/>
          <w:u w:val="single"/>
        </w:rPr>
        <w:t>INITIAL DECISION</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pPr>
      <w:r w:rsidRPr="004F20ED">
        <w:t>Before</w:t>
      </w:r>
    </w:p>
    <w:p w:rsidR="00D97263" w:rsidRPr="004F20ED" w:rsidRDefault="00D97263" w:rsidP="00D97263">
      <w:pPr>
        <w:jc w:val="center"/>
      </w:pPr>
      <w:r w:rsidRPr="004F20ED">
        <w:t>John H. Corbett, Jr.</w:t>
      </w:r>
    </w:p>
    <w:p w:rsidR="00D97263" w:rsidRPr="004F20ED" w:rsidRDefault="00D97263" w:rsidP="00D97263">
      <w:pPr>
        <w:jc w:val="center"/>
      </w:pPr>
      <w:r w:rsidRPr="004F20ED">
        <w:t>Administrative Law Judge</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rPr>
          <w:u w:val="single"/>
        </w:rPr>
      </w:pPr>
      <w:r w:rsidRPr="004F20ED">
        <w:rPr>
          <w:u w:val="single"/>
        </w:rPr>
        <w:t>HISTORY OF THE PROCEEDING</w:t>
      </w:r>
    </w:p>
    <w:p w:rsidR="00D97263" w:rsidRPr="004F20ED" w:rsidRDefault="00D97263" w:rsidP="00D97263"/>
    <w:p w:rsidR="00D97263" w:rsidRPr="004F20ED" w:rsidRDefault="00D97263" w:rsidP="00D97263"/>
    <w:p w:rsidR="001A517C" w:rsidRDefault="00D97263" w:rsidP="00D97263">
      <w:pPr>
        <w:spacing w:line="360" w:lineRule="auto"/>
      </w:pPr>
      <w:r>
        <w:tab/>
      </w:r>
      <w:r>
        <w:tab/>
        <w:t xml:space="preserve">On March </w:t>
      </w:r>
      <w:r w:rsidR="00023CEE">
        <w:t>7</w:t>
      </w:r>
      <w:r>
        <w:t xml:space="preserve">, 2011, </w:t>
      </w:r>
      <w:r w:rsidRPr="007C2B21">
        <w:t>the Bureau of Transportation and Safety (“BTS”)</w:t>
      </w:r>
      <w:r>
        <w:rPr>
          <w:rStyle w:val="FootnoteReference"/>
        </w:rPr>
        <w:footnoteReference w:id="1"/>
      </w:r>
      <w:r w:rsidRPr="007C2B21">
        <w:t xml:space="preserve"> </w:t>
      </w:r>
      <w:r>
        <w:t xml:space="preserve">for the Pennsylvania Public Utility Commission (“Commission”) filed </w:t>
      </w:r>
      <w:r w:rsidRPr="007C2B21">
        <w:t>a complaint against Respondent,</w:t>
      </w:r>
      <w:r>
        <w:t xml:space="preserve"> </w:t>
      </w:r>
      <w:r w:rsidR="006050C5">
        <w:t>Yellow Cab Company of Pittsburgh</w:t>
      </w:r>
      <w:r>
        <w:t>, alleging</w:t>
      </w:r>
      <w:r w:rsidR="00023CEE">
        <w:t xml:space="preserve"> </w:t>
      </w:r>
      <w:r w:rsidR="00426A32">
        <w:t>Respondent failed to provide safe, adequate, efficient</w:t>
      </w:r>
      <w:r w:rsidR="0065128E">
        <w:t xml:space="preserve"> and</w:t>
      </w:r>
      <w:r w:rsidR="00426A32">
        <w:t xml:space="preserve"> reasonable service in violation of 66 Pa. C.S. §1501, when it failed to pick up a fare in a timely fashion from UPMC Mercy Hospital </w:t>
      </w:r>
      <w:r w:rsidR="0065128E">
        <w:t xml:space="preserve">in the City of Pittsburgh </w:t>
      </w:r>
      <w:r w:rsidR="00426A32">
        <w:t xml:space="preserve">at 3:30 a.m. on November 11, 2010.  </w:t>
      </w:r>
      <w:r w:rsidR="0065128E">
        <w:t>For this violation, the BTS sought a civil penalty of $500.  In addition, the BTS charged Respondent with violating 52 Pa. Code §29.313(c) by failing to have a complete driver log sheet in its vehicle</w:t>
      </w:r>
      <w:r w:rsidR="00570686">
        <w:t>.  For this latter violation, the BTS sought a civil penalty of $50.</w:t>
      </w:r>
    </w:p>
    <w:p w:rsidR="00570686" w:rsidRDefault="00570686" w:rsidP="00D97263">
      <w:pPr>
        <w:spacing w:line="360" w:lineRule="auto"/>
      </w:pPr>
    </w:p>
    <w:p w:rsidR="00570686" w:rsidRDefault="00570686" w:rsidP="00D97263">
      <w:pPr>
        <w:spacing w:line="360" w:lineRule="auto"/>
      </w:pPr>
      <w:r>
        <w:tab/>
      </w:r>
      <w:r>
        <w:tab/>
        <w:t xml:space="preserve">Respondent answered the complaint on </w:t>
      </w:r>
      <w:r w:rsidR="00111A25">
        <w:t xml:space="preserve">March 22, 2011 admitting that it </w:t>
      </w:r>
      <w:r w:rsidR="0062694E">
        <w:t xml:space="preserve">ultimately </w:t>
      </w:r>
      <w:r w:rsidR="00111A25">
        <w:t>provided transportation for this individual, but</w:t>
      </w:r>
      <w:r w:rsidR="007E2B59">
        <w:t xml:space="preserve"> den</w:t>
      </w:r>
      <w:r w:rsidR="005C36FF">
        <w:t>ying</w:t>
      </w:r>
      <w:r w:rsidR="007E2B59">
        <w:t xml:space="preserve"> that it engaged in any wrongdoing.</w:t>
      </w:r>
    </w:p>
    <w:p w:rsidR="007E2B59" w:rsidRDefault="007E2B59" w:rsidP="00D97263">
      <w:pPr>
        <w:spacing w:line="360" w:lineRule="auto"/>
      </w:pPr>
    </w:p>
    <w:p w:rsidR="007E2B59" w:rsidRDefault="007E2B59" w:rsidP="00D97263">
      <w:pPr>
        <w:spacing w:line="360" w:lineRule="auto"/>
      </w:pPr>
      <w:r>
        <w:lastRenderedPageBreak/>
        <w:tab/>
      </w:r>
      <w:r>
        <w:tab/>
      </w:r>
      <w:r w:rsidR="00454A55">
        <w:t>I received this case assignment on November 15, 2011.  A standard Prehearing Order was issued on November 17, 2011.</w:t>
      </w:r>
    </w:p>
    <w:p w:rsidR="00454A55" w:rsidRDefault="00454A55" w:rsidP="00D97263">
      <w:pPr>
        <w:spacing w:line="360" w:lineRule="auto"/>
      </w:pPr>
    </w:p>
    <w:p w:rsidR="00454A55" w:rsidRDefault="00454A55" w:rsidP="00D97263">
      <w:pPr>
        <w:spacing w:line="360" w:lineRule="auto"/>
      </w:pPr>
      <w:r>
        <w:tab/>
      </w:r>
      <w:r>
        <w:tab/>
      </w:r>
      <w:r w:rsidR="006408ED">
        <w:t>On January 18, 2012, a hearing convened in Pittsburgh.</w:t>
      </w:r>
      <w:r w:rsidR="006408ED">
        <w:rPr>
          <w:rStyle w:val="FootnoteReference"/>
        </w:rPr>
        <w:footnoteReference w:id="2"/>
      </w:r>
      <w:r w:rsidR="006408ED">
        <w:t xml:space="preserve">  R.K. Smith, Esq. represented the BTS.  Ray F. Middleman, Esq., </w:t>
      </w:r>
      <w:r w:rsidR="00543716">
        <w:t>represented Respondent.  No exhibits were admitted into the record.  No briefs were filed.</w:t>
      </w:r>
      <w:r w:rsidR="00DA4BFE">
        <w:t xml:space="preserve">  During the hearing, the BTS withdrew that portion of its complaint charging Respondent violated 66 Pa. C.S. §1501 by failing to pick up a fare in a timely fashion.</w:t>
      </w:r>
      <w:r w:rsidR="00DE0A3F">
        <w:t xml:space="preserve">  The parties then stipulated that Respondent violated</w:t>
      </w:r>
      <w:r w:rsidR="00A24357">
        <w:t xml:space="preserve"> </w:t>
      </w:r>
      <w:r w:rsidR="00DE0A3F">
        <w:t>52 Pa. Code §29.313(c) by failing to have a complete driver log sheet in its vehicle and Respondent agreed to pay a civil penalty of $50 (N.T. 6-8).  The record closed on February 17, 2012.</w:t>
      </w:r>
    </w:p>
    <w:p w:rsidR="0059466F" w:rsidRDefault="0059466F" w:rsidP="00D97263">
      <w:pPr>
        <w:spacing w:line="360" w:lineRule="auto"/>
      </w:pPr>
    </w:p>
    <w:p w:rsidR="0059466F" w:rsidRDefault="0059466F" w:rsidP="0059466F">
      <w:pPr>
        <w:spacing w:line="360" w:lineRule="auto"/>
        <w:jc w:val="center"/>
      </w:pPr>
      <w:r>
        <w:rPr>
          <w:u w:val="single"/>
        </w:rPr>
        <w:t>FINDINGS OF FACT</w:t>
      </w:r>
    </w:p>
    <w:p w:rsidR="0059466F" w:rsidRDefault="0059466F" w:rsidP="0059466F">
      <w:pPr>
        <w:spacing w:line="360" w:lineRule="auto"/>
      </w:pPr>
    </w:p>
    <w:p w:rsidR="0059466F" w:rsidRDefault="0059466F" w:rsidP="0059466F">
      <w:pPr>
        <w:pStyle w:val="ListParagraph"/>
        <w:numPr>
          <w:ilvl w:val="0"/>
          <w:numId w:val="1"/>
        </w:numPr>
        <w:spacing w:line="360" w:lineRule="auto"/>
        <w:ind w:left="0" w:firstLine="1440"/>
      </w:pPr>
      <w:r>
        <w:t>Complainant is the Bureau of Transportation and Safety for the Pennsylvania Public Utility Commission (Complaint).</w:t>
      </w:r>
    </w:p>
    <w:p w:rsidR="0059466F" w:rsidRDefault="0059466F" w:rsidP="0059466F">
      <w:pPr>
        <w:pStyle w:val="ListParagraph"/>
        <w:spacing w:line="360" w:lineRule="auto"/>
        <w:ind w:left="1440"/>
      </w:pPr>
    </w:p>
    <w:p w:rsidR="0059466F" w:rsidRDefault="0059466F" w:rsidP="0059466F">
      <w:pPr>
        <w:pStyle w:val="ListParagraph"/>
        <w:numPr>
          <w:ilvl w:val="0"/>
          <w:numId w:val="1"/>
        </w:numPr>
        <w:spacing w:line="360" w:lineRule="auto"/>
        <w:ind w:left="0" w:firstLine="1440"/>
      </w:pPr>
      <w:r>
        <w:t xml:space="preserve">Respondent is Yellow Cab Company of Pittsburgh, which </w:t>
      </w:r>
      <w:r w:rsidR="00A24357">
        <w:t>maintains its principal place of business at 1101 Beaver Avenue, Pittsburgh, Pennsylvania 15233 (Complaint).</w:t>
      </w:r>
    </w:p>
    <w:p w:rsidR="00A24357" w:rsidRDefault="00A24357" w:rsidP="00A24357">
      <w:pPr>
        <w:pStyle w:val="ListParagraph"/>
      </w:pPr>
    </w:p>
    <w:p w:rsidR="00A24357" w:rsidRDefault="00A24357" w:rsidP="0059466F">
      <w:pPr>
        <w:pStyle w:val="ListParagraph"/>
        <w:numPr>
          <w:ilvl w:val="0"/>
          <w:numId w:val="1"/>
        </w:numPr>
        <w:spacing w:line="360" w:lineRule="auto"/>
        <w:ind w:left="0" w:firstLine="1440"/>
      </w:pPr>
      <w:r>
        <w:t>Respondent holds a certificate of public convenience from this Commission at Docket No. A-00049926 for call or demand authority (Complaint).</w:t>
      </w:r>
    </w:p>
    <w:p w:rsidR="00A24357" w:rsidRDefault="00A24357" w:rsidP="00A24357">
      <w:pPr>
        <w:pStyle w:val="ListParagraph"/>
      </w:pPr>
    </w:p>
    <w:p w:rsidR="00A24357" w:rsidRDefault="00A24357" w:rsidP="0059466F">
      <w:pPr>
        <w:pStyle w:val="ListParagraph"/>
        <w:numPr>
          <w:ilvl w:val="0"/>
          <w:numId w:val="1"/>
        </w:numPr>
        <w:spacing w:line="360" w:lineRule="auto"/>
        <w:ind w:left="0" w:firstLine="1440"/>
      </w:pPr>
      <w:r>
        <w:t>Complainant and Respondent have</w:t>
      </w:r>
      <w:r w:rsidRPr="00A24357">
        <w:t xml:space="preserve"> </w:t>
      </w:r>
      <w:r>
        <w:t xml:space="preserve">stipulated that Respondent violated 52 Pa. Code §29.313(c) by failing to have a complete driver log sheet in its vehicle and Respondent has agreed to pay a civil penalty of $50 </w:t>
      </w:r>
      <w:r w:rsidR="00B21021">
        <w:t xml:space="preserve">for this violation </w:t>
      </w:r>
      <w:r>
        <w:t>(N.T. 6-8).</w:t>
      </w:r>
    </w:p>
    <w:p w:rsidR="00B21021" w:rsidRDefault="00B21021" w:rsidP="00B21021">
      <w:pPr>
        <w:pStyle w:val="ListParagraph"/>
      </w:pPr>
    </w:p>
    <w:p w:rsidR="00B21021" w:rsidRDefault="00B21021">
      <w:r>
        <w:br w:type="page"/>
      </w:r>
    </w:p>
    <w:p w:rsidR="00B21021" w:rsidRDefault="00B21021" w:rsidP="00B21021">
      <w:pPr>
        <w:spacing w:line="360" w:lineRule="auto"/>
        <w:jc w:val="center"/>
      </w:pPr>
      <w:r>
        <w:rPr>
          <w:u w:val="single"/>
        </w:rPr>
        <w:lastRenderedPageBreak/>
        <w:t>DISCUSSION</w:t>
      </w:r>
    </w:p>
    <w:p w:rsidR="00B21021" w:rsidRDefault="00B21021" w:rsidP="00B21021">
      <w:pPr>
        <w:spacing w:line="360" w:lineRule="auto"/>
      </w:pPr>
    </w:p>
    <w:p w:rsidR="00FF7D18" w:rsidRPr="00FF7D18" w:rsidRDefault="00FF7D18" w:rsidP="00B21021">
      <w:pPr>
        <w:spacing w:line="360" w:lineRule="auto"/>
        <w:rPr>
          <w:u w:val="single"/>
        </w:rPr>
      </w:pPr>
      <w:r>
        <w:t>A.</w:t>
      </w:r>
      <w:r>
        <w:tab/>
      </w:r>
      <w:r>
        <w:rPr>
          <w:u w:val="single"/>
        </w:rPr>
        <w:t>The Violation</w:t>
      </w:r>
    </w:p>
    <w:p w:rsidR="00FF7D18" w:rsidRDefault="00FF7D18" w:rsidP="00B21021">
      <w:pPr>
        <w:spacing w:line="360" w:lineRule="auto"/>
      </w:pPr>
    </w:p>
    <w:p w:rsidR="00B21021" w:rsidRDefault="00B21021" w:rsidP="00B21021">
      <w:pPr>
        <w:spacing w:line="360" w:lineRule="auto"/>
      </w:pPr>
      <w:r>
        <w:tab/>
      </w:r>
      <w:r>
        <w:tab/>
      </w:r>
      <w:r w:rsidR="00EA18D9">
        <w:t>Section 29.313(c) of the Commission’s regulations, 52 Pa. Code §29.313(c), states:</w:t>
      </w:r>
    </w:p>
    <w:p w:rsidR="00EA18D9" w:rsidRDefault="00EA18D9" w:rsidP="00B21021">
      <w:pPr>
        <w:spacing w:line="360" w:lineRule="auto"/>
      </w:pPr>
    </w:p>
    <w:p w:rsidR="00EA18D9" w:rsidRDefault="00EA18D9" w:rsidP="00EA18D9">
      <w:pPr>
        <w:ind w:left="1440" w:right="1440"/>
      </w:pPr>
      <w:r>
        <w:tab/>
        <w:t xml:space="preserve">(c)  </w:t>
      </w:r>
      <w:r>
        <w:rPr>
          <w:i/>
        </w:rPr>
        <w:t>Log sheets</w:t>
      </w:r>
      <w:r>
        <w:t xml:space="preserve">.  </w:t>
      </w:r>
      <w:r w:rsidR="00D93B84">
        <w:t>A driver of a vehicle in call or demand service shall keep a log sheet or manifest of each shift he operates unless some other method is, upon petition, specifically approved by the Commission.  These log sheets shall be filled out contemporaneously with the trip, on a form supplied by the certificateholder.  The log sheets shall be retained by the certificateholder for at least two years.  Log sheets may be retained in electronic format.  Log sheets, or comparable printouts from an electronic storage device, shall be turned over upon request to an authorized representative of the Commission upon the rendering of a receipt.  Drivers shall fill out the log sheets with the following information:</w:t>
      </w:r>
    </w:p>
    <w:p w:rsidR="00D93B84" w:rsidRDefault="00D93B84" w:rsidP="00EA18D9">
      <w:pPr>
        <w:ind w:left="1440" w:right="1440"/>
      </w:pPr>
    </w:p>
    <w:p w:rsidR="00D93B84" w:rsidRDefault="00D93B84" w:rsidP="00EA18D9">
      <w:pPr>
        <w:ind w:left="1440" w:right="1440"/>
      </w:pPr>
      <w:r>
        <w:tab/>
      </w:r>
      <w:r>
        <w:tab/>
        <w:t>(1)  The date.</w:t>
      </w:r>
    </w:p>
    <w:p w:rsidR="00D93B84" w:rsidRDefault="00D93B84" w:rsidP="00EA18D9">
      <w:pPr>
        <w:ind w:left="1440" w:right="1440"/>
      </w:pPr>
    </w:p>
    <w:p w:rsidR="00D93B84" w:rsidRDefault="00D93B84" w:rsidP="00EA18D9">
      <w:pPr>
        <w:ind w:left="1440" w:right="1440"/>
      </w:pPr>
      <w:r>
        <w:tab/>
      </w:r>
      <w:r>
        <w:tab/>
        <w:t>(2)  The time he commenced the shift and the time he ended the shift and ceased driving.</w:t>
      </w:r>
    </w:p>
    <w:p w:rsidR="00D93B84" w:rsidRDefault="00D93B84" w:rsidP="00EA18D9">
      <w:pPr>
        <w:ind w:left="1440" w:right="1440"/>
      </w:pPr>
    </w:p>
    <w:p w:rsidR="00D93B84" w:rsidRDefault="00D93B84" w:rsidP="00EA18D9">
      <w:pPr>
        <w:ind w:left="1440" w:right="1440"/>
      </w:pPr>
      <w:r>
        <w:tab/>
      </w:r>
      <w:r>
        <w:tab/>
        <w:t>(3)  The vehicle identification number.</w:t>
      </w:r>
    </w:p>
    <w:p w:rsidR="00D93B84" w:rsidRDefault="00D93B84" w:rsidP="00EA18D9">
      <w:pPr>
        <w:ind w:left="1440" w:right="1440"/>
      </w:pPr>
    </w:p>
    <w:p w:rsidR="00D93B84" w:rsidRDefault="00D93B84" w:rsidP="00EA18D9">
      <w:pPr>
        <w:ind w:left="1440" w:right="1440"/>
      </w:pPr>
      <w:r>
        <w:tab/>
      </w:r>
      <w:r>
        <w:tab/>
        <w:t xml:space="preserve">(4)  </w:t>
      </w:r>
      <w:r w:rsidR="00606573">
        <w:t>The times and places of origin and destination of each trip including the odometer or meter mileage at the origin and destination of each passenger trip.  Origin and destination places shall contain a street name and address or, if unavailable,</w:t>
      </w:r>
      <w:r w:rsidR="00423158">
        <w:t xml:space="preserve"> an</w:t>
      </w:r>
      <w:r w:rsidR="00606573">
        <w:t xml:space="preserve"> identifiable landmark.</w:t>
      </w:r>
    </w:p>
    <w:p w:rsidR="00606573" w:rsidRDefault="00606573" w:rsidP="00EA18D9">
      <w:pPr>
        <w:ind w:left="1440" w:right="1440"/>
      </w:pPr>
    </w:p>
    <w:p w:rsidR="00606573" w:rsidRDefault="00606573" w:rsidP="00EA18D9">
      <w:pPr>
        <w:ind w:left="1440" w:right="1440"/>
      </w:pPr>
      <w:r>
        <w:tab/>
      </w:r>
      <w:r>
        <w:tab/>
        <w:t>(5)  The number of passengers and the fare collected on each trip, indicating separately each fare collected from each passenger or party of passengers sharing the ride.</w:t>
      </w:r>
    </w:p>
    <w:p w:rsidR="00606573" w:rsidRDefault="00606573" w:rsidP="00EA18D9">
      <w:pPr>
        <w:ind w:left="1440" w:right="1440"/>
      </w:pPr>
    </w:p>
    <w:p w:rsidR="00606573" w:rsidRDefault="00606573" w:rsidP="00EA18D9">
      <w:pPr>
        <w:ind w:left="1440" w:right="1440"/>
      </w:pPr>
      <w:r>
        <w:tab/>
      </w:r>
      <w:r>
        <w:tab/>
        <w:t>(6)  Each trip on which packages were delivered and the charge for the trip.</w:t>
      </w:r>
    </w:p>
    <w:p w:rsidR="00606573" w:rsidRDefault="00606573" w:rsidP="00EA18D9">
      <w:pPr>
        <w:ind w:left="1440" w:right="1440"/>
      </w:pPr>
    </w:p>
    <w:p w:rsidR="00606573" w:rsidRDefault="00606573" w:rsidP="00EA18D9">
      <w:pPr>
        <w:ind w:left="1440" w:right="1440"/>
      </w:pPr>
      <w:r>
        <w:lastRenderedPageBreak/>
        <w:tab/>
      </w:r>
      <w:r>
        <w:tab/>
        <w:t>(7)  The meter readings at the beginning and end of each shift, if applicable.</w:t>
      </w:r>
    </w:p>
    <w:p w:rsidR="00606573" w:rsidRDefault="00606573" w:rsidP="00EA18D9">
      <w:pPr>
        <w:ind w:left="1440" w:right="1440"/>
      </w:pPr>
    </w:p>
    <w:p w:rsidR="00606573" w:rsidRDefault="00606573" w:rsidP="00EA18D9">
      <w:pPr>
        <w:ind w:left="1440" w:right="1440"/>
      </w:pPr>
      <w:r>
        <w:tab/>
      </w:r>
      <w:r>
        <w:tab/>
        <w:t>(8)  The name and number of the driver.</w:t>
      </w:r>
    </w:p>
    <w:p w:rsidR="00FF7D18" w:rsidRDefault="00FF7D18" w:rsidP="00EA18D9">
      <w:pPr>
        <w:ind w:left="1440" w:right="1440"/>
      </w:pPr>
    </w:p>
    <w:p w:rsidR="00606573" w:rsidRDefault="00606573" w:rsidP="00EA18D9">
      <w:pPr>
        <w:ind w:left="1440" w:right="1440"/>
      </w:pPr>
      <w:r>
        <w:tab/>
      </w:r>
      <w:r>
        <w:tab/>
        <w:t>(9)  The signature of the driver attesting to the accuracy of the data recorded.</w:t>
      </w:r>
    </w:p>
    <w:p w:rsidR="00606573" w:rsidRDefault="00606573" w:rsidP="00EA18D9">
      <w:pPr>
        <w:ind w:left="1440" w:right="1440"/>
      </w:pPr>
    </w:p>
    <w:p w:rsidR="00606573" w:rsidRDefault="00606573" w:rsidP="00EA18D9">
      <w:pPr>
        <w:ind w:left="1440" w:right="1440"/>
      </w:pPr>
      <w:r>
        <w:tab/>
      </w:r>
      <w:r>
        <w:tab/>
        <w:t>(10)  Other information as may be required by this title.</w:t>
      </w:r>
    </w:p>
    <w:p w:rsidR="0033201A" w:rsidRDefault="0033201A" w:rsidP="0033201A"/>
    <w:p w:rsidR="0033201A" w:rsidRDefault="0033201A" w:rsidP="0033201A"/>
    <w:p w:rsidR="0033201A" w:rsidRDefault="0033201A" w:rsidP="0033201A">
      <w:pPr>
        <w:spacing w:line="360" w:lineRule="auto"/>
      </w:pPr>
      <w:r>
        <w:tab/>
      </w:r>
      <w:r>
        <w:tab/>
      </w:r>
      <w:r w:rsidR="00B51639">
        <w:t>Complainant and Respondent have</w:t>
      </w:r>
      <w:r w:rsidR="00B51639" w:rsidRPr="00A24357">
        <w:t xml:space="preserve"> </w:t>
      </w:r>
      <w:r w:rsidR="00B51639">
        <w:t>stipulated that Respondent violated 52 Pa. Code §29.313(c) by failing to have a complete driver log sheet in its vehicle.</w:t>
      </w:r>
    </w:p>
    <w:p w:rsidR="00FF7D18" w:rsidRDefault="00FF7D18" w:rsidP="0033201A">
      <w:pPr>
        <w:spacing w:line="360" w:lineRule="auto"/>
      </w:pPr>
    </w:p>
    <w:p w:rsidR="00FF7D18" w:rsidRDefault="00FF7D18" w:rsidP="0033201A">
      <w:pPr>
        <w:spacing w:line="360" w:lineRule="auto"/>
      </w:pPr>
      <w:r>
        <w:t>B.</w:t>
      </w:r>
      <w:r>
        <w:tab/>
      </w:r>
      <w:r>
        <w:rPr>
          <w:u w:val="single"/>
        </w:rPr>
        <w:t>The Civil Penalty</w:t>
      </w:r>
    </w:p>
    <w:p w:rsidR="00FF7D18" w:rsidRDefault="00FF7D18" w:rsidP="0033201A">
      <w:pPr>
        <w:spacing w:line="360" w:lineRule="auto"/>
      </w:pPr>
    </w:p>
    <w:p w:rsidR="00E546FB" w:rsidRPr="00A32951" w:rsidRDefault="00FF7D18" w:rsidP="00E546FB">
      <w:pPr>
        <w:spacing w:line="360" w:lineRule="auto"/>
      </w:pPr>
      <w:r>
        <w:tab/>
      </w:r>
      <w:r>
        <w:tab/>
      </w:r>
      <w:r w:rsidR="00E546FB">
        <w:t>T</w:t>
      </w:r>
      <w:r w:rsidR="00E546FB" w:rsidRPr="00A32951">
        <w:t xml:space="preserve">he Commission may impose a maximum civil penalty of $1,000 for every violation of the </w:t>
      </w:r>
      <w:r w:rsidR="00E546FB">
        <w:t xml:space="preserve">Public Utility </w:t>
      </w:r>
      <w:r w:rsidR="00E546FB" w:rsidRPr="00A32951">
        <w:t>Code</w:t>
      </w:r>
      <w:r w:rsidR="00E546FB">
        <w:t xml:space="preserve"> (the “Code”)</w:t>
      </w:r>
      <w:r w:rsidR="00E546FB" w:rsidRPr="00A32951">
        <w:t>, its regulations or its orders pursuant to Section 3301 of the Code, 66 Pa. C.S. §3301.</w:t>
      </w:r>
      <w:r w:rsidR="00E546FB">
        <w:t xml:space="preserve">  C</w:t>
      </w:r>
      <w:r w:rsidR="00E546FB" w:rsidRPr="00A32951">
        <w:t xml:space="preserve">ertain factors </w:t>
      </w:r>
      <w:r w:rsidR="00E546FB">
        <w:t xml:space="preserve">must be considered </w:t>
      </w:r>
      <w:r w:rsidR="00E546FB" w:rsidRPr="00A32951">
        <w:t xml:space="preserve">and </w:t>
      </w:r>
      <w:r w:rsidR="00E546FB">
        <w:t>standards applied</w:t>
      </w:r>
      <w:r w:rsidR="00E546FB" w:rsidRPr="00A32951">
        <w:t xml:space="preserve"> when imposing a civil penalty.  </w:t>
      </w:r>
      <w:r w:rsidR="00E546FB" w:rsidRPr="00A32951">
        <w:rPr>
          <w:u w:val="single"/>
        </w:rPr>
        <w:t>Rosi v. Bell Atlantic-Pa., Inc.</w:t>
      </w:r>
      <w:r w:rsidR="00E546FB" w:rsidRPr="00A32951">
        <w:t>, Docket No. C</w:t>
      </w:r>
      <w:r w:rsidR="00E546FB" w:rsidRPr="00A32951">
        <w:noBreakHyphen/>
        <w:t xml:space="preserve">00992409 (Order entered February 10, 2000); </w:t>
      </w:r>
      <w:r w:rsidR="00E546FB" w:rsidRPr="00A32951">
        <w:rPr>
          <w:u w:val="single"/>
        </w:rPr>
        <w:t>Pa. P.U.C. v. NCIC Operator Services</w:t>
      </w:r>
      <w:r w:rsidR="00E546FB" w:rsidRPr="00A32951">
        <w:t>, Docket No. M</w:t>
      </w:r>
      <w:r w:rsidR="00E546FB" w:rsidRPr="00A32951">
        <w:noBreakHyphen/>
        <w:t xml:space="preserve">00001440 (Order entered </w:t>
      </w:r>
      <w:smartTag w:uri="urn:schemas-microsoft-com:office:smarttags" w:element="date">
        <w:smartTagPr>
          <w:attr w:name="Year" w:val="2000"/>
          <w:attr w:name="Day" w:val="21"/>
          <w:attr w:name="Month" w:val="12"/>
          <w:attr w:name="ls" w:val="trans"/>
        </w:smartTagPr>
        <w:r w:rsidR="00E546FB" w:rsidRPr="00A32951">
          <w:t>December 21, 2000</w:t>
        </w:r>
      </w:smartTag>
      <w:r w:rsidR="00E546FB" w:rsidRPr="00A32951">
        <w:t>).  These factors and standards have been codified in a regulation as follows:</w:t>
      </w:r>
    </w:p>
    <w:p w:rsidR="00E546FB" w:rsidRPr="00A32951" w:rsidRDefault="00E546FB" w:rsidP="00E546FB">
      <w:pPr>
        <w:spacing w:line="360" w:lineRule="auto"/>
      </w:pPr>
    </w:p>
    <w:p w:rsidR="00E546FB" w:rsidRPr="00A32951" w:rsidRDefault="00E546FB" w:rsidP="00E546FB">
      <w:pPr>
        <w:ind w:left="1440" w:right="1440" w:firstLine="720"/>
      </w:pPr>
      <w:r w:rsidRPr="00A32951">
        <w:t>(1)</w:t>
      </w:r>
      <w:r>
        <w:t xml:space="preserve">  </w:t>
      </w:r>
      <w:r w:rsidRPr="00A32951">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E546FB" w:rsidRPr="00A32951" w:rsidRDefault="00E546FB" w:rsidP="00E546FB">
      <w:pPr>
        <w:ind w:left="1440" w:right="1440"/>
      </w:pPr>
    </w:p>
    <w:p w:rsidR="00E546FB" w:rsidRPr="00A32951" w:rsidRDefault="00E546FB" w:rsidP="009D080B">
      <w:pPr>
        <w:ind w:left="1440" w:right="1440" w:firstLine="720"/>
      </w:pPr>
      <w:r w:rsidRPr="00A32951">
        <w:t>(2)</w:t>
      </w:r>
      <w:r w:rsidR="009D080B">
        <w:t xml:space="preserve">  </w:t>
      </w:r>
      <w:r w:rsidRPr="00A32951">
        <w:t>Whether the resulting consequences of the conduct at issue were of a serious nature.  When consequences of a serious nature are involved, such as personal injury or property damage, the consequences may warrant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(3)</w:t>
      </w:r>
      <w:r w:rsidR="009D080B">
        <w:t xml:space="preserve">  </w:t>
      </w:r>
      <w:r w:rsidRPr="00A32951">
        <w:t xml:space="preserve">Whether the conduct at issue was deemed intentional or negligent.  This factor may only be considered in evaluating </w:t>
      </w:r>
      <w:r w:rsidRPr="00A32951">
        <w:lastRenderedPageBreak/>
        <w:t>litigated cases.  When conduct has been deemed intentional, the conduct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(4)</w:t>
      </w:r>
      <w:r w:rsidR="009D080B">
        <w:t xml:space="preserve">  </w:t>
      </w:r>
      <w:r w:rsidRPr="00A32951">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E546FB" w:rsidRPr="00A32951" w:rsidRDefault="00E546FB" w:rsidP="00E546FB">
      <w:pPr>
        <w:ind w:left="1440" w:right="1440"/>
      </w:pPr>
    </w:p>
    <w:p w:rsidR="00E546FB" w:rsidRPr="00A32951" w:rsidRDefault="00E546FB" w:rsidP="009D080B">
      <w:pPr>
        <w:ind w:left="1440" w:right="1440" w:firstLine="720"/>
      </w:pPr>
      <w:r w:rsidRPr="00A32951">
        <w:t>(5)</w:t>
      </w:r>
      <w:r w:rsidR="009D080B">
        <w:t xml:space="preserve">  </w:t>
      </w:r>
      <w:r w:rsidRPr="00A32951">
        <w:t>The number of customers affected and the duration of the violation.</w:t>
      </w:r>
    </w:p>
    <w:p w:rsidR="00E546FB" w:rsidRPr="00A32951" w:rsidRDefault="00E546FB" w:rsidP="00E546FB">
      <w:pPr>
        <w:ind w:left="1440" w:right="1440"/>
      </w:pPr>
    </w:p>
    <w:p w:rsidR="00E546FB" w:rsidRPr="00A32951" w:rsidRDefault="00E546FB" w:rsidP="009D080B">
      <w:pPr>
        <w:ind w:left="1440" w:right="1440" w:firstLine="720"/>
      </w:pPr>
      <w:r w:rsidRPr="00A32951">
        <w:t>(6)</w:t>
      </w:r>
      <w:r w:rsidR="009D080B">
        <w:t xml:space="preserve">  </w:t>
      </w:r>
      <w:r w:rsidRPr="00A32951">
        <w:t>The compliance history of the regulated entity which committed the violation.  An isolated incident from an otherwise compliant utility may result in a lower penalty, whereas frequent, recurrent violations by a utility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(7)</w:t>
      </w:r>
      <w:r w:rsidR="009D080B">
        <w:t xml:space="preserve">  </w:t>
      </w:r>
      <w:r w:rsidRPr="00A32951">
        <w:t>Whether the regulated entity cooperated with the Commission’s investigation.  Facts establishing bad faith, active concealment of violations, or attempts to interfere with Commission investigations may result in a higher penalty.</w:t>
      </w:r>
    </w:p>
    <w:p w:rsidR="00E546FB" w:rsidRPr="00A32951" w:rsidRDefault="00E546FB" w:rsidP="00E546FB">
      <w:pPr>
        <w:ind w:left="1440" w:right="1440"/>
      </w:pPr>
    </w:p>
    <w:p w:rsidR="00E546FB" w:rsidRPr="00A32951" w:rsidRDefault="00E546FB" w:rsidP="009D080B">
      <w:pPr>
        <w:ind w:left="1440" w:right="1440" w:firstLine="720"/>
      </w:pPr>
      <w:r w:rsidRPr="00A32951">
        <w:t>(8)</w:t>
      </w:r>
      <w:r w:rsidR="009D080B">
        <w:t xml:space="preserve">  </w:t>
      </w:r>
      <w:r w:rsidRPr="00A32951">
        <w:t>The amount of the civil penalty or fine necessary to deter future violations.  The size of the utility may be considered to determine an appropriate penalty amount.</w:t>
      </w:r>
    </w:p>
    <w:p w:rsidR="00E546FB" w:rsidRPr="00A32951" w:rsidRDefault="00E546FB" w:rsidP="00E546FB">
      <w:pPr>
        <w:ind w:left="1440" w:right="1440"/>
      </w:pPr>
    </w:p>
    <w:p w:rsidR="00E546FB" w:rsidRPr="00A32951" w:rsidRDefault="00E546FB" w:rsidP="009D080B">
      <w:pPr>
        <w:ind w:left="1440" w:right="1440" w:firstLine="720"/>
      </w:pPr>
      <w:r w:rsidRPr="00A32951">
        <w:t>(9)</w:t>
      </w:r>
      <w:r w:rsidR="009D080B">
        <w:t xml:space="preserve">  </w:t>
      </w:r>
      <w:r w:rsidRPr="00A32951">
        <w:t>Past Commission decisions in similar situations.</w:t>
      </w:r>
    </w:p>
    <w:p w:rsidR="00E546FB" w:rsidRPr="00A32951" w:rsidRDefault="00E546FB" w:rsidP="00E546FB">
      <w:pPr>
        <w:ind w:left="1440" w:right="1440"/>
      </w:pPr>
    </w:p>
    <w:p w:rsidR="00E546FB" w:rsidRPr="00A32951" w:rsidRDefault="00E546FB" w:rsidP="009D080B">
      <w:pPr>
        <w:ind w:left="1440" w:right="1440" w:firstLine="720"/>
      </w:pPr>
      <w:r w:rsidRPr="00A32951">
        <w:t>(10)</w:t>
      </w:r>
      <w:r w:rsidR="009D080B">
        <w:t xml:space="preserve">  </w:t>
      </w:r>
      <w:r w:rsidRPr="00A32951">
        <w:t>Other relevant factors.</w:t>
      </w:r>
    </w:p>
    <w:p w:rsidR="00E546FB" w:rsidRDefault="00E546FB" w:rsidP="00E546FB"/>
    <w:p w:rsidR="009D080B" w:rsidRPr="00A32951" w:rsidRDefault="009D080B" w:rsidP="00E546FB"/>
    <w:p w:rsidR="00E546FB" w:rsidRDefault="00E546FB" w:rsidP="00E546FB">
      <w:pPr>
        <w:spacing w:line="360" w:lineRule="auto"/>
      </w:pPr>
      <w:r>
        <w:t>52 Pa. Code §69.1201(c).</w:t>
      </w:r>
    </w:p>
    <w:p w:rsidR="00E546FB" w:rsidRDefault="00E546FB" w:rsidP="00E546FB">
      <w:pPr>
        <w:spacing w:line="360" w:lineRule="auto"/>
      </w:pPr>
    </w:p>
    <w:p w:rsidR="00FF7D18" w:rsidRDefault="00E546FB" w:rsidP="00E546FB">
      <w:pPr>
        <w:spacing w:line="360" w:lineRule="auto"/>
      </w:pPr>
      <w:r>
        <w:tab/>
      </w:r>
      <w:r>
        <w:tab/>
      </w:r>
      <w:r w:rsidRPr="00A32951">
        <w:t>Here, the violation involved</w:t>
      </w:r>
      <w:r>
        <w:t xml:space="preserve"> Respondent</w:t>
      </w:r>
      <w:r w:rsidR="00DA1A80">
        <w:t xml:space="preserve"> engaging in less egregious misconduct, </w:t>
      </w:r>
      <w:r w:rsidR="00DA1A80">
        <w:rPr>
          <w:i/>
        </w:rPr>
        <w:t>i.e.</w:t>
      </w:r>
      <w:r w:rsidR="00DA1A80">
        <w:t>, failing to have a complete driver log sheet in its vehicle, warranting a less severe civil penalty.</w:t>
      </w:r>
      <w:r w:rsidR="00836630">
        <w:t xml:space="preserve">  52 Pa. Code §69.1201(c)(1).</w:t>
      </w:r>
    </w:p>
    <w:p w:rsidR="00836630" w:rsidRDefault="00836630" w:rsidP="00E546FB">
      <w:pPr>
        <w:spacing w:line="360" w:lineRule="auto"/>
      </w:pPr>
    </w:p>
    <w:p w:rsidR="00836630" w:rsidRDefault="00836630" w:rsidP="00E546FB">
      <w:pPr>
        <w:spacing w:line="360" w:lineRule="auto"/>
      </w:pPr>
      <w:r>
        <w:lastRenderedPageBreak/>
        <w:tab/>
      </w:r>
      <w:r>
        <w:tab/>
        <w:t>The conduct at issue is of a less serious nature, also warranting a less severe civil penalty.  52 Pa. Code §69.1201(c)(2).</w:t>
      </w:r>
    </w:p>
    <w:p w:rsidR="00836630" w:rsidRDefault="00836630" w:rsidP="00E546FB">
      <w:pPr>
        <w:spacing w:line="360" w:lineRule="auto"/>
      </w:pPr>
    </w:p>
    <w:p w:rsidR="00836630" w:rsidRDefault="00836630" w:rsidP="00E546FB">
      <w:pPr>
        <w:spacing w:line="360" w:lineRule="auto"/>
      </w:pPr>
      <w:r>
        <w:tab/>
      </w:r>
      <w:r>
        <w:tab/>
        <w:t xml:space="preserve">The parties stipulated to the violation here and the amount of the civil penalty.  Consequently, the case was not litigated.  So by its terms, </w:t>
      </w:r>
      <w:r w:rsidR="009B13C4">
        <w:t>52 Pa. Code §69.1201(c)(3) is inapplicable.</w:t>
      </w:r>
    </w:p>
    <w:p w:rsidR="009B13C4" w:rsidRDefault="009B13C4" w:rsidP="00E546FB">
      <w:pPr>
        <w:spacing w:line="360" w:lineRule="auto"/>
      </w:pPr>
    </w:p>
    <w:p w:rsidR="009B13C4" w:rsidRDefault="009B13C4" w:rsidP="00E546FB">
      <w:pPr>
        <w:spacing w:line="360" w:lineRule="auto"/>
      </w:pPr>
      <w:r>
        <w:tab/>
      </w:r>
      <w:r>
        <w:tab/>
        <w:t xml:space="preserve">There is no evidence in this record to suggest the </w:t>
      </w:r>
      <w:r w:rsidRPr="00A32951">
        <w:t>regulated entity made efforts to modify internal practices and procedures to address the conduct at issue and prevent similar conduct in the future.</w:t>
      </w:r>
      <w:r>
        <w:t xml:space="preserve">  52 Pa. Code §69.1201(c)(4).</w:t>
      </w:r>
    </w:p>
    <w:p w:rsidR="009B13C4" w:rsidRDefault="009B13C4" w:rsidP="00E546FB">
      <w:pPr>
        <w:spacing w:line="360" w:lineRule="auto"/>
      </w:pPr>
    </w:p>
    <w:p w:rsidR="009B13C4" w:rsidRDefault="009B13C4" w:rsidP="00E546FB">
      <w:pPr>
        <w:spacing w:line="360" w:lineRule="auto"/>
      </w:pPr>
      <w:r>
        <w:tab/>
      </w:r>
      <w:r>
        <w:tab/>
        <w:t xml:space="preserve">No evidence suggests that any customers were affected or that this </w:t>
      </w:r>
      <w:r w:rsidR="00D3669E">
        <w:t xml:space="preserve">violation </w:t>
      </w:r>
      <w:r>
        <w:t>continued over a long period of time.  52 Pa. Code §69.1201(c)(5).</w:t>
      </w:r>
    </w:p>
    <w:p w:rsidR="00D3669E" w:rsidRDefault="00D3669E" w:rsidP="00E546FB">
      <w:pPr>
        <w:spacing w:line="360" w:lineRule="auto"/>
      </w:pPr>
    </w:p>
    <w:p w:rsidR="00D3669E" w:rsidRDefault="00D3669E" w:rsidP="00E546FB">
      <w:pPr>
        <w:spacing w:line="360" w:lineRule="auto"/>
      </w:pPr>
      <w:r>
        <w:tab/>
      </w:r>
      <w:r>
        <w:tab/>
        <w:t>No evidence was offered to suggest Respondent has a poor compliance history or that it engages in frequent, recurrent violations.</w:t>
      </w:r>
      <w:r>
        <w:rPr>
          <w:rStyle w:val="FootnoteReference"/>
        </w:rPr>
        <w:footnoteReference w:id="3"/>
      </w:r>
      <w:r>
        <w:t xml:space="preserve">  52 Pa. Code §69.1201(c)(6).</w:t>
      </w:r>
    </w:p>
    <w:p w:rsidR="007959D8" w:rsidRDefault="007959D8" w:rsidP="00E546FB">
      <w:pPr>
        <w:spacing w:line="360" w:lineRule="auto"/>
      </w:pPr>
    </w:p>
    <w:p w:rsidR="007959D8" w:rsidRDefault="00B307AF" w:rsidP="00E546FB">
      <w:pPr>
        <w:spacing w:line="360" w:lineRule="auto"/>
      </w:pPr>
      <w:r>
        <w:tab/>
      </w:r>
      <w:r>
        <w:tab/>
        <w:t>By stipulating to the violation charged here, Respondent has evidenced a willingness to cooperate with the Commission’s investigation.  52 Pa. Code §69.1201(c)(7).</w:t>
      </w:r>
    </w:p>
    <w:p w:rsidR="00B307AF" w:rsidRDefault="00B307AF" w:rsidP="00E546FB">
      <w:pPr>
        <w:spacing w:line="360" w:lineRule="auto"/>
      </w:pPr>
    </w:p>
    <w:p w:rsidR="00B307AF" w:rsidRDefault="00B307AF" w:rsidP="00E546FB">
      <w:pPr>
        <w:spacing w:line="360" w:lineRule="auto"/>
      </w:pPr>
      <w:r>
        <w:tab/>
      </w:r>
      <w:r>
        <w:tab/>
        <w:t>A less severe civil penalty appears sufficient to deter future violations.  52 Pa. Code §69.1201(c)(8).</w:t>
      </w:r>
    </w:p>
    <w:p w:rsidR="00B307AF" w:rsidRDefault="00B307AF" w:rsidP="00E546FB">
      <w:pPr>
        <w:spacing w:line="360" w:lineRule="auto"/>
      </w:pPr>
    </w:p>
    <w:p w:rsidR="00B307AF" w:rsidRDefault="00B307AF" w:rsidP="00E546FB">
      <w:pPr>
        <w:spacing w:line="360" w:lineRule="auto"/>
      </w:pPr>
      <w:r>
        <w:tab/>
      </w:r>
      <w:r>
        <w:tab/>
        <w:t xml:space="preserve">A $50 civil penalty appears </w:t>
      </w:r>
      <w:r w:rsidR="009C2B79">
        <w:t xml:space="preserve">to be </w:t>
      </w:r>
      <w:r w:rsidR="0013783D">
        <w:t xml:space="preserve">in </w:t>
      </w:r>
      <w:r w:rsidR="009C2B79">
        <w:t>line with prior Commission decisions in similar situations.  52 Pa. Code §69.1201(c)(9).</w:t>
      </w:r>
    </w:p>
    <w:p w:rsidR="009C2B79" w:rsidRDefault="009C2B79" w:rsidP="00E546FB">
      <w:pPr>
        <w:spacing w:line="360" w:lineRule="auto"/>
      </w:pPr>
    </w:p>
    <w:p w:rsidR="009C2B79" w:rsidRDefault="009C2B79" w:rsidP="00E546FB">
      <w:pPr>
        <w:spacing w:line="360" w:lineRule="auto"/>
      </w:pPr>
      <w:r>
        <w:tab/>
      </w:r>
      <w:r>
        <w:tab/>
        <w:t>52 Pa. Code §69.1201(c)(10) is inapplicable here.</w:t>
      </w:r>
    </w:p>
    <w:p w:rsidR="00C74F5A" w:rsidRDefault="00C74F5A" w:rsidP="00E546FB">
      <w:pPr>
        <w:spacing w:line="360" w:lineRule="auto"/>
      </w:pPr>
    </w:p>
    <w:p w:rsidR="00C74F5A" w:rsidRDefault="00C74F5A" w:rsidP="00E546FB">
      <w:pPr>
        <w:spacing w:line="360" w:lineRule="auto"/>
      </w:pPr>
      <w:r>
        <w:lastRenderedPageBreak/>
        <w:tab/>
      </w:r>
      <w:r>
        <w:tab/>
        <w:t>Therefore, Respondent will be directed to pay a $50 civil penalty for violating 52 Pa. Code §29.313(c).</w:t>
      </w:r>
    </w:p>
    <w:p w:rsidR="00C74F5A" w:rsidRDefault="00C74F5A" w:rsidP="00E546FB">
      <w:pPr>
        <w:spacing w:line="360" w:lineRule="auto"/>
      </w:pPr>
    </w:p>
    <w:p w:rsidR="00C74F5A" w:rsidRDefault="00A403D4" w:rsidP="00A403D4">
      <w:pPr>
        <w:spacing w:line="360" w:lineRule="auto"/>
        <w:jc w:val="center"/>
      </w:pPr>
      <w:r>
        <w:rPr>
          <w:u w:val="single"/>
        </w:rPr>
        <w:t>CONCLUSIONS OF LAW</w:t>
      </w:r>
    </w:p>
    <w:p w:rsidR="00A403D4" w:rsidRDefault="00A403D4" w:rsidP="00A403D4">
      <w:pPr>
        <w:spacing w:line="360" w:lineRule="auto"/>
      </w:pPr>
    </w:p>
    <w:p w:rsidR="00A403D4" w:rsidRDefault="00A403D4" w:rsidP="00A403D4">
      <w:pPr>
        <w:pStyle w:val="ListParagraph"/>
        <w:numPr>
          <w:ilvl w:val="0"/>
          <w:numId w:val="2"/>
        </w:numPr>
        <w:spacing w:line="360" w:lineRule="auto"/>
        <w:ind w:left="0" w:firstLine="1440"/>
      </w:pPr>
      <w:r w:rsidRPr="004B5919">
        <w:t xml:space="preserve">The Commission has jurisdiction over the subject matter and the parties to this proceeding.  66 Pa. C.S. §§501, </w:t>
      </w:r>
      <w:r w:rsidRPr="001830D0">
        <w:rPr>
          <w:i/>
        </w:rPr>
        <w:t>et seq</w:t>
      </w:r>
      <w:r w:rsidRPr="004B5919">
        <w:t>.</w:t>
      </w:r>
    </w:p>
    <w:p w:rsidR="00A403D4" w:rsidRDefault="00A403D4" w:rsidP="00A403D4">
      <w:pPr>
        <w:pStyle w:val="ListParagraph"/>
        <w:spacing w:line="360" w:lineRule="auto"/>
        <w:ind w:left="1440"/>
      </w:pPr>
    </w:p>
    <w:p w:rsidR="00A403D4" w:rsidRDefault="00A403D4" w:rsidP="00A403D4">
      <w:pPr>
        <w:pStyle w:val="ListParagraph"/>
        <w:numPr>
          <w:ilvl w:val="0"/>
          <w:numId w:val="2"/>
        </w:numPr>
        <w:spacing w:line="360" w:lineRule="auto"/>
        <w:ind w:left="0" w:firstLine="1440"/>
      </w:pPr>
      <w:r>
        <w:t>Respondent violated 52 Pa. Code §29.313(c) by failing to have a complete driver log sheet in its vehicle.</w:t>
      </w:r>
    </w:p>
    <w:p w:rsidR="00A403D4" w:rsidRDefault="00A403D4" w:rsidP="00A403D4">
      <w:pPr>
        <w:pStyle w:val="ListParagraph"/>
      </w:pPr>
    </w:p>
    <w:p w:rsidR="00A403D4" w:rsidRDefault="00A403D4" w:rsidP="00A403D4">
      <w:pPr>
        <w:pStyle w:val="ListParagraph"/>
        <w:numPr>
          <w:ilvl w:val="0"/>
          <w:numId w:val="2"/>
        </w:numPr>
        <w:spacing w:line="360" w:lineRule="auto"/>
        <w:ind w:left="0" w:firstLine="1440"/>
      </w:pPr>
      <w:r w:rsidRPr="005A2772">
        <w:t>Under the circumstances, imposition of a civil penalty of $50</w:t>
      </w:r>
      <w:r>
        <w:t xml:space="preserve"> </w:t>
      </w:r>
      <w:r w:rsidRPr="005A2772">
        <w:t xml:space="preserve">upon Respondent for violating </w:t>
      </w:r>
      <w:r>
        <w:t>52 Pa. Code §29.313(c)</w:t>
      </w:r>
      <w:r w:rsidRPr="005A2772">
        <w:t xml:space="preserve"> is warranted.  66 Pa. C.S. §3301.</w:t>
      </w:r>
    </w:p>
    <w:p w:rsidR="00A403D4" w:rsidRDefault="00A403D4" w:rsidP="00A403D4">
      <w:pPr>
        <w:pStyle w:val="ListParagraph"/>
      </w:pPr>
    </w:p>
    <w:p w:rsidR="00A403D4" w:rsidRDefault="0056709B" w:rsidP="0056709B">
      <w:pPr>
        <w:spacing w:line="360" w:lineRule="auto"/>
        <w:jc w:val="center"/>
      </w:pPr>
      <w:r>
        <w:rPr>
          <w:u w:val="single"/>
        </w:rPr>
        <w:t>ORDER</w:t>
      </w:r>
    </w:p>
    <w:p w:rsidR="0056709B" w:rsidRDefault="0056709B" w:rsidP="0056709B">
      <w:pPr>
        <w:spacing w:line="360" w:lineRule="auto"/>
      </w:pPr>
    </w:p>
    <w:p w:rsidR="0056709B" w:rsidRDefault="0056709B" w:rsidP="0056709B">
      <w:pPr>
        <w:spacing w:line="360" w:lineRule="auto"/>
      </w:pPr>
      <w:r>
        <w:tab/>
      </w:r>
      <w:r>
        <w:tab/>
        <w:t>THEREFORE,</w:t>
      </w:r>
    </w:p>
    <w:p w:rsidR="0056709B" w:rsidRDefault="0056709B" w:rsidP="0056709B">
      <w:pPr>
        <w:spacing w:line="360" w:lineRule="auto"/>
      </w:pPr>
    </w:p>
    <w:p w:rsidR="0056709B" w:rsidRDefault="0056709B" w:rsidP="0056709B">
      <w:pPr>
        <w:spacing w:line="360" w:lineRule="auto"/>
      </w:pPr>
      <w:r>
        <w:tab/>
      </w:r>
      <w:r>
        <w:tab/>
        <w:t>IT IS ORDERED:</w:t>
      </w:r>
    </w:p>
    <w:p w:rsidR="0056709B" w:rsidRDefault="0056709B" w:rsidP="0056709B">
      <w:pPr>
        <w:spacing w:line="360" w:lineRule="auto"/>
      </w:pPr>
    </w:p>
    <w:p w:rsidR="0056709B" w:rsidRDefault="0056709B" w:rsidP="0056709B">
      <w:pPr>
        <w:pStyle w:val="ListParagraph"/>
        <w:numPr>
          <w:ilvl w:val="0"/>
          <w:numId w:val="3"/>
        </w:numPr>
        <w:spacing w:line="360" w:lineRule="auto"/>
        <w:ind w:left="0" w:firstLine="1440"/>
      </w:pPr>
      <w:r>
        <w:t xml:space="preserve">That the complaint of the </w:t>
      </w:r>
      <w:r w:rsidRPr="004F20ED">
        <w:t>Pennsylvania Public Utility Commission</w:t>
      </w:r>
      <w:r>
        <w:t xml:space="preserve">, </w:t>
      </w:r>
      <w:r w:rsidRPr="004F20ED">
        <w:t>Bureau of Transportation and Safety</w:t>
      </w:r>
      <w:r>
        <w:t xml:space="preserve"> against</w:t>
      </w:r>
      <w:r w:rsidRPr="00E62AF2">
        <w:t xml:space="preserve"> </w:t>
      </w:r>
      <w:r>
        <w:t>the Yellow Cab Company of Pittsburgh at Docket No. </w:t>
      </w:r>
      <w:r w:rsidRPr="004F20ED">
        <w:t>C-</w:t>
      </w:r>
      <w:r>
        <w:t xml:space="preserve">2011-2211682 is hereby granted in part and denied in part.  The complaint is hereby granted to the extent it </w:t>
      </w:r>
      <w:r w:rsidR="00350F53">
        <w:t xml:space="preserve">charges </w:t>
      </w:r>
      <w:r>
        <w:t xml:space="preserve">a violation of Section 29.313(c) of </w:t>
      </w:r>
      <w:r w:rsidR="001E0E54">
        <w:t xml:space="preserve">Title 52 of </w:t>
      </w:r>
      <w:r>
        <w:t>the Pennsylvania Code,</w:t>
      </w:r>
      <w:r w:rsidRPr="0056709B">
        <w:t xml:space="preserve"> </w:t>
      </w:r>
      <w:r>
        <w:t>52 Pa. Code §29.313(c).  In all other respects, the complaint is hereby denied.</w:t>
      </w:r>
    </w:p>
    <w:p w:rsidR="001E0E54" w:rsidRDefault="001E0E54" w:rsidP="001E0E54">
      <w:pPr>
        <w:pStyle w:val="ListParagraph"/>
        <w:spacing w:line="360" w:lineRule="auto"/>
        <w:ind w:left="1440"/>
      </w:pPr>
    </w:p>
    <w:p w:rsidR="001E0E54" w:rsidRDefault="006A30D3" w:rsidP="0056709B">
      <w:pPr>
        <w:pStyle w:val="ListParagraph"/>
        <w:numPr>
          <w:ilvl w:val="0"/>
          <w:numId w:val="3"/>
        </w:numPr>
        <w:spacing w:line="360" w:lineRule="auto"/>
        <w:ind w:left="0" w:firstLine="1440"/>
      </w:pPr>
      <w:r w:rsidRPr="00BC287F">
        <w:t>That Respondent</w:t>
      </w:r>
      <w:r>
        <w:t>, Yellow Cab Company of Pittsburgh,</w:t>
      </w:r>
      <w:r w:rsidRPr="00BC287F">
        <w:t xml:space="preserve"> is hereby directed to pay a civil penalty of </w:t>
      </w:r>
      <w:r>
        <w:t>fifty</w:t>
      </w:r>
      <w:r w:rsidRPr="00BC287F">
        <w:t xml:space="preserve"> dollars ($50) pursuant to Sections 3301 and 3315 of the Public Utility Code, 66 Pa. C.S. §§3301 &amp; 3315, by sending a certified check or money order within </w:t>
      </w:r>
      <w:r>
        <w:t xml:space="preserve">thirty </w:t>
      </w:r>
      <w:r w:rsidRPr="00BC287F">
        <w:t>(</w:t>
      </w:r>
      <w:r>
        <w:t>30</w:t>
      </w:r>
      <w:r w:rsidRPr="00BC287F">
        <w:t xml:space="preserve">) days </w:t>
      </w:r>
      <w:r>
        <w:t xml:space="preserve">of entry </w:t>
      </w:r>
      <w:r w:rsidRPr="00BC287F">
        <w:t>of the Commission’s Order in this case to:</w:t>
      </w:r>
    </w:p>
    <w:p w:rsidR="006A30D3" w:rsidRDefault="00452B6A" w:rsidP="00452B6A">
      <w:pPr>
        <w:ind w:left="2880"/>
      </w:pPr>
      <w:r w:rsidRPr="00BC287F">
        <w:lastRenderedPageBreak/>
        <w:t>Pennsylvania Public Utility Commission</w:t>
      </w:r>
    </w:p>
    <w:p w:rsidR="00452B6A" w:rsidRDefault="00452B6A" w:rsidP="00452B6A">
      <w:pPr>
        <w:ind w:left="2880"/>
      </w:pPr>
      <w:r w:rsidRPr="00BC287F">
        <w:t>P.O. Box 3265</w:t>
      </w:r>
    </w:p>
    <w:p w:rsidR="00452B6A" w:rsidRDefault="00452B6A" w:rsidP="00452B6A">
      <w:pPr>
        <w:ind w:left="2880"/>
      </w:pPr>
      <w:r w:rsidRPr="00BC287F">
        <w:t>Harrisburg, PA 17105-3265</w:t>
      </w:r>
    </w:p>
    <w:p w:rsidR="00452B6A" w:rsidRDefault="00452B6A" w:rsidP="00452B6A"/>
    <w:p w:rsidR="00452B6A" w:rsidRDefault="00452B6A" w:rsidP="00452B6A"/>
    <w:p w:rsidR="00452B6A" w:rsidRDefault="00294E68" w:rsidP="00294E68">
      <w:pPr>
        <w:pStyle w:val="ListParagraph"/>
        <w:numPr>
          <w:ilvl w:val="0"/>
          <w:numId w:val="5"/>
        </w:numPr>
        <w:spacing w:line="360" w:lineRule="auto"/>
        <w:ind w:left="0" w:firstLine="1440"/>
      </w:pPr>
      <w:r w:rsidRPr="001830D0">
        <w:t xml:space="preserve">That Respondent is hereby directed to cease and desist from further violations of the Public Utility Code, 66 Pa. C.S. §§101, </w:t>
      </w:r>
      <w:r w:rsidRPr="005830CE">
        <w:rPr>
          <w:i/>
        </w:rPr>
        <w:t>et seq.</w:t>
      </w:r>
      <w:r w:rsidRPr="001830D0">
        <w:t>, and the regulations of this Commission, 52 </w:t>
      </w:r>
      <w:smartTag w:uri="urn:schemas-microsoft-com:office:smarttags" w:element="place">
        <w:smartTag w:uri="urn:schemas-microsoft-com:office:smarttags" w:element="State">
          <w:r w:rsidRPr="001830D0">
            <w:t>Pa.</w:t>
          </w:r>
        </w:smartTag>
      </w:smartTag>
      <w:r w:rsidRPr="001830D0">
        <w:t xml:space="preserve"> Code §§1.1, </w:t>
      </w:r>
      <w:r w:rsidRPr="005830CE">
        <w:rPr>
          <w:i/>
        </w:rPr>
        <w:t>et seq</w:t>
      </w:r>
      <w:r>
        <w:t>.</w:t>
      </w:r>
    </w:p>
    <w:p w:rsidR="00294E68" w:rsidRDefault="00294E68" w:rsidP="00294E68">
      <w:pPr>
        <w:spacing w:line="360" w:lineRule="auto"/>
      </w:pPr>
    </w:p>
    <w:p w:rsidR="00294E68" w:rsidRDefault="00294E68" w:rsidP="00294E68">
      <w:pPr>
        <w:spacing w:line="360" w:lineRule="auto"/>
      </w:pPr>
    </w:p>
    <w:p w:rsidR="00294E68" w:rsidRDefault="00294E68" w:rsidP="00294E68">
      <w:r>
        <w:t xml:space="preserve">Date:  </w:t>
      </w:r>
      <w:r>
        <w:rPr>
          <w:u w:val="single"/>
        </w:rPr>
        <w:t xml:space="preserve">March </w:t>
      </w:r>
      <w:r w:rsidR="00764457">
        <w:rPr>
          <w:u w:val="single"/>
        </w:rPr>
        <w:t>22</w:t>
      </w:r>
      <w:r>
        <w:rPr>
          <w:u w:val="single"/>
        </w:rPr>
        <w:t>, 2012</w:t>
      </w:r>
      <w:r>
        <w:tab/>
      </w:r>
      <w:r>
        <w:tab/>
      </w:r>
      <w:r>
        <w:tab/>
      </w:r>
      <w:r>
        <w:tab/>
      </w:r>
      <w:r>
        <w:rPr>
          <w:u w:val="single"/>
        </w:rPr>
        <w:tab/>
      </w:r>
      <w:r>
        <w:rPr>
          <w:u w:val="single"/>
        </w:rPr>
        <w:tab/>
      </w:r>
      <w:r>
        <w:rPr>
          <w:u w:val="single"/>
        </w:rPr>
        <w:tab/>
      </w:r>
      <w:r>
        <w:rPr>
          <w:u w:val="single"/>
        </w:rPr>
        <w:tab/>
      </w:r>
      <w:r>
        <w:rPr>
          <w:u w:val="single"/>
        </w:rPr>
        <w:tab/>
      </w:r>
      <w:r>
        <w:rPr>
          <w:u w:val="single"/>
        </w:rPr>
        <w:tab/>
      </w:r>
    </w:p>
    <w:p w:rsidR="00294E68" w:rsidRDefault="00294E68" w:rsidP="00294E68">
      <w:r>
        <w:tab/>
      </w:r>
      <w:r>
        <w:tab/>
      </w:r>
      <w:r>
        <w:tab/>
      </w:r>
      <w:r>
        <w:tab/>
      </w:r>
      <w:r>
        <w:tab/>
      </w:r>
      <w:r>
        <w:tab/>
      </w:r>
      <w:r>
        <w:tab/>
        <w:t>John H. Corbett, Jr.</w:t>
      </w:r>
    </w:p>
    <w:p w:rsidR="00294E68" w:rsidRDefault="00294E68" w:rsidP="00294E68">
      <w:r>
        <w:tab/>
      </w:r>
      <w:r>
        <w:tab/>
      </w:r>
      <w:r>
        <w:tab/>
      </w:r>
      <w:r>
        <w:tab/>
      </w:r>
      <w:r>
        <w:tab/>
      </w:r>
      <w:r>
        <w:tab/>
      </w:r>
      <w:r>
        <w:tab/>
        <w:t>Administrative Law Judge</w:t>
      </w:r>
    </w:p>
    <w:p w:rsidR="00294E68" w:rsidRPr="00294E68" w:rsidRDefault="00294E68" w:rsidP="00294E68"/>
    <w:sectPr w:rsidR="00294E68" w:rsidRPr="00294E68" w:rsidSect="008A53F1">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37A" w:rsidRDefault="0021337A" w:rsidP="00D97263">
      <w:r>
        <w:separator/>
      </w:r>
    </w:p>
  </w:endnote>
  <w:endnote w:type="continuationSeparator" w:id="0">
    <w:p w:rsidR="0021337A" w:rsidRDefault="0021337A" w:rsidP="00D9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7991"/>
      <w:docPartObj>
        <w:docPartGallery w:val="Page Numbers (Bottom of Page)"/>
        <w:docPartUnique/>
      </w:docPartObj>
    </w:sdtPr>
    <w:sdtEndPr>
      <w:rPr>
        <w:noProof/>
      </w:rPr>
    </w:sdtEndPr>
    <w:sdtContent>
      <w:p w:rsidR="001164A8" w:rsidRDefault="001164A8">
        <w:pPr>
          <w:pStyle w:val="Footer"/>
          <w:jc w:val="center"/>
        </w:pPr>
        <w:r>
          <w:fldChar w:fldCharType="begin"/>
        </w:r>
        <w:r>
          <w:instrText xml:space="preserve"> PAGE   \* MERGEFORMAT </w:instrText>
        </w:r>
        <w:r>
          <w:fldChar w:fldCharType="separate"/>
        </w:r>
        <w:r w:rsidR="001F1F08">
          <w:rPr>
            <w:noProof/>
          </w:rPr>
          <w:t>8</w:t>
        </w:r>
        <w:r>
          <w:rPr>
            <w:noProof/>
          </w:rPr>
          <w:fldChar w:fldCharType="end"/>
        </w:r>
      </w:p>
    </w:sdtContent>
  </w:sdt>
  <w:p w:rsidR="001164A8" w:rsidRDefault="00116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37A" w:rsidRDefault="0021337A" w:rsidP="00D97263">
      <w:r>
        <w:separator/>
      </w:r>
    </w:p>
  </w:footnote>
  <w:footnote w:type="continuationSeparator" w:id="0">
    <w:p w:rsidR="0021337A" w:rsidRDefault="0021337A" w:rsidP="00D97263">
      <w:r>
        <w:continuationSeparator/>
      </w:r>
    </w:p>
  </w:footnote>
  <w:footnote w:id="1">
    <w:p w:rsidR="00D97263" w:rsidRDefault="00D97263" w:rsidP="00574946">
      <w:pPr>
        <w:pStyle w:val="FootnoteText"/>
        <w:ind w:firstLine="720"/>
      </w:pPr>
      <w:r>
        <w:rPr>
          <w:rStyle w:val="FootnoteReference"/>
        </w:rPr>
        <w:footnoteRef/>
      </w:r>
      <w:r>
        <w:t xml:space="preserve"> </w:t>
      </w:r>
      <w:r>
        <w:tab/>
        <w:t>As part of the overall reorganization of the Commission in August 2011, the BTS was subsumed in the new Bureau of Investigation and Enforcement (“BIE”).</w:t>
      </w:r>
    </w:p>
  </w:footnote>
  <w:footnote w:id="2">
    <w:p w:rsidR="006408ED" w:rsidRDefault="006408ED" w:rsidP="006408ED">
      <w:pPr>
        <w:pStyle w:val="FootnoteText"/>
        <w:ind w:firstLine="720"/>
      </w:pPr>
      <w:r>
        <w:rPr>
          <w:rStyle w:val="FootnoteReference"/>
        </w:rPr>
        <w:footnoteRef/>
      </w:r>
      <w:r>
        <w:t xml:space="preserve"> </w:t>
      </w:r>
      <w:r>
        <w:tab/>
        <w:t xml:space="preserve">A second BTS complaint against Respondent at Docket No. C-2010-2180244 was also heard at that time.  These cases </w:t>
      </w:r>
      <w:r w:rsidR="00B21021">
        <w:t xml:space="preserve">are </w:t>
      </w:r>
      <w:r>
        <w:t>unrelated</w:t>
      </w:r>
      <w:r w:rsidR="00B21021">
        <w:t>, except for the same parties,</w:t>
      </w:r>
      <w:r>
        <w:t xml:space="preserve"> and have not been consolidated for decision.</w:t>
      </w:r>
    </w:p>
  </w:footnote>
  <w:footnote w:id="3">
    <w:p w:rsidR="00D3669E" w:rsidRDefault="00D3669E" w:rsidP="00D3669E">
      <w:pPr>
        <w:pStyle w:val="FootnoteText"/>
        <w:ind w:firstLine="720"/>
      </w:pPr>
      <w:r>
        <w:rPr>
          <w:rStyle w:val="FootnoteReference"/>
        </w:rPr>
        <w:footnoteRef/>
      </w:r>
      <w:r>
        <w:t xml:space="preserve"> </w:t>
      </w:r>
      <w:r>
        <w:tab/>
        <w:t xml:space="preserve">Although, see the </w:t>
      </w:r>
      <w:r w:rsidR="007959D8">
        <w:t xml:space="preserve">complaint </w:t>
      </w:r>
      <w:r>
        <w:t xml:space="preserve">at Docket No. </w:t>
      </w:r>
      <w:r w:rsidR="007959D8">
        <w:t>C-2010-2180244, which also raised a violation of 52 </w:t>
      </w:r>
      <w:r w:rsidR="007959D8" w:rsidRPr="007959D8">
        <w:t>Pa. Code §29.313(c)</w:t>
      </w:r>
      <w:r w:rsidR="007959D8">
        <w:t xml:space="preserve"> and was heard on January 18, 2012.</w:t>
      </w:r>
      <w:r w:rsidR="0056709B">
        <w:t xml:space="preserve">  The parties also stipulated to that violation (N.T.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B7591"/>
    <w:multiLevelType w:val="hybridMultilevel"/>
    <w:tmpl w:val="391EC1FC"/>
    <w:lvl w:ilvl="0" w:tplc="DC3C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25A71"/>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74816"/>
    <w:multiLevelType w:val="hybridMultilevel"/>
    <w:tmpl w:val="5A86180C"/>
    <w:lvl w:ilvl="0" w:tplc="26FE29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44904"/>
    <w:multiLevelType w:val="hybridMultilevel"/>
    <w:tmpl w:val="2112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2A010C"/>
    <w:multiLevelType w:val="hybridMultilevel"/>
    <w:tmpl w:val="5D8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84E1C39-CBC1-4297-9708-F17A67F2DCD4}"/>
    <w:docVar w:name="dgnword-eventsink" w:val="95814072"/>
  </w:docVars>
  <w:rsids>
    <w:rsidRoot w:val="00D97263"/>
    <w:rsid w:val="00002B62"/>
    <w:rsid w:val="00002E71"/>
    <w:rsid w:val="0000610B"/>
    <w:rsid w:val="0001444C"/>
    <w:rsid w:val="000158F5"/>
    <w:rsid w:val="00015C87"/>
    <w:rsid w:val="000200B5"/>
    <w:rsid w:val="00022031"/>
    <w:rsid w:val="00022664"/>
    <w:rsid w:val="00023CEE"/>
    <w:rsid w:val="00024AA5"/>
    <w:rsid w:val="00027171"/>
    <w:rsid w:val="00027695"/>
    <w:rsid w:val="00027E4C"/>
    <w:rsid w:val="0003505B"/>
    <w:rsid w:val="00035D88"/>
    <w:rsid w:val="000404B5"/>
    <w:rsid w:val="00041450"/>
    <w:rsid w:val="00041943"/>
    <w:rsid w:val="00042860"/>
    <w:rsid w:val="00044944"/>
    <w:rsid w:val="0004591A"/>
    <w:rsid w:val="00047F6E"/>
    <w:rsid w:val="0005471E"/>
    <w:rsid w:val="00056339"/>
    <w:rsid w:val="00063896"/>
    <w:rsid w:val="00065031"/>
    <w:rsid w:val="0006554F"/>
    <w:rsid w:val="00067C8F"/>
    <w:rsid w:val="00070D98"/>
    <w:rsid w:val="000716B7"/>
    <w:rsid w:val="000767FF"/>
    <w:rsid w:val="0008135A"/>
    <w:rsid w:val="0008257A"/>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1A25"/>
    <w:rsid w:val="00114A5C"/>
    <w:rsid w:val="00114D69"/>
    <w:rsid w:val="001163B8"/>
    <w:rsid w:val="001164A8"/>
    <w:rsid w:val="00117158"/>
    <w:rsid w:val="0012337D"/>
    <w:rsid w:val="00126555"/>
    <w:rsid w:val="0013358A"/>
    <w:rsid w:val="001336B2"/>
    <w:rsid w:val="0013746C"/>
    <w:rsid w:val="0013783D"/>
    <w:rsid w:val="00140ED5"/>
    <w:rsid w:val="001422C9"/>
    <w:rsid w:val="0014695E"/>
    <w:rsid w:val="00147A1C"/>
    <w:rsid w:val="00150F38"/>
    <w:rsid w:val="00151828"/>
    <w:rsid w:val="00152DD8"/>
    <w:rsid w:val="001534FA"/>
    <w:rsid w:val="00153BB2"/>
    <w:rsid w:val="001551FE"/>
    <w:rsid w:val="00155E3F"/>
    <w:rsid w:val="00157F7C"/>
    <w:rsid w:val="00163667"/>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E0E54"/>
    <w:rsid w:val="001E13F6"/>
    <w:rsid w:val="001E4606"/>
    <w:rsid w:val="001E480F"/>
    <w:rsid w:val="001E49BB"/>
    <w:rsid w:val="001E6948"/>
    <w:rsid w:val="001E6AC2"/>
    <w:rsid w:val="001E7A10"/>
    <w:rsid w:val="001F1F08"/>
    <w:rsid w:val="001F1F9D"/>
    <w:rsid w:val="001F1FC5"/>
    <w:rsid w:val="001F5E84"/>
    <w:rsid w:val="001F73E8"/>
    <w:rsid w:val="002002ED"/>
    <w:rsid w:val="00202271"/>
    <w:rsid w:val="00205676"/>
    <w:rsid w:val="0020746B"/>
    <w:rsid w:val="002107F3"/>
    <w:rsid w:val="00212F85"/>
    <w:rsid w:val="0021337A"/>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92413"/>
    <w:rsid w:val="00292C52"/>
    <w:rsid w:val="0029312D"/>
    <w:rsid w:val="00294E68"/>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201A"/>
    <w:rsid w:val="003367D1"/>
    <w:rsid w:val="003413E4"/>
    <w:rsid w:val="00343DF7"/>
    <w:rsid w:val="00344BBD"/>
    <w:rsid w:val="00347D4D"/>
    <w:rsid w:val="00350F53"/>
    <w:rsid w:val="00354367"/>
    <w:rsid w:val="003560A1"/>
    <w:rsid w:val="003567DC"/>
    <w:rsid w:val="0036055F"/>
    <w:rsid w:val="00363FC4"/>
    <w:rsid w:val="00364892"/>
    <w:rsid w:val="00372BCE"/>
    <w:rsid w:val="00375FC7"/>
    <w:rsid w:val="00376FD2"/>
    <w:rsid w:val="00377219"/>
    <w:rsid w:val="00383E9E"/>
    <w:rsid w:val="00386EC2"/>
    <w:rsid w:val="003914A1"/>
    <w:rsid w:val="003915CD"/>
    <w:rsid w:val="003928FD"/>
    <w:rsid w:val="00393A51"/>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E5628"/>
    <w:rsid w:val="003E5D1E"/>
    <w:rsid w:val="003F100E"/>
    <w:rsid w:val="003F347A"/>
    <w:rsid w:val="003F69AF"/>
    <w:rsid w:val="003F69C5"/>
    <w:rsid w:val="0040464B"/>
    <w:rsid w:val="00405757"/>
    <w:rsid w:val="00407E2D"/>
    <w:rsid w:val="00415484"/>
    <w:rsid w:val="0041758B"/>
    <w:rsid w:val="00417A48"/>
    <w:rsid w:val="00417FB9"/>
    <w:rsid w:val="00423158"/>
    <w:rsid w:val="004255AD"/>
    <w:rsid w:val="00425F5E"/>
    <w:rsid w:val="00426A32"/>
    <w:rsid w:val="00427446"/>
    <w:rsid w:val="00427731"/>
    <w:rsid w:val="00431ED9"/>
    <w:rsid w:val="0043213F"/>
    <w:rsid w:val="004345F2"/>
    <w:rsid w:val="00441E8C"/>
    <w:rsid w:val="00443FC3"/>
    <w:rsid w:val="00444F84"/>
    <w:rsid w:val="00447594"/>
    <w:rsid w:val="00447DAD"/>
    <w:rsid w:val="00451BB3"/>
    <w:rsid w:val="00452B6A"/>
    <w:rsid w:val="00454A55"/>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3A0D"/>
    <w:rsid w:val="00513E78"/>
    <w:rsid w:val="005208CC"/>
    <w:rsid w:val="00520B4D"/>
    <w:rsid w:val="00522F41"/>
    <w:rsid w:val="005235D3"/>
    <w:rsid w:val="005245B1"/>
    <w:rsid w:val="00526125"/>
    <w:rsid w:val="0052693F"/>
    <w:rsid w:val="005319D7"/>
    <w:rsid w:val="00543716"/>
    <w:rsid w:val="00544B49"/>
    <w:rsid w:val="005463A9"/>
    <w:rsid w:val="00546F57"/>
    <w:rsid w:val="005474D6"/>
    <w:rsid w:val="0055234E"/>
    <w:rsid w:val="00553A47"/>
    <w:rsid w:val="00562BF1"/>
    <w:rsid w:val="0056301D"/>
    <w:rsid w:val="0056709B"/>
    <w:rsid w:val="00570686"/>
    <w:rsid w:val="0057174D"/>
    <w:rsid w:val="00574946"/>
    <w:rsid w:val="005756A2"/>
    <w:rsid w:val="005756F9"/>
    <w:rsid w:val="00575B38"/>
    <w:rsid w:val="00576844"/>
    <w:rsid w:val="005773BD"/>
    <w:rsid w:val="00580C5C"/>
    <w:rsid w:val="0058134C"/>
    <w:rsid w:val="00581E78"/>
    <w:rsid w:val="0058593F"/>
    <w:rsid w:val="00590615"/>
    <w:rsid w:val="005923C7"/>
    <w:rsid w:val="005945F6"/>
    <w:rsid w:val="0059466F"/>
    <w:rsid w:val="00595C07"/>
    <w:rsid w:val="005963C4"/>
    <w:rsid w:val="005A127F"/>
    <w:rsid w:val="005A560D"/>
    <w:rsid w:val="005B0099"/>
    <w:rsid w:val="005B04D0"/>
    <w:rsid w:val="005B4EAA"/>
    <w:rsid w:val="005B7AAB"/>
    <w:rsid w:val="005C2DEE"/>
    <w:rsid w:val="005C36FF"/>
    <w:rsid w:val="005C5138"/>
    <w:rsid w:val="005C5ED9"/>
    <w:rsid w:val="005C6FAE"/>
    <w:rsid w:val="005D141F"/>
    <w:rsid w:val="005D45C9"/>
    <w:rsid w:val="005D5EE7"/>
    <w:rsid w:val="005E3C0F"/>
    <w:rsid w:val="005E45BD"/>
    <w:rsid w:val="005E6C7E"/>
    <w:rsid w:val="005F4331"/>
    <w:rsid w:val="005F4AA1"/>
    <w:rsid w:val="0060255E"/>
    <w:rsid w:val="00603FCF"/>
    <w:rsid w:val="006050C5"/>
    <w:rsid w:val="00605A5C"/>
    <w:rsid w:val="00606573"/>
    <w:rsid w:val="00611B45"/>
    <w:rsid w:val="00613DA8"/>
    <w:rsid w:val="00614058"/>
    <w:rsid w:val="00614B07"/>
    <w:rsid w:val="006168E8"/>
    <w:rsid w:val="00616EF1"/>
    <w:rsid w:val="0062040F"/>
    <w:rsid w:val="00622936"/>
    <w:rsid w:val="0062391C"/>
    <w:rsid w:val="0062694E"/>
    <w:rsid w:val="00631809"/>
    <w:rsid w:val="00631CED"/>
    <w:rsid w:val="006352C1"/>
    <w:rsid w:val="00635E6D"/>
    <w:rsid w:val="00636172"/>
    <w:rsid w:val="0064016B"/>
    <w:rsid w:val="006408ED"/>
    <w:rsid w:val="006503D8"/>
    <w:rsid w:val="0065128E"/>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4B4C"/>
    <w:rsid w:val="006A1BB3"/>
    <w:rsid w:val="006A30D3"/>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8E0"/>
    <w:rsid w:val="00705235"/>
    <w:rsid w:val="007107AD"/>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4457"/>
    <w:rsid w:val="00766C21"/>
    <w:rsid w:val="0077010C"/>
    <w:rsid w:val="00770452"/>
    <w:rsid w:val="00781BAD"/>
    <w:rsid w:val="007854CF"/>
    <w:rsid w:val="00787B82"/>
    <w:rsid w:val="007900D4"/>
    <w:rsid w:val="007959D8"/>
    <w:rsid w:val="00796F08"/>
    <w:rsid w:val="007A0FA3"/>
    <w:rsid w:val="007A1A4C"/>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2B59"/>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63BD"/>
    <w:rsid w:val="00836630"/>
    <w:rsid w:val="00836A1D"/>
    <w:rsid w:val="00837349"/>
    <w:rsid w:val="008433EA"/>
    <w:rsid w:val="00844572"/>
    <w:rsid w:val="008461EA"/>
    <w:rsid w:val="00847619"/>
    <w:rsid w:val="008527AF"/>
    <w:rsid w:val="00853982"/>
    <w:rsid w:val="00854310"/>
    <w:rsid w:val="0085796E"/>
    <w:rsid w:val="00860CE9"/>
    <w:rsid w:val="00870493"/>
    <w:rsid w:val="008733F2"/>
    <w:rsid w:val="008739F3"/>
    <w:rsid w:val="00875888"/>
    <w:rsid w:val="008767AF"/>
    <w:rsid w:val="00877335"/>
    <w:rsid w:val="00881A7C"/>
    <w:rsid w:val="00884320"/>
    <w:rsid w:val="00885412"/>
    <w:rsid w:val="0089092B"/>
    <w:rsid w:val="00890FD6"/>
    <w:rsid w:val="0089104A"/>
    <w:rsid w:val="00891D27"/>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F6929"/>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13C4"/>
    <w:rsid w:val="009B3268"/>
    <w:rsid w:val="009B5FBB"/>
    <w:rsid w:val="009B64C4"/>
    <w:rsid w:val="009C2B79"/>
    <w:rsid w:val="009D0659"/>
    <w:rsid w:val="009D080B"/>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1254"/>
    <w:rsid w:val="00A0320E"/>
    <w:rsid w:val="00A12944"/>
    <w:rsid w:val="00A14EFC"/>
    <w:rsid w:val="00A1691E"/>
    <w:rsid w:val="00A22BE0"/>
    <w:rsid w:val="00A22FF3"/>
    <w:rsid w:val="00A2365D"/>
    <w:rsid w:val="00A24357"/>
    <w:rsid w:val="00A24980"/>
    <w:rsid w:val="00A24C4F"/>
    <w:rsid w:val="00A2719F"/>
    <w:rsid w:val="00A312B8"/>
    <w:rsid w:val="00A32C82"/>
    <w:rsid w:val="00A33A9C"/>
    <w:rsid w:val="00A3408C"/>
    <w:rsid w:val="00A35315"/>
    <w:rsid w:val="00A403D4"/>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2BD0"/>
    <w:rsid w:val="00AC3607"/>
    <w:rsid w:val="00AC54FF"/>
    <w:rsid w:val="00AC7B96"/>
    <w:rsid w:val="00AD066A"/>
    <w:rsid w:val="00AD069F"/>
    <w:rsid w:val="00AD6C0F"/>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021"/>
    <w:rsid w:val="00B21B7C"/>
    <w:rsid w:val="00B22AC5"/>
    <w:rsid w:val="00B24C6D"/>
    <w:rsid w:val="00B273CB"/>
    <w:rsid w:val="00B307AF"/>
    <w:rsid w:val="00B323F0"/>
    <w:rsid w:val="00B34146"/>
    <w:rsid w:val="00B3465A"/>
    <w:rsid w:val="00B37E41"/>
    <w:rsid w:val="00B43E1A"/>
    <w:rsid w:val="00B47709"/>
    <w:rsid w:val="00B50794"/>
    <w:rsid w:val="00B51639"/>
    <w:rsid w:val="00B51738"/>
    <w:rsid w:val="00B51E90"/>
    <w:rsid w:val="00B57380"/>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B1F"/>
    <w:rsid w:val="00BA66B1"/>
    <w:rsid w:val="00BA6EBC"/>
    <w:rsid w:val="00BA750D"/>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079"/>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69E5"/>
    <w:rsid w:val="00C679CE"/>
    <w:rsid w:val="00C704C9"/>
    <w:rsid w:val="00C71914"/>
    <w:rsid w:val="00C74F5A"/>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2216"/>
    <w:rsid w:val="00D25F59"/>
    <w:rsid w:val="00D266C2"/>
    <w:rsid w:val="00D3255C"/>
    <w:rsid w:val="00D3420E"/>
    <w:rsid w:val="00D3478E"/>
    <w:rsid w:val="00D356CF"/>
    <w:rsid w:val="00D3669E"/>
    <w:rsid w:val="00D4206A"/>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3B84"/>
    <w:rsid w:val="00D969EB"/>
    <w:rsid w:val="00D97263"/>
    <w:rsid w:val="00D974FF"/>
    <w:rsid w:val="00DA0270"/>
    <w:rsid w:val="00DA04D6"/>
    <w:rsid w:val="00DA06FC"/>
    <w:rsid w:val="00DA1A80"/>
    <w:rsid w:val="00DA4BFE"/>
    <w:rsid w:val="00DA56F0"/>
    <w:rsid w:val="00DA5F0B"/>
    <w:rsid w:val="00DA7A60"/>
    <w:rsid w:val="00DB4818"/>
    <w:rsid w:val="00DB5F13"/>
    <w:rsid w:val="00DC5B32"/>
    <w:rsid w:val="00DD173D"/>
    <w:rsid w:val="00DD40C0"/>
    <w:rsid w:val="00DE0A3F"/>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779"/>
    <w:rsid w:val="00E53C53"/>
    <w:rsid w:val="00E546FB"/>
    <w:rsid w:val="00E553D5"/>
    <w:rsid w:val="00E56ADF"/>
    <w:rsid w:val="00E626F1"/>
    <w:rsid w:val="00E641A6"/>
    <w:rsid w:val="00E65624"/>
    <w:rsid w:val="00E6714F"/>
    <w:rsid w:val="00E705D3"/>
    <w:rsid w:val="00E7317F"/>
    <w:rsid w:val="00E73276"/>
    <w:rsid w:val="00E737FA"/>
    <w:rsid w:val="00E76ACE"/>
    <w:rsid w:val="00E84012"/>
    <w:rsid w:val="00E861DA"/>
    <w:rsid w:val="00E86364"/>
    <w:rsid w:val="00E904E5"/>
    <w:rsid w:val="00E959E8"/>
    <w:rsid w:val="00E96A0E"/>
    <w:rsid w:val="00EA174A"/>
    <w:rsid w:val="00EA18D9"/>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55A2"/>
    <w:rsid w:val="00EE010A"/>
    <w:rsid w:val="00EE5B1A"/>
    <w:rsid w:val="00EF0A65"/>
    <w:rsid w:val="00EF12CB"/>
    <w:rsid w:val="00EF331C"/>
    <w:rsid w:val="00EF3332"/>
    <w:rsid w:val="00EF41AC"/>
    <w:rsid w:val="00EF4F0C"/>
    <w:rsid w:val="00F0033E"/>
    <w:rsid w:val="00F02A7A"/>
    <w:rsid w:val="00F03624"/>
    <w:rsid w:val="00F06057"/>
    <w:rsid w:val="00F101B4"/>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13783D"/>
    <w:rPr>
      <w:rFonts w:ascii="Tahoma" w:hAnsi="Tahoma" w:cs="Tahoma"/>
      <w:sz w:val="16"/>
      <w:szCs w:val="16"/>
    </w:rPr>
  </w:style>
  <w:style w:type="character" w:customStyle="1" w:styleId="BalloonTextChar">
    <w:name w:val="Balloon Text Char"/>
    <w:basedOn w:val="DefaultParagraphFont"/>
    <w:link w:val="BalloonText"/>
    <w:rsid w:val="00137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13783D"/>
    <w:rPr>
      <w:rFonts w:ascii="Tahoma" w:hAnsi="Tahoma" w:cs="Tahoma"/>
      <w:sz w:val="16"/>
      <w:szCs w:val="16"/>
    </w:rPr>
  </w:style>
  <w:style w:type="character" w:customStyle="1" w:styleId="BalloonTextChar">
    <w:name w:val="Balloon Text Char"/>
    <w:basedOn w:val="DefaultParagraphFont"/>
    <w:link w:val="BalloonText"/>
    <w:rsid w:val="00137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2</cp:revision>
  <cp:lastPrinted>2012-03-23T11:21:00Z</cp:lastPrinted>
  <dcterms:created xsi:type="dcterms:W3CDTF">2012-03-23T13:56:00Z</dcterms:created>
  <dcterms:modified xsi:type="dcterms:W3CDTF">2012-03-23T13:56:00Z</dcterms:modified>
</cp:coreProperties>
</file>