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263" w:rsidRPr="004F20ED" w:rsidRDefault="00D97263" w:rsidP="00D97263">
      <w:pPr>
        <w:jc w:val="center"/>
        <w:rPr>
          <w:b/>
        </w:rPr>
      </w:pPr>
      <w:r w:rsidRPr="004F20ED">
        <w:rPr>
          <w:b/>
        </w:rPr>
        <w:t>BEFORE THE</w:t>
      </w:r>
    </w:p>
    <w:p w:rsidR="00D97263" w:rsidRDefault="00D97263" w:rsidP="00D97263">
      <w:pPr>
        <w:jc w:val="center"/>
        <w:rPr>
          <w:b/>
        </w:rPr>
      </w:pPr>
      <w:smartTag w:uri="urn:schemas-microsoft-com:office:smarttags" w:element="State">
        <w:smartTag w:uri="urn:schemas-microsoft-com:office:smarttags" w:element="place">
          <w:r w:rsidRPr="004F20ED">
            <w:rPr>
              <w:b/>
            </w:rPr>
            <w:t>PENNSYLVANIA</w:t>
          </w:r>
        </w:smartTag>
      </w:smartTag>
      <w:r w:rsidRPr="004F20ED">
        <w:rPr>
          <w:b/>
        </w:rPr>
        <w:t xml:space="preserve"> PUBLIC UTILITY COMMISSION</w:t>
      </w:r>
    </w:p>
    <w:p w:rsidR="00D97263" w:rsidRPr="004F20ED" w:rsidRDefault="00D97263" w:rsidP="00D97263">
      <w:pPr>
        <w:jc w:val="center"/>
        <w:rPr>
          <w:b/>
        </w:rPr>
      </w:pPr>
    </w:p>
    <w:p w:rsidR="00D97263" w:rsidRPr="004F20ED" w:rsidRDefault="00D97263" w:rsidP="00D97263"/>
    <w:p w:rsidR="00D97263" w:rsidRPr="004F20ED" w:rsidRDefault="00D97263" w:rsidP="00D97263"/>
    <w:p w:rsidR="00D97263" w:rsidRPr="004F20ED" w:rsidRDefault="00D97263" w:rsidP="00D97263">
      <w:r w:rsidRPr="004F20ED">
        <w:t>Pennsylvania Public Utility Commission,</w:t>
      </w:r>
      <w:r w:rsidRPr="004F20ED">
        <w:tab/>
      </w:r>
      <w:r w:rsidRPr="004F20ED">
        <w:tab/>
        <w:t>:</w:t>
      </w:r>
    </w:p>
    <w:p w:rsidR="00D97263" w:rsidRPr="004F20ED" w:rsidRDefault="00D97263" w:rsidP="00D97263">
      <w:r w:rsidRPr="004F20ED">
        <w:t>Bureau of Transportation and Safety</w:t>
      </w:r>
      <w:r w:rsidRPr="004F20ED">
        <w:tab/>
      </w:r>
      <w:r w:rsidRPr="004F20ED">
        <w:tab/>
      </w:r>
      <w:r w:rsidRPr="004F20ED">
        <w:tab/>
        <w:t>:</w:t>
      </w:r>
    </w:p>
    <w:p w:rsidR="00D97263" w:rsidRPr="004F20ED" w:rsidRDefault="00D97263" w:rsidP="00D97263">
      <w:r w:rsidRPr="004F20ED">
        <w:tab/>
      </w:r>
      <w:r w:rsidRPr="004F20ED">
        <w:tab/>
      </w:r>
      <w:r w:rsidRPr="004F20ED">
        <w:tab/>
      </w:r>
      <w:r w:rsidRPr="004F20ED">
        <w:tab/>
      </w:r>
      <w:r w:rsidRPr="004F20ED">
        <w:tab/>
      </w:r>
      <w:r w:rsidRPr="004F20ED">
        <w:tab/>
      </w:r>
      <w:r w:rsidRPr="004F20ED">
        <w:tab/>
        <w:t>:</w:t>
      </w:r>
    </w:p>
    <w:p w:rsidR="00D97263" w:rsidRPr="004F20ED" w:rsidRDefault="00D97263" w:rsidP="00D97263">
      <w:r w:rsidRPr="004F20ED">
        <w:tab/>
        <w:t>v.</w:t>
      </w:r>
      <w:r w:rsidRPr="004F20ED">
        <w:tab/>
      </w:r>
      <w:r w:rsidRPr="004F20ED">
        <w:tab/>
      </w:r>
      <w:r w:rsidRPr="004F20ED">
        <w:tab/>
      </w:r>
      <w:r w:rsidRPr="004F20ED">
        <w:tab/>
      </w:r>
      <w:r w:rsidRPr="004F20ED">
        <w:tab/>
      </w:r>
      <w:r w:rsidRPr="004F20ED">
        <w:tab/>
        <w:t>:</w:t>
      </w:r>
      <w:r w:rsidRPr="004F20ED">
        <w:tab/>
      </w:r>
      <w:r w:rsidRPr="004F20ED">
        <w:tab/>
        <w:t>C-</w:t>
      </w:r>
      <w:r>
        <w:t>201</w:t>
      </w:r>
      <w:r w:rsidR="00A22FEF">
        <w:t>0</w:t>
      </w:r>
      <w:r>
        <w:t>-2</w:t>
      </w:r>
      <w:r w:rsidR="00A22FEF">
        <w:t>180244</w:t>
      </w:r>
    </w:p>
    <w:p w:rsidR="00D97263" w:rsidRPr="004F20ED" w:rsidRDefault="00D97263" w:rsidP="00D97263">
      <w:r w:rsidRPr="004F20ED">
        <w:tab/>
      </w:r>
      <w:r w:rsidRPr="004F20ED">
        <w:tab/>
      </w:r>
      <w:r w:rsidRPr="004F20ED">
        <w:tab/>
      </w:r>
      <w:r w:rsidRPr="004F20ED">
        <w:tab/>
      </w:r>
      <w:r w:rsidRPr="004F20ED">
        <w:tab/>
      </w:r>
      <w:r w:rsidRPr="004F20ED">
        <w:tab/>
      </w:r>
      <w:r w:rsidRPr="004F20ED">
        <w:tab/>
        <w:t>:</w:t>
      </w:r>
    </w:p>
    <w:p w:rsidR="00D97263" w:rsidRPr="004F20ED" w:rsidRDefault="00F101B4" w:rsidP="00D97263">
      <w:r>
        <w:t>Yellow Cab Company of Pittsburgh</w:t>
      </w:r>
      <w:r w:rsidR="00D97263">
        <w:tab/>
      </w:r>
      <w:r w:rsidR="00D97263" w:rsidRPr="004F20ED">
        <w:tab/>
      </w:r>
      <w:r w:rsidR="00D97263" w:rsidRPr="004F20ED">
        <w:tab/>
        <w:t>:</w:t>
      </w:r>
    </w:p>
    <w:p w:rsidR="00D97263" w:rsidRPr="004F20ED" w:rsidRDefault="00D97263" w:rsidP="00D97263"/>
    <w:p w:rsidR="00D97263" w:rsidRPr="004F20ED" w:rsidRDefault="00D97263" w:rsidP="00D97263"/>
    <w:p w:rsidR="00D97263" w:rsidRDefault="00D97263" w:rsidP="00D97263">
      <w:pPr>
        <w:jc w:val="center"/>
        <w:rPr>
          <w:b/>
          <w:u w:val="single"/>
        </w:rPr>
      </w:pPr>
    </w:p>
    <w:p w:rsidR="00D97263" w:rsidRPr="004F20ED" w:rsidRDefault="00D97263" w:rsidP="00D97263">
      <w:pPr>
        <w:jc w:val="center"/>
        <w:rPr>
          <w:b/>
          <w:u w:val="single"/>
        </w:rPr>
      </w:pPr>
      <w:r w:rsidRPr="004F20ED">
        <w:rPr>
          <w:b/>
          <w:u w:val="single"/>
        </w:rPr>
        <w:t>INITIAL DECISION</w:t>
      </w:r>
    </w:p>
    <w:p w:rsidR="00D97263" w:rsidRPr="004F20ED" w:rsidRDefault="00D97263" w:rsidP="00D97263">
      <w:pPr>
        <w:jc w:val="center"/>
      </w:pPr>
    </w:p>
    <w:p w:rsidR="00D97263" w:rsidRPr="004F20ED" w:rsidRDefault="00D97263" w:rsidP="00D97263">
      <w:pPr>
        <w:jc w:val="center"/>
      </w:pPr>
    </w:p>
    <w:p w:rsidR="00D97263" w:rsidRPr="004F20ED" w:rsidRDefault="00D97263" w:rsidP="00D97263">
      <w:pPr>
        <w:jc w:val="center"/>
      </w:pPr>
      <w:r w:rsidRPr="004F20ED">
        <w:t>Before</w:t>
      </w:r>
    </w:p>
    <w:p w:rsidR="00D97263" w:rsidRPr="004F20ED" w:rsidRDefault="00D97263" w:rsidP="00D97263">
      <w:pPr>
        <w:jc w:val="center"/>
      </w:pPr>
      <w:r w:rsidRPr="004F20ED">
        <w:t>John H. Corbett, Jr.</w:t>
      </w:r>
    </w:p>
    <w:p w:rsidR="00D97263" w:rsidRPr="004F20ED" w:rsidRDefault="00D97263" w:rsidP="00D97263">
      <w:pPr>
        <w:jc w:val="center"/>
      </w:pPr>
      <w:r w:rsidRPr="004F20ED">
        <w:t>Administrative Law Judge</w:t>
      </w:r>
    </w:p>
    <w:p w:rsidR="00D97263" w:rsidRPr="004F20ED" w:rsidRDefault="00D97263" w:rsidP="00D97263">
      <w:pPr>
        <w:jc w:val="center"/>
      </w:pPr>
    </w:p>
    <w:p w:rsidR="00D97263" w:rsidRPr="004F20ED" w:rsidRDefault="00D97263" w:rsidP="00D97263">
      <w:pPr>
        <w:jc w:val="center"/>
      </w:pPr>
    </w:p>
    <w:p w:rsidR="00D97263" w:rsidRPr="004F20ED" w:rsidRDefault="00D97263" w:rsidP="00D97263">
      <w:pPr>
        <w:jc w:val="center"/>
        <w:rPr>
          <w:u w:val="single"/>
        </w:rPr>
      </w:pPr>
      <w:r w:rsidRPr="004F20ED">
        <w:rPr>
          <w:u w:val="single"/>
        </w:rPr>
        <w:t>HISTORY OF THE PROCEEDING</w:t>
      </w:r>
    </w:p>
    <w:p w:rsidR="00D97263" w:rsidRPr="004F20ED" w:rsidRDefault="00D97263" w:rsidP="00D97263"/>
    <w:p w:rsidR="00D97263" w:rsidRPr="004F20ED" w:rsidRDefault="00D97263" w:rsidP="00D97263"/>
    <w:p w:rsidR="001A517C" w:rsidRDefault="00D97263" w:rsidP="00D97263">
      <w:pPr>
        <w:spacing w:line="360" w:lineRule="auto"/>
      </w:pPr>
      <w:r>
        <w:tab/>
      </w:r>
      <w:r>
        <w:tab/>
        <w:t xml:space="preserve">On </w:t>
      </w:r>
      <w:r w:rsidR="00E031E1">
        <w:t>or about November 10, 2010</w:t>
      </w:r>
      <w:r>
        <w:t xml:space="preserve">, </w:t>
      </w:r>
      <w:r w:rsidRPr="007C2B21">
        <w:t>the Bureau of Transportation and Safety (“BTS”)</w:t>
      </w:r>
      <w:r>
        <w:rPr>
          <w:rStyle w:val="FootnoteReference"/>
        </w:rPr>
        <w:footnoteReference w:id="1"/>
      </w:r>
      <w:r w:rsidRPr="007C2B21">
        <w:t xml:space="preserve"> </w:t>
      </w:r>
      <w:r>
        <w:t xml:space="preserve">for the Pennsylvania Public Utility Commission (“Commission”) filed </w:t>
      </w:r>
      <w:r w:rsidRPr="007C2B21">
        <w:t>a complaint against Respondent,</w:t>
      </w:r>
      <w:r>
        <w:t xml:space="preserve"> </w:t>
      </w:r>
      <w:r w:rsidR="006050C5">
        <w:t>Yellow Cab Company of Pittsburgh</w:t>
      </w:r>
      <w:r>
        <w:t>, alleging</w:t>
      </w:r>
      <w:r w:rsidR="00023CEE">
        <w:t xml:space="preserve"> </w:t>
      </w:r>
      <w:r w:rsidR="00426A32">
        <w:t xml:space="preserve">Respondent </w:t>
      </w:r>
      <w:r w:rsidR="00E031E1">
        <w:t xml:space="preserve">violated 52 Pa. Code §29.313(a) when it </w:t>
      </w:r>
      <w:r w:rsidR="00426A32">
        <w:t xml:space="preserve">failed to provide </w:t>
      </w:r>
      <w:r w:rsidR="00E031E1">
        <w:t xml:space="preserve">call and demand transportation service to passengers at the Pittsburgh International Airport </w:t>
      </w:r>
      <w:r w:rsidR="00426A32">
        <w:t>on</w:t>
      </w:r>
      <w:r w:rsidR="00E031E1">
        <w:t xml:space="preserve"> May 28</w:t>
      </w:r>
      <w:r w:rsidR="00426A32">
        <w:t xml:space="preserve">, 2010.  </w:t>
      </w:r>
      <w:r w:rsidR="0065128E">
        <w:t>For this violation, the BTS sought a civil penalty of $500.  In addition, the BTS charged Respondent with violating 52 Pa. Code §29.313(c) by failing to have a complete driver log sheet in its vehicle</w:t>
      </w:r>
      <w:r w:rsidR="00570686">
        <w:t>.  For this latter violation, the BTS sought a civil penalty of $50.</w:t>
      </w:r>
    </w:p>
    <w:p w:rsidR="00570686" w:rsidRDefault="00570686" w:rsidP="00D97263">
      <w:pPr>
        <w:spacing w:line="360" w:lineRule="auto"/>
      </w:pPr>
    </w:p>
    <w:p w:rsidR="00570686" w:rsidRDefault="00570686" w:rsidP="00D97263">
      <w:pPr>
        <w:spacing w:line="360" w:lineRule="auto"/>
      </w:pPr>
      <w:r>
        <w:tab/>
      </w:r>
      <w:r>
        <w:tab/>
        <w:t xml:space="preserve">Respondent </w:t>
      </w:r>
      <w:r w:rsidR="00FE6EC0">
        <w:t xml:space="preserve">filed an </w:t>
      </w:r>
      <w:r>
        <w:t>answer</w:t>
      </w:r>
      <w:r w:rsidR="00FE6EC0">
        <w:t xml:space="preserve"> and new matter to</w:t>
      </w:r>
      <w:r>
        <w:t xml:space="preserve"> the complaint on</w:t>
      </w:r>
      <w:r w:rsidR="00FE6EC0">
        <w:t xml:space="preserve"> December 15, 2010</w:t>
      </w:r>
      <w:r w:rsidR="00111A25">
        <w:t xml:space="preserve"> admitting that it </w:t>
      </w:r>
      <w:r w:rsidR="0062694E">
        <w:t xml:space="preserve">ultimately </w:t>
      </w:r>
      <w:r w:rsidR="00111A25">
        <w:t>provided transportation for this</w:t>
      </w:r>
      <w:r w:rsidR="00FE6EC0">
        <w:t xml:space="preserve"> party</w:t>
      </w:r>
      <w:r w:rsidR="00111A25">
        <w:t>, but</w:t>
      </w:r>
      <w:r w:rsidR="007E2B59">
        <w:t xml:space="preserve"> den</w:t>
      </w:r>
      <w:r w:rsidR="0089003E">
        <w:t>ying</w:t>
      </w:r>
      <w:r w:rsidR="007E2B59">
        <w:t xml:space="preserve"> that it engaged in any wrongdoing.</w:t>
      </w:r>
      <w:r w:rsidR="00FE6EC0">
        <w:t xml:space="preserve">  The BTS replied to the new matter on December 30, 2010.</w:t>
      </w:r>
    </w:p>
    <w:p w:rsidR="007E2B59" w:rsidRDefault="007E2B59" w:rsidP="00D97263">
      <w:pPr>
        <w:spacing w:line="360" w:lineRule="auto"/>
      </w:pPr>
    </w:p>
    <w:p w:rsidR="007E2B59" w:rsidRDefault="007E2B59" w:rsidP="00D97263">
      <w:pPr>
        <w:spacing w:line="360" w:lineRule="auto"/>
      </w:pPr>
      <w:r>
        <w:lastRenderedPageBreak/>
        <w:tab/>
      </w:r>
      <w:r>
        <w:tab/>
      </w:r>
      <w:r w:rsidR="00454A55">
        <w:t>I received this case assignment on November 15, 2011.  A standard Prehearing Order was issued on November 17, 2011.</w:t>
      </w:r>
    </w:p>
    <w:p w:rsidR="00454A55" w:rsidRDefault="00454A55" w:rsidP="00D97263">
      <w:pPr>
        <w:spacing w:line="360" w:lineRule="auto"/>
      </w:pPr>
    </w:p>
    <w:p w:rsidR="00454A55" w:rsidRDefault="00454A55" w:rsidP="00D97263">
      <w:pPr>
        <w:spacing w:line="360" w:lineRule="auto"/>
      </w:pPr>
      <w:r>
        <w:tab/>
      </w:r>
      <w:r>
        <w:tab/>
      </w:r>
      <w:r w:rsidR="006408ED">
        <w:t>On January 18, 2012, a hearing convened in Pittsburgh.</w:t>
      </w:r>
      <w:r w:rsidR="006408ED">
        <w:rPr>
          <w:rStyle w:val="FootnoteReference"/>
        </w:rPr>
        <w:footnoteReference w:id="2"/>
      </w:r>
      <w:r w:rsidR="006408ED">
        <w:t xml:space="preserve">  R.K. Smith, Esq. represented the BTS.  Ray F. Middleman, Esq., </w:t>
      </w:r>
      <w:r w:rsidR="00543716">
        <w:t>represented Respondent.  No exhibits were admitted into the record.  No briefs were filed.</w:t>
      </w:r>
      <w:r w:rsidR="00DA4BFE">
        <w:t xml:space="preserve">  During the hearing, the </w:t>
      </w:r>
      <w:r w:rsidR="00DE0A3F">
        <w:t>parties stipulated that Respondent violated</w:t>
      </w:r>
      <w:r w:rsidR="00A24357">
        <w:t xml:space="preserve"> </w:t>
      </w:r>
      <w:r w:rsidR="00DE0A3F">
        <w:t>52 Pa. Code §29.313(c) by failing to have a complete driver log sheet in its vehicle and Respondent agreed to pay a civil penalty of $50 (N.T. 6-8).  The record closed on February 17, 2012.</w:t>
      </w:r>
    </w:p>
    <w:p w:rsidR="0059466F" w:rsidRDefault="0059466F" w:rsidP="00D97263">
      <w:pPr>
        <w:spacing w:line="360" w:lineRule="auto"/>
      </w:pPr>
    </w:p>
    <w:p w:rsidR="0059466F" w:rsidRDefault="0059466F" w:rsidP="0059466F">
      <w:pPr>
        <w:spacing w:line="360" w:lineRule="auto"/>
        <w:jc w:val="center"/>
      </w:pPr>
      <w:r>
        <w:rPr>
          <w:u w:val="single"/>
        </w:rPr>
        <w:t>FINDINGS OF FACT</w:t>
      </w:r>
    </w:p>
    <w:p w:rsidR="0059466F" w:rsidRDefault="0059466F" w:rsidP="0059466F">
      <w:pPr>
        <w:spacing w:line="360" w:lineRule="auto"/>
      </w:pPr>
    </w:p>
    <w:p w:rsidR="0059466F" w:rsidRDefault="0059466F" w:rsidP="0059466F">
      <w:pPr>
        <w:pStyle w:val="ListParagraph"/>
        <w:numPr>
          <w:ilvl w:val="0"/>
          <w:numId w:val="1"/>
        </w:numPr>
        <w:spacing w:line="360" w:lineRule="auto"/>
        <w:ind w:left="0" w:firstLine="1440"/>
      </w:pPr>
      <w:r>
        <w:t>Complainant is the Bureau of Transportation and Safety for the Pennsylvania Public Utility Commission (Complaint).</w:t>
      </w:r>
    </w:p>
    <w:p w:rsidR="0059466F" w:rsidRDefault="0059466F" w:rsidP="0059466F">
      <w:pPr>
        <w:pStyle w:val="ListParagraph"/>
        <w:spacing w:line="360" w:lineRule="auto"/>
        <w:ind w:left="1440"/>
      </w:pPr>
    </w:p>
    <w:p w:rsidR="0059466F" w:rsidRDefault="0059466F" w:rsidP="0059466F">
      <w:pPr>
        <w:pStyle w:val="ListParagraph"/>
        <w:numPr>
          <w:ilvl w:val="0"/>
          <w:numId w:val="1"/>
        </w:numPr>
        <w:spacing w:line="360" w:lineRule="auto"/>
        <w:ind w:left="0" w:firstLine="1440"/>
      </w:pPr>
      <w:r>
        <w:t xml:space="preserve">Respondent is Yellow Cab Company of Pittsburgh, which </w:t>
      </w:r>
      <w:r w:rsidR="00A24357">
        <w:t>maintains its principal place of business at 1101 Beaver Avenue, Pittsburgh, Pennsylvania 15233 (Complaint).</w:t>
      </w:r>
    </w:p>
    <w:p w:rsidR="00A24357" w:rsidRDefault="00A24357" w:rsidP="00A24357">
      <w:pPr>
        <w:pStyle w:val="ListParagraph"/>
      </w:pPr>
    </w:p>
    <w:p w:rsidR="00A24357" w:rsidRDefault="00A24357" w:rsidP="0059466F">
      <w:pPr>
        <w:pStyle w:val="ListParagraph"/>
        <w:numPr>
          <w:ilvl w:val="0"/>
          <w:numId w:val="1"/>
        </w:numPr>
        <w:spacing w:line="360" w:lineRule="auto"/>
        <w:ind w:left="0" w:firstLine="1440"/>
      </w:pPr>
      <w:r>
        <w:t>Respondent holds a certificate of public convenience from this Commission at Docket No. A-00049926 for call or demand authority (Complaint).</w:t>
      </w:r>
    </w:p>
    <w:p w:rsidR="00A24357" w:rsidRDefault="00A24357" w:rsidP="00A24357">
      <w:pPr>
        <w:pStyle w:val="ListParagraph"/>
      </w:pPr>
    </w:p>
    <w:p w:rsidR="00A24357" w:rsidRDefault="00A24357" w:rsidP="0059466F">
      <w:pPr>
        <w:pStyle w:val="ListParagraph"/>
        <w:numPr>
          <w:ilvl w:val="0"/>
          <w:numId w:val="1"/>
        </w:numPr>
        <w:spacing w:line="360" w:lineRule="auto"/>
        <w:ind w:left="0" w:firstLine="1440"/>
      </w:pPr>
      <w:r>
        <w:t>Complainant and Respondent have</w:t>
      </w:r>
      <w:r w:rsidRPr="00A24357">
        <w:t xml:space="preserve"> </w:t>
      </w:r>
      <w:r>
        <w:t xml:space="preserve">stipulated that Respondent violated 52 Pa. Code §29.313(c) by failing to have a complete driver log sheet in its vehicle and Respondent has agreed to pay a civil penalty of $50 </w:t>
      </w:r>
      <w:r w:rsidR="00B21021">
        <w:t xml:space="preserve">for this violation </w:t>
      </w:r>
      <w:r>
        <w:t>(N.T. 6-8).</w:t>
      </w:r>
    </w:p>
    <w:p w:rsidR="007234F3" w:rsidRDefault="007234F3" w:rsidP="007234F3">
      <w:pPr>
        <w:pStyle w:val="ListParagraph"/>
      </w:pPr>
    </w:p>
    <w:p w:rsidR="007234F3" w:rsidRDefault="00AF2AAB" w:rsidP="0059466F">
      <w:pPr>
        <w:pStyle w:val="ListParagraph"/>
        <w:numPr>
          <w:ilvl w:val="0"/>
          <w:numId w:val="1"/>
        </w:numPr>
        <w:spacing w:line="360" w:lineRule="auto"/>
        <w:ind w:left="0" w:firstLine="1440"/>
      </w:pPr>
      <w:r>
        <w:t>Terry K. Griffith resides in Indiana, Pennsylvania (N.T. 10).</w:t>
      </w:r>
    </w:p>
    <w:p w:rsidR="00AF2AAB" w:rsidRDefault="00AF2AAB" w:rsidP="00AF2AAB">
      <w:pPr>
        <w:pStyle w:val="ListParagraph"/>
      </w:pPr>
    </w:p>
    <w:p w:rsidR="00AF2AAB" w:rsidRDefault="00AF2AAB" w:rsidP="0059466F">
      <w:pPr>
        <w:pStyle w:val="ListParagraph"/>
        <w:numPr>
          <w:ilvl w:val="0"/>
          <w:numId w:val="1"/>
        </w:numPr>
        <w:spacing w:line="360" w:lineRule="auto"/>
        <w:ind w:left="0" w:firstLine="1440"/>
      </w:pPr>
      <w:r>
        <w:t xml:space="preserve">Mr. Griffith was returning to Pittsburgh with friends from a trip to Florida </w:t>
      </w:r>
      <w:r w:rsidR="00F736C7">
        <w:t xml:space="preserve">in the evening </w:t>
      </w:r>
      <w:r>
        <w:t xml:space="preserve">on May 28, 2010 after landing at the Pittsburgh International Airport, when he approached </w:t>
      </w:r>
      <w:r w:rsidR="00F736C7">
        <w:t xml:space="preserve">Respondent’s taxicab and inquired if it was available for hire.  </w:t>
      </w:r>
      <w:r w:rsidR="00DB4791">
        <w:t>Accompanying Mr.</w:t>
      </w:r>
      <w:r w:rsidR="004D60AD">
        <w:t> </w:t>
      </w:r>
      <w:r w:rsidR="00DB4791">
        <w:t xml:space="preserve">Griffith were his brother-in-law, Greg Sickora, and three women.  </w:t>
      </w:r>
      <w:r w:rsidR="00D94632">
        <w:t xml:space="preserve">The driver said </w:t>
      </w:r>
      <w:r w:rsidR="00DB4791">
        <w:t xml:space="preserve">the cab </w:t>
      </w:r>
      <w:r w:rsidR="00D94632">
        <w:t>was</w:t>
      </w:r>
      <w:r w:rsidR="00DB4791">
        <w:t xml:space="preserve"> available</w:t>
      </w:r>
      <w:r w:rsidR="00D94632">
        <w:t xml:space="preserve">.  </w:t>
      </w:r>
      <w:r w:rsidR="00F736C7">
        <w:t xml:space="preserve">Mr. Griffith </w:t>
      </w:r>
      <w:r w:rsidR="00D94632">
        <w:t xml:space="preserve">then </w:t>
      </w:r>
      <w:r w:rsidR="00F736C7">
        <w:t xml:space="preserve">explained to the driver that he had five passengers, including himself, </w:t>
      </w:r>
      <w:r w:rsidR="00DB4791">
        <w:t xml:space="preserve">plus </w:t>
      </w:r>
      <w:r w:rsidR="00F736C7">
        <w:t>their luggage.  When Mr. Griffith asked if this would be a problem, the driver responded that it would not.</w:t>
      </w:r>
      <w:r w:rsidR="00DB4791">
        <w:t xml:space="preserve">  </w:t>
      </w:r>
      <w:r w:rsidR="007351B3">
        <w:t xml:space="preserve">As they were loading their luggage in the cab, </w:t>
      </w:r>
      <w:r w:rsidR="00DB4791">
        <w:t xml:space="preserve">Mr. Griffith stated their destination was the Microtel Hotel, a distance of </w:t>
      </w:r>
      <w:r w:rsidR="007351B3">
        <w:t xml:space="preserve">four or five miles away, and the Hotel staff would pay the fare.  Mr. Griffith and his party earlier had taken a cab from the Microtel Hotel to the airport </w:t>
      </w:r>
      <w:r w:rsidR="0012341F">
        <w:t xml:space="preserve">on the way to Florida </w:t>
      </w:r>
      <w:r w:rsidR="007351B3">
        <w:t>and the Hotel had paid the fare as part of the arrangement for staying there</w:t>
      </w:r>
      <w:r w:rsidR="0012341F">
        <w:t xml:space="preserve">.  The taxi driver refused to provide the transportation, saying the Hotel would not pay him.  When Mr. Griffith explained that he had already </w:t>
      </w:r>
      <w:r w:rsidR="00360976">
        <w:t xml:space="preserve">confirmed </w:t>
      </w:r>
      <w:r w:rsidR="0012341F">
        <w:t xml:space="preserve">with the Hotel </w:t>
      </w:r>
      <w:r w:rsidR="00360976">
        <w:t xml:space="preserve">that </w:t>
      </w:r>
      <w:r w:rsidR="0012341F">
        <w:t xml:space="preserve">the Hotel </w:t>
      </w:r>
      <w:r w:rsidR="00360976">
        <w:t xml:space="preserve">would </w:t>
      </w:r>
      <w:r w:rsidR="0012341F">
        <w:t xml:space="preserve">pay for the trip, the driver still refused to provide the transportation </w:t>
      </w:r>
      <w:r w:rsidR="00360976">
        <w:t xml:space="preserve">and started loading other passengers </w:t>
      </w:r>
      <w:r w:rsidR="0012341F">
        <w:t>(N.T. </w:t>
      </w:r>
      <w:r w:rsidR="00360976">
        <w:t>10-18</w:t>
      </w:r>
      <w:r w:rsidR="001D341C">
        <w:t>, 23-2</w:t>
      </w:r>
      <w:r w:rsidR="003E1327">
        <w:t>8</w:t>
      </w:r>
      <w:r w:rsidR="00B2556F">
        <w:t>, 61</w:t>
      </w:r>
      <w:r w:rsidR="0012341F">
        <w:t>).</w:t>
      </w:r>
    </w:p>
    <w:p w:rsidR="001D341C" w:rsidRDefault="001D341C" w:rsidP="001D341C">
      <w:pPr>
        <w:pStyle w:val="ListParagraph"/>
        <w:spacing w:line="360" w:lineRule="auto"/>
        <w:ind w:left="1440"/>
      </w:pPr>
    </w:p>
    <w:p w:rsidR="001D341C" w:rsidRDefault="001D341C" w:rsidP="0059466F">
      <w:pPr>
        <w:pStyle w:val="ListParagraph"/>
        <w:numPr>
          <w:ilvl w:val="0"/>
          <w:numId w:val="1"/>
        </w:numPr>
        <w:spacing w:line="360" w:lineRule="auto"/>
        <w:ind w:left="0" w:firstLine="1440"/>
      </w:pPr>
      <w:r>
        <w:t>When they approached this cab, all five people in Mr. Griffith’s party were standing together (N.T. 26</w:t>
      </w:r>
      <w:r w:rsidR="0014599C">
        <w:t>, 38</w:t>
      </w:r>
      <w:r>
        <w:t>).</w:t>
      </w:r>
    </w:p>
    <w:p w:rsidR="00360976" w:rsidRDefault="00360976" w:rsidP="00360976">
      <w:pPr>
        <w:pStyle w:val="ListParagraph"/>
        <w:spacing w:line="360" w:lineRule="auto"/>
        <w:ind w:left="1440"/>
      </w:pPr>
    </w:p>
    <w:p w:rsidR="00360976" w:rsidRDefault="00360976" w:rsidP="0059466F">
      <w:pPr>
        <w:pStyle w:val="ListParagraph"/>
        <w:numPr>
          <w:ilvl w:val="0"/>
          <w:numId w:val="1"/>
        </w:numPr>
        <w:spacing w:line="360" w:lineRule="auto"/>
        <w:ind w:left="0" w:firstLine="1440"/>
      </w:pPr>
      <w:r>
        <w:t>Mr. Griffith and his party then took the next taxi in line to the Microtel Hotel and the Hotel staff paid the fare (N.T. 16-19</w:t>
      </w:r>
      <w:r w:rsidR="001D341C">
        <w:t>, 25</w:t>
      </w:r>
      <w:r w:rsidR="0014599C">
        <w:t>, 38</w:t>
      </w:r>
      <w:r>
        <w:t>).</w:t>
      </w:r>
    </w:p>
    <w:p w:rsidR="003E1327" w:rsidRDefault="003E1327" w:rsidP="003E1327">
      <w:pPr>
        <w:pStyle w:val="ListParagraph"/>
      </w:pPr>
    </w:p>
    <w:p w:rsidR="003E1327" w:rsidRDefault="003E1327" w:rsidP="0059466F">
      <w:pPr>
        <w:pStyle w:val="ListParagraph"/>
        <w:numPr>
          <w:ilvl w:val="0"/>
          <w:numId w:val="1"/>
        </w:numPr>
        <w:spacing w:line="360" w:lineRule="auto"/>
        <w:ind w:left="0" w:firstLine="1440"/>
      </w:pPr>
      <w:r>
        <w:t xml:space="preserve">Gregory S. Sickora </w:t>
      </w:r>
      <w:r w:rsidR="0014599C">
        <w:t>confirmed the conversation between Mr. Griffith and the taxi driver (N.T. 35-37).</w:t>
      </w:r>
    </w:p>
    <w:p w:rsidR="00540E99" w:rsidRDefault="00540E99" w:rsidP="00540E99">
      <w:pPr>
        <w:pStyle w:val="ListParagraph"/>
      </w:pPr>
    </w:p>
    <w:p w:rsidR="00540E99" w:rsidRDefault="00540E99" w:rsidP="0059466F">
      <w:pPr>
        <w:pStyle w:val="ListParagraph"/>
        <w:numPr>
          <w:ilvl w:val="0"/>
          <w:numId w:val="1"/>
        </w:numPr>
        <w:spacing w:line="360" w:lineRule="auto"/>
        <w:ind w:left="0" w:firstLine="1440"/>
      </w:pPr>
      <w:r>
        <w:t>Haider Alsahlani is a leased cab driver for Yellow Cab Company of Pittsburgh</w:t>
      </w:r>
      <w:r w:rsidR="005C12F8">
        <w:t xml:space="preserve"> and he was attending the taxicab in question at 11:30 p.m. on May 28, 2010 when he was approached by Mr. Griffith (N.T. 49-50).</w:t>
      </w:r>
    </w:p>
    <w:p w:rsidR="00C3145F" w:rsidRDefault="00C3145F" w:rsidP="00C3145F">
      <w:pPr>
        <w:pStyle w:val="ListParagraph"/>
      </w:pPr>
    </w:p>
    <w:p w:rsidR="00C3145F" w:rsidRDefault="00C3145F" w:rsidP="0059466F">
      <w:pPr>
        <w:pStyle w:val="ListParagraph"/>
        <w:numPr>
          <w:ilvl w:val="0"/>
          <w:numId w:val="1"/>
        </w:numPr>
        <w:spacing w:line="360" w:lineRule="auto"/>
        <w:ind w:left="0" w:firstLine="1440"/>
      </w:pPr>
      <w:r>
        <w:t>Mr. Alsahlani denies refusing Mr. Griffith’s request for transportation, because Mr. Alsahlani did not want to go to the Microtel Hotel (N.T. 50-51).</w:t>
      </w:r>
    </w:p>
    <w:p w:rsidR="005C12F8" w:rsidRDefault="005C12F8" w:rsidP="005C12F8">
      <w:pPr>
        <w:pStyle w:val="ListParagraph"/>
      </w:pPr>
    </w:p>
    <w:p w:rsidR="005C12F8" w:rsidRDefault="00C3145F" w:rsidP="0059466F">
      <w:pPr>
        <w:pStyle w:val="ListParagraph"/>
        <w:numPr>
          <w:ilvl w:val="0"/>
          <w:numId w:val="1"/>
        </w:numPr>
        <w:spacing w:line="360" w:lineRule="auto"/>
        <w:ind w:left="0" w:firstLine="1440"/>
      </w:pPr>
      <w:r>
        <w:t>Mr. Alsahlani explains his was the third cab in line when Mr. Griffith approached his cab.  There were 10-15 other people waiting in line.  When he saw that Mr.</w:t>
      </w:r>
      <w:r w:rsidR="004D60AD">
        <w:t> </w:t>
      </w:r>
      <w:r>
        <w:t>Griffith’s party of five was not together</w:t>
      </w:r>
      <w:r w:rsidR="003C43CE">
        <w:t xml:space="preserve"> </w:t>
      </w:r>
      <w:r w:rsidR="00B2556F">
        <w:t xml:space="preserve">with their luggage </w:t>
      </w:r>
      <w:r w:rsidR="003C43CE">
        <w:t>and ready to go, Mr. Alsahlani took the next people waiting there in accordance with airport policy (N.T. 50-56).</w:t>
      </w:r>
    </w:p>
    <w:p w:rsidR="001736C0" w:rsidRDefault="001736C0" w:rsidP="001736C0">
      <w:pPr>
        <w:pStyle w:val="ListParagraph"/>
      </w:pPr>
    </w:p>
    <w:p w:rsidR="001736C0" w:rsidRDefault="001736C0" w:rsidP="0059466F">
      <w:pPr>
        <w:pStyle w:val="ListParagraph"/>
        <w:numPr>
          <w:ilvl w:val="0"/>
          <w:numId w:val="1"/>
        </w:numPr>
        <w:spacing w:line="360" w:lineRule="auto"/>
        <w:ind w:left="0" w:firstLine="1440"/>
      </w:pPr>
      <w:r>
        <w:t xml:space="preserve">Mr. Griffith </w:t>
      </w:r>
      <w:r w:rsidR="00B2556F">
        <w:t xml:space="preserve">and Mr. Sickora </w:t>
      </w:r>
      <w:r>
        <w:t>den</w:t>
      </w:r>
      <w:r w:rsidR="00B2556F">
        <w:t xml:space="preserve">y their </w:t>
      </w:r>
      <w:r>
        <w:t xml:space="preserve">party was not together </w:t>
      </w:r>
      <w:r w:rsidR="00B2556F">
        <w:t xml:space="preserve">with their luggage </w:t>
      </w:r>
      <w:r>
        <w:t>and ready to enter the cab</w:t>
      </w:r>
      <w:r w:rsidR="00B2556F">
        <w:t xml:space="preserve"> (N.T. 59-63).</w:t>
      </w:r>
    </w:p>
    <w:p w:rsidR="00B21021" w:rsidRDefault="00B21021" w:rsidP="00595A60"/>
    <w:p w:rsidR="00B21021" w:rsidRDefault="00B21021"/>
    <w:p w:rsidR="00B21021" w:rsidRDefault="00B21021" w:rsidP="00B21021">
      <w:pPr>
        <w:spacing w:line="360" w:lineRule="auto"/>
        <w:jc w:val="center"/>
      </w:pPr>
      <w:r>
        <w:rPr>
          <w:u w:val="single"/>
        </w:rPr>
        <w:t>DISCUSSION</w:t>
      </w:r>
    </w:p>
    <w:p w:rsidR="00B21021" w:rsidRDefault="00B21021" w:rsidP="00B21021">
      <w:pPr>
        <w:spacing w:line="360" w:lineRule="auto"/>
      </w:pPr>
    </w:p>
    <w:p w:rsidR="00FF7D18" w:rsidRDefault="00FF7D18" w:rsidP="00B21021">
      <w:pPr>
        <w:spacing w:line="360" w:lineRule="auto"/>
      </w:pPr>
      <w:r>
        <w:t>A.</w:t>
      </w:r>
      <w:r>
        <w:tab/>
      </w:r>
      <w:r>
        <w:rPr>
          <w:u w:val="single"/>
        </w:rPr>
        <w:t xml:space="preserve">The </w:t>
      </w:r>
      <w:r w:rsidR="00595A60">
        <w:rPr>
          <w:u w:val="single"/>
        </w:rPr>
        <w:t xml:space="preserve">Refusal of Service </w:t>
      </w:r>
      <w:r>
        <w:rPr>
          <w:u w:val="single"/>
        </w:rPr>
        <w:t>Violation</w:t>
      </w:r>
    </w:p>
    <w:p w:rsidR="00595A60" w:rsidRDefault="00595A60" w:rsidP="00B21021">
      <w:pPr>
        <w:spacing w:line="360" w:lineRule="auto"/>
      </w:pPr>
    </w:p>
    <w:p w:rsidR="00595A60" w:rsidRDefault="00595A60" w:rsidP="00B21021">
      <w:pPr>
        <w:spacing w:line="360" w:lineRule="auto"/>
      </w:pPr>
      <w:r>
        <w:tab/>
      </w:r>
      <w:r>
        <w:tab/>
      </w:r>
      <w:r w:rsidR="0063762F">
        <w:t>Section 29.313(a) of the Commission’s regulations, 52 Pa. Code §29.313(a), states:</w:t>
      </w:r>
    </w:p>
    <w:p w:rsidR="0063762F" w:rsidRDefault="0063762F" w:rsidP="00B21021">
      <w:pPr>
        <w:spacing w:line="360" w:lineRule="auto"/>
      </w:pPr>
    </w:p>
    <w:p w:rsidR="0063762F" w:rsidRDefault="0063762F" w:rsidP="0063762F">
      <w:pPr>
        <w:ind w:left="1440" w:right="1440"/>
      </w:pPr>
      <w:r>
        <w:tab/>
        <w:t>(a)</w:t>
      </w:r>
      <w:r>
        <w:tab/>
      </w:r>
      <w:r>
        <w:rPr>
          <w:i/>
        </w:rPr>
        <w:t>Required to provide service</w:t>
      </w:r>
      <w:r>
        <w:t>.  A driver of a call or demand vehicle shall, at all times when on duty and not engaged, furnish trip service on demand to an orderly person for lawful purposes.</w:t>
      </w:r>
    </w:p>
    <w:p w:rsidR="0063762F" w:rsidRDefault="0063762F" w:rsidP="0063762F"/>
    <w:p w:rsidR="0063762F" w:rsidRDefault="0063762F" w:rsidP="0063762F"/>
    <w:p w:rsidR="0063762F" w:rsidRDefault="00424342" w:rsidP="0063762F">
      <w:pPr>
        <w:spacing w:line="360" w:lineRule="auto"/>
      </w:pPr>
      <w:r>
        <w:tab/>
      </w:r>
      <w:r>
        <w:tab/>
        <w:t>The BTS asserts Respondent violated this regulation when one of its drivers refused to provide transportation to Mr. Griffith’s party on May 28, 2010.  Mr. Griffith was returning to Pittsburgh with friends from a trip to Florida in the evening on May 28, 2010 after landing at the Pittsburgh International Airport, when he approached Respondent’s taxicab and inquired if it was available for hire.  Accompanying Mr. Griffith were his brother-in-law, Greg Sickora, and three women.  The driver said the cab was available.  Mr. Griffith then explained to the driver that he had five passengers, including himself, plus their luggage.  When Mr. Griffith asked if this would be a problem, the driver responded that it would not.  As they were loading their luggage in the cab, Mr. Griffith stated their destination was the Microtel Hotel, a distance of four or five miles away, and the Hotel staff would pay the fare.  Mr. Griffith and his party earlier had taken a cab from the Microtel Hotel to the airport on the way to Florida and the Hotel had paid the fare as part of the arrangement for staying there.  The taxi driver refused to provide the transportation, saying the Hotel would not pay him.  When Mr. Griffith explained that he had already confirmed with the Hotel that the Hotel would pay for the trip, the driver still refused to provide the transportation and started loading other passengers (N.T. 10-18, 23-28, 61).</w:t>
      </w:r>
      <w:r w:rsidR="00C016F9">
        <w:t xml:space="preserve">  Mr.</w:t>
      </w:r>
      <w:r w:rsidR="004D60AD">
        <w:t> </w:t>
      </w:r>
      <w:r w:rsidR="00C016F9">
        <w:t>Sickora confirmed the conversation between Mr. Griffith and the taxi driver (N.T. 35-37).  Mr. Griffith and his party then took the next taxi in line to the Microtel Hotel and the Hotel staff paid the fare (N.T. 16-19, 25, 38).</w:t>
      </w:r>
    </w:p>
    <w:p w:rsidR="00C016F9" w:rsidRDefault="00C016F9" w:rsidP="0063762F">
      <w:pPr>
        <w:spacing w:line="360" w:lineRule="auto"/>
      </w:pPr>
    </w:p>
    <w:p w:rsidR="00C016F9" w:rsidRDefault="00C016F9" w:rsidP="0063762F">
      <w:pPr>
        <w:spacing w:line="360" w:lineRule="auto"/>
      </w:pPr>
      <w:r>
        <w:tab/>
      </w:r>
      <w:r>
        <w:tab/>
        <w:t xml:space="preserve">Respondent’s driver tells a much different tale.  </w:t>
      </w:r>
      <w:r w:rsidR="00DD5231">
        <w:t>Mr. Alsahlani denies refusing Mr.</w:t>
      </w:r>
      <w:r w:rsidR="004D60AD">
        <w:t> </w:t>
      </w:r>
      <w:r w:rsidR="00DD5231">
        <w:t xml:space="preserve">Griffith’s request for transportation, because Mr. Alsahlani did not want to go to the Microtel Hotel (N.T. 50-51).  </w:t>
      </w:r>
      <w:r w:rsidR="00277C6E">
        <w:t>Mr. Alsahlani explains his was the third cab in line when Mr.</w:t>
      </w:r>
      <w:r w:rsidR="004D60AD">
        <w:t> </w:t>
      </w:r>
      <w:r w:rsidR="00277C6E">
        <w:t>Griffith approached his cab.  There were 10-15 other people waiting in line.  When he saw that Mr. Griffith’s party of five was not together with their luggage and ready to go, Mr.</w:t>
      </w:r>
      <w:r w:rsidR="004D60AD">
        <w:t> </w:t>
      </w:r>
      <w:r w:rsidR="00277C6E">
        <w:t>Alsahlani took the next people waiting there in accordance with airport policy (N.T. 50-56).</w:t>
      </w:r>
    </w:p>
    <w:p w:rsidR="00277C6E" w:rsidRDefault="00277C6E" w:rsidP="0063762F">
      <w:pPr>
        <w:spacing w:line="360" w:lineRule="auto"/>
      </w:pPr>
    </w:p>
    <w:p w:rsidR="00277C6E" w:rsidRDefault="00277C6E" w:rsidP="0063762F">
      <w:pPr>
        <w:spacing w:line="360" w:lineRule="auto"/>
      </w:pPr>
      <w:r>
        <w:tab/>
      </w:r>
      <w:r>
        <w:tab/>
      </w:r>
      <w:r w:rsidR="00ED6AD0">
        <w:t>For their part, Mr. Griffith and Mr. Sickora both relate that</w:t>
      </w:r>
      <w:r w:rsidR="00ED6AD0" w:rsidRPr="00ED6AD0">
        <w:t xml:space="preserve"> </w:t>
      </w:r>
      <w:r w:rsidR="00ED6AD0">
        <w:t>when they approached this cab, all five people in their party were standing together (N.T. 26, 38).  They</w:t>
      </w:r>
      <w:r w:rsidR="00ED6AD0" w:rsidRPr="00ED6AD0">
        <w:t xml:space="preserve"> </w:t>
      </w:r>
      <w:r w:rsidR="00ED6AD0">
        <w:t>deny their party was not together with their luggage and ready to enter the cab (N.T. 59-63).</w:t>
      </w:r>
    </w:p>
    <w:p w:rsidR="007D106F" w:rsidRDefault="007D106F" w:rsidP="0063762F">
      <w:pPr>
        <w:spacing w:line="360" w:lineRule="auto"/>
      </w:pPr>
    </w:p>
    <w:p w:rsidR="007D106F" w:rsidRPr="008703F0" w:rsidRDefault="007D106F" w:rsidP="0063762F">
      <w:pPr>
        <w:spacing w:line="360" w:lineRule="auto"/>
      </w:pPr>
      <w:r>
        <w:tab/>
      </w:r>
      <w:r>
        <w:tab/>
        <w:t xml:space="preserve">Having closely observed the demeanor of all three witnesses </w:t>
      </w:r>
      <w:r w:rsidR="00A71E55">
        <w:t xml:space="preserve">on this issue </w:t>
      </w:r>
      <w:r>
        <w:t xml:space="preserve">at the hearing, Mr. Griffith and Mr. Sickora present the more credible testimony.  They offer a clearer, more </w:t>
      </w:r>
      <w:r w:rsidR="003107BF">
        <w:t xml:space="preserve">consistent and </w:t>
      </w:r>
      <w:r>
        <w:t>detailed account of how the events transpired</w:t>
      </w:r>
      <w:r w:rsidR="003107BF">
        <w:t xml:space="preserve"> without unnecessary embellishment</w:t>
      </w:r>
      <w:r w:rsidR="003B16ED">
        <w:t>.</w:t>
      </w:r>
      <w:r w:rsidR="008703F0">
        <w:t xml:space="preserve">  They exhibit no obvious</w:t>
      </w:r>
      <w:r w:rsidR="003107BF">
        <w:t xml:space="preserve"> bias, hostility o</w:t>
      </w:r>
      <w:bookmarkStart w:id="0" w:name="_GoBack"/>
      <w:bookmarkEnd w:id="0"/>
      <w:r w:rsidR="003107BF">
        <w:t>r</w:t>
      </w:r>
      <w:r w:rsidR="008703F0">
        <w:t xml:space="preserve"> </w:t>
      </w:r>
      <w:r w:rsidR="008703F0">
        <w:rPr>
          <w:i/>
        </w:rPr>
        <w:t>animus</w:t>
      </w:r>
      <w:r w:rsidR="008703F0">
        <w:t xml:space="preserve"> toward Mr. Alsahlani</w:t>
      </w:r>
      <w:r w:rsidR="00A71E55">
        <w:t xml:space="preserve"> or Respondent</w:t>
      </w:r>
      <w:r w:rsidR="003107BF">
        <w:t>, while Mr. Alsahlani may believe his employment status hangs in the balance</w:t>
      </w:r>
      <w:r w:rsidR="006021FF">
        <w:t xml:space="preserve"> depending on the outcome of this case</w:t>
      </w:r>
      <w:r w:rsidR="003107BF">
        <w:t>.</w:t>
      </w:r>
      <w:r w:rsidR="00A71E55">
        <w:t xml:space="preserve">  The conclusion is inescapable, therefore, that Respondent’s driver wrongfully refused to furnish transportation on demand to this party in violation of 52 Pa. Code §29.313(a).</w:t>
      </w:r>
      <w:r w:rsidR="006939C5">
        <w:rPr>
          <w:rStyle w:val="FootnoteReference"/>
        </w:rPr>
        <w:footnoteReference w:id="3"/>
      </w:r>
    </w:p>
    <w:p w:rsidR="00AC3E07" w:rsidRDefault="00AC3E07">
      <w:r>
        <w:br w:type="page"/>
      </w:r>
    </w:p>
    <w:p w:rsidR="0063762F" w:rsidRPr="0063762F" w:rsidRDefault="0063762F" w:rsidP="00B21021">
      <w:pPr>
        <w:spacing w:line="360" w:lineRule="auto"/>
        <w:rPr>
          <w:u w:val="single"/>
        </w:rPr>
      </w:pPr>
      <w:r>
        <w:t>B.</w:t>
      </w:r>
      <w:r>
        <w:tab/>
      </w:r>
      <w:r>
        <w:rPr>
          <w:u w:val="single"/>
        </w:rPr>
        <w:t>The Log Sheet Violation</w:t>
      </w:r>
    </w:p>
    <w:p w:rsidR="00FF7D18" w:rsidRDefault="00FF7D18" w:rsidP="00B21021">
      <w:pPr>
        <w:spacing w:line="360" w:lineRule="auto"/>
      </w:pPr>
    </w:p>
    <w:p w:rsidR="00B21021" w:rsidRDefault="00B21021" w:rsidP="00B21021">
      <w:pPr>
        <w:spacing w:line="360" w:lineRule="auto"/>
      </w:pPr>
      <w:r>
        <w:tab/>
      </w:r>
      <w:r>
        <w:tab/>
      </w:r>
      <w:r w:rsidR="00EA18D9">
        <w:t>Section 29.313(c) of the Commission’s regulations, 52 Pa. Code §29.313(c), states:</w:t>
      </w:r>
    </w:p>
    <w:p w:rsidR="00EA18D9" w:rsidRDefault="00EA18D9" w:rsidP="00B21021">
      <w:pPr>
        <w:spacing w:line="360" w:lineRule="auto"/>
      </w:pPr>
    </w:p>
    <w:p w:rsidR="00EA18D9" w:rsidRDefault="00EA18D9" w:rsidP="00EA18D9">
      <w:pPr>
        <w:ind w:left="1440" w:right="1440"/>
      </w:pPr>
      <w:r>
        <w:tab/>
        <w:t xml:space="preserve">(c)  </w:t>
      </w:r>
      <w:r>
        <w:rPr>
          <w:i/>
        </w:rPr>
        <w:t>Log sheets</w:t>
      </w:r>
      <w:r>
        <w:t xml:space="preserve">.  </w:t>
      </w:r>
      <w:r w:rsidR="00D93B84">
        <w:t>A driver of a vehicle in call or demand service shall keep a log sheet or manifest of each shift he operates unless some other method is, upon petition, specifically approved by the Commission.  These log sheets shall be filled out contemporaneously with the trip, on a form supplied by the certificateholder.  The log sheets shall be retained by the certificateholder for at least two years.  Log sheets may be retained in electronic format.  Log sheets, or comparable printouts from an electronic storage device, shall be turned over upon request to an authorized representative of the Commission upon the rendering of a receipt.  Drivers shall fill out the log sheets with the following information:</w:t>
      </w:r>
    </w:p>
    <w:p w:rsidR="00D93B84" w:rsidRDefault="00D93B84" w:rsidP="00EA18D9">
      <w:pPr>
        <w:ind w:left="1440" w:right="1440"/>
      </w:pPr>
    </w:p>
    <w:p w:rsidR="00D93B84" w:rsidRDefault="00D93B84" w:rsidP="00EA18D9">
      <w:pPr>
        <w:ind w:left="1440" w:right="1440"/>
      </w:pPr>
      <w:r>
        <w:tab/>
      </w:r>
      <w:r>
        <w:tab/>
        <w:t>(1)  The date.</w:t>
      </w:r>
    </w:p>
    <w:p w:rsidR="00D93B84" w:rsidRDefault="00D93B84" w:rsidP="00EA18D9">
      <w:pPr>
        <w:ind w:left="1440" w:right="1440"/>
      </w:pPr>
    </w:p>
    <w:p w:rsidR="00D93B84" w:rsidRDefault="00D93B84" w:rsidP="00EA18D9">
      <w:pPr>
        <w:ind w:left="1440" w:right="1440"/>
      </w:pPr>
      <w:r>
        <w:tab/>
      </w:r>
      <w:r>
        <w:tab/>
        <w:t>(2)  The time he commenced the shift and the time he ended the shift and ceased driving.</w:t>
      </w:r>
    </w:p>
    <w:p w:rsidR="00D93B84" w:rsidRDefault="00D93B84" w:rsidP="00EA18D9">
      <w:pPr>
        <w:ind w:left="1440" w:right="1440"/>
      </w:pPr>
    </w:p>
    <w:p w:rsidR="00D93B84" w:rsidRDefault="00D93B84" w:rsidP="00EA18D9">
      <w:pPr>
        <w:ind w:left="1440" w:right="1440"/>
      </w:pPr>
      <w:r>
        <w:tab/>
      </w:r>
      <w:r>
        <w:tab/>
        <w:t>(3)  The vehicle identification number.</w:t>
      </w:r>
    </w:p>
    <w:p w:rsidR="00D93B84" w:rsidRDefault="00D93B84" w:rsidP="00EA18D9">
      <w:pPr>
        <w:ind w:left="1440" w:right="1440"/>
      </w:pPr>
    </w:p>
    <w:p w:rsidR="00D93B84" w:rsidRDefault="00D93B84" w:rsidP="00EA18D9">
      <w:pPr>
        <w:ind w:left="1440" w:right="1440"/>
      </w:pPr>
      <w:r>
        <w:tab/>
      </w:r>
      <w:r>
        <w:tab/>
        <w:t xml:space="preserve">(4)  </w:t>
      </w:r>
      <w:r w:rsidR="00606573">
        <w:t>The times and places of origin and destination of each trip including the odometer or meter mileage at the origin and destination of each passenger trip.  Origin and destination places shall contain a street name and address or, if unavailable,</w:t>
      </w:r>
      <w:r w:rsidR="00423158">
        <w:t xml:space="preserve"> an</w:t>
      </w:r>
      <w:r w:rsidR="00606573">
        <w:t xml:space="preserve"> identifiable landmark.</w:t>
      </w:r>
    </w:p>
    <w:p w:rsidR="00606573" w:rsidRDefault="00606573" w:rsidP="00EA18D9">
      <w:pPr>
        <w:ind w:left="1440" w:right="1440"/>
      </w:pPr>
    </w:p>
    <w:p w:rsidR="00606573" w:rsidRDefault="00606573" w:rsidP="00EA18D9">
      <w:pPr>
        <w:ind w:left="1440" w:right="1440"/>
      </w:pPr>
      <w:r>
        <w:tab/>
      </w:r>
      <w:r>
        <w:tab/>
        <w:t>(5)  The number of passengers and the fare collected on each trip, indicating separately each fare collected from each passenger or party of passengers sharing the ride.</w:t>
      </w:r>
    </w:p>
    <w:p w:rsidR="00606573" w:rsidRDefault="00606573" w:rsidP="00EA18D9">
      <w:pPr>
        <w:ind w:left="1440" w:right="1440"/>
      </w:pPr>
    </w:p>
    <w:p w:rsidR="00606573" w:rsidRDefault="00606573" w:rsidP="00EA18D9">
      <w:pPr>
        <w:ind w:left="1440" w:right="1440"/>
      </w:pPr>
      <w:r>
        <w:tab/>
      </w:r>
      <w:r>
        <w:tab/>
        <w:t>(6)  Each trip on which packages were delivered and the charge for the trip.</w:t>
      </w:r>
    </w:p>
    <w:p w:rsidR="00606573" w:rsidRDefault="00606573" w:rsidP="00EA18D9">
      <w:pPr>
        <w:ind w:left="1440" w:right="1440"/>
      </w:pPr>
    </w:p>
    <w:p w:rsidR="00606573" w:rsidRDefault="00606573" w:rsidP="00EA18D9">
      <w:pPr>
        <w:ind w:left="1440" w:right="1440"/>
      </w:pPr>
      <w:r>
        <w:tab/>
      </w:r>
      <w:r>
        <w:tab/>
        <w:t>(7)  The meter readings at the beginning and end of each shift, if applicable.</w:t>
      </w:r>
    </w:p>
    <w:p w:rsidR="00606573" w:rsidRDefault="00606573" w:rsidP="00EA18D9">
      <w:pPr>
        <w:ind w:left="1440" w:right="1440"/>
      </w:pPr>
    </w:p>
    <w:p w:rsidR="00606573" w:rsidRDefault="00606573" w:rsidP="00EA18D9">
      <w:pPr>
        <w:ind w:left="1440" w:right="1440"/>
      </w:pPr>
      <w:r>
        <w:tab/>
      </w:r>
      <w:r>
        <w:tab/>
        <w:t>(8)  The name and number of the driver.</w:t>
      </w:r>
    </w:p>
    <w:p w:rsidR="00AC3E07" w:rsidRDefault="00AC3E07" w:rsidP="00EA18D9">
      <w:pPr>
        <w:ind w:left="1440" w:right="1440"/>
      </w:pPr>
    </w:p>
    <w:p w:rsidR="00606573" w:rsidRDefault="00606573" w:rsidP="00EA18D9">
      <w:pPr>
        <w:ind w:left="1440" w:right="1440"/>
      </w:pPr>
      <w:r>
        <w:tab/>
      </w:r>
      <w:r>
        <w:tab/>
        <w:t>(9)  The signature of the driver attesting to the accuracy of the data recorded.</w:t>
      </w:r>
    </w:p>
    <w:p w:rsidR="00606573" w:rsidRDefault="00606573" w:rsidP="00EA18D9">
      <w:pPr>
        <w:ind w:left="1440" w:right="1440"/>
      </w:pPr>
    </w:p>
    <w:p w:rsidR="00606573" w:rsidRDefault="00606573" w:rsidP="00EA18D9">
      <w:pPr>
        <w:ind w:left="1440" w:right="1440"/>
      </w:pPr>
      <w:r>
        <w:tab/>
      </w:r>
      <w:r>
        <w:tab/>
        <w:t>(10)  Other information as may be required by this title.</w:t>
      </w:r>
    </w:p>
    <w:p w:rsidR="0033201A" w:rsidRDefault="0033201A" w:rsidP="0033201A"/>
    <w:p w:rsidR="0033201A" w:rsidRDefault="0033201A" w:rsidP="0033201A"/>
    <w:p w:rsidR="0033201A" w:rsidRDefault="0033201A" w:rsidP="0033201A">
      <w:pPr>
        <w:spacing w:line="360" w:lineRule="auto"/>
      </w:pPr>
      <w:r>
        <w:tab/>
      </w:r>
      <w:r>
        <w:tab/>
      </w:r>
      <w:r w:rsidR="00B51639">
        <w:t>Complainant and Respondent have</w:t>
      </w:r>
      <w:r w:rsidR="00B51639" w:rsidRPr="00A24357">
        <w:t xml:space="preserve"> </w:t>
      </w:r>
      <w:r w:rsidR="00B51639">
        <w:t>stipulated that Respondent violated 52 Pa. Code §29.313(c) by failing to have a complete driver lo</w:t>
      </w:r>
      <w:r w:rsidR="00EB4B2B">
        <w:t>g sheet in its vehicle (N.T. 6-8).</w:t>
      </w:r>
    </w:p>
    <w:p w:rsidR="00FF7D18" w:rsidRDefault="00FF7D18" w:rsidP="0033201A">
      <w:pPr>
        <w:spacing w:line="360" w:lineRule="auto"/>
      </w:pPr>
    </w:p>
    <w:p w:rsidR="00FF7D18" w:rsidRDefault="006E2384" w:rsidP="0033201A">
      <w:pPr>
        <w:spacing w:line="360" w:lineRule="auto"/>
      </w:pPr>
      <w:r>
        <w:t>C</w:t>
      </w:r>
      <w:r w:rsidR="00FF7D18">
        <w:t>.</w:t>
      </w:r>
      <w:r w:rsidR="00FF7D18">
        <w:tab/>
      </w:r>
      <w:r w:rsidR="00FF7D18">
        <w:rPr>
          <w:u w:val="single"/>
        </w:rPr>
        <w:t>The Civil Penalty</w:t>
      </w:r>
    </w:p>
    <w:p w:rsidR="00FF7D18" w:rsidRDefault="00FF7D18" w:rsidP="0033201A">
      <w:pPr>
        <w:spacing w:line="360" w:lineRule="auto"/>
      </w:pPr>
    </w:p>
    <w:p w:rsidR="00E546FB" w:rsidRPr="00A32951" w:rsidRDefault="00FF7D18" w:rsidP="00E546FB">
      <w:pPr>
        <w:spacing w:line="360" w:lineRule="auto"/>
      </w:pPr>
      <w:r>
        <w:tab/>
      </w:r>
      <w:r>
        <w:tab/>
      </w:r>
      <w:r w:rsidR="00E546FB">
        <w:t>T</w:t>
      </w:r>
      <w:r w:rsidR="00E546FB" w:rsidRPr="00A32951">
        <w:t xml:space="preserve">he Commission may impose a maximum civil penalty of $1,000 for every violation of the </w:t>
      </w:r>
      <w:r w:rsidR="00E546FB">
        <w:t xml:space="preserve">Public Utility </w:t>
      </w:r>
      <w:r w:rsidR="00E546FB" w:rsidRPr="00A32951">
        <w:t>Code</w:t>
      </w:r>
      <w:r w:rsidR="00E546FB">
        <w:t xml:space="preserve"> (the “Code”)</w:t>
      </w:r>
      <w:r w:rsidR="00E546FB" w:rsidRPr="00A32951">
        <w:t>, its regulations or its orders pursuant to Section 3301 of the Code, 66 Pa. C.S. §3301.</w:t>
      </w:r>
      <w:r w:rsidR="00E546FB">
        <w:t xml:space="preserve">  C</w:t>
      </w:r>
      <w:r w:rsidR="00E546FB" w:rsidRPr="00A32951">
        <w:t xml:space="preserve">ertain factors </w:t>
      </w:r>
      <w:r w:rsidR="00E546FB">
        <w:t xml:space="preserve">must be considered </w:t>
      </w:r>
      <w:r w:rsidR="00E546FB" w:rsidRPr="00A32951">
        <w:t xml:space="preserve">and </w:t>
      </w:r>
      <w:r w:rsidR="00E546FB">
        <w:t>standards applied</w:t>
      </w:r>
      <w:r w:rsidR="00E546FB" w:rsidRPr="00A32951">
        <w:t xml:space="preserve"> when imposing a civil penalty.  </w:t>
      </w:r>
      <w:r w:rsidR="00E546FB" w:rsidRPr="00A32951">
        <w:rPr>
          <w:u w:val="single"/>
        </w:rPr>
        <w:t>Rosi v. Bell Atlantic-Pa., Inc.</w:t>
      </w:r>
      <w:r w:rsidR="00E546FB" w:rsidRPr="00A32951">
        <w:t>, Docket No. C</w:t>
      </w:r>
      <w:r w:rsidR="00E546FB" w:rsidRPr="00A32951">
        <w:noBreakHyphen/>
        <w:t xml:space="preserve">00992409 (Order entered February 10, 2000); </w:t>
      </w:r>
      <w:r w:rsidR="00E546FB" w:rsidRPr="00A32951">
        <w:rPr>
          <w:u w:val="single"/>
        </w:rPr>
        <w:t>Pa. P.U.C. v. NCIC Operator Services</w:t>
      </w:r>
      <w:r w:rsidR="00E546FB" w:rsidRPr="00A32951">
        <w:t>, Docket No. M</w:t>
      </w:r>
      <w:r w:rsidR="00E546FB" w:rsidRPr="00A32951">
        <w:noBreakHyphen/>
        <w:t xml:space="preserve">00001440 (Order entered </w:t>
      </w:r>
      <w:smartTag w:uri="urn:schemas-microsoft-com:office:smarttags" w:element="date">
        <w:smartTagPr>
          <w:attr w:name="ls" w:val="trans"/>
          <w:attr w:name="Month" w:val="12"/>
          <w:attr w:name="Day" w:val="21"/>
          <w:attr w:name="Year" w:val="2000"/>
        </w:smartTagPr>
        <w:r w:rsidR="00E546FB" w:rsidRPr="00A32951">
          <w:t>December 21, 2000</w:t>
        </w:r>
      </w:smartTag>
      <w:r w:rsidR="00E546FB" w:rsidRPr="00A32951">
        <w:t>).  These factors and standards have been codified in a regulation as follows:</w:t>
      </w:r>
    </w:p>
    <w:p w:rsidR="00E546FB" w:rsidRPr="00A32951" w:rsidRDefault="00E546FB" w:rsidP="00E546FB">
      <w:pPr>
        <w:spacing w:line="360" w:lineRule="auto"/>
      </w:pPr>
    </w:p>
    <w:p w:rsidR="00E546FB" w:rsidRPr="00A32951" w:rsidRDefault="00E546FB" w:rsidP="00E546FB">
      <w:pPr>
        <w:ind w:left="1440" w:right="1440" w:firstLine="720"/>
      </w:pPr>
      <w:r w:rsidRPr="00A32951">
        <w:t>(1)</w:t>
      </w:r>
      <w:r>
        <w:t xml:space="preserve">  </w:t>
      </w:r>
      <w:r w:rsidRPr="00A32951">
        <w:t>Whether the conduct at issue was of a serious nature.  When conduct of a serious nature is involved, such as willful fraud or misrepresentation, the conduct may warrant a higher penalty.  When the conduct is less egregious, such as administrative filing or technical errors, it may warrant a lower penalty.</w:t>
      </w:r>
    </w:p>
    <w:p w:rsidR="00E546FB" w:rsidRPr="00A32951" w:rsidRDefault="00E546FB" w:rsidP="00E546FB">
      <w:pPr>
        <w:ind w:left="1440" w:right="1440"/>
      </w:pPr>
    </w:p>
    <w:p w:rsidR="00E546FB" w:rsidRPr="00A32951" w:rsidRDefault="00E546FB" w:rsidP="009D080B">
      <w:pPr>
        <w:ind w:left="1440" w:right="1440" w:firstLine="720"/>
      </w:pPr>
      <w:r w:rsidRPr="00A32951">
        <w:t>(2)</w:t>
      </w:r>
      <w:r w:rsidR="009D080B">
        <w:t xml:space="preserve">  </w:t>
      </w:r>
      <w:r w:rsidRPr="00A32951">
        <w:t>Whether the resulting consequences of the conduct at issue were of a serious nature.  When consequences of a serious nature are involved, such as personal injury or property damage, the consequences may warrant a higher penalty.</w:t>
      </w:r>
    </w:p>
    <w:p w:rsidR="00E546FB" w:rsidRPr="00A32951" w:rsidRDefault="00E546FB" w:rsidP="00E546FB">
      <w:pPr>
        <w:ind w:left="1440" w:right="1440"/>
      </w:pPr>
    </w:p>
    <w:p w:rsidR="00E546FB" w:rsidRPr="00A32951" w:rsidRDefault="00E546FB" w:rsidP="009D080B">
      <w:pPr>
        <w:ind w:left="1440" w:right="1440" w:firstLine="720"/>
      </w:pPr>
      <w:r w:rsidRPr="00A32951">
        <w:t>(3)</w:t>
      </w:r>
      <w:r w:rsidR="009D080B">
        <w:t xml:space="preserve">  </w:t>
      </w:r>
      <w:r w:rsidRPr="00A32951">
        <w:t>Whether the conduct at issue was deemed intentional or negligent.  This factor may only be considered in evaluating litigated cases.  When conduct has been deemed intentional, the conduct may result in a higher penalty.</w:t>
      </w:r>
    </w:p>
    <w:p w:rsidR="00E546FB" w:rsidRPr="00A32951" w:rsidRDefault="00E546FB" w:rsidP="00E546FB">
      <w:pPr>
        <w:ind w:left="1440" w:right="1440"/>
      </w:pPr>
    </w:p>
    <w:p w:rsidR="00E546FB" w:rsidRPr="00A32951" w:rsidRDefault="00E546FB" w:rsidP="009D080B">
      <w:pPr>
        <w:ind w:left="1440" w:right="1440" w:firstLine="720"/>
      </w:pPr>
      <w:r w:rsidRPr="00A32951">
        <w:t>(4)</w:t>
      </w:r>
      <w:r w:rsidR="009D080B">
        <w:t xml:space="preserve">  </w:t>
      </w:r>
      <w:r w:rsidRPr="00A32951">
        <w:t>Whether the regulated entity made efforts to modify internal practices and procedures to address the conduct at issue and prevent similar conduct in the future.  These modifications may include activities such as training and improving company techniques and supervision.  The amount of time it took the utility to correct the conduct once it was discovered and the involvement of top-level management in correcting the conduct may be considered.</w:t>
      </w:r>
    </w:p>
    <w:p w:rsidR="00E546FB" w:rsidRPr="00A32951" w:rsidRDefault="00E546FB" w:rsidP="00E546FB">
      <w:pPr>
        <w:ind w:left="1440" w:right="1440"/>
      </w:pPr>
    </w:p>
    <w:p w:rsidR="00E546FB" w:rsidRPr="00A32951" w:rsidRDefault="00E546FB" w:rsidP="009D080B">
      <w:pPr>
        <w:ind w:left="1440" w:right="1440" w:firstLine="720"/>
      </w:pPr>
      <w:r w:rsidRPr="00A32951">
        <w:t>(5)</w:t>
      </w:r>
      <w:r w:rsidR="009D080B">
        <w:t xml:space="preserve">  </w:t>
      </w:r>
      <w:r w:rsidRPr="00A32951">
        <w:t>The number of customers affected and the duration of the violation.</w:t>
      </w:r>
    </w:p>
    <w:p w:rsidR="00E546FB" w:rsidRPr="00A32951" w:rsidRDefault="00E546FB" w:rsidP="00E546FB">
      <w:pPr>
        <w:ind w:left="1440" w:right="1440"/>
      </w:pPr>
    </w:p>
    <w:p w:rsidR="00E546FB" w:rsidRPr="00A32951" w:rsidRDefault="00E546FB" w:rsidP="009D080B">
      <w:pPr>
        <w:ind w:left="1440" w:right="1440" w:firstLine="720"/>
      </w:pPr>
      <w:r w:rsidRPr="00A32951">
        <w:t>(6)</w:t>
      </w:r>
      <w:r w:rsidR="009D080B">
        <w:t xml:space="preserve">  </w:t>
      </w:r>
      <w:r w:rsidRPr="00A32951">
        <w:t>The compliance history of the regulated entity which committed the violation.  An isolated incident from an otherwise compliant utility may result in a lower penalty, whereas frequent, recurrent violations by a utility may result in a higher penalty.</w:t>
      </w:r>
    </w:p>
    <w:p w:rsidR="00E546FB" w:rsidRPr="00A32951" w:rsidRDefault="00E546FB" w:rsidP="00E546FB">
      <w:pPr>
        <w:ind w:left="1440" w:right="1440"/>
      </w:pPr>
    </w:p>
    <w:p w:rsidR="00E546FB" w:rsidRPr="00A32951" w:rsidRDefault="00E546FB" w:rsidP="009D080B">
      <w:pPr>
        <w:ind w:left="1440" w:right="1440" w:firstLine="720"/>
      </w:pPr>
      <w:r w:rsidRPr="00A32951">
        <w:t>(7)</w:t>
      </w:r>
      <w:r w:rsidR="009D080B">
        <w:t xml:space="preserve">  </w:t>
      </w:r>
      <w:r w:rsidRPr="00A32951">
        <w:t>Whether the regulated entity cooperated with the Commission’s investigation.  Facts establishing bad faith, active concealment of violations, or attempts to interfere with Commission investigations may result in a higher penalty.</w:t>
      </w:r>
    </w:p>
    <w:p w:rsidR="00E546FB" w:rsidRPr="00A32951" w:rsidRDefault="00E546FB" w:rsidP="00E546FB">
      <w:pPr>
        <w:ind w:left="1440" w:right="1440"/>
      </w:pPr>
    </w:p>
    <w:p w:rsidR="00E546FB" w:rsidRPr="00A32951" w:rsidRDefault="00E546FB" w:rsidP="009D080B">
      <w:pPr>
        <w:ind w:left="1440" w:right="1440" w:firstLine="720"/>
      </w:pPr>
      <w:r w:rsidRPr="00A32951">
        <w:t>(8)</w:t>
      </w:r>
      <w:r w:rsidR="009D080B">
        <w:t xml:space="preserve">  </w:t>
      </w:r>
      <w:r w:rsidRPr="00A32951">
        <w:t>The amount of the civil penalty or fine necessary to deter future violations.  The size of the utility may be considered to determine an appropriate penalty amount.</w:t>
      </w:r>
    </w:p>
    <w:p w:rsidR="00E546FB" w:rsidRPr="00A32951" w:rsidRDefault="00E546FB" w:rsidP="00E546FB">
      <w:pPr>
        <w:ind w:left="1440" w:right="1440"/>
      </w:pPr>
    </w:p>
    <w:p w:rsidR="00E546FB" w:rsidRPr="00A32951" w:rsidRDefault="00E546FB" w:rsidP="009D080B">
      <w:pPr>
        <w:ind w:left="1440" w:right="1440" w:firstLine="720"/>
      </w:pPr>
      <w:r w:rsidRPr="00A32951">
        <w:t>(9)</w:t>
      </w:r>
      <w:r w:rsidR="009D080B">
        <w:t xml:space="preserve">  </w:t>
      </w:r>
      <w:r w:rsidRPr="00A32951">
        <w:t>Past Commission decisions in similar situations.</w:t>
      </w:r>
    </w:p>
    <w:p w:rsidR="00E546FB" w:rsidRPr="00A32951" w:rsidRDefault="00E546FB" w:rsidP="00E546FB">
      <w:pPr>
        <w:ind w:left="1440" w:right="1440"/>
      </w:pPr>
    </w:p>
    <w:p w:rsidR="00E546FB" w:rsidRPr="00A32951" w:rsidRDefault="00E546FB" w:rsidP="009D080B">
      <w:pPr>
        <w:ind w:left="1440" w:right="1440" w:firstLine="720"/>
      </w:pPr>
      <w:r w:rsidRPr="00A32951">
        <w:t>(10)</w:t>
      </w:r>
      <w:r w:rsidR="009D080B">
        <w:t xml:space="preserve">  </w:t>
      </w:r>
      <w:r w:rsidRPr="00A32951">
        <w:t>Other relevant factors.</w:t>
      </w:r>
    </w:p>
    <w:p w:rsidR="00E546FB" w:rsidRDefault="00E546FB" w:rsidP="00E546FB"/>
    <w:p w:rsidR="009D080B" w:rsidRPr="00A32951" w:rsidRDefault="009D080B" w:rsidP="00E546FB"/>
    <w:p w:rsidR="00E546FB" w:rsidRDefault="00E546FB" w:rsidP="00E546FB">
      <w:pPr>
        <w:spacing w:line="360" w:lineRule="auto"/>
      </w:pPr>
      <w:r>
        <w:t>52 Pa. Code §69.1201(c).</w:t>
      </w:r>
    </w:p>
    <w:p w:rsidR="00E546FB" w:rsidRDefault="00E546FB" w:rsidP="00E546FB">
      <w:pPr>
        <w:spacing w:line="360" w:lineRule="auto"/>
      </w:pPr>
    </w:p>
    <w:p w:rsidR="00FF7D18" w:rsidRDefault="00E546FB" w:rsidP="00E546FB">
      <w:pPr>
        <w:spacing w:line="360" w:lineRule="auto"/>
      </w:pPr>
      <w:r>
        <w:tab/>
      </w:r>
      <w:r>
        <w:tab/>
      </w:r>
      <w:r w:rsidRPr="00A32951">
        <w:t xml:space="preserve">Here, </w:t>
      </w:r>
      <w:r>
        <w:t>Respondent</w:t>
      </w:r>
      <w:r w:rsidR="000A2C9E">
        <w:t>’s refusal to</w:t>
      </w:r>
      <w:r w:rsidR="00EB4B2B">
        <w:t xml:space="preserve"> furnish service when requested to do so</w:t>
      </w:r>
      <w:r w:rsidR="008F5047">
        <w:t xml:space="preserve"> was a serious violation</w:t>
      </w:r>
      <w:r w:rsidR="00EB4B2B">
        <w:t xml:space="preserve">.  This violation was willful, meriting a </w:t>
      </w:r>
      <w:r w:rsidR="008637CC">
        <w:t xml:space="preserve">higher </w:t>
      </w:r>
      <w:r w:rsidR="00EB4B2B">
        <w:t>civil penalty.</w:t>
      </w:r>
      <w:r w:rsidR="00DA1A80">
        <w:t xml:space="preserve"> </w:t>
      </w:r>
      <w:r w:rsidR="00EB4B2B">
        <w:t xml:space="preserve"> </w:t>
      </w:r>
      <w:r w:rsidR="00E03824">
        <w:t>Failure</w:t>
      </w:r>
      <w:r w:rsidR="00EB4B2B">
        <w:t xml:space="preserve"> to maintain appropriate driver log sheets is </w:t>
      </w:r>
      <w:r w:rsidR="00DA1A80">
        <w:t>less egregious misconduct, warranting a less severe civil penalty.</w:t>
      </w:r>
      <w:r w:rsidR="00836630">
        <w:t xml:space="preserve">  52 Pa. Code §69.1201(c)(1).</w:t>
      </w:r>
    </w:p>
    <w:p w:rsidR="00836630" w:rsidRDefault="00836630" w:rsidP="00E546FB">
      <w:pPr>
        <w:spacing w:line="360" w:lineRule="auto"/>
      </w:pPr>
    </w:p>
    <w:p w:rsidR="00836630" w:rsidRDefault="00836630" w:rsidP="00E546FB">
      <w:pPr>
        <w:spacing w:line="360" w:lineRule="auto"/>
      </w:pPr>
      <w:r>
        <w:tab/>
      </w:r>
      <w:r>
        <w:tab/>
      </w:r>
      <w:r w:rsidR="0096573C">
        <w:t>Respondent’s f</w:t>
      </w:r>
      <w:r w:rsidR="00341EDC">
        <w:t>ailure to furnish service constitutes serious misconduct</w:t>
      </w:r>
      <w:r w:rsidR="003D7325">
        <w:t xml:space="preserve"> that did not</w:t>
      </w:r>
      <w:r w:rsidR="00341EDC">
        <w:t xml:space="preserve"> </w:t>
      </w:r>
      <w:r w:rsidR="008637CC">
        <w:t xml:space="preserve">result in </w:t>
      </w:r>
      <w:r w:rsidR="00341EDC">
        <w:t>bodily injury</w:t>
      </w:r>
      <w:r w:rsidR="003D7325">
        <w:t xml:space="preserve"> or property damage</w:t>
      </w:r>
      <w:r w:rsidR="00341EDC">
        <w:t xml:space="preserve">, but still merits a serious civil penalty.  </w:t>
      </w:r>
      <w:r w:rsidR="003D7325">
        <w:t xml:space="preserve">Failure to maintain appropriate driver log sheets </w:t>
      </w:r>
      <w:r>
        <w:t>is of a less serious nature, warranting a</w:t>
      </w:r>
      <w:r w:rsidR="007066FA">
        <w:t xml:space="preserve"> less severe civil penalty.  52 </w:t>
      </w:r>
      <w:r>
        <w:t>Pa. Code §69.1201(c)(2).</w:t>
      </w:r>
    </w:p>
    <w:p w:rsidR="00836630" w:rsidRDefault="00836630" w:rsidP="00E546FB">
      <w:pPr>
        <w:spacing w:line="360" w:lineRule="auto"/>
      </w:pPr>
    </w:p>
    <w:p w:rsidR="00836630" w:rsidRDefault="00836630" w:rsidP="00E546FB">
      <w:pPr>
        <w:spacing w:line="360" w:lineRule="auto"/>
      </w:pPr>
      <w:r>
        <w:tab/>
      </w:r>
      <w:r>
        <w:tab/>
        <w:t xml:space="preserve">The parties stipulated to </w:t>
      </w:r>
      <w:r w:rsidR="000A2C9E">
        <w:t xml:space="preserve">Respondent’s failure to maintain appropriate driver log sheets </w:t>
      </w:r>
      <w:r>
        <w:t>and the amount of the civil penalty.  Consequently, th</w:t>
      </w:r>
      <w:r w:rsidR="000A2C9E">
        <w:t xml:space="preserve">is violation </w:t>
      </w:r>
      <w:r>
        <w:t xml:space="preserve">was not litigated.  So by its terms, </w:t>
      </w:r>
      <w:r w:rsidR="009B13C4">
        <w:t>52 Pa. Code §69.1201(c)(3) is inapplicable</w:t>
      </w:r>
      <w:r w:rsidR="000A2C9E">
        <w:t xml:space="preserve"> to this violation</w:t>
      </w:r>
      <w:r w:rsidR="009B13C4">
        <w:t>.</w:t>
      </w:r>
      <w:r w:rsidR="000A2C9E">
        <w:t xml:space="preserve">  As to the refusal to provide service, however, this violation was intentional and it was litigated, meriting a higher civil penalty.</w:t>
      </w:r>
    </w:p>
    <w:p w:rsidR="009B13C4" w:rsidRDefault="009B13C4" w:rsidP="00E546FB">
      <w:pPr>
        <w:spacing w:line="360" w:lineRule="auto"/>
      </w:pPr>
    </w:p>
    <w:p w:rsidR="009B13C4" w:rsidRDefault="009B13C4" w:rsidP="00E546FB">
      <w:pPr>
        <w:spacing w:line="360" w:lineRule="auto"/>
      </w:pPr>
      <w:r>
        <w:tab/>
      </w:r>
      <w:r>
        <w:tab/>
        <w:t xml:space="preserve">There is no evidence in this record to suggest the </w:t>
      </w:r>
      <w:r w:rsidRPr="00A32951">
        <w:t>regulated entity made efforts to modify internal practices and procedures to address the conduct at issue and prevent similar conduct in the future.</w:t>
      </w:r>
      <w:r>
        <w:t xml:space="preserve">  52 Pa. Code §69.1201(c)(4).</w:t>
      </w:r>
    </w:p>
    <w:p w:rsidR="009B13C4" w:rsidRDefault="009B13C4" w:rsidP="00E546FB">
      <w:pPr>
        <w:spacing w:line="360" w:lineRule="auto"/>
      </w:pPr>
    </w:p>
    <w:p w:rsidR="009B13C4" w:rsidRDefault="009B13C4" w:rsidP="00E546FB">
      <w:pPr>
        <w:spacing w:line="360" w:lineRule="auto"/>
      </w:pPr>
      <w:r>
        <w:tab/>
      </w:r>
      <w:r>
        <w:tab/>
      </w:r>
      <w:r w:rsidR="00C9305A">
        <w:t xml:space="preserve">The </w:t>
      </w:r>
      <w:r>
        <w:t xml:space="preserve">evidence suggests </w:t>
      </w:r>
      <w:r w:rsidR="00C9305A">
        <w:t xml:space="preserve">the five customers </w:t>
      </w:r>
      <w:r>
        <w:t xml:space="preserve">affected </w:t>
      </w:r>
      <w:r w:rsidR="00C9305A">
        <w:t xml:space="preserve">by the refusal to provide service were able to take the very next taxi in line and </w:t>
      </w:r>
      <w:r>
        <w:t xml:space="preserve">continued </w:t>
      </w:r>
      <w:r w:rsidR="00C9305A">
        <w:t>on to their destination.  Hence, the violation, while aggravating, was of a short duration</w:t>
      </w:r>
      <w:r>
        <w:t xml:space="preserve">.  </w:t>
      </w:r>
      <w:r w:rsidR="00C9305A">
        <w:t xml:space="preserve">No evidence suggests Respondent’s failure to maintain appropriate driver log sheets </w:t>
      </w:r>
      <w:r w:rsidR="0082540B">
        <w:t>affected any customers</w:t>
      </w:r>
      <w:r w:rsidR="003315E8">
        <w:t xml:space="preserve">. </w:t>
      </w:r>
      <w:r w:rsidR="0082540B">
        <w:t xml:space="preserve"> </w:t>
      </w:r>
      <w:r>
        <w:t>52 Pa. Code §69.1201(c)(5).</w:t>
      </w:r>
    </w:p>
    <w:p w:rsidR="00D3669E" w:rsidRDefault="00D3669E" w:rsidP="00E546FB">
      <w:pPr>
        <w:spacing w:line="360" w:lineRule="auto"/>
      </w:pPr>
    </w:p>
    <w:p w:rsidR="00D3669E" w:rsidRDefault="00D3669E" w:rsidP="00E546FB">
      <w:pPr>
        <w:spacing w:line="360" w:lineRule="auto"/>
      </w:pPr>
      <w:r>
        <w:tab/>
      </w:r>
      <w:r>
        <w:tab/>
        <w:t>No evidence was offered to suggest Respondent has a poor compliance history or that it engages in frequent, recurrent violations.</w:t>
      </w:r>
      <w:r>
        <w:rPr>
          <w:rStyle w:val="FootnoteReference"/>
        </w:rPr>
        <w:footnoteReference w:id="4"/>
      </w:r>
      <w:r>
        <w:t xml:space="preserve">  </w:t>
      </w:r>
      <w:r w:rsidR="0082540B">
        <w:t xml:space="preserve">The BTS investigating officer did testify that this driver did not have a history of prior violations (N.T. 44).  </w:t>
      </w:r>
      <w:r>
        <w:t>52 Pa. Code §69.1201(c)(6).</w:t>
      </w:r>
    </w:p>
    <w:p w:rsidR="007959D8" w:rsidRDefault="007959D8" w:rsidP="00E546FB">
      <w:pPr>
        <w:spacing w:line="360" w:lineRule="auto"/>
      </w:pPr>
    </w:p>
    <w:p w:rsidR="007959D8" w:rsidRDefault="00B307AF" w:rsidP="00E546FB">
      <w:pPr>
        <w:spacing w:line="360" w:lineRule="auto"/>
      </w:pPr>
      <w:r>
        <w:tab/>
      </w:r>
      <w:r>
        <w:tab/>
        <w:t>Respondent evidenced a willingness to cooperate with the Commission’s investigation</w:t>
      </w:r>
      <w:r w:rsidR="007D4333">
        <w:t xml:space="preserve"> (N.T. 39-48).</w:t>
      </w:r>
      <w:r>
        <w:t xml:space="preserve">  52 Pa. Code §69.1201(c)(7).</w:t>
      </w:r>
    </w:p>
    <w:p w:rsidR="00B307AF" w:rsidRDefault="00B307AF" w:rsidP="00E546FB">
      <w:pPr>
        <w:spacing w:line="360" w:lineRule="auto"/>
      </w:pPr>
    </w:p>
    <w:p w:rsidR="00B307AF" w:rsidRDefault="00B307AF" w:rsidP="00E546FB">
      <w:pPr>
        <w:spacing w:line="360" w:lineRule="auto"/>
      </w:pPr>
      <w:r>
        <w:tab/>
      </w:r>
      <w:r>
        <w:tab/>
      </w:r>
      <w:r w:rsidR="007D4333">
        <w:t xml:space="preserve">A more severe civil penalty is warranted to deter future </w:t>
      </w:r>
      <w:r w:rsidR="00E42D1B">
        <w:t xml:space="preserve">incidents involving a refusal to provide service.  </w:t>
      </w:r>
      <w:r>
        <w:t>A less severe civil penalty appears sufficient to deter future violations</w:t>
      </w:r>
      <w:r w:rsidR="00E42D1B">
        <w:t xml:space="preserve"> involving a failure to maintain appropriate driver log sheets</w:t>
      </w:r>
      <w:r>
        <w:t>.  52 Pa. Code §69.1201(c)(8).</w:t>
      </w:r>
    </w:p>
    <w:p w:rsidR="00B307AF" w:rsidRDefault="00B307AF" w:rsidP="00E546FB">
      <w:pPr>
        <w:spacing w:line="360" w:lineRule="auto"/>
      </w:pPr>
    </w:p>
    <w:p w:rsidR="00B307AF" w:rsidRDefault="00B307AF" w:rsidP="00E546FB">
      <w:pPr>
        <w:spacing w:line="360" w:lineRule="auto"/>
      </w:pPr>
      <w:r>
        <w:tab/>
      </w:r>
      <w:r>
        <w:tab/>
        <w:t xml:space="preserve">A </w:t>
      </w:r>
      <w:r w:rsidR="00E42D1B">
        <w:t xml:space="preserve">total civil penalty of </w:t>
      </w:r>
      <w:r>
        <w:t>$</w:t>
      </w:r>
      <w:r w:rsidR="00E42D1B">
        <w:t>5</w:t>
      </w:r>
      <w:r>
        <w:t xml:space="preserve">50 appears </w:t>
      </w:r>
      <w:r w:rsidR="009C2B79">
        <w:t xml:space="preserve">to be </w:t>
      </w:r>
      <w:r w:rsidR="00D15CE9">
        <w:t xml:space="preserve">in </w:t>
      </w:r>
      <w:r w:rsidR="009C2B79">
        <w:t>line with prior Commission decisions in similar situations.  52 Pa. Code §69.1201(c)(9).</w:t>
      </w:r>
    </w:p>
    <w:p w:rsidR="009C2B79" w:rsidRDefault="009C2B79" w:rsidP="00E546FB">
      <w:pPr>
        <w:spacing w:line="360" w:lineRule="auto"/>
      </w:pPr>
      <w:r>
        <w:tab/>
      </w:r>
      <w:r>
        <w:tab/>
        <w:t>52 Pa. Code §69.1201(c)(10) is inapplicable here.</w:t>
      </w:r>
    </w:p>
    <w:p w:rsidR="00C74F5A" w:rsidRDefault="00C74F5A" w:rsidP="00E546FB">
      <w:pPr>
        <w:spacing w:line="360" w:lineRule="auto"/>
      </w:pPr>
    </w:p>
    <w:p w:rsidR="00C74F5A" w:rsidRDefault="00C74F5A" w:rsidP="00E546FB">
      <w:pPr>
        <w:spacing w:line="360" w:lineRule="auto"/>
      </w:pPr>
      <w:r>
        <w:tab/>
      </w:r>
      <w:r>
        <w:tab/>
        <w:t>Therefore, Respondent will be directed to pay a $</w:t>
      </w:r>
      <w:r w:rsidR="00E42D1B">
        <w:t>5</w:t>
      </w:r>
      <w:r>
        <w:t>50 civil penalty for violating 52 Pa. Code §29.313</w:t>
      </w:r>
      <w:r w:rsidR="00E42D1B">
        <w:t xml:space="preserve">(a) &amp; </w:t>
      </w:r>
      <w:r>
        <w:t>(c).</w:t>
      </w:r>
    </w:p>
    <w:p w:rsidR="00C74F5A" w:rsidRDefault="00C74F5A" w:rsidP="00E546FB">
      <w:pPr>
        <w:spacing w:line="360" w:lineRule="auto"/>
      </w:pPr>
    </w:p>
    <w:p w:rsidR="00C74F5A" w:rsidRDefault="00A403D4" w:rsidP="00A403D4">
      <w:pPr>
        <w:spacing w:line="360" w:lineRule="auto"/>
        <w:jc w:val="center"/>
      </w:pPr>
      <w:r>
        <w:rPr>
          <w:u w:val="single"/>
        </w:rPr>
        <w:t>CONCLUSIONS OF LAW</w:t>
      </w:r>
    </w:p>
    <w:p w:rsidR="00A403D4" w:rsidRDefault="00A403D4" w:rsidP="00A403D4">
      <w:pPr>
        <w:spacing w:line="360" w:lineRule="auto"/>
      </w:pPr>
    </w:p>
    <w:p w:rsidR="00A403D4" w:rsidRDefault="00A403D4" w:rsidP="00A403D4">
      <w:pPr>
        <w:pStyle w:val="ListParagraph"/>
        <w:numPr>
          <w:ilvl w:val="0"/>
          <w:numId w:val="2"/>
        </w:numPr>
        <w:spacing w:line="360" w:lineRule="auto"/>
        <w:ind w:left="0" w:firstLine="1440"/>
      </w:pPr>
      <w:r w:rsidRPr="004B5919">
        <w:t xml:space="preserve">The Commission has jurisdiction over the subject matter and the parties to this proceeding.  66 Pa. C.S. §§501, </w:t>
      </w:r>
      <w:r w:rsidRPr="001830D0">
        <w:rPr>
          <w:i/>
        </w:rPr>
        <w:t>et seq</w:t>
      </w:r>
      <w:r w:rsidRPr="004B5919">
        <w:t>.</w:t>
      </w:r>
    </w:p>
    <w:p w:rsidR="00A403D4" w:rsidRDefault="00A403D4" w:rsidP="00A403D4">
      <w:pPr>
        <w:pStyle w:val="ListParagraph"/>
        <w:spacing w:line="360" w:lineRule="auto"/>
        <w:ind w:left="1440"/>
      </w:pPr>
    </w:p>
    <w:p w:rsidR="00A403D4" w:rsidRDefault="00980A77" w:rsidP="00A403D4">
      <w:pPr>
        <w:pStyle w:val="ListParagraph"/>
        <w:numPr>
          <w:ilvl w:val="0"/>
          <w:numId w:val="2"/>
        </w:numPr>
        <w:spacing w:line="360" w:lineRule="auto"/>
        <w:ind w:left="0" w:firstLine="1440"/>
      </w:pPr>
      <w:r>
        <w:t>Respondent violated 52 Pa. Code §29.313(a) by refusing to provide call or demand service to the Griffith party at the Pittsburgh International Airport on May 28, 2010.</w:t>
      </w:r>
    </w:p>
    <w:p w:rsidR="00E42D1B" w:rsidRDefault="00E42D1B" w:rsidP="00E42D1B">
      <w:pPr>
        <w:pStyle w:val="ListParagraph"/>
      </w:pPr>
    </w:p>
    <w:p w:rsidR="00E42D1B" w:rsidRDefault="00E42D1B" w:rsidP="00A403D4">
      <w:pPr>
        <w:pStyle w:val="ListParagraph"/>
        <w:numPr>
          <w:ilvl w:val="0"/>
          <w:numId w:val="2"/>
        </w:numPr>
        <w:spacing w:line="360" w:lineRule="auto"/>
        <w:ind w:left="0" w:firstLine="1440"/>
      </w:pPr>
      <w:r>
        <w:t>Respondent violated 52 Pa. Code §29.313(c) by failing to have a complete driver log sheet in its vehicle.</w:t>
      </w:r>
    </w:p>
    <w:p w:rsidR="00A403D4" w:rsidRDefault="00A403D4" w:rsidP="00A403D4">
      <w:pPr>
        <w:pStyle w:val="ListParagraph"/>
      </w:pPr>
    </w:p>
    <w:p w:rsidR="00A403D4" w:rsidRDefault="00A403D4" w:rsidP="00A403D4">
      <w:pPr>
        <w:pStyle w:val="ListParagraph"/>
        <w:numPr>
          <w:ilvl w:val="0"/>
          <w:numId w:val="2"/>
        </w:numPr>
        <w:spacing w:line="360" w:lineRule="auto"/>
        <w:ind w:left="0" w:firstLine="1440"/>
      </w:pPr>
      <w:r w:rsidRPr="005A2772">
        <w:t xml:space="preserve">Under the circumstances, imposition of a civil penalty </w:t>
      </w:r>
      <w:r w:rsidR="00980A77">
        <w:t xml:space="preserve">totaling </w:t>
      </w:r>
      <w:r w:rsidRPr="005A2772">
        <w:t>$</w:t>
      </w:r>
      <w:r w:rsidR="00980A77">
        <w:t>5</w:t>
      </w:r>
      <w:r w:rsidRPr="005A2772">
        <w:t>50</w:t>
      </w:r>
      <w:r>
        <w:t xml:space="preserve"> </w:t>
      </w:r>
      <w:r w:rsidRPr="005A2772">
        <w:t xml:space="preserve">upon Respondent for violating </w:t>
      </w:r>
      <w:r>
        <w:t>52 Pa. Code §29.313</w:t>
      </w:r>
      <w:r w:rsidR="00980A77">
        <w:t xml:space="preserve">(a) &amp; </w:t>
      </w:r>
      <w:r>
        <w:t>(c)</w:t>
      </w:r>
      <w:r w:rsidRPr="005A2772">
        <w:t xml:space="preserve"> is warranted.  66 Pa. C.S. §3301.</w:t>
      </w:r>
    </w:p>
    <w:p w:rsidR="00A403D4" w:rsidRDefault="00A403D4" w:rsidP="00A403D4">
      <w:pPr>
        <w:pStyle w:val="ListParagraph"/>
      </w:pPr>
    </w:p>
    <w:p w:rsidR="00A403D4" w:rsidRDefault="0056709B" w:rsidP="0056709B">
      <w:pPr>
        <w:spacing w:line="360" w:lineRule="auto"/>
        <w:jc w:val="center"/>
      </w:pPr>
      <w:r>
        <w:rPr>
          <w:u w:val="single"/>
        </w:rPr>
        <w:t>ORDER</w:t>
      </w:r>
    </w:p>
    <w:p w:rsidR="0056709B" w:rsidRDefault="0056709B" w:rsidP="0056709B">
      <w:pPr>
        <w:spacing w:line="360" w:lineRule="auto"/>
      </w:pPr>
    </w:p>
    <w:p w:rsidR="0056709B" w:rsidRDefault="0056709B" w:rsidP="0056709B">
      <w:pPr>
        <w:spacing w:line="360" w:lineRule="auto"/>
      </w:pPr>
      <w:r>
        <w:tab/>
      </w:r>
      <w:r>
        <w:tab/>
        <w:t>THEREFORE,</w:t>
      </w:r>
    </w:p>
    <w:p w:rsidR="0056709B" w:rsidRDefault="0056709B" w:rsidP="0056709B">
      <w:pPr>
        <w:spacing w:line="360" w:lineRule="auto"/>
      </w:pPr>
    </w:p>
    <w:p w:rsidR="0056709B" w:rsidRDefault="0056709B" w:rsidP="0056709B">
      <w:pPr>
        <w:spacing w:line="360" w:lineRule="auto"/>
      </w:pPr>
      <w:r>
        <w:tab/>
      </w:r>
      <w:r>
        <w:tab/>
        <w:t>IT IS ORDERED:</w:t>
      </w:r>
    </w:p>
    <w:p w:rsidR="0056709B" w:rsidRDefault="0056709B" w:rsidP="0056709B">
      <w:pPr>
        <w:spacing w:line="360" w:lineRule="auto"/>
      </w:pPr>
    </w:p>
    <w:p w:rsidR="0056709B" w:rsidRDefault="0056709B" w:rsidP="0056709B">
      <w:pPr>
        <w:pStyle w:val="ListParagraph"/>
        <w:numPr>
          <w:ilvl w:val="0"/>
          <w:numId w:val="3"/>
        </w:numPr>
        <w:spacing w:line="360" w:lineRule="auto"/>
        <w:ind w:left="0" w:firstLine="1440"/>
      </w:pPr>
      <w:r>
        <w:t xml:space="preserve">That the complaint of the </w:t>
      </w:r>
      <w:r w:rsidRPr="004F20ED">
        <w:t>Pennsylvania Public Utility Commission</w:t>
      </w:r>
      <w:r>
        <w:t xml:space="preserve">, </w:t>
      </w:r>
      <w:r w:rsidRPr="004F20ED">
        <w:t>Bureau of Transportation and Safety</w:t>
      </w:r>
      <w:r>
        <w:t xml:space="preserve"> against</w:t>
      </w:r>
      <w:r w:rsidRPr="00E62AF2">
        <w:t xml:space="preserve"> </w:t>
      </w:r>
      <w:r>
        <w:t>the Yellow Cab Company of Pittsburgh at Docket No. </w:t>
      </w:r>
      <w:r w:rsidRPr="004F20ED">
        <w:t>C-</w:t>
      </w:r>
      <w:r>
        <w:t>201</w:t>
      </w:r>
      <w:r w:rsidR="00980A77">
        <w:t>0</w:t>
      </w:r>
      <w:r>
        <w:t>-2</w:t>
      </w:r>
      <w:r w:rsidR="00980A77">
        <w:t>180244</w:t>
      </w:r>
      <w:r>
        <w:t xml:space="preserve"> is hereby granted.</w:t>
      </w:r>
    </w:p>
    <w:p w:rsidR="001E0E54" w:rsidRDefault="001E0E54" w:rsidP="001E0E54">
      <w:pPr>
        <w:pStyle w:val="ListParagraph"/>
        <w:spacing w:line="360" w:lineRule="auto"/>
        <w:ind w:left="1440"/>
      </w:pPr>
    </w:p>
    <w:p w:rsidR="001E0E54" w:rsidRDefault="006A30D3" w:rsidP="0056709B">
      <w:pPr>
        <w:pStyle w:val="ListParagraph"/>
        <w:numPr>
          <w:ilvl w:val="0"/>
          <w:numId w:val="3"/>
        </w:numPr>
        <w:spacing w:line="360" w:lineRule="auto"/>
        <w:ind w:left="0" w:firstLine="1440"/>
      </w:pPr>
      <w:r w:rsidRPr="00BC287F">
        <w:t>That Respondent</w:t>
      </w:r>
      <w:r>
        <w:t>, Yellow Cab Company of Pittsburgh,</w:t>
      </w:r>
      <w:r w:rsidRPr="00BC287F">
        <w:t xml:space="preserve"> is hereby directed to pay a civil penalty of </w:t>
      </w:r>
      <w:r w:rsidR="00980A77">
        <w:t xml:space="preserve">five hundred </w:t>
      </w:r>
      <w:r>
        <w:t>fifty</w:t>
      </w:r>
      <w:r w:rsidRPr="00BC287F">
        <w:t xml:space="preserve"> dollars ($</w:t>
      </w:r>
      <w:r w:rsidR="00980A77">
        <w:t>5</w:t>
      </w:r>
      <w:r w:rsidRPr="00BC287F">
        <w:t xml:space="preserve">50) pursuant to Sections 3301 and 3315 of the Public Utility Code, 66 Pa. C.S. §§3301 &amp; 3315, by sending a certified check or money order within </w:t>
      </w:r>
      <w:r>
        <w:t xml:space="preserve">thirty </w:t>
      </w:r>
      <w:r w:rsidRPr="00BC287F">
        <w:t>(</w:t>
      </w:r>
      <w:r>
        <w:t>30</w:t>
      </w:r>
      <w:r w:rsidRPr="00BC287F">
        <w:t xml:space="preserve">) days </w:t>
      </w:r>
      <w:r>
        <w:t xml:space="preserve">of entry </w:t>
      </w:r>
      <w:r w:rsidRPr="00BC287F">
        <w:t>of the Commission’s Order in this case to:</w:t>
      </w:r>
    </w:p>
    <w:p w:rsidR="00980A77" w:rsidRDefault="00980A77" w:rsidP="00980A77">
      <w:pPr>
        <w:spacing w:line="360" w:lineRule="auto"/>
      </w:pPr>
    </w:p>
    <w:p w:rsidR="006A30D3" w:rsidRDefault="00452B6A" w:rsidP="00452B6A">
      <w:pPr>
        <w:ind w:left="2880"/>
      </w:pPr>
      <w:r w:rsidRPr="00BC287F">
        <w:t>Pennsylvania Public Utility Commission</w:t>
      </w:r>
    </w:p>
    <w:p w:rsidR="00452B6A" w:rsidRDefault="00452B6A" w:rsidP="00452B6A">
      <w:pPr>
        <w:ind w:left="2880"/>
      </w:pPr>
      <w:r w:rsidRPr="00BC287F">
        <w:t>P.O. Box 3265</w:t>
      </w:r>
    </w:p>
    <w:p w:rsidR="00452B6A" w:rsidRDefault="00452B6A" w:rsidP="00452B6A">
      <w:pPr>
        <w:ind w:left="2880"/>
      </w:pPr>
      <w:r w:rsidRPr="00BC287F">
        <w:t>Harrisburg, PA 17105-3265</w:t>
      </w:r>
    </w:p>
    <w:p w:rsidR="00452B6A" w:rsidRDefault="00452B6A" w:rsidP="00452B6A"/>
    <w:p w:rsidR="00452B6A" w:rsidRDefault="00452B6A" w:rsidP="00452B6A"/>
    <w:p w:rsidR="00452B6A" w:rsidRDefault="00294E68" w:rsidP="00294E68">
      <w:pPr>
        <w:pStyle w:val="ListParagraph"/>
        <w:numPr>
          <w:ilvl w:val="0"/>
          <w:numId w:val="5"/>
        </w:numPr>
        <w:spacing w:line="360" w:lineRule="auto"/>
        <w:ind w:left="0" w:firstLine="1440"/>
      </w:pPr>
      <w:r w:rsidRPr="001830D0">
        <w:t xml:space="preserve">That Respondent is hereby directed to cease and desist from further violations of the Public Utility Code, 66 Pa. C.S. §§101, </w:t>
      </w:r>
      <w:r w:rsidRPr="005830CE">
        <w:rPr>
          <w:i/>
        </w:rPr>
        <w:t>et seq.</w:t>
      </w:r>
      <w:r w:rsidRPr="001830D0">
        <w:t>, and the regulations of this Commission, 52 </w:t>
      </w:r>
      <w:smartTag w:uri="urn:schemas-microsoft-com:office:smarttags" w:element="place">
        <w:smartTag w:uri="urn:schemas-microsoft-com:office:smarttags" w:element="State">
          <w:r w:rsidRPr="001830D0">
            <w:t>Pa.</w:t>
          </w:r>
        </w:smartTag>
      </w:smartTag>
      <w:r w:rsidRPr="001830D0">
        <w:t xml:space="preserve"> Code §§1.1, </w:t>
      </w:r>
      <w:r w:rsidRPr="005830CE">
        <w:rPr>
          <w:i/>
        </w:rPr>
        <w:t>et seq</w:t>
      </w:r>
      <w:r>
        <w:t>.</w:t>
      </w:r>
    </w:p>
    <w:p w:rsidR="00294E68" w:rsidRDefault="00294E68" w:rsidP="00294E68">
      <w:pPr>
        <w:spacing w:line="360" w:lineRule="auto"/>
      </w:pPr>
    </w:p>
    <w:p w:rsidR="00294E68" w:rsidRDefault="00294E68" w:rsidP="00294E68">
      <w:pPr>
        <w:spacing w:line="360" w:lineRule="auto"/>
      </w:pPr>
    </w:p>
    <w:p w:rsidR="00294E68" w:rsidRDefault="00294E68" w:rsidP="00294E68">
      <w:r>
        <w:t xml:space="preserve">Date:  </w:t>
      </w:r>
      <w:r w:rsidR="00980A77">
        <w:rPr>
          <w:u w:val="single"/>
        </w:rPr>
        <w:t>March 22</w:t>
      </w:r>
      <w:r>
        <w:rPr>
          <w:u w:val="single"/>
        </w:rPr>
        <w:t>, 2012</w:t>
      </w:r>
      <w:r>
        <w:tab/>
      </w:r>
      <w:r>
        <w:tab/>
      </w:r>
      <w:r>
        <w:tab/>
      </w:r>
      <w:r>
        <w:tab/>
      </w:r>
      <w:r>
        <w:rPr>
          <w:u w:val="single"/>
        </w:rPr>
        <w:tab/>
      </w:r>
      <w:r>
        <w:rPr>
          <w:u w:val="single"/>
        </w:rPr>
        <w:tab/>
      </w:r>
      <w:r>
        <w:rPr>
          <w:u w:val="single"/>
        </w:rPr>
        <w:tab/>
      </w:r>
      <w:r>
        <w:rPr>
          <w:u w:val="single"/>
        </w:rPr>
        <w:tab/>
      </w:r>
      <w:r>
        <w:rPr>
          <w:u w:val="single"/>
        </w:rPr>
        <w:tab/>
      </w:r>
      <w:r>
        <w:rPr>
          <w:u w:val="single"/>
        </w:rPr>
        <w:tab/>
      </w:r>
    </w:p>
    <w:p w:rsidR="00294E68" w:rsidRDefault="00294E68" w:rsidP="00294E68">
      <w:r>
        <w:tab/>
      </w:r>
      <w:r>
        <w:tab/>
      </w:r>
      <w:r>
        <w:tab/>
      </w:r>
      <w:r>
        <w:tab/>
      </w:r>
      <w:r>
        <w:tab/>
      </w:r>
      <w:r>
        <w:tab/>
      </w:r>
      <w:r>
        <w:tab/>
        <w:t>John H. Corbett, Jr.</w:t>
      </w:r>
    </w:p>
    <w:p w:rsidR="00294E68" w:rsidRDefault="00294E68" w:rsidP="00294E68">
      <w:r>
        <w:tab/>
      </w:r>
      <w:r>
        <w:tab/>
      </w:r>
      <w:r>
        <w:tab/>
      </w:r>
      <w:r>
        <w:tab/>
      </w:r>
      <w:r>
        <w:tab/>
      </w:r>
      <w:r>
        <w:tab/>
      </w:r>
      <w:r>
        <w:tab/>
        <w:t>Administrative Law Judge</w:t>
      </w:r>
    </w:p>
    <w:p w:rsidR="00294E68" w:rsidRPr="00294E68" w:rsidRDefault="00294E68" w:rsidP="00294E68"/>
    <w:sectPr w:rsidR="00294E68" w:rsidRPr="00294E68" w:rsidSect="00AC3E07">
      <w:foot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77C" w:rsidRDefault="00F1477C" w:rsidP="00D97263">
      <w:r>
        <w:separator/>
      </w:r>
    </w:p>
  </w:endnote>
  <w:endnote w:type="continuationSeparator" w:id="0">
    <w:p w:rsidR="00F1477C" w:rsidRDefault="00F1477C" w:rsidP="00D97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6895318"/>
      <w:docPartObj>
        <w:docPartGallery w:val="Page Numbers (Bottom of Page)"/>
        <w:docPartUnique/>
      </w:docPartObj>
    </w:sdtPr>
    <w:sdtEndPr>
      <w:rPr>
        <w:noProof/>
        <w:sz w:val="20"/>
        <w:szCs w:val="20"/>
      </w:rPr>
    </w:sdtEndPr>
    <w:sdtContent>
      <w:p w:rsidR="006021FF" w:rsidRPr="00F77850" w:rsidRDefault="006021FF">
        <w:pPr>
          <w:pStyle w:val="Footer"/>
          <w:jc w:val="center"/>
          <w:rPr>
            <w:sz w:val="20"/>
            <w:szCs w:val="20"/>
          </w:rPr>
        </w:pPr>
        <w:r w:rsidRPr="00F77850">
          <w:rPr>
            <w:sz w:val="20"/>
            <w:szCs w:val="20"/>
          </w:rPr>
          <w:fldChar w:fldCharType="begin"/>
        </w:r>
        <w:r w:rsidRPr="00F77850">
          <w:rPr>
            <w:sz w:val="20"/>
            <w:szCs w:val="20"/>
          </w:rPr>
          <w:instrText xml:space="preserve"> PAGE   \* MERGEFORMAT </w:instrText>
        </w:r>
        <w:r w:rsidRPr="00F77850">
          <w:rPr>
            <w:sz w:val="20"/>
            <w:szCs w:val="20"/>
          </w:rPr>
          <w:fldChar w:fldCharType="separate"/>
        </w:r>
        <w:r w:rsidR="00F77850">
          <w:rPr>
            <w:noProof/>
            <w:sz w:val="20"/>
            <w:szCs w:val="20"/>
          </w:rPr>
          <w:t>5</w:t>
        </w:r>
        <w:r w:rsidRPr="00F77850">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77C" w:rsidRDefault="00F1477C" w:rsidP="00D97263">
      <w:r>
        <w:separator/>
      </w:r>
    </w:p>
  </w:footnote>
  <w:footnote w:type="continuationSeparator" w:id="0">
    <w:p w:rsidR="00F1477C" w:rsidRDefault="00F1477C" w:rsidP="00D97263">
      <w:r>
        <w:continuationSeparator/>
      </w:r>
    </w:p>
  </w:footnote>
  <w:footnote w:id="1">
    <w:p w:rsidR="00D97263" w:rsidRDefault="00D97263" w:rsidP="00574946">
      <w:pPr>
        <w:pStyle w:val="FootnoteText"/>
        <w:ind w:firstLine="720"/>
      </w:pPr>
      <w:r>
        <w:rPr>
          <w:rStyle w:val="FootnoteReference"/>
        </w:rPr>
        <w:footnoteRef/>
      </w:r>
      <w:r>
        <w:t xml:space="preserve"> </w:t>
      </w:r>
      <w:r>
        <w:tab/>
        <w:t>As part of the overall reorganization of the Commission in August 2011, the BTS was subsumed in the new Bureau of Investigation and Enforcement (“BIE”).</w:t>
      </w:r>
    </w:p>
  </w:footnote>
  <w:footnote w:id="2">
    <w:p w:rsidR="006408ED" w:rsidRDefault="006408ED" w:rsidP="006408ED">
      <w:pPr>
        <w:pStyle w:val="FootnoteText"/>
        <w:ind w:firstLine="720"/>
      </w:pPr>
      <w:r>
        <w:rPr>
          <w:rStyle w:val="FootnoteReference"/>
        </w:rPr>
        <w:footnoteRef/>
      </w:r>
      <w:r>
        <w:t xml:space="preserve"> </w:t>
      </w:r>
      <w:r>
        <w:tab/>
        <w:t>A second BTS complaint against</w:t>
      </w:r>
      <w:r w:rsidR="0058350D">
        <w:t xml:space="preserve"> Respondent at Docket No. C-2011</w:t>
      </w:r>
      <w:r>
        <w:t>-2</w:t>
      </w:r>
      <w:r w:rsidR="0058350D">
        <w:t>211682</w:t>
      </w:r>
      <w:r>
        <w:t xml:space="preserve"> was also heard at that time.  These cases </w:t>
      </w:r>
      <w:r w:rsidR="00B21021">
        <w:t xml:space="preserve">are </w:t>
      </w:r>
      <w:r>
        <w:t>unrelated</w:t>
      </w:r>
      <w:r w:rsidR="00B21021">
        <w:t>, except for the same parties,</w:t>
      </w:r>
      <w:r>
        <w:t xml:space="preserve"> and have not been consolidated for decision.</w:t>
      </w:r>
    </w:p>
  </w:footnote>
  <w:footnote w:id="3">
    <w:p w:rsidR="006939C5" w:rsidRDefault="006939C5" w:rsidP="006939C5">
      <w:pPr>
        <w:pStyle w:val="FootnoteText"/>
        <w:ind w:firstLine="720"/>
      </w:pPr>
      <w:r>
        <w:rPr>
          <w:rStyle w:val="FootnoteReference"/>
        </w:rPr>
        <w:footnoteRef/>
      </w:r>
      <w:r>
        <w:t xml:space="preserve"> </w:t>
      </w:r>
      <w:r>
        <w:tab/>
        <w:t>In his closing statement at the hearing, Respondent’s counsel raise</w:t>
      </w:r>
      <w:r w:rsidR="008F36BF">
        <w:t>d</w:t>
      </w:r>
      <w:r>
        <w:t xml:space="preserve"> an additional issue that a taxi driver is under no obligation to furnish transportation, if the passenger claims he/she will not be paying the fare but insists a third party will guarantee payment (N.T. 65-67).  This argument was not raised in Respondent’s answer to the complaint </w:t>
      </w:r>
      <w:r w:rsidR="00906EDB">
        <w:t xml:space="preserve">nor </w:t>
      </w:r>
      <w:r>
        <w:t xml:space="preserve">is </w:t>
      </w:r>
      <w:r w:rsidR="00906EDB">
        <w:t>it</w:t>
      </w:r>
      <w:r>
        <w:t xml:space="preserve"> the testimony of Respondent’s driver.  To reiterate, the driver insists he did not furnish the transportation, </w:t>
      </w:r>
      <w:r w:rsidR="00711EC8">
        <w:t xml:space="preserve">solely </w:t>
      </w:r>
      <w:r>
        <w:t>because the Griffith party was not together and ready to enter the cab</w:t>
      </w:r>
      <w:r w:rsidR="00906EDB">
        <w:t xml:space="preserve"> while a crowd was waiting (N.T. 50-56).  The driver </w:t>
      </w:r>
      <w:r w:rsidR="00711EC8">
        <w:t xml:space="preserve">denies that any conversation ensued about payment and he </w:t>
      </w:r>
      <w:r w:rsidR="00906EDB">
        <w:t>makes no mention</w:t>
      </w:r>
      <w:r w:rsidR="00711EC8">
        <w:t xml:space="preserve"> of any prior experience with the Microtel Hotel (N.T. 55-56).</w:t>
      </w:r>
      <w:r w:rsidR="006E2384">
        <w:t xml:space="preserve">  Accordingly, this issue will receive no further consideration here.</w:t>
      </w:r>
    </w:p>
  </w:footnote>
  <w:footnote w:id="4">
    <w:p w:rsidR="00D3669E" w:rsidRDefault="00D3669E" w:rsidP="00D3669E">
      <w:pPr>
        <w:pStyle w:val="FootnoteText"/>
        <w:ind w:firstLine="720"/>
      </w:pPr>
      <w:r>
        <w:rPr>
          <w:rStyle w:val="FootnoteReference"/>
        </w:rPr>
        <w:footnoteRef/>
      </w:r>
      <w:r>
        <w:t xml:space="preserve"> </w:t>
      </w:r>
      <w:r>
        <w:tab/>
        <w:t xml:space="preserve">Although, see the </w:t>
      </w:r>
      <w:r w:rsidR="007959D8">
        <w:t xml:space="preserve">complaint </w:t>
      </w:r>
      <w:r>
        <w:t xml:space="preserve">at Docket No. </w:t>
      </w:r>
      <w:r w:rsidR="007959D8">
        <w:t>C-201</w:t>
      </w:r>
      <w:r w:rsidR="0082540B">
        <w:t>1</w:t>
      </w:r>
      <w:r w:rsidR="007959D8">
        <w:t>-2</w:t>
      </w:r>
      <w:r w:rsidR="0082540B">
        <w:t>211682</w:t>
      </w:r>
      <w:r w:rsidR="007959D8">
        <w:t>, which also raised a violation of 52 </w:t>
      </w:r>
      <w:r w:rsidR="007959D8" w:rsidRPr="007959D8">
        <w:t>Pa. Code §29.313(c)</w:t>
      </w:r>
      <w:r w:rsidR="007959D8">
        <w:t xml:space="preserve"> and was heard on January 18, 2012.</w:t>
      </w:r>
      <w:r w:rsidR="0056709B">
        <w:t xml:space="preserve">  The parties also stipulated to that violation (N.T. 6-8).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EB7591"/>
    <w:multiLevelType w:val="hybridMultilevel"/>
    <w:tmpl w:val="391EC1FC"/>
    <w:lvl w:ilvl="0" w:tplc="DC3C97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425A71"/>
    <w:multiLevelType w:val="hybridMultilevel"/>
    <w:tmpl w:val="EF205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174816"/>
    <w:multiLevelType w:val="hybridMultilevel"/>
    <w:tmpl w:val="5A86180C"/>
    <w:lvl w:ilvl="0" w:tplc="26FE292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244904"/>
    <w:multiLevelType w:val="hybridMultilevel"/>
    <w:tmpl w:val="21121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2A010C"/>
    <w:multiLevelType w:val="hybridMultilevel"/>
    <w:tmpl w:val="5D8EA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F5A37080-5486-4777-9E01-AD39D0A77FD6}"/>
    <w:docVar w:name="dgnword-eventsink" w:val="105039832"/>
  </w:docVars>
  <w:rsids>
    <w:rsidRoot w:val="00D97263"/>
    <w:rsid w:val="00002E71"/>
    <w:rsid w:val="0000610B"/>
    <w:rsid w:val="0001444C"/>
    <w:rsid w:val="000158F5"/>
    <w:rsid w:val="00015C87"/>
    <w:rsid w:val="000200B5"/>
    <w:rsid w:val="00022031"/>
    <w:rsid w:val="00022664"/>
    <w:rsid w:val="00023CEE"/>
    <w:rsid w:val="00024AA5"/>
    <w:rsid w:val="00027171"/>
    <w:rsid w:val="00027E4C"/>
    <w:rsid w:val="0003505B"/>
    <w:rsid w:val="00035D88"/>
    <w:rsid w:val="000404B5"/>
    <w:rsid w:val="00041450"/>
    <w:rsid w:val="00041943"/>
    <w:rsid w:val="00042860"/>
    <w:rsid w:val="00044944"/>
    <w:rsid w:val="0004591A"/>
    <w:rsid w:val="00047F6E"/>
    <w:rsid w:val="0005471E"/>
    <w:rsid w:val="00056339"/>
    <w:rsid w:val="00063896"/>
    <w:rsid w:val="0006554F"/>
    <w:rsid w:val="00067C8F"/>
    <w:rsid w:val="00070D98"/>
    <w:rsid w:val="000716B7"/>
    <w:rsid w:val="000767FF"/>
    <w:rsid w:val="0008135A"/>
    <w:rsid w:val="0008257A"/>
    <w:rsid w:val="00085610"/>
    <w:rsid w:val="00087CC5"/>
    <w:rsid w:val="0009005C"/>
    <w:rsid w:val="000921BC"/>
    <w:rsid w:val="00095B50"/>
    <w:rsid w:val="00096F74"/>
    <w:rsid w:val="000A0A7F"/>
    <w:rsid w:val="000A2C9E"/>
    <w:rsid w:val="000A510C"/>
    <w:rsid w:val="000A7EFE"/>
    <w:rsid w:val="000B3598"/>
    <w:rsid w:val="000B53F0"/>
    <w:rsid w:val="000B629F"/>
    <w:rsid w:val="000B6D95"/>
    <w:rsid w:val="000C1A6B"/>
    <w:rsid w:val="000C269C"/>
    <w:rsid w:val="000C5510"/>
    <w:rsid w:val="000C71B2"/>
    <w:rsid w:val="000C76C7"/>
    <w:rsid w:val="000D0A51"/>
    <w:rsid w:val="000D1336"/>
    <w:rsid w:val="000D715A"/>
    <w:rsid w:val="000D7906"/>
    <w:rsid w:val="000E0C64"/>
    <w:rsid w:val="000E1700"/>
    <w:rsid w:val="000E4E82"/>
    <w:rsid w:val="000E6C36"/>
    <w:rsid w:val="000F0CB0"/>
    <w:rsid w:val="000F1E2C"/>
    <w:rsid w:val="000F22AD"/>
    <w:rsid w:val="000F331D"/>
    <w:rsid w:val="000F6BCB"/>
    <w:rsid w:val="0010180F"/>
    <w:rsid w:val="00105690"/>
    <w:rsid w:val="001059C3"/>
    <w:rsid w:val="001079C3"/>
    <w:rsid w:val="0011082D"/>
    <w:rsid w:val="00111A25"/>
    <w:rsid w:val="00114A5C"/>
    <w:rsid w:val="00114D69"/>
    <w:rsid w:val="001163B8"/>
    <w:rsid w:val="001164A8"/>
    <w:rsid w:val="00117158"/>
    <w:rsid w:val="0012337D"/>
    <w:rsid w:val="0012341F"/>
    <w:rsid w:val="00126555"/>
    <w:rsid w:val="0013358A"/>
    <w:rsid w:val="001336B2"/>
    <w:rsid w:val="0013746C"/>
    <w:rsid w:val="00140ED5"/>
    <w:rsid w:val="001422C9"/>
    <w:rsid w:val="0014599C"/>
    <w:rsid w:val="0014695E"/>
    <w:rsid w:val="00147A1C"/>
    <w:rsid w:val="00150F38"/>
    <w:rsid w:val="00151828"/>
    <w:rsid w:val="00152DD8"/>
    <w:rsid w:val="001534FA"/>
    <w:rsid w:val="00153BB2"/>
    <w:rsid w:val="001551FE"/>
    <w:rsid w:val="00155E3F"/>
    <w:rsid w:val="00157F7C"/>
    <w:rsid w:val="00163667"/>
    <w:rsid w:val="00171BA7"/>
    <w:rsid w:val="001736C0"/>
    <w:rsid w:val="00177B41"/>
    <w:rsid w:val="00177C22"/>
    <w:rsid w:val="0018502A"/>
    <w:rsid w:val="00186713"/>
    <w:rsid w:val="00190B52"/>
    <w:rsid w:val="00192F81"/>
    <w:rsid w:val="00194EDA"/>
    <w:rsid w:val="00197214"/>
    <w:rsid w:val="00197FE7"/>
    <w:rsid w:val="001A517C"/>
    <w:rsid w:val="001A6616"/>
    <w:rsid w:val="001B1283"/>
    <w:rsid w:val="001B37F9"/>
    <w:rsid w:val="001B389A"/>
    <w:rsid w:val="001B6147"/>
    <w:rsid w:val="001B669F"/>
    <w:rsid w:val="001B6767"/>
    <w:rsid w:val="001B7B44"/>
    <w:rsid w:val="001C16F1"/>
    <w:rsid w:val="001C1DA4"/>
    <w:rsid w:val="001D0B3C"/>
    <w:rsid w:val="001D341C"/>
    <w:rsid w:val="001D4EAA"/>
    <w:rsid w:val="001E0E54"/>
    <w:rsid w:val="001E13F6"/>
    <w:rsid w:val="001E4606"/>
    <w:rsid w:val="001E480F"/>
    <w:rsid w:val="001E49BB"/>
    <w:rsid w:val="001E6948"/>
    <w:rsid w:val="001E6AC2"/>
    <w:rsid w:val="001E7A10"/>
    <w:rsid w:val="001F1F9D"/>
    <w:rsid w:val="001F1FC5"/>
    <w:rsid w:val="001F5E84"/>
    <w:rsid w:val="001F73E8"/>
    <w:rsid w:val="002002ED"/>
    <w:rsid w:val="00202271"/>
    <w:rsid w:val="00205676"/>
    <w:rsid w:val="0020746B"/>
    <w:rsid w:val="002107F3"/>
    <w:rsid w:val="00212F85"/>
    <w:rsid w:val="00213B19"/>
    <w:rsid w:val="0021472B"/>
    <w:rsid w:val="00215CE0"/>
    <w:rsid w:val="00216054"/>
    <w:rsid w:val="00221630"/>
    <w:rsid w:val="00222675"/>
    <w:rsid w:val="00222A1D"/>
    <w:rsid w:val="002231E7"/>
    <w:rsid w:val="00224D1A"/>
    <w:rsid w:val="00225F5E"/>
    <w:rsid w:val="0022623F"/>
    <w:rsid w:val="002270C7"/>
    <w:rsid w:val="00234986"/>
    <w:rsid w:val="0023594C"/>
    <w:rsid w:val="00237F95"/>
    <w:rsid w:val="002432B5"/>
    <w:rsid w:val="00244DC3"/>
    <w:rsid w:val="00254AC4"/>
    <w:rsid w:val="0025505D"/>
    <w:rsid w:val="0025568C"/>
    <w:rsid w:val="0025624A"/>
    <w:rsid w:val="00256602"/>
    <w:rsid w:val="002569D2"/>
    <w:rsid w:val="00256F15"/>
    <w:rsid w:val="00264827"/>
    <w:rsid w:val="002659C1"/>
    <w:rsid w:val="00265F08"/>
    <w:rsid w:val="00266EEA"/>
    <w:rsid w:val="002705F3"/>
    <w:rsid w:val="002715D6"/>
    <w:rsid w:val="00273113"/>
    <w:rsid w:val="00273CD5"/>
    <w:rsid w:val="00274AEB"/>
    <w:rsid w:val="00277C6E"/>
    <w:rsid w:val="0028196A"/>
    <w:rsid w:val="00282E72"/>
    <w:rsid w:val="00286013"/>
    <w:rsid w:val="00286E18"/>
    <w:rsid w:val="00292413"/>
    <w:rsid w:val="00292C52"/>
    <w:rsid w:val="0029312D"/>
    <w:rsid w:val="00294E68"/>
    <w:rsid w:val="00297007"/>
    <w:rsid w:val="002A08AE"/>
    <w:rsid w:val="002A0C6D"/>
    <w:rsid w:val="002A5634"/>
    <w:rsid w:val="002B080D"/>
    <w:rsid w:val="002B43C8"/>
    <w:rsid w:val="002B693E"/>
    <w:rsid w:val="002C0A83"/>
    <w:rsid w:val="002C5195"/>
    <w:rsid w:val="002C6736"/>
    <w:rsid w:val="002D15FF"/>
    <w:rsid w:val="002D3212"/>
    <w:rsid w:val="002D46AD"/>
    <w:rsid w:val="002D50E8"/>
    <w:rsid w:val="002E414F"/>
    <w:rsid w:val="002E62AE"/>
    <w:rsid w:val="002E7B4F"/>
    <w:rsid w:val="002E7CBD"/>
    <w:rsid w:val="002F0988"/>
    <w:rsid w:val="002F0CDC"/>
    <w:rsid w:val="002F58C1"/>
    <w:rsid w:val="003009B5"/>
    <w:rsid w:val="00303C1E"/>
    <w:rsid w:val="003065A6"/>
    <w:rsid w:val="003105EB"/>
    <w:rsid w:val="003107BF"/>
    <w:rsid w:val="00313224"/>
    <w:rsid w:val="00314634"/>
    <w:rsid w:val="0031504C"/>
    <w:rsid w:val="00320C3C"/>
    <w:rsid w:val="0032184B"/>
    <w:rsid w:val="00322AAB"/>
    <w:rsid w:val="00323CE9"/>
    <w:rsid w:val="0032536B"/>
    <w:rsid w:val="0032582D"/>
    <w:rsid w:val="003315E8"/>
    <w:rsid w:val="0033201A"/>
    <w:rsid w:val="003367D1"/>
    <w:rsid w:val="003413E4"/>
    <w:rsid w:val="00341EDC"/>
    <w:rsid w:val="00343DF7"/>
    <w:rsid w:val="00344BBD"/>
    <w:rsid w:val="00347D4D"/>
    <w:rsid w:val="00350F53"/>
    <w:rsid w:val="00354367"/>
    <w:rsid w:val="003560A1"/>
    <w:rsid w:val="003567DC"/>
    <w:rsid w:val="0036055F"/>
    <w:rsid w:val="00360976"/>
    <w:rsid w:val="00363FC4"/>
    <w:rsid w:val="00364892"/>
    <w:rsid w:val="00372BCE"/>
    <w:rsid w:val="00375FC7"/>
    <w:rsid w:val="00376FD2"/>
    <w:rsid w:val="00377219"/>
    <w:rsid w:val="00383E9E"/>
    <w:rsid w:val="00386EC2"/>
    <w:rsid w:val="003914A1"/>
    <w:rsid w:val="003915CD"/>
    <w:rsid w:val="003928FD"/>
    <w:rsid w:val="00393A51"/>
    <w:rsid w:val="0039530D"/>
    <w:rsid w:val="003A51FD"/>
    <w:rsid w:val="003A5775"/>
    <w:rsid w:val="003A645A"/>
    <w:rsid w:val="003A7731"/>
    <w:rsid w:val="003B0F7E"/>
    <w:rsid w:val="003B16ED"/>
    <w:rsid w:val="003B5554"/>
    <w:rsid w:val="003C0F08"/>
    <w:rsid w:val="003C43CE"/>
    <w:rsid w:val="003C49C9"/>
    <w:rsid w:val="003C4FBC"/>
    <w:rsid w:val="003D00C1"/>
    <w:rsid w:val="003D15D0"/>
    <w:rsid w:val="003D38F7"/>
    <w:rsid w:val="003D42D0"/>
    <w:rsid w:val="003D5AB0"/>
    <w:rsid w:val="003D6669"/>
    <w:rsid w:val="003D6830"/>
    <w:rsid w:val="003D7325"/>
    <w:rsid w:val="003E1327"/>
    <w:rsid w:val="003E5628"/>
    <w:rsid w:val="003E5D1E"/>
    <w:rsid w:val="003F100E"/>
    <w:rsid w:val="003F347A"/>
    <w:rsid w:val="003F5FDE"/>
    <w:rsid w:val="003F69AF"/>
    <w:rsid w:val="003F69C5"/>
    <w:rsid w:val="0040464B"/>
    <w:rsid w:val="00405757"/>
    <w:rsid w:val="00407E2D"/>
    <w:rsid w:val="00415484"/>
    <w:rsid w:val="0041758B"/>
    <w:rsid w:val="00417A48"/>
    <w:rsid w:val="00417FB9"/>
    <w:rsid w:val="00423158"/>
    <w:rsid w:val="00424342"/>
    <w:rsid w:val="004255AD"/>
    <w:rsid w:val="00425F5E"/>
    <w:rsid w:val="00426A32"/>
    <w:rsid w:val="00427446"/>
    <w:rsid w:val="00427731"/>
    <w:rsid w:val="00431ED9"/>
    <w:rsid w:val="0043213F"/>
    <w:rsid w:val="004345F2"/>
    <w:rsid w:val="00441E8C"/>
    <w:rsid w:val="00443FC3"/>
    <w:rsid w:val="00444F84"/>
    <w:rsid w:val="00447594"/>
    <w:rsid w:val="00447DAD"/>
    <w:rsid w:val="00451BB3"/>
    <w:rsid w:val="00452B6A"/>
    <w:rsid w:val="00454A55"/>
    <w:rsid w:val="00456B68"/>
    <w:rsid w:val="004606F8"/>
    <w:rsid w:val="004610DD"/>
    <w:rsid w:val="00465CA9"/>
    <w:rsid w:val="00466EEB"/>
    <w:rsid w:val="004763CF"/>
    <w:rsid w:val="00476406"/>
    <w:rsid w:val="004801CF"/>
    <w:rsid w:val="00492902"/>
    <w:rsid w:val="00493B06"/>
    <w:rsid w:val="004A0D2F"/>
    <w:rsid w:val="004A3A17"/>
    <w:rsid w:val="004A4379"/>
    <w:rsid w:val="004A4472"/>
    <w:rsid w:val="004A5F2D"/>
    <w:rsid w:val="004A5F6F"/>
    <w:rsid w:val="004B07B7"/>
    <w:rsid w:val="004B1125"/>
    <w:rsid w:val="004B1E4E"/>
    <w:rsid w:val="004B35C3"/>
    <w:rsid w:val="004B4793"/>
    <w:rsid w:val="004B58A0"/>
    <w:rsid w:val="004C0903"/>
    <w:rsid w:val="004C1ADF"/>
    <w:rsid w:val="004C231D"/>
    <w:rsid w:val="004C3351"/>
    <w:rsid w:val="004C6ACC"/>
    <w:rsid w:val="004D0F86"/>
    <w:rsid w:val="004D17EE"/>
    <w:rsid w:val="004D1AF6"/>
    <w:rsid w:val="004D26B3"/>
    <w:rsid w:val="004D3CF4"/>
    <w:rsid w:val="004D5571"/>
    <w:rsid w:val="004D60AD"/>
    <w:rsid w:val="004D6A84"/>
    <w:rsid w:val="004E1384"/>
    <w:rsid w:val="004E1A31"/>
    <w:rsid w:val="004E1AA7"/>
    <w:rsid w:val="004E2DEE"/>
    <w:rsid w:val="004E3130"/>
    <w:rsid w:val="004E3916"/>
    <w:rsid w:val="004E3AEF"/>
    <w:rsid w:val="004E48B8"/>
    <w:rsid w:val="004E56E5"/>
    <w:rsid w:val="004F3674"/>
    <w:rsid w:val="004F52CA"/>
    <w:rsid w:val="00500E04"/>
    <w:rsid w:val="00501290"/>
    <w:rsid w:val="005013AB"/>
    <w:rsid w:val="00503B65"/>
    <w:rsid w:val="005055FD"/>
    <w:rsid w:val="005071E6"/>
    <w:rsid w:val="00510BCD"/>
    <w:rsid w:val="00513A0D"/>
    <w:rsid w:val="00513E78"/>
    <w:rsid w:val="005208CC"/>
    <w:rsid w:val="00520B4D"/>
    <w:rsid w:val="00522F41"/>
    <w:rsid w:val="005235D3"/>
    <w:rsid w:val="005245B1"/>
    <w:rsid w:val="00526125"/>
    <w:rsid w:val="0052693F"/>
    <w:rsid w:val="005319D7"/>
    <w:rsid w:val="00540E99"/>
    <w:rsid w:val="00543716"/>
    <w:rsid w:val="00544B49"/>
    <w:rsid w:val="005463A9"/>
    <w:rsid w:val="00546F57"/>
    <w:rsid w:val="005474D6"/>
    <w:rsid w:val="0055234E"/>
    <w:rsid w:val="00553A47"/>
    <w:rsid w:val="0055517B"/>
    <w:rsid w:val="00562BF1"/>
    <w:rsid w:val="0056301D"/>
    <w:rsid w:val="0056709B"/>
    <w:rsid w:val="00570686"/>
    <w:rsid w:val="0057174D"/>
    <w:rsid w:val="00574946"/>
    <w:rsid w:val="005756A2"/>
    <w:rsid w:val="005756F9"/>
    <w:rsid w:val="00575B38"/>
    <w:rsid w:val="00576844"/>
    <w:rsid w:val="005773BD"/>
    <w:rsid w:val="00580C5C"/>
    <w:rsid w:val="0058134C"/>
    <w:rsid w:val="00581E78"/>
    <w:rsid w:val="0058350D"/>
    <w:rsid w:val="0058593F"/>
    <w:rsid w:val="00590615"/>
    <w:rsid w:val="005945F6"/>
    <w:rsid w:val="0059466F"/>
    <w:rsid w:val="00595A60"/>
    <w:rsid w:val="00595C07"/>
    <w:rsid w:val="005963C4"/>
    <w:rsid w:val="005A127F"/>
    <w:rsid w:val="005A560D"/>
    <w:rsid w:val="005B0099"/>
    <w:rsid w:val="005B04D0"/>
    <w:rsid w:val="005B4EAA"/>
    <w:rsid w:val="005B7AAB"/>
    <w:rsid w:val="005C12F8"/>
    <w:rsid w:val="005C2DEE"/>
    <w:rsid w:val="005C5138"/>
    <w:rsid w:val="005C5ED9"/>
    <w:rsid w:val="005C6FAE"/>
    <w:rsid w:val="005D141F"/>
    <w:rsid w:val="005D45C9"/>
    <w:rsid w:val="005D5EE7"/>
    <w:rsid w:val="005E3C0F"/>
    <w:rsid w:val="005E45BD"/>
    <w:rsid w:val="005E6C7E"/>
    <w:rsid w:val="005F4331"/>
    <w:rsid w:val="005F4AA1"/>
    <w:rsid w:val="006021FF"/>
    <w:rsid w:val="0060255E"/>
    <w:rsid w:val="00603FCF"/>
    <w:rsid w:val="006050C5"/>
    <w:rsid w:val="00605A5C"/>
    <w:rsid w:val="00606573"/>
    <w:rsid w:val="006067E0"/>
    <w:rsid w:val="00611B45"/>
    <w:rsid w:val="00613DA8"/>
    <w:rsid w:val="00614058"/>
    <w:rsid w:val="00614B07"/>
    <w:rsid w:val="006168E8"/>
    <w:rsid w:val="00616EF1"/>
    <w:rsid w:val="0062040F"/>
    <w:rsid w:val="00622936"/>
    <w:rsid w:val="0062391C"/>
    <w:rsid w:val="0062694E"/>
    <w:rsid w:val="00631809"/>
    <w:rsid w:val="00631CED"/>
    <w:rsid w:val="006352C1"/>
    <w:rsid w:val="00635E6D"/>
    <w:rsid w:val="00636172"/>
    <w:rsid w:val="0063762F"/>
    <w:rsid w:val="0064016B"/>
    <w:rsid w:val="006408ED"/>
    <w:rsid w:val="006503D8"/>
    <w:rsid w:val="0065128E"/>
    <w:rsid w:val="00651BF9"/>
    <w:rsid w:val="0065509C"/>
    <w:rsid w:val="00655A67"/>
    <w:rsid w:val="0065674E"/>
    <w:rsid w:val="00657F07"/>
    <w:rsid w:val="00661B4E"/>
    <w:rsid w:val="00662C19"/>
    <w:rsid w:val="006646A6"/>
    <w:rsid w:val="0067080A"/>
    <w:rsid w:val="00670B1B"/>
    <w:rsid w:val="006729FF"/>
    <w:rsid w:val="006734EC"/>
    <w:rsid w:val="00675F41"/>
    <w:rsid w:val="00676400"/>
    <w:rsid w:val="00677E47"/>
    <w:rsid w:val="0068098C"/>
    <w:rsid w:val="00686666"/>
    <w:rsid w:val="00692D9A"/>
    <w:rsid w:val="006939C5"/>
    <w:rsid w:val="00694B4C"/>
    <w:rsid w:val="006A1BB3"/>
    <w:rsid w:val="006A30D3"/>
    <w:rsid w:val="006A3C03"/>
    <w:rsid w:val="006A4740"/>
    <w:rsid w:val="006A6097"/>
    <w:rsid w:val="006A64F2"/>
    <w:rsid w:val="006B3C1B"/>
    <w:rsid w:val="006B3EFB"/>
    <w:rsid w:val="006B690F"/>
    <w:rsid w:val="006C245B"/>
    <w:rsid w:val="006C3402"/>
    <w:rsid w:val="006C3AD5"/>
    <w:rsid w:val="006C5DA4"/>
    <w:rsid w:val="006C6F08"/>
    <w:rsid w:val="006C7836"/>
    <w:rsid w:val="006D370E"/>
    <w:rsid w:val="006D3B1F"/>
    <w:rsid w:val="006D491B"/>
    <w:rsid w:val="006D4B7E"/>
    <w:rsid w:val="006D4E8D"/>
    <w:rsid w:val="006D51A2"/>
    <w:rsid w:val="006E1DF2"/>
    <w:rsid w:val="006E2384"/>
    <w:rsid w:val="006E57E8"/>
    <w:rsid w:val="006F08AE"/>
    <w:rsid w:val="006F2ACE"/>
    <w:rsid w:val="007000FB"/>
    <w:rsid w:val="007008E0"/>
    <w:rsid w:val="00705235"/>
    <w:rsid w:val="007066FA"/>
    <w:rsid w:val="007107AD"/>
    <w:rsid w:val="00711EC8"/>
    <w:rsid w:val="007234F3"/>
    <w:rsid w:val="00724A27"/>
    <w:rsid w:val="007342EA"/>
    <w:rsid w:val="00735001"/>
    <w:rsid w:val="007351B3"/>
    <w:rsid w:val="007354F0"/>
    <w:rsid w:val="00742C25"/>
    <w:rsid w:val="00743300"/>
    <w:rsid w:val="00745364"/>
    <w:rsid w:val="00747A6F"/>
    <w:rsid w:val="007520AB"/>
    <w:rsid w:val="00752308"/>
    <w:rsid w:val="00752B0E"/>
    <w:rsid w:val="00756B4F"/>
    <w:rsid w:val="007575D6"/>
    <w:rsid w:val="00763043"/>
    <w:rsid w:val="00766C21"/>
    <w:rsid w:val="0077010C"/>
    <w:rsid w:val="00770452"/>
    <w:rsid w:val="00781BAD"/>
    <w:rsid w:val="007854CF"/>
    <w:rsid w:val="00787B82"/>
    <w:rsid w:val="007900D4"/>
    <w:rsid w:val="007959D8"/>
    <w:rsid w:val="00796F08"/>
    <w:rsid w:val="007A0FA3"/>
    <w:rsid w:val="007A1A4C"/>
    <w:rsid w:val="007A4181"/>
    <w:rsid w:val="007A46A0"/>
    <w:rsid w:val="007A7CF3"/>
    <w:rsid w:val="007A7EA7"/>
    <w:rsid w:val="007B21DD"/>
    <w:rsid w:val="007B430A"/>
    <w:rsid w:val="007B5630"/>
    <w:rsid w:val="007C0BAC"/>
    <w:rsid w:val="007C679F"/>
    <w:rsid w:val="007D106F"/>
    <w:rsid w:val="007D2137"/>
    <w:rsid w:val="007D4333"/>
    <w:rsid w:val="007D6606"/>
    <w:rsid w:val="007D67D1"/>
    <w:rsid w:val="007D682B"/>
    <w:rsid w:val="007E2A88"/>
    <w:rsid w:val="007E2B59"/>
    <w:rsid w:val="007E5C59"/>
    <w:rsid w:val="007E6CAF"/>
    <w:rsid w:val="007E73C3"/>
    <w:rsid w:val="007F378A"/>
    <w:rsid w:val="008046A7"/>
    <w:rsid w:val="00805E1E"/>
    <w:rsid w:val="0080763A"/>
    <w:rsid w:val="008101A5"/>
    <w:rsid w:val="0082072C"/>
    <w:rsid w:val="008211B6"/>
    <w:rsid w:val="008215F2"/>
    <w:rsid w:val="0082540B"/>
    <w:rsid w:val="0082561C"/>
    <w:rsid w:val="00831A19"/>
    <w:rsid w:val="00831EDA"/>
    <w:rsid w:val="008363BD"/>
    <w:rsid w:val="00836630"/>
    <w:rsid w:val="00836A1D"/>
    <w:rsid w:val="00837349"/>
    <w:rsid w:val="008433EA"/>
    <w:rsid w:val="00844572"/>
    <w:rsid w:val="008461EA"/>
    <w:rsid w:val="00847619"/>
    <w:rsid w:val="008527AF"/>
    <w:rsid w:val="00853982"/>
    <w:rsid w:val="00854310"/>
    <w:rsid w:val="0085796E"/>
    <w:rsid w:val="00860CE9"/>
    <w:rsid w:val="008637CC"/>
    <w:rsid w:val="008703F0"/>
    <w:rsid w:val="00870493"/>
    <w:rsid w:val="008733F2"/>
    <w:rsid w:val="008739F3"/>
    <w:rsid w:val="00875888"/>
    <w:rsid w:val="008767AF"/>
    <w:rsid w:val="00877335"/>
    <w:rsid w:val="00881A7C"/>
    <w:rsid w:val="00884320"/>
    <w:rsid w:val="00885412"/>
    <w:rsid w:val="0089003E"/>
    <w:rsid w:val="0089092B"/>
    <w:rsid w:val="00890FD6"/>
    <w:rsid w:val="0089104A"/>
    <w:rsid w:val="00891D27"/>
    <w:rsid w:val="00892801"/>
    <w:rsid w:val="00895B38"/>
    <w:rsid w:val="008979D0"/>
    <w:rsid w:val="008A3128"/>
    <w:rsid w:val="008A53F1"/>
    <w:rsid w:val="008B629C"/>
    <w:rsid w:val="008B6C4F"/>
    <w:rsid w:val="008C0A8C"/>
    <w:rsid w:val="008C1CCC"/>
    <w:rsid w:val="008C4B08"/>
    <w:rsid w:val="008C4DAE"/>
    <w:rsid w:val="008C6C90"/>
    <w:rsid w:val="008C6CD3"/>
    <w:rsid w:val="008D25CC"/>
    <w:rsid w:val="008D3E8B"/>
    <w:rsid w:val="008D409A"/>
    <w:rsid w:val="008D70A6"/>
    <w:rsid w:val="008E121E"/>
    <w:rsid w:val="008E31F7"/>
    <w:rsid w:val="008F36BF"/>
    <w:rsid w:val="008F5047"/>
    <w:rsid w:val="008F6929"/>
    <w:rsid w:val="00904091"/>
    <w:rsid w:val="009044B7"/>
    <w:rsid w:val="00906E26"/>
    <w:rsid w:val="00906EDB"/>
    <w:rsid w:val="00912360"/>
    <w:rsid w:val="00914472"/>
    <w:rsid w:val="00917AE9"/>
    <w:rsid w:val="0092041D"/>
    <w:rsid w:val="00921DA9"/>
    <w:rsid w:val="00922734"/>
    <w:rsid w:val="00923457"/>
    <w:rsid w:val="009262AC"/>
    <w:rsid w:val="0093663B"/>
    <w:rsid w:val="0094137F"/>
    <w:rsid w:val="00941BFF"/>
    <w:rsid w:val="00941E0A"/>
    <w:rsid w:val="00942B3C"/>
    <w:rsid w:val="00945A38"/>
    <w:rsid w:val="00950A70"/>
    <w:rsid w:val="00951681"/>
    <w:rsid w:val="00951BC4"/>
    <w:rsid w:val="009603C9"/>
    <w:rsid w:val="00960B87"/>
    <w:rsid w:val="00962AAD"/>
    <w:rsid w:val="009635AB"/>
    <w:rsid w:val="00964ECF"/>
    <w:rsid w:val="0096573C"/>
    <w:rsid w:val="00971A09"/>
    <w:rsid w:val="0097213D"/>
    <w:rsid w:val="009758CE"/>
    <w:rsid w:val="00975E03"/>
    <w:rsid w:val="009803DF"/>
    <w:rsid w:val="00980566"/>
    <w:rsid w:val="00980A77"/>
    <w:rsid w:val="00982ED8"/>
    <w:rsid w:val="00984A9D"/>
    <w:rsid w:val="00986732"/>
    <w:rsid w:val="00986ECD"/>
    <w:rsid w:val="009903E3"/>
    <w:rsid w:val="0099176B"/>
    <w:rsid w:val="0099459B"/>
    <w:rsid w:val="009966EF"/>
    <w:rsid w:val="009972E5"/>
    <w:rsid w:val="009A2737"/>
    <w:rsid w:val="009A2A70"/>
    <w:rsid w:val="009A3BBF"/>
    <w:rsid w:val="009A3D45"/>
    <w:rsid w:val="009A68DE"/>
    <w:rsid w:val="009A7D1A"/>
    <w:rsid w:val="009B13C4"/>
    <w:rsid w:val="009B3268"/>
    <w:rsid w:val="009B5FBB"/>
    <w:rsid w:val="009B64C4"/>
    <w:rsid w:val="009C2B79"/>
    <w:rsid w:val="009D0659"/>
    <w:rsid w:val="009D080B"/>
    <w:rsid w:val="009D119A"/>
    <w:rsid w:val="009E047A"/>
    <w:rsid w:val="009E0743"/>
    <w:rsid w:val="009E0762"/>
    <w:rsid w:val="009E0D5F"/>
    <w:rsid w:val="009E16BB"/>
    <w:rsid w:val="009E3575"/>
    <w:rsid w:val="009E3DB9"/>
    <w:rsid w:val="009E558C"/>
    <w:rsid w:val="009E6878"/>
    <w:rsid w:val="009F0215"/>
    <w:rsid w:val="009F07ED"/>
    <w:rsid w:val="009F17FE"/>
    <w:rsid w:val="009F34A1"/>
    <w:rsid w:val="009F4221"/>
    <w:rsid w:val="009F4617"/>
    <w:rsid w:val="009F47A7"/>
    <w:rsid w:val="009F5718"/>
    <w:rsid w:val="009F61DA"/>
    <w:rsid w:val="009F707B"/>
    <w:rsid w:val="009F7990"/>
    <w:rsid w:val="009F7A6D"/>
    <w:rsid w:val="00A009D4"/>
    <w:rsid w:val="00A01254"/>
    <w:rsid w:val="00A0320E"/>
    <w:rsid w:val="00A12944"/>
    <w:rsid w:val="00A14EFC"/>
    <w:rsid w:val="00A1691E"/>
    <w:rsid w:val="00A22BE0"/>
    <w:rsid w:val="00A22FEF"/>
    <w:rsid w:val="00A22FF3"/>
    <w:rsid w:val="00A2365D"/>
    <w:rsid w:val="00A24357"/>
    <w:rsid w:val="00A24980"/>
    <w:rsid w:val="00A24C4F"/>
    <w:rsid w:val="00A2719F"/>
    <w:rsid w:val="00A312B8"/>
    <w:rsid w:val="00A32C82"/>
    <w:rsid w:val="00A33A9C"/>
    <w:rsid w:val="00A3408C"/>
    <w:rsid w:val="00A349F4"/>
    <w:rsid w:val="00A35315"/>
    <w:rsid w:val="00A403D4"/>
    <w:rsid w:val="00A40FF6"/>
    <w:rsid w:val="00A442C3"/>
    <w:rsid w:val="00A443FB"/>
    <w:rsid w:val="00A4684B"/>
    <w:rsid w:val="00A46DA4"/>
    <w:rsid w:val="00A474D4"/>
    <w:rsid w:val="00A50F6C"/>
    <w:rsid w:val="00A5372D"/>
    <w:rsid w:val="00A6600B"/>
    <w:rsid w:val="00A66018"/>
    <w:rsid w:val="00A66558"/>
    <w:rsid w:val="00A7014D"/>
    <w:rsid w:val="00A71047"/>
    <w:rsid w:val="00A71E55"/>
    <w:rsid w:val="00A72D1A"/>
    <w:rsid w:val="00A751B8"/>
    <w:rsid w:val="00A835FF"/>
    <w:rsid w:val="00A83846"/>
    <w:rsid w:val="00A83E30"/>
    <w:rsid w:val="00A85EA9"/>
    <w:rsid w:val="00A916E8"/>
    <w:rsid w:val="00A92349"/>
    <w:rsid w:val="00A944BC"/>
    <w:rsid w:val="00A95190"/>
    <w:rsid w:val="00AA1CCA"/>
    <w:rsid w:val="00AB0007"/>
    <w:rsid w:val="00AB07B5"/>
    <w:rsid w:val="00AB09C8"/>
    <w:rsid w:val="00AB0B25"/>
    <w:rsid w:val="00AB6557"/>
    <w:rsid w:val="00AC0550"/>
    <w:rsid w:val="00AC2BD0"/>
    <w:rsid w:val="00AC3607"/>
    <w:rsid w:val="00AC3E07"/>
    <w:rsid w:val="00AC54FF"/>
    <w:rsid w:val="00AC7B96"/>
    <w:rsid w:val="00AD066A"/>
    <w:rsid w:val="00AD069F"/>
    <w:rsid w:val="00AD6C0F"/>
    <w:rsid w:val="00AE3450"/>
    <w:rsid w:val="00AE5055"/>
    <w:rsid w:val="00AE699D"/>
    <w:rsid w:val="00AF0886"/>
    <w:rsid w:val="00AF1477"/>
    <w:rsid w:val="00AF2AAB"/>
    <w:rsid w:val="00AF33FC"/>
    <w:rsid w:val="00AF4C7A"/>
    <w:rsid w:val="00AF5D5B"/>
    <w:rsid w:val="00AF6B9A"/>
    <w:rsid w:val="00B00AA3"/>
    <w:rsid w:val="00B026D9"/>
    <w:rsid w:val="00B05442"/>
    <w:rsid w:val="00B072ED"/>
    <w:rsid w:val="00B10BF4"/>
    <w:rsid w:val="00B1170E"/>
    <w:rsid w:val="00B11A62"/>
    <w:rsid w:val="00B14A97"/>
    <w:rsid w:val="00B15030"/>
    <w:rsid w:val="00B150FA"/>
    <w:rsid w:val="00B20D8C"/>
    <w:rsid w:val="00B20EE3"/>
    <w:rsid w:val="00B21021"/>
    <w:rsid w:val="00B21B7C"/>
    <w:rsid w:val="00B22AC5"/>
    <w:rsid w:val="00B24C6D"/>
    <w:rsid w:val="00B2556F"/>
    <w:rsid w:val="00B273CB"/>
    <w:rsid w:val="00B307AF"/>
    <w:rsid w:val="00B323F0"/>
    <w:rsid w:val="00B34146"/>
    <w:rsid w:val="00B3465A"/>
    <w:rsid w:val="00B37E41"/>
    <w:rsid w:val="00B43E1A"/>
    <w:rsid w:val="00B47709"/>
    <w:rsid w:val="00B50794"/>
    <w:rsid w:val="00B51639"/>
    <w:rsid w:val="00B51738"/>
    <w:rsid w:val="00B51E90"/>
    <w:rsid w:val="00B57380"/>
    <w:rsid w:val="00B63006"/>
    <w:rsid w:val="00B67C1A"/>
    <w:rsid w:val="00B7271C"/>
    <w:rsid w:val="00B763C7"/>
    <w:rsid w:val="00B763FA"/>
    <w:rsid w:val="00B774A8"/>
    <w:rsid w:val="00B816DD"/>
    <w:rsid w:val="00B81A18"/>
    <w:rsid w:val="00B81D8F"/>
    <w:rsid w:val="00B82AC2"/>
    <w:rsid w:val="00B83C4A"/>
    <w:rsid w:val="00B91A4A"/>
    <w:rsid w:val="00B97B9F"/>
    <w:rsid w:val="00BA3333"/>
    <w:rsid w:val="00BA36B3"/>
    <w:rsid w:val="00BA5434"/>
    <w:rsid w:val="00BA5B1F"/>
    <w:rsid w:val="00BA66B1"/>
    <w:rsid w:val="00BA6EBC"/>
    <w:rsid w:val="00BB1638"/>
    <w:rsid w:val="00BB34F9"/>
    <w:rsid w:val="00BB4BAF"/>
    <w:rsid w:val="00BB7E8B"/>
    <w:rsid w:val="00BC0B12"/>
    <w:rsid w:val="00BC0E96"/>
    <w:rsid w:val="00BC12E2"/>
    <w:rsid w:val="00BC1DCF"/>
    <w:rsid w:val="00BC346D"/>
    <w:rsid w:val="00BC35D4"/>
    <w:rsid w:val="00BC3D16"/>
    <w:rsid w:val="00BD4345"/>
    <w:rsid w:val="00BD4DFB"/>
    <w:rsid w:val="00BE3510"/>
    <w:rsid w:val="00BE4CCA"/>
    <w:rsid w:val="00BE74C8"/>
    <w:rsid w:val="00BE761E"/>
    <w:rsid w:val="00BF0827"/>
    <w:rsid w:val="00BF0A35"/>
    <w:rsid w:val="00BF2F4A"/>
    <w:rsid w:val="00BF3093"/>
    <w:rsid w:val="00BF3C89"/>
    <w:rsid w:val="00C016F9"/>
    <w:rsid w:val="00C04531"/>
    <w:rsid w:val="00C04558"/>
    <w:rsid w:val="00C04EA1"/>
    <w:rsid w:val="00C07C80"/>
    <w:rsid w:val="00C11AAF"/>
    <w:rsid w:val="00C11EFF"/>
    <w:rsid w:val="00C124E6"/>
    <w:rsid w:val="00C13079"/>
    <w:rsid w:val="00C13F83"/>
    <w:rsid w:val="00C15382"/>
    <w:rsid w:val="00C15ECA"/>
    <w:rsid w:val="00C1633C"/>
    <w:rsid w:val="00C17E8D"/>
    <w:rsid w:val="00C20E93"/>
    <w:rsid w:val="00C21DF1"/>
    <w:rsid w:val="00C222F3"/>
    <w:rsid w:val="00C23BF2"/>
    <w:rsid w:val="00C24004"/>
    <w:rsid w:val="00C24455"/>
    <w:rsid w:val="00C254F0"/>
    <w:rsid w:val="00C27855"/>
    <w:rsid w:val="00C3145F"/>
    <w:rsid w:val="00C374CC"/>
    <w:rsid w:val="00C379FE"/>
    <w:rsid w:val="00C37CD0"/>
    <w:rsid w:val="00C43CFE"/>
    <w:rsid w:val="00C46557"/>
    <w:rsid w:val="00C46DC6"/>
    <w:rsid w:val="00C4789A"/>
    <w:rsid w:val="00C5077F"/>
    <w:rsid w:val="00C5093C"/>
    <w:rsid w:val="00C52731"/>
    <w:rsid w:val="00C55401"/>
    <w:rsid w:val="00C60CCE"/>
    <w:rsid w:val="00C669E5"/>
    <w:rsid w:val="00C679CE"/>
    <w:rsid w:val="00C704C9"/>
    <w:rsid w:val="00C71914"/>
    <w:rsid w:val="00C74F5A"/>
    <w:rsid w:val="00C7784C"/>
    <w:rsid w:val="00C80F04"/>
    <w:rsid w:val="00C81090"/>
    <w:rsid w:val="00C81C16"/>
    <w:rsid w:val="00C86564"/>
    <w:rsid w:val="00C90531"/>
    <w:rsid w:val="00C9305A"/>
    <w:rsid w:val="00C93740"/>
    <w:rsid w:val="00CA06B1"/>
    <w:rsid w:val="00CA6B55"/>
    <w:rsid w:val="00CB75FF"/>
    <w:rsid w:val="00CB7B6B"/>
    <w:rsid w:val="00CB7F8E"/>
    <w:rsid w:val="00CC0060"/>
    <w:rsid w:val="00CC0BE8"/>
    <w:rsid w:val="00CC147D"/>
    <w:rsid w:val="00CC3E11"/>
    <w:rsid w:val="00CC6237"/>
    <w:rsid w:val="00CC6700"/>
    <w:rsid w:val="00CC6D89"/>
    <w:rsid w:val="00CC6F63"/>
    <w:rsid w:val="00CD20F8"/>
    <w:rsid w:val="00CD3316"/>
    <w:rsid w:val="00CD34E9"/>
    <w:rsid w:val="00CD3706"/>
    <w:rsid w:val="00CE116F"/>
    <w:rsid w:val="00CE1403"/>
    <w:rsid w:val="00CE2FD5"/>
    <w:rsid w:val="00CF09ED"/>
    <w:rsid w:val="00CF1A8C"/>
    <w:rsid w:val="00CF35E9"/>
    <w:rsid w:val="00CF43F2"/>
    <w:rsid w:val="00CF4B8D"/>
    <w:rsid w:val="00CF543F"/>
    <w:rsid w:val="00D02312"/>
    <w:rsid w:val="00D0622E"/>
    <w:rsid w:val="00D06CF4"/>
    <w:rsid w:val="00D1088E"/>
    <w:rsid w:val="00D12BD9"/>
    <w:rsid w:val="00D15CE9"/>
    <w:rsid w:val="00D162BC"/>
    <w:rsid w:val="00D167BB"/>
    <w:rsid w:val="00D16D6E"/>
    <w:rsid w:val="00D205BA"/>
    <w:rsid w:val="00D22216"/>
    <w:rsid w:val="00D25F59"/>
    <w:rsid w:val="00D266C2"/>
    <w:rsid w:val="00D3255C"/>
    <w:rsid w:val="00D3420E"/>
    <w:rsid w:val="00D3478E"/>
    <w:rsid w:val="00D356CF"/>
    <w:rsid w:val="00D3669E"/>
    <w:rsid w:val="00D4206A"/>
    <w:rsid w:val="00D4620B"/>
    <w:rsid w:val="00D50735"/>
    <w:rsid w:val="00D50C61"/>
    <w:rsid w:val="00D5467C"/>
    <w:rsid w:val="00D621DA"/>
    <w:rsid w:val="00D648E0"/>
    <w:rsid w:val="00D65AC8"/>
    <w:rsid w:val="00D7008E"/>
    <w:rsid w:val="00D722CD"/>
    <w:rsid w:val="00D72F00"/>
    <w:rsid w:val="00D753D9"/>
    <w:rsid w:val="00D7641A"/>
    <w:rsid w:val="00D807D1"/>
    <w:rsid w:val="00D8224F"/>
    <w:rsid w:val="00D857FB"/>
    <w:rsid w:val="00D85BF7"/>
    <w:rsid w:val="00D86802"/>
    <w:rsid w:val="00D90A8A"/>
    <w:rsid w:val="00D90DCC"/>
    <w:rsid w:val="00D91676"/>
    <w:rsid w:val="00D9281D"/>
    <w:rsid w:val="00D93B84"/>
    <w:rsid w:val="00D94632"/>
    <w:rsid w:val="00D969EB"/>
    <w:rsid w:val="00D97263"/>
    <w:rsid w:val="00D974FF"/>
    <w:rsid w:val="00DA0270"/>
    <w:rsid w:val="00DA04D6"/>
    <w:rsid w:val="00DA06FC"/>
    <w:rsid w:val="00DA1A80"/>
    <w:rsid w:val="00DA4BFE"/>
    <w:rsid w:val="00DA56F0"/>
    <w:rsid w:val="00DA5F0B"/>
    <w:rsid w:val="00DA7A60"/>
    <w:rsid w:val="00DB4791"/>
    <w:rsid w:val="00DB4818"/>
    <w:rsid w:val="00DB5F13"/>
    <w:rsid w:val="00DC5B32"/>
    <w:rsid w:val="00DD173D"/>
    <w:rsid w:val="00DD40C0"/>
    <w:rsid w:val="00DD5231"/>
    <w:rsid w:val="00DE0A3F"/>
    <w:rsid w:val="00DE2FEA"/>
    <w:rsid w:val="00DE4AC1"/>
    <w:rsid w:val="00DE5630"/>
    <w:rsid w:val="00DE5FF0"/>
    <w:rsid w:val="00DF0EC6"/>
    <w:rsid w:val="00DF26E7"/>
    <w:rsid w:val="00DF4B57"/>
    <w:rsid w:val="00DF54D3"/>
    <w:rsid w:val="00DF6DBF"/>
    <w:rsid w:val="00E02E3B"/>
    <w:rsid w:val="00E031E1"/>
    <w:rsid w:val="00E03824"/>
    <w:rsid w:val="00E049A4"/>
    <w:rsid w:val="00E04D8F"/>
    <w:rsid w:val="00E072AC"/>
    <w:rsid w:val="00E078FD"/>
    <w:rsid w:val="00E11477"/>
    <w:rsid w:val="00E11B0F"/>
    <w:rsid w:val="00E125AF"/>
    <w:rsid w:val="00E13082"/>
    <w:rsid w:val="00E1342A"/>
    <w:rsid w:val="00E14388"/>
    <w:rsid w:val="00E1687C"/>
    <w:rsid w:val="00E2017C"/>
    <w:rsid w:val="00E2076C"/>
    <w:rsid w:val="00E21788"/>
    <w:rsid w:val="00E242D3"/>
    <w:rsid w:val="00E24CA4"/>
    <w:rsid w:val="00E27A3B"/>
    <w:rsid w:val="00E322FF"/>
    <w:rsid w:val="00E32889"/>
    <w:rsid w:val="00E33AFF"/>
    <w:rsid w:val="00E36C6E"/>
    <w:rsid w:val="00E37FA1"/>
    <w:rsid w:val="00E414F8"/>
    <w:rsid w:val="00E42D1B"/>
    <w:rsid w:val="00E43A15"/>
    <w:rsid w:val="00E4472A"/>
    <w:rsid w:val="00E47077"/>
    <w:rsid w:val="00E51C4C"/>
    <w:rsid w:val="00E52101"/>
    <w:rsid w:val="00E52779"/>
    <w:rsid w:val="00E53C53"/>
    <w:rsid w:val="00E546FB"/>
    <w:rsid w:val="00E553D5"/>
    <w:rsid w:val="00E56ADF"/>
    <w:rsid w:val="00E626F1"/>
    <w:rsid w:val="00E641A6"/>
    <w:rsid w:val="00E65624"/>
    <w:rsid w:val="00E6714F"/>
    <w:rsid w:val="00E705D3"/>
    <w:rsid w:val="00E7317F"/>
    <w:rsid w:val="00E73276"/>
    <w:rsid w:val="00E737FA"/>
    <w:rsid w:val="00E76ACE"/>
    <w:rsid w:val="00E84012"/>
    <w:rsid w:val="00E861DA"/>
    <w:rsid w:val="00E86364"/>
    <w:rsid w:val="00E904E5"/>
    <w:rsid w:val="00E959E8"/>
    <w:rsid w:val="00E96A0E"/>
    <w:rsid w:val="00EA0EDA"/>
    <w:rsid w:val="00EA174A"/>
    <w:rsid w:val="00EA18D9"/>
    <w:rsid w:val="00EA4441"/>
    <w:rsid w:val="00EA460D"/>
    <w:rsid w:val="00EA7897"/>
    <w:rsid w:val="00EB154E"/>
    <w:rsid w:val="00EB1B66"/>
    <w:rsid w:val="00EB208A"/>
    <w:rsid w:val="00EB2FB3"/>
    <w:rsid w:val="00EB4B2B"/>
    <w:rsid w:val="00EB4B99"/>
    <w:rsid w:val="00EB7E3D"/>
    <w:rsid w:val="00EC11E4"/>
    <w:rsid w:val="00EC1AE7"/>
    <w:rsid w:val="00EC439F"/>
    <w:rsid w:val="00EC7FD4"/>
    <w:rsid w:val="00ED1EC3"/>
    <w:rsid w:val="00ED2F45"/>
    <w:rsid w:val="00ED4012"/>
    <w:rsid w:val="00ED55A2"/>
    <w:rsid w:val="00ED6AD0"/>
    <w:rsid w:val="00EE010A"/>
    <w:rsid w:val="00EE5B1A"/>
    <w:rsid w:val="00EF0A65"/>
    <w:rsid w:val="00EF12CB"/>
    <w:rsid w:val="00EF331C"/>
    <w:rsid w:val="00EF3332"/>
    <w:rsid w:val="00EF41AC"/>
    <w:rsid w:val="00EF4F0C"/>
    <w:rsid w:val="00F0033E"/>
    <w:rsid w:val="00F02A7A"/>
    <w:rsid w:val="00F03624"/>
    <w:rsid w:val="00F06057"/>
    <w:rsid w:val="00F101B4"/>
    <w:rsid w:val="00F1477C"/>
    <w:rsid w:val="00F26B72"/>
    <w:rsid w:val="00F3014C"/>
    <w:rsid w:val="00F353CE"/>
    <w:rsid w:val="00F3651B"/>
    <w:rsid w:val="00F37163"/>
    <w:rsid w:val="00F435F1"/>
    <w:rsid w:val="00F45F9D"/>
    <w:rsid w:val="00F47958"/>
    <w:rsid w:val="00F51224"/>
    <w:rsid w:val="00F56248"/>
    <w:rsid w:val="00F61397"/>
    <w:rsid w:val="00F61F43"/>
    <w:rsid w:val="00F65411"/>
    <w:rsid w:val="00F66425"/>
    <w:rsid w:val="00F66C87"/>
    <w:rsid w:val="00F710FC"/>
    <w:rsid w:val="00F7161F"/>
    <w:rsid w:val="00F736C7"/>
    <w:rsid w:val="00F73E58"/>
    <w:rsid w:val="00F7406E"/>
    <w:rsid w:val="00F74249"/>
    <w:rsid w:val="00F75473"/>
    <w:rsid w:val="00F77850"/>
    <w:rsid w:val="00F838BA"/>
    <w:rsid w:val="00F839BB"/>
    <w:rsid w:val="00F84751"/>
    <w:rsid w:val="00F85075"/>
    <w:rsid w:val="00F85AD4"/>
    <w:rsid w:val="00F87CCD"/>
    <w:rsid w:val="00F93E48"/>
    <w:rsid w:val="00F95D50"/>
    <w:rsid w:val="00F96AA9"/>
    <w:rsid w:val="00FA2073"/>
    <w:rsid w:val="00FA2A0D"/>
    <w:rsid w:val="00FA521B"/>
    <w:rsid w:val="00FA7E0A"/>
    <w:rsid w:val="00FB0B72"/>
    <w:rsid w:val="00FB0CB0"/>
    <w:rsid w:val="00FB1797"/>
    <w:rsid w:val="00FC789F"/>
    <w:rsid w:val="00FD241B"/>
    <w:rsid w:val="00FD3AAB"/>
    <w:rsid w:val="00FD4B19"/>
    <w:rsid w:val="00FD6D4E"/>
    <w:rsid w:val="00FE0A6D"/>
    <w:rsid w:val="00FE2301"/>
    <w:rsid w:val="00FE251E"/>
    <w:rsid w:val="00FE2D9A"/>
    <w:rsid w:val="00FE3202"/>
    <w:rsid w:val="00FE33A9"/>
    <w:rsid w:val="00FE3976"/>
    <w:rsid w:val="00FE3C14"/>
    <w:rsid w:val="00FE4274"/>
    <w:rsid w:val="00FE5327"/>
    <w:rsid w:val="00FE6A03"/>
    <w:rsid w:val="00FE6EC0"/>
    <w:rsid w:val="00FE6FF7"/>
    <w:rsid w:val="00FF20C4"/>
    <w:rsid w:val="00FF6210"/>
    <w:rsid w:val="00FF73EC"/>
    <w:rsid w:val="00FF7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26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D97263"/>
    <w:rPr>
      <w:sz w:val="20"/>
      <w:szCs w:val="20"/>
    </w:rPr>
  </w:style>
  <w:style w:type="character" w:customStyle="1" w:styleId="FootnoteTextChar">
    <w:name w:val="Footnote Text Char"/>
    <w:basedOn w:val="DefaultParagraphFont"/>
    <w:link w:val="FootnoteText"/>
    <w:rsid w:val="00D97263"/>
  </w:style>
  <w:style w:type="character" w:styleId="FootnoteReference">
    <w:name w:val="footnote reference"/>
    <w:basedOn w:val="DefaultParagraphFont"/>
    <w:rsid w:val="00D97263"/>
    <w:rPr>
      <w:vertAlign w:val="superscript"/>
    </w:rPr>
  </w:style>
  <w:style w:type="paragraph" w:styleId="Header">
    <w:name w:val="header"/>
    <w:basedOn w:val="Normal"/>
    <w:link w:val="HeaderChar"/>
    <w:rsid w:val="001164A8"/>
    <w:pPr>
      <w:tabs>
        <w:tab w:val="center" w:pos="4680"/>
        <w:tab w:val="right" w:pos="9360"/>
      </w:tabs>
    </w:pPr>
  </w:style>
  <w:style w:type="character" w:customStyle="1" w:styleId="HeaderChar">
    <w:name w:val="Header Char"/>
    <w:basedOn w:val="DefaultParagraphFont"/>
    <w:link w:val="Header"/>
    <w:rsid w:val="001164A8"/>
    <w:rPr>
      <w:sz w:val="24"/>
      <w:szCs w:val="24"/>
    </w:rPr>
  </w:style>
  <w:style w:type="paragraph" w:styleId="Footer">
    <w:name w:val="footer"/>
    <w:basedOn w:val="Normal"/>
    <w:link w:val="FooterChar"/>
    <w:uiPriority w:val="99"/>
    <w:rsid w:val="001164A8"/>
    <w:pPr>
      <w:tabs>
        <w:tab w:val="center" w:pos="4680"/>
        <w:tab w:val="right" w:pos="9360"/>
      </w:tabs>
    </w:pPr>
  </w:style>
  <w:style w:type="character" w:customStyle="1" w:styleId="FooterChar">
    <w:name w:val="Footer Char"/>
    <w:basedOn w:val="DefaultParagraphFont"/>
    <w:link w:val="Footer"/>
    <w:uiPriority w:val="99"/>
    <w:rsid w:val="001164A8"/>
    <w:rPr>
      <w:sz w:val="24"/>
      <w:szCs w:val="24"/>
    </w:rPr>
  </w:style>
  <w:style w:type="paragraph" w:styleId="ListParagraph">
    <w:name w:val="List Paragraph"/>
    <w:basedOn w:val="Normal"/>
    <w:uiPriority w:val="34"/>
    <w:qFormat/>
    <w:rsid w:val="0059466F"/>
    <w:pPr>
      <w:ind w:left="720"/>
      <w:contextualSpacing/>
    </w:pPr>
  </w:style>
  <w:style w:type="paragraph" w:styleId="BalloonText">
    <w:name w:val="Balloon Text"/>
    <w:basedOn w:val="Normal"/>
    <w:link w:val="BalloonTextChar"/>
    <w:rsid w:val="00341EDC"/>
    <w:rPr>
      <w:rFonts w:ascii="Tahoma" w:hAnsi="Tahoma" w:cs="Tahoma"/>
      <w:sz w:val="16"/>
      <w:szCs w:val="16"/>
    </w:rPr>
  </w:style>
  <w:style w:type="character" w:customStyle="1" w:styleId="BalloonTextChar">
    <w:name w:val="Balloon Text Char"/>
    <w:basedOn w:val="DefaultParagraphFont"/>
    <w:link w:val="BalloonText"/>
    <w:rsid w:val="00341E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26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D97263"/>
    <w:rPr>
      <w:sz w:val="20"/>
      <w:szCs w:val="20"/>
    </w:rPr>
  </w:style>
  <w:style w:type="character" w:customStyle="1" w:styleId="FootnoteTextChar">
    <w:name w:val="Footnote Text Char"/>
    <w:basedOn w:val="DefaultParagraphFont"/>
    <w:link w:val="FootnoteText"/>
    <w:rsid w:val="00D97263"/>
  </w:style>
  <w:style w:type="character" w:styleId="FootnoteReference">
    <w:name w:val="footnote reference"/>
    <w:basedOn w:val="DefaultParagraphFont"/>
    <w:rsid w:val="00D97263"/>
    <w:rPr>
      <w:vertAlign w:val="superscript"/>
    </w:rPr>
  </w:style>
  <w:style w:type="paragraph" w:styleId="Header">
    <w:name w:val="header"/>
    <w:basedOn w:val="Normal"/>
    <w:link w:val="HeaderChar"/>
    <w:rsid w:val="001164A8"/>
    <w:pPr>
      <w:tabs>
        <w:tab w:val="center" w:pos="4680"/>
        <w:tab w:val="right" w:pos="9360"/>
      </w:tabs>
    </w:pPr>
  </w:style>
  <w:style w:type="character" w:customStyle="1" w:styleId="HeaderChar">
    <w:name w:val="Header Char"/>
    <w:basedOn w:val="DefaultParagraphFont"/>
    <w:link w:val="Header"/>
    <w:rsid w:val="001164A8"/>
    <w:rPr>
      <w:sz w:val="24"/>
      <w:szCs w:val="24"/>
    </w:rPr>
  </w:style>
  <w:style w:type="paragraph" w:styleId="Footer">
    <w:name w:val="footer"/>
    <w:basedOn w:val="Normal"/>
    <w:link w:val="FooterChar"/>
    <w:uiPriority w:val="99"/>
    <w:rsid w:val="001164A8"/>
    <w:pPr>
      <w:tabs>
        <w:tab w:val="center" w:pos="4680"/>
        <w:tab w:val="right" w:pos="9360"/>
      </w:tabs>
    </w:pPr>
  </w:style>
  <w:style w:type="character" w:customStyle="1" w:styleId="FooterChar">
    <w:name w:val="Footer Char"/>
    <w:basedOn w:val="DefaultParagraphFont"/>
    <w:link w:val="Footer"/>
    <w:uiPriority w:val="99"/>
    <w:rsid w:val="001164A8"/>
    <w:rPr>
      <w:sz w:val="24"/>
      <w:szCs w:val="24"/>
    </w:rPr>
  </w:style>
  <w:style w:type="paragraph" w:styleId="ListParagraph">
    <w:name w:val="List Paragraph"/>
    <w:basedOn w:val="Normal"/>
    <w:uiPriority w:val="34"/>
    <w:qFormat/>
    <w:rsid w:val="0059466F"/>
    <w:pPr>
      <w:ind w:left="720"/>
      <w:contextualSpacing/>
    </w:pPr>
  </w:style>
  <w:style w:type="paragraph" w:styleId="BalloonText">
    <w:name w:val="Balloon Text"/>
    <w:basedOn w:val="Normal"/>
    <w:link w:val="BalloonTextChar"/>
    <w:rsid w:val="00341EDC"/>
    <w:rPr>
      <w:rFonts w:ascii="Tahoma" w:hAnsi="Tahoma" w:cs="Tahoma"/>
      <w:sz w:val="16"/>
      <w:szCs w:val="16"/>
    </w:rPr>
  </w:style>
  <w:style w:type="character" w:customStyle="1" w:styleId="BalloonTextChar">
    <w:name w:val="Balloon Text Char"/>
    <w:basedOn w:val="DefaultParagraphFont"/>
    <w:link w:val="BalloonText"/>
    <w:rsid w:val="00341E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226E8-096E-426B-8A6F-EE71D2A12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2578</Words>
  <Characters>14698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johcorbett</dc:creator>
  <cp:lastModifiedBy>shoffner</cp:lastModifiedBy>
  <cp:revision>4</cp:revision>
  <cp:lastPrinted>2012-04-05T17:05:00Z</cp:lastPrinted>
  <dcterms:created xsi:type="dcterms:W3CDTF">2012-03-23T13:55:00Z</dcterms:created>
  <dcterms:modified xsi:type="dcterms:W3CDTF">2012-04-05T17:05:00Z</dcterms:modified>
</cp:coreProperties>
</file>