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0F4" w:rsidRDefault="00FF50F4" w:rsidP="00FF50F4">
      <w:pPr>
        <w:pStyle w:val="Title"/>
        <w:tabs>
          <w:tab w:val="clear" w:pos="360"/>
          <w:tab w:val="left" w:pos="0"/>
        </w:tabs>
      </w:pPr>
      <w:r>
        <w:t>BEFORE THE</w:t>
      </w:r>
    </w:p>
    <w:p w:rsidR="00FF50F4" w:rsidRDefault="00FF50F4" w:rsidP="00FF50F4">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FF50F4" w:rsidRDefault="00FF50F4" w:rsidP="00FF50F4">
      <w:pPr>
        <w:tabs>
          <w:tab w:val="left" w:pos="0"/>
        </w:tabs>
        <w:spacing w:line="233" w:lineRule="auto"/>
        <w:jc w:val="both"/>
        <w:rPr>
          <w:b/>
        </w:rPr>
      </w:pPr>
    </w:p>
    <w:p w:rsidR="00FF50F4" w:rsidRDefault="00FF50F4" w:rsidP="00FF50F4">
      <w:pPr>
        <w:tabs>
          <w:tab w:val="left" w:pos="0"/>
        </w:tabs>
        <w:spacing w:line="233" w:lineRule="auto"/>
        <w:jc w:val="both"/>
        <w:rPr>
          <w:b/>
        </w:rPr>
      </w:pPr>
    </w:p>
    <w:p w:rsidR="00FF50F4" w:rsidRDefault="00FF50F4" w:rsidP="00FF50F4">
      <w:pPr>
        <w:tabs>
          <w:tab w:val="left" w:pos="0"/>
        </w:tabs>
        <w:spacing w:line="233" w:lineRule="auto"/>
        <w:jc w:val="both"/>
        <w:rPr>
          <w:b/>
        </w:rPr>
      </w:pPr>
    </w:p>
    <w:p w:rsidR="00FF7B9A" w:rsidRPr="00933323" w:rsidRDefault="00FF7B9A" w:rsidP="00FF7B9A">
      <w:pPr>
        <w:tabs>
          <w:tab w:val="left" w:pos="0"/>
        </w:tabs>
        <w:spacing w:line="240" w:lineRule="auto"/>
        <w:jc w:val="both"/>
        <w:rPr>
          <w:rFonts w:eastAsia="SimSun"/>
        </w:rPr>
      </w:pPr>
      <w:r>
        <w:rPr>
          <w:rFonts w:eastAsia="SimSun"/>
        </w:rPr>
        <w:t xml:space="preserve">Dennis </w:t>
      </w:r>
      <w:proofErr w:type="spellStart"/>
      <w:r>
        <w:rPr>
          <w:rFonts w:eastAsia="SimSun"/>
        </w:rPr>
        <w:t>Mowrey</w:t>
      </w:r>
      <w:proofErr w:type="spellEnd"/>
      <w:r>
        <w:rPr>
          <w:rFonts w:eastAsia="SimSun"/>
        </w:rPr>
        <w:tab/>
      </w:r>
      <w:r>
        <w:rPr>
          <w:rFonts w:eastAsia="SimSun"/>
        </w:rPr>
        <w:tab/>
      </w:r>
      <w:r>
        <w:rPr>
          <w:rFonts w:eastAsia="SimSun"/>
        </w:rPr>
        <w:tab/>
      </w:r>
      <w:r>
        <w:rPr>
          <w:rFonts w:eastAsia="SimSun"/>
        </w:rPr>
        <w:tab/>
      </w:r>
      <w:r>
        <w:rPr>
          <w:rFonts w:eastAsia="SimSun"/>
        </w:rPr>
        <w:tab/>
      </w:r>
      <w:r w:rsidRPr="00933323">
        <w:rPr>
          <w:rFonts w:eastAsia="SimSun"/>
        </w:rPr>
        <w:t>:</w:t>
      </w:r>
    </w:p>
    <w:p w:rsidR="00FF7B9A" w:rsidRPr="00933323" w:rsidRDefault="00FF7B9A" w:rsidP="00FF7B9A">
      <w:pPr>
        <w:tabs>
          <w:tab w:val="left" w:pos="0"/>
        </w:tabs>
        <w:spacing w:line="240" w:lineRule="auto"/>
        <w:jc w:val="both"/>
        <w:rPr>
          <w:rFonts w:eastAsia="SimSun"/>
        </w:rPr>
      </w:pPr>
      <w:r w:rsidRPr="00933323">
        <w:rPr>
          <w:rFonts w:eastAsia="SimSun"/>
        </w:rPr>
        <w:tab/>
      </w:r>
      <w:r w:rsidRPr="00933323">
        <w:rPr>
          <w:rFonts w:eastAsia="SimSun"/>
        </w:rPr>
        <w:tab/>
      </w:r>
      <w:r w:rsidRPr="00933323">
        <w:rPr>
          <w:rFonts w:eastAsia="SimSun"/>
        </w:rPr>
        <w:tab/>
      </w:r>
      <w:r w:rsidRPr="00933323">
        <w:rPr>
          <w:rFonts w:eastAsia="SimSun"/>
        </w:rPr>
        <w:tab/>
      </w:r>
      <w:r w:rsidRPr="00933323">
        <w:rPr>
          <w:rFonts w:eastAsia="SimSun"/>
        </w:rPr>
        <w:tab/>
      </w:r>
      <w:r w:rsidRPr="00933323">
        <w:rPr>
          <w:rFonts w:eastAsia="SimSun"/>
        </w:rPr>
        <w:tab/>
      </w:r>
      <w:r w:rsidRPr="00933323">
        <w:rPr>
          <w:rFonts w:eastAsia="SimSun"/>
        </w:rPr>
        <w:tab/>
        <w:t>:</w:t>
      </w:r>
    </w:p>
    <w:p w:rsidR="00FF7B9A" w:rsidRPr="00933323" w:rsidRDefault="00FF7B9A" w:rsidP="00FF7B9A">
      <w:pPr>
        <w:tabs>
          <w:tab w:val="left" w:pos="0"/>
        </w:tabs>
        <w:spacing w:line="240" w:lineRule="auto"/>
        <w:jc w:val="both"/>
        <w:rPr>
          <w:rFonts w:eastAsia="SimSun"/>
        </w:rPr>
      </w:pPr>
      <w:r w:rsidRPr="00933323">
        <w:rPr>
          <w:rFonts w:eastAsia="SimSun"/>
        </w:rPr>
        <w:tab/>
        <w:t>v.</w:t>
      </w:r>
      <w:r w:rsidRPr="00933323">
        <w:rPr>
          <w:rFonts w:eastAsia="SimSun"/>
        </w:rPr>
        <w:tab/>
      </w:r>
      <w:r w:rsidRPr="00933323">
        <w:rPr>
          <w:rFonts w:eastAsia="SimSun"/>
        </w:rPr>
        <w:tab/>
      </w:r>
      <w:r w:rsidRPr="00933323">
        <w:rPr>
          <w:rFonts w:eastAsia="SimSun"/>
        </w:rPr>
        <w:tab/>
      </w:r>
      <w:r w:rsidRPr="00933323">
        <w:rPr>
          <w:rFonts w:eastAsia="SimSun"/>
        </w:rPr>
        <w:tab/>
      </w:r>
      <w:r w:rsidRPr="00933323">
        <w:rPr>
          <w:rFonts w:eastAsia="SimSun"/>
        </w:rPr>
        <w:tab/>
      </w:r>
      <w:r w:rsidRPr="00933323">
        <w:rPr>
          <w:rFonts w:eastAsia="SimSun"/>
        </w:rPr>
        <w:tab/>
        <w:t>:</w:t>
      </w:r>
      <w:r w:rsidRPr="00933323">
        <w:rPr>
          <w:rFonts w:eastAsia="SimSun"/>
        </w:rPr>
        <w:tab/>
      </w:r>
      <w:r w:rsidRPr="00933323">
        <w:rPr>
          <w:rFonts w:eastAsia="SimSun"/>
        </w:rPr>
        <w:tab/>
        <w:t>F-2011-2258471</w:t>
      </w:r>
    </w:p>
    <w:p w:rsidR="00FF7B9A" w:rsidRPr="00933323" w:rsidRDefault="00FF7B9A" w:rsidP="00FF7B9A">
      <w:pPr>
        <w:tabs>
          <w:tab w:val="left" w:pos="0"/>
        </w:tabs>
        <w:spacing w:line="240" w:lineRule="auto"/>
        <w:jc w:val="both"/>
        <w:rPr>
          <w:rFonts w:eastAsia="SimSun"/>
        </w:rPr>
      </w:pPr>
      <w:r w:rsidRPr="00933323">
        <w:rPr>
          <w:rFonts w:eastAsia="SimSun"/>
        </w:rPr>
        <w:tab/>
      </w:r>
      <w:r w:rsidRPr="00933323">
        <w:rPr>
          <w:rFonts w:eastAsia="SimSun"/>
        </w:rPr>
        <w:tab/>
      </w:r>
      <w:r w:rsidRPr="00933323">
        <w:rPr>
          <w:rFonts w:eastAsia="SimSun"/>
        </w:rPr>
        <w:tab/>
      </w:r>
      <w:r w:rsidRPr="00933323">
        <w:rPr>
          <w:rFonts w:eastAsia="SimSun"/>
        </w:rPr>
        <w:tab/>
      </w:r>
      <w:r w:rsidRPr="00933323">
        <w:rPr>
          <w:rFonts w:eastAsia="SimSun"/>
        </w:rPr>
        <w:tab/>
      </w:r>
      <w:r w:rsidRPr="00933323">
        <w:rPr>
          <w:rFonts w:eastAsia="SimSun"/>
        </w:rPr>
        <w:tab/>
      </w:r>
      <w:r w:rsidRPr="00933323">
        <w:rPr>
          <w:rFonts w:eastAsia="SimSun"/>
        </w:rPr>
        <w:tab/>
        <w:t>:</w:t>
      </w:r>
    </w:p>
    <w:p w:rsidR="00FF7B9A" w:rsidRPr="00933323" w:rsidRDefault="00FF7B9A" w:rsidP="00FF7B9A">
      <w:pPr>
        <w:tabs>
          <w:tab w:val="left" w:pos="0"/>
        </w:tabs>
        <w:spacing w:line="240" w:lineRule="auto"/>
        <w:jc w:val="both"/>
        <w:rPr>
          <w:rFonts w:eastAsia="SimSun"/>
        </w:rPr>
      </w:pPr>
      <w:r w:rsidRPr="00933323">
        <w:rPr>
          <w:rFonts w:eastAsia="SimSun"/>
        </w:rPr>
        <w:t>Duquesne Light Company</w:t>
      </w:r>
      <w:r w:rsidRPr="00933323">
        <w:rPr>
          <w:rFonts w:eastAsia="SimSun"/>
        </w:rPr>
        <w:tab/>
      </w:r>
      <w:r w:rsidRPr="00933323">
        <w:rPr>
          <w:rFonts w:eastAsia="SimSun"/>
        </w:rPr>
        <w:tab/>
      </w:r>
      <w:r w:rsidRPr="00933323">
        <w:rPr>
          <w:rFonts w:eastAsia="SimSun"/>
        </w:rPr>
        <w:tab/>
      </w:r>
      <w:r w:rsidRPr="00933323">
        <w:rPr>
          <w:rFonts w:eastAsia="SimSun"/>
        </w:rPr>
        <w:tab/>
        <w:t>:</w:t>
      </w:r>
    </w:p>
    <w:p w:rsidR="00FF7B9A" w:rsidRPr="00933323" w:rsidRDefault="00FF7B9A" w:rsidP="00FF7B9A">
      <w:pPr>
        <w:tabs>
          <w:tab w:val="left" w:pos="0"/>
        </w:tabs>
        <w:spacing w:line="240" w:lineRule="auto"/>
        <w:jc w:val="both"/>
        <w:rPr>
          <w:rFonts w:eastAsia="SimSun"/>
        </w:rPr>
      </w:pPr>
    </w:p>
    <w:p w:rsidR="00FF7B9A" w:rsidRDefault="00FF7B9A" w:rsidP="00FF7B9A">
      <w:pPr>
        <w:spacing w:line="240" w:lineRule="auto"/>
      </w:pPr>
    </w:p>
    <w:p w:rsidR="00FF7B9A" w:rsidRDefault="00FF7B9A" w:rsidP="00FF7B9A">
      <w:pPr>
        <w:spacing w:line="240" w:lineRule="auto"/>
        <w:jc w:val="center"/>
        <w:rPr>
          <w:b/>
          <w:u w:val="single"/>
        </w:rPr>
      </w:pPr>
    </w:p>
    <w:p w:rsidR="00FF7B9A" w:rsidRDefault="00FF7B9A" w:rsidP="00FF7B9A">
      <w:pPr>
        <w:spacing w:line="240" w:lineRule="auto"/>
        <w:jc w:val="center"/>
      </w:pPr>
      <w:r>
        <w:rPr>
          <w:b/>
          <w:u w:val="single"/>
        </w:rPr>
        <w:t>INITIAL DECISION</w:t>
      </w:r>
    </w:p>
    <w:p w:rsidR="00FF7B9A" w:rsidRDefault="00FF7B9A" w:rsidP="00FF7B9A">
      <w:pPr>
        <w:spacing w:line="240" w:lineRule="auto"/>
        <w:jc w:val="center"/>
      </w:pPr>
    </w:p>
    <w:p w:rsidR="00FF7B9A" w:rsidRDefault="00FF7B9A" w:rsidP="00FF7B9A">
      <w:pPr>
        <w:spacing w:line="240" w:lineRule="auto"/>
        <w:jc w:val="center"/>
      </w:pPr>
    </w:p>
    <w:p w:rsidR="00FF7B9A" w:rsidRDefault="00FF7B9A" w:rsidP="00FF7B9A">
      <w:pPr>
        <w:spacing w:line="240" w:lineRule="auto"/>
        <w:jc w:val="center"/>
      </w:pPr>
      <w:r>
        <w:t>Before</w:t>
      </w:r>
    </w:p>
    <w:p w:rsidR="00FF7B9A" w:rsidRDefault="00FF7B9A" w:rsidP="00FF7B9A">
      <w:pPr>
        <w:spacing w:line="240" w:lineRule="auto"/>
        <w:jc w:val="center"/>
      </w:pPr>
      <w:r>
        <w:t>Mary D. Long</w:t>
      </w:r>
    </w:p>
    <w:p w:rsidR="00FF7B9A" w:rsidRDefault="00FF7B9A" w:rsidP="00FF7B9A">
      <w:pPr>
        <w:spacing w:line="240" w:lineRule="auto"/>
        <w:jc w:val="center"/>
      </w:pPr>
      <w:r>
        <w:t>Administrative Law Judge</w:t>
      </w:r>
    </w:p>
    <w:p w:rsidR="00FF7B9A" w:rsidRDefault="00FF7B9A" w:rsidP="00FF7B9A">
      <w:pPr>
        <w:spacing w:line="240" w:lineRule="auto"/>
      </w:pPr>
    </w:p>
    <w:p w:rsidR="00FF7B9A" w:rsidRDefault="00FF7B9A" w:rsidP="00FF7B9A">
      <w:pPr>
        <w:spacing w:line="240" w:lineRule="auto"/>
      </w:pPr>
    </w:p>
    <w:p w:rsidR="00FF7B9A" w:rsidRDefault="00FF7B9A" w:rsidP="00986B02">
      <w:pPr>
        <w:ind w:firstLine="1440"/>
      </w:pPr>
      <w:r>
        <w:t xml:space="preserve">This decision grants the motion to dismiss the complaint of Dennis </w:t>
      </w:r>
      <w:proofErr w:type="spellStart"/>
      <w:r>
        <w:t>Mowrey</w:t>
      </w:r>
      <w:proofErr w:type="spellEnd"/>
      <w:r>
        <w:t xml:space="preserve"> by Duquesne Light Company on the grounds of </w:t>
      </w:r>
      <w:r>
        <w:rPr>
          <w:i/>
        </w:rPr>
        <w:t>res judicata</w:t>
      </w:r>
      <w:r>
        <w:t>.  The merits of the complaint have already been heard and a final decision has been rendered by the Commission in an earlier complaint which made identical claims.</w:t>
      </w:r>
    </w:p>
    <w:p w:rsidR="00FF7B9A" w:rsidRDefault="00FF7B9A" w:rsidP="00986B02"/>
    <w:p w:rsidR="00FF7B9A" w:rsidRDefault="00FF7B9A" w:rsidP="00986B02">
      <w:pPr>
        <w:jc w:val="center"/>
        <w:rPr>
          <w:u w:val="single"/>
        </w:rPr>
      </w:pPr>
      <w:r>
        <w:rPr>
          <w:u w:val="single"/>
        </w:rPr>
        <w:t>HISTORY OF THE PROCEEDINGS</w:t>
      </w:r>
    </w:p>
    <w:p w:rsidR="00FF7B9A" w:rsidRDefault="00FF7B9A" w:rsidP="00986B02">
      <w:pPr>
        <w:jc w:val="center"/>
        <w:rPr>
          <w:u w:val="single"/>
        </w:rPr>
      </w:pPr>
    </w:p>
    <w:p w:rsidR="00FF7B9A" w:rsidRDefault="00FF7B9A" w:rsidP="00986B02">
      <w:pPr>
        <w:ind w:firstLine="1440"/>
      </w:pPr>
      <w:r>
        <w:t xml:space="preserve">On August 16, 2011, the Complainant, Dennis </w:t>
      </w:r>
      <w:proofErr w:type="spellStart"/>
      <w:r>
        <w:t>Mowrey</w:t>
      </w:r>
      <w:proofErr w:type="spellEnd"/>
      <w:r>
        <w:t xml:space="preserve"> filed a formal complaint against Duquesne Light Company, claiming that he had received a termination notice and that he was unaware of an agreement that required him to make payments on his past due balance.  Duquesne Light filed an answer to the complaint on August 29, 2011. </w:t>
      </w:r>
    </w:p>
    <w:p w:rsidR="00FF7B9A" w:rsidRDefault="00FF7B9A" w:rsidP="00986B02"/>
    <w:p w:rsidR="00FF7B9A" w:rsidRDefault="00FF7B9A" w:rsidP="00986B02">
      <w:pPr>
        <w:ind w:firstLine="1440"/>
      </w:pPr>
      <w:r>
        <w:t xml:space="preserve">On August 30, 2011, Duquesne Light filed a motion to consolidate this complaint with an earlier complaint filed by the Complainant in August 2010.  Duquesne Light contended that the claims made in the August 2011 Complaint are identical to those raised in the complaint filed in August 2010 at Docket No. F-2010-2196812.  The </w:t>
      </w:r>
      <w:r w:rsidR="000E7EC3">
        <w:t xml:space="preserve">undersigned </w:t>
      </w:r>
      <w:r>
        <w:t xml:space="preserve">presiding administrative law judge had already held a hearing and closed the record on the August 2010 complaint, but </w:t>
      </w:r>
      <w:r>
        <w:lastRenderedPageBreak/>
        <w:t>had not yet rendered an initial decision.  Accordingly, by order dated October 18, 2011, the motion to consolidate was denied.</w:t>
      </w:r>
    </w:p>
    <w:p w:rsidR="00FF7B9A" w:rsidRDefault="00FF7B9A" w:rsidP="00986B02"/>
    <w:p w:rsidR="00FF7B9A" w:rsidRDefault="00FF7B9A" w:rsidP="00DC50CF">
      <w:pPr>
        <w:ind w:firstLine="1440"/>
      </w:pPr>
      <w:r>
        <w:t>This matter was set for hearing by hearing notice dated October 19, 2011, and a prehearing order was sent on October 21, 2011, both of which notified the Complainant that a hearing was scheduled for Wednesday, January 18, 2012.</w:t>
      </w:r>
    </w:p>
    <w:p w:rsidR="00FF7B9A" w:rsidRDefault="00FF7B9A" w:rsidP="00986B02"/>
    <w:p w:rsidR="00FF7B9A" w:rsidRDefault="00FF7B9A" w:rsidP="00DC50CF">
      <w:pPr>
        <w:ind w:firstLine="1440"/>
      </w:pPr>
      <w:r>
        <w:t>An initial decision on the August 2010 formal complaint dated October 17, 2011, became final by order of the Commission on December 9, 2011.  That decision denied in part and granted in part the relief requested by the Complainant.  On December 15, 2011, Duquesne Light filed a motion to dismiss this August 2011 complaint on the grounds that the claims raised by the Complainant are identical to those raised in the earlier proceedings.  The Complainant did not file an answer to the motion to dismiss as required by 52 Pa. Code § 5.103(c), and by order dated January 9, 2012 the hearing was cancelled pending my decision on the motion to dismiss.</w:t>
      </w:r>
    </w:p>
    <w:p w:rsidR="00FF7B9A" w:rsidRDefault="00FF7B9A" w:rsidP="00986B02"/>
    <w:p w:rsidR="00FF7B9A" w:rsidRDefault="00FF7B9A" w:rsidP="00986B02">
      <w:pPr>
        <w:jc w:val="center"/>
        <w:rPr>
          <w:u w:val="single"/>
        </w:rPr>
      </w:pPr>
      <w:r>
        <w:rPr>
          <w:u w:val="single"/>
        </w:rPr>
        <w:t>DISCUSSION</w:t>
      </w:r>
    </w:p>
    <w:p w:rsidR="00FF7B9A" w:rsidRDefault="00FF7B9A" w:rsidP="00986B02"/>
    <w:p w:rsidR="00FF7B9A" w:rsidRDefault="00FF7B9A" w:rsidP="00986B02">
      <w:r>
        <w:tab/>
      </w:r>
      <w:r>
        <w:tab/>
        <w:t xml:space="preserve">Duquesne Light’s motion to dismiss on the grounds of the doctrine of </w:t>
      </w:r>
      <w:r>
        <w:rPr>
          <w:i/>
        </w:rPr>
        <w:t>res judicata</w:t>
      </w:r>
      <w:r>
        <w:t xml:space="preserve"> is </w:t>
      </w:r>
      <w:r w:rsidR="000E7EC3">
        <w:t xml:space="preserve">in </w:t>
      </w:r>
      <w:r>
        <w:t>the nature of a motion for judgment on the pleadings or a motion for summary judgment.  In either situation the standard is the same:  The motion may be granted if the applicable pleadings, depositions, answers to interrogatories and admissions, etc. demonstrate that there is no genuine issue of material fact in dispute and the moving party is entitled to judgment in its favor as a matter of law.</w:t>
      </w:r>
      <w:r>
        <w:rPr>
          <w:rStyle w:val="FootnoteReference"/>
        </w:rPr>
        <w:footnoteReference w:id="1"/>
      </w:r>
      <w:r>
        <w:t xml:space="preserve"> </w:t>
      </w:r>
    </w:p>
    <w:p w:rsidR="00FF7B9A" w:rsidRDefault="00FF7B9A" w:rsidP="00986B02"/>
    <w:p w:rsidR="00FF7B9A" w:rsidRDefault="00FF7B9A" w:rsidP="00986B02">
      <w:r>
        <w:tab/>
      </w:r>
      <w:r>
        <w:tab/>
        <w:t>Duquesne Light contends that this complaint should be dismissed because the matters raised have already been fully litigated and decided by a final order of the Commission.  In support of this argument Duquesne Light presents the following exhibits to its motion:  A formal complaint filed by the Complainant on August 31, 2010 and docketed at PUC Docket No. F</w:t>
      </w:r>
      <w:r>
        <w:noBreakHyphen/>
        <w:t>2010-2196812 (Exhibit 1); a second formal complaint filed on June 29, 2011 also docketed at PUC Docket No. F-2010-2196</w:t>
      </w:r>
      <w:r w:rsidR="00440623">
        <w:t>+</w:t>
      </w:r>
      <w:r w:rsidR="00440623">
        <w:tab/>
        <w:t>+++</w:t>
      </w:r>
      <w:bookmarkStart w:id="0" w:name="_GoBack"/>
      <w:bookmarkEnd w:id="0"/>
      <w:r>
        <w:t>812 (Exhibit 2); a Final Order of the Commission at Docket No. F-2010-2196812 dated December 9, 2011 (Exhibit 3); a formal complaint filed by the Complainant on August 19, 2011 and docketed at PUC Docket No. F-2011-2258471 (Exhibit 4); and an Initial Decision dated October 17, 2011 by Mary D. Long at Docket No. F-2010-2196812 (Exhibit 5).  According to Duquesne Light these exhibits demonstrate that the matters raised in the Comp</w:t>
      </w:r>
      <w:r w:rsidR="000E7EC3">
        <w:t>lainant’s August 2011 complaint</w:t>
      </w:r>
      <w:r>
        <w:rPr>
          <w:rStyle w:val="FootnoteReference"/>
        </w:rPr>
        <w:footnoteReference w:id="2"/>
      </w:r>
      <w:r>
        <w:t xml:space="preserve"> are identical to those raised in his August 2010 complaint</w:t>
      </w:r>
      <w:r>
        <w:rPr>
          <w:rStyle w:val="FootnoteReference"/>
        </w:rPr>
        <w:footnoteReference w:id="3"/>
      </w:r>
      <w:r>
        <w:t xml:space="preserve"> as amended by the June 2011 complaint,</w:t>
      </w:r>
      <w:r>
        <w:rPr>
          <w:rStyle w:val="FootnoteReference"/>
        </w:rPr>
        <w:footnoteReference w:id="4"/>
      </w:r>
      <w:r>
        <w:t xml:space="preserve"> and were fully considered and d</w:t>
      </w:r>
      <w:r w:rsidR="000E7EC3">
        <w:t>isposed of by the October 2011 I</w:t>
      </w:r>
      <w:r>
        <w:t xml:space="preserve">nitial </w:t>
      </w:r>
      <w:r w:rsidR="000E7EC3">
        <w:t>D</w:t>
      </w:r>
      <w:r>
        <w:t>ecision</w:t>
      </w:r>
      <w:r>
        <w:rPr>
          <w:rStyle w:val="FootnoteReference"/>
        </w:rPr>
        <w:footnoteReference w:id="5"/>
      </w:r>
      <w:r>
        <w:t xml:space="preserve"> which became final by the Commission’s December 2011 order.</w:t>
      </w:r>
      <w:r>
        <w:rPr>
          <w:rStyle w:val="FootnoteReference"/>
        </w:rPr>
        <w:footnoteReference w:id="6"/>
      </w:r>
      <w:r>
        <w:t xml:space="preserve">  Therefore, according to Duquesne Light</w:t>
      </w:r>
      <w:r w:rsidR="004A2B17">
        <w:t>, the</w:t>
      </w:r>
      <w:r>
        <w:t xml:space="preserve"> doctrine of </w:t>
      </w:r>
      <w:r>
        <w:rPr>
          <w:i/>
        </w:rPr>
        <w:t>res judicata</w:t>
      </w:r>
      <w:r>
        <w:t xml:space="preserve"> bars further consideration of the August 2011 complaint.  After reviewing the complaints at issue, I agree.</w:t>
      </w:r>
    </w:p>
    <w:p w:rsidR="00FF7B9A" w:rsidRDefault="00FF7B9A" w:rsidP="00986B02"/>
    <w:p w:rsidR="00FF7B9A" w:rsidRDefault="00FF7B9A" w:rsidP="00DC50CF">
      <w:pPr>
        <w:ind w:firstLine="1440"/>
      </w:pPr>
      <w:r>
        <w:t xml:space="preserve">In order for the doctrine of </w:t>
      </w:r>
      <w:r>
        <w:rPr>
          <w:i/>
        </w:rPr>
        <w:t>res judicata</w:t>
      </w:r>
      <w:r>
        <w:t xml:space="preserve"> to bar a subsequent claim, several factors must be met:</w:t>
      </w:r>
    </w:p>
    <w:p w:rsidR="00FF7B9A" w:rsidRDefault="00FF7B9A" w:rsidP="00FF7B9A">
      <w:pPr>
        <w:pStyle w:val="IndentedQuote"/>
      </w:pPr>
    </w:p>
    <w:p w:rsidR="00FF7B9A" w:rsidRDefault="00FF7B9A" w:rsidP="00FF7B9A">
      <w:pPr>
        <w:pStyle w:val="IndentedQuote"/>
        <w:ind w:left="1440" w:right="1350"/>
      </w:pPr>
      <w:r>
        <w:t xml:space="preserve">The doctrine of </w:t>
      </w:r>
      <w:r>
        <w:rPr>
          <w:i/>
        </w:rPr>
        <w:t>res judicata</w:t>
      </w:r>
      <w:r>
        <w:t xml:space="preserve"> prevents a suit between the same parties on the same cause of action after a court of competent jurisdiction has rendered a final judgment on the merits.  In order for the doctrine to prevail, all of the following four requirements must be met:  (1) identity of issues, (2) identity of causes of action, (3) identity of persons and parties to the action, and (4) identity of the quality or capacity of the parties suing or sued.</w:t>
      </w:r>
      <w:r>
        <w:rPr>
          <w:rStyle w:val="FootnoteReference"/>
        </w:rPr>
        <w:footnoteReference w:id="7"/>
      </w:r>
    </w:p>
    <w:p w:rsidR="00DC50CF" w:rsidRDefault="00DC50CF" w:rsidP="00FF7B9A">
      <w:pPr>
        <w:pStyle w:val="IndentedQuote"/>
        <w:ind w:left="1440" w:right="1350"/>
      </w:pPr>
    </w:p>
    <w:p w:rsidR="00DC50CF" w:rsidRDefault="00DC50CF" w:rsidP="00FF7B9A">
      <w:pPr>
        <w:pStyle w:val="IndentedQuote"/>
        <w:ind w:left="1440" w:right="1350"/>
      </w:pPr>
    </w:p>
    <w:p w:rsidR="00FF7B9A" w:rsidRDefault="00FF7B9A" w:rsidP="00FF7B9A">
      <w:pPr>
        <w:pStyle w:val="NoSpacing"/>
        <w:spacing w:line="360" w:lineRule="auto"/>
        <w:rPr>
          <w:sz w:val="24"/>
          <w:szCs w:val="24"/>
        </w:rPr>
      </w:pPr>
      <w:r>
        <w:rPr>
          <w:sz w:val="24"/>
          <w:szCs w:val="24"/>
        </w:rPr>
        <w:tab/>
      </w:r>
      <w:r>
        <w:rPr>
          <w:sz w:val="24"/>
          <w:szCs w:val="24"/>
        </w:rPr>
        <w:tab/>
        <w:t>In addition, Section 316 of the Public Utility Code, further prevents collateral attacks upon Commission orders:</w:t>
      </w:r>
    </w:p>
    <w:p w:rsidR="00FF7B9A" w:rsidRDefault="00FF7B9A" w:rsidP="00FF7B9A">
      <w:pPr>
        <w:pStyle w:val="NoSpacing"/>
        <w:spacing w:line="360" w:lineRule="auto"/>
        <w:ind w:left="1440" w:right="1440"/>
        <w:rPr>
          <w:sz w:val="24"/>
          <w:szCs w:val="24"/>
        </w:rPr>
      </w:pPr>
    </w:p>
    <w:p w:rsidR="00FF7B9A" w:rsidRDefault="00FF7B9A" w:rsidP="00FF7B9A">
      <w:pPr>
        <w:pStyle w:val="IndentedQuote"/>
        <w:ind w:left="1440" w:right="1440"/>
      </w:pPr>
      <w:r>
        <w:t>Whenever the commission shall make any rule, finding, determination or order, the same shall be prima facie evidence of the facts found and shall remain conclusive upon all parties affected thereby, unless set aside, annulled or modified on judicial review.</w:t>
      </w:r>
      <w:r>
        <w:rPr>
          <w:rStyle w:val="FootnoteReference"/>
        </w:rPr>
        <w:footnoteReference w:id="8"/>
      </w:r>
    </w:p>
    <w:p w:rsidR="00DC50CF" w:rsidRDefault="00DC50CF" w:rsidP="00FF7B9A">
      <w:pPr>
        <w:pStyle w:val="IndentedQuote"/>
        <w:ind w:left="1440" w:right="1440"/>
      </w:pPr>
    </w:p>
    <w:p w:rsidR="00DC50CF" w:rsidRDefault="00DC50CF" w:rsidP="00FF7B9A">
      <w:pPr>
        <w:pStyle w:val="IndentedQuote"/>
        <w:ind w:left="1440" w:right="1440"/>
        <w:rPr>
          <w:szCs w:val="20"/>
        </w:rPr>
      </w:pPr>
    </w:p>
    <w:p w:rsidR="00FF7B9A" w:rsidRDefault="00FF7B9A" w:rsidP="00FF7B9A">
      <w:r>
        <w:t xml:space="preserve">Reviewing the claims made in the August 2011 complaint, it is clear that these claims were fully addressed in the October 2011 </w:t>
      </w:r>
      <w:r w:rsidR="000E7EC3">
        <w:t>I</w:t>
      </w:r>
      <w:r>
        <w:t xml:space="preserve">nitial </w:t>
      </w:r>
      <w:r w:rsidR="000E7EC3">
        <w:t>D</w:t>
      </w:r>
      <w:r w:rsidR="00933323">
        <w:t>ecision that became final i</w:t>
      </w:r>
      <w:r>
        <w:t>n December 2011.</w:t>
      </w:r>
    </w:p>
    <w:p w:rsidR="00FF7B9A" w:rsidRDefault="00FF7B9A" w:rsidP="00FF7B9A"/>
    <w:p w:rsidR="00FF7B9A" w:rsidRDefault="00FF7B9A" w:rsidP="00DC50CF">
      <w:pPr>
        <w:ind w:firstLine="1440"/>
      </w:pPr>
      <w:r>
        <w:t>In the Complainant’</w:t>
      </w:r>
      <w:r w:rsidR="00933323">
        <w:t>s first formal complaint filed i</w:t>
      </w:r>
      <w:r>
        <w:t>n August 2010, the Complainant contended that he had been improperly removed from Duquesne Light’s Customer Assistance Program (CAP) in October 2009 and that his CAP balance had not been erased.  As relief, he sought forgiveness of his balance.</w:t>
      </w:r>
      <w:r>
        <w:rPr>
          <w:rStyle w:val="FootnoteReference"/>
        </w:rPr>
        <w:footnoteReference w:id="9"/>
      </w:r>
      <w:r>
        <w:t xml:space="preserve">  In his June 2011 amendment, he added additional contentions that he had received a shut-off notice on June 14, 2011. </w:t>
      </w:r>
      <w:r w:rsidR="00DC50CF">
        <w:t xml:space="preserve"> </w:t>
      </w:r>
      <w:r>
        <w:t>When he contacted the Commission’s Bureau of Consumer Services concerning the termination, he was told of an agreement, but he was unaware of any prior agreements that required him to make payments on his arrearage</w:t>
      </w:r>
      <w:r w:rsidR="000E7EC3">
        <w:t>s</w:t>
      </w:r>
      <w:r>
        <w:t>.  He asked for additional relief in the form of a payment agreement of $50 plus his budget amount.</w:t>
      </w:r>
      <w:r>
        <w:rPr>
          <w:rStyle w:val="FootnoteReference"/>
        </w:rPr>
        <w:footnoteReference w:id="10"/>
      </w:r>
      <w:r>
        <w:t xml:space="preserve"> </w:t>
      </w:r>
    </w:p>
    <w:p w:rsidR="00FF7B9A" w:rsidRDefault="00FF7B9A" w:rsidP="00FF7B9A">
      <w:pPr>
        <w:ind w:firstLine="720"/>
      </w:pPr>
    </w:p>
    <w:p w:rsidR="00FF7B9A" w:rsidRDefault="00FF7B9A" w:rsidP="00DC50CF">
      <w:pPr>
        <w:ind w:firstLine="1440"/>
      </w:pPr>
      <w:r>
        <w:t>The hearing on the August 2010 complaint, as amended, was held on July 26, 2011.  In that hearing evidence was adduced relating to the June 14, 2011 shut-off notice.  The Complainant also testified that he was unaware of any agreement relating to the payment of his arrearage</w:t>
      </w:r>
      <w:r w:rsidR="000E7EC3">
        <w:t>s</w:t>
      </w:r>
      <w:r>
        <w:t>.</w:t>
      </w:r>
      <w:r>
        <w:rPr>
          <w:rStyle w:val="FootnoteReference"/>
        </w:rPr>
        <w:footnoteReference w:id="11"/>
      </w:r>
    </w:p>
    <w:p w:rsidR="00FF7B9A" w:rsidRDefault="00FF7B9A" w:rsidP="00FF7B9A">
      <w:pPr>
        <w:ind w:firstLine="720"/>
      </w:pPr>
    </w:p>
    <w:p w:rsidR="00FF7B9A" w:rsidRDefault="00FF7B9A" w:rsidP="00DC50CF">
      <w:pPr>
        <w:ind w:firstLine="1440"/>
      </w:pPr>
      <w:r>
        <w:t>On August 19, 2011, the Complainant filed another formal complaint which reiterated claims that he made in the June 2011 amendment to his first complaint.  That is, he noted that he had received a shut off notice in June 2011 and that he was unaware of any agreement related to paying his balance.  As relief, he requested a payment agreement of $50 plus budget and also for his balance to be removed.</w:t>
      </w:r>
      <w:r>
        <w:rPr>
          <w:rStyle w:val="FootnoteReference"/>
        </w:rPr>
        <w:footnoteReference w:id="12"/>
      </w:r>
    </w:p>
    <w:p w:rsidR="00FF7B9A" w:rsidRDefault="00FF7B9A" w:rsidP="00FF7B9A">
      <w:pPr>
        <w:ind w:firstLine="720"/>
      </w:pPr>
    </w:p>
    <w:p w:rsidR="00FF7B9A" w:rsidRDefault="00FF7B9A" w:rsidP="00DC50CF">
      <w:pPr>
        <w:ind w:firstLine="1440"/>
      </w:pPr>
      <w:r>
        <w:t xml:space="preserve">In short, the claims made in the August 2011 complaint are identical to the issues and relief requested in the August 2010 complaint as amended by the June 2011 complaint.  There is no allegation that the balances, bills, payment requirements or customer service complaints relate to a different balance or a different period of time than that addressed by the record in the July 2011 hearing on the August 2010 complaint.  </w:t>
      </w:r>
    </w:p>
    <w:p w:rsidR="00FF7B9A" w:rsidRDefault="00FF7B9A" w:rsidP="00FF7B9A"/>
    <w:p w:rsidR="00FF7B9A" w:rsidRDefault="00FF7B9A" w:rsidP="00DC50CF">
      <w:pPr>
        <w:ind w:firstLine="1440"/>
      </w:pPr>
      <w:r>
        <w:t>Second, each of the claims and requests for relief has been fully addressed by the October Initial Decision which became final by the Commission order entered on December 9, 2011.  Specifically, the Complainant’s claim that his balance should be forgiven was rejected:</w:t>
      </w:r>
    </w:p>
    <w:p w:rsidR="00FF7B9A" w:rsidRDefault="00FF7B9A" w:rsidP="00FF7B9A"/>
    <w:p w:rsidR="00FF7B9A" w:rsidRDefault="00FF7B9A" w:rsidP="00FF7B9A">
      <w:pPr>
        <w:pStyle w:val="IndentedQuote"/>
        <w:ind w:left="1440" w:right="1440"/>
      </w:pPr>
      <w:r>
        <w:t>It is true, as the Complainant contends, that Duquesne Light’s CAP administrator automatically recertified the Complainant for CAP eligibility in 2006, 2007 and 2008.  Therefore, given the passage of time, it was not unreasonable or inappropriate for the administrator to seek updated income information in order to verify the Complainant’s continued eligibility for the CAP program.  The Complainant’s failure to update his income information was sufficient reason for the administrator to default him from the program.  Accordingly, this portion of the complaint is dismissed.</w:t>
      </w:r>
    </w:p>
    <w:p w:rsidR="00FF7B9A" w:rsidRDefault="00FF7B9A" w:rsidP="00FF7B9A">
      <w:pPr>
        <w:pStyle w:val="IndentedQuote"/>
        <w:ind w:left="1440" w:right="1440"/>
      </w:pPr>
      <w:r>
        <w:t>Nor is the Complainant entitled to forgiveness of his balance.  While he did make payments while he was on the CAP program, a review of his account record shows that there were periods of time between 2005 and 2009 when he failed to make payments.  Therefore he accumulated new arrearages and never made sufficient payments to catch up with the balance.</w:t>
      </w:r>
      <w:r>
        <w:rPr>
          <w:rStyle w:val="FootnoteReference"/>
        </w:rPr>
        <w:footnoteReference w:id="13"/>
      </w:r>
    </w:p>
    <w:p w:rsidR="00DC50CF" w:rsidRDefault="00DC50CF" w:rsidP="00FF7B9A">
      <w:pPr>
        <w:pStyle w:val="IndentedQuote"/>
        <w:ind w:left="1440" w:right="1440"/>
      </w:pPr>
    </w:p>
    <w:p w:rsidR="00DC50CF" w:rsidRDefault="00DC50CF" w:rsidP="00FF7B9A">
      <w:pPr>
        <w:pStyle w:val="IndentedQuote"/>
        <w:ind w:left="1440" w:right="1440"/>
      </w:pPr>
    </w:p>
    <w:p w:rsidR="00FF7B9A" w:rsidRDefault="00FF7B9A" w:rsidP="00FF7B9A">
      <w:r>
        <w:t>Similarly, his request for a payment agreement was also addressed:</w:t>
      </w:r>
    </w:p>
    <w:p w:rsidR="00DC50CF" w:rsidRDefault="00DC50CF" w:rsidP="00FF7B9A">
      <w:pPr>
        <w:pStyle w:val="IndentedQuote"/>
        <w:ind w:left="1440" w:right="1440"/>
      </w:pPr>
    </w:p>
    <w:p w:rsidR="00FF7B9A" w:rsidRDefault="00FF7B9A" w:rsidP="00FF7B9A">
      <w:pPr>
        <w:pStyle w:val="IndentedQuote"/>
        <w:ind w:left="1440" w:right="1440"/>
      </w:pPr>
      <w:r>
        <w:t>Turning to the Complainant’s request for a payment agreement, Chapter 14 provides that in certain circumstances a customer may be permitted to amortize the amount due on a utility account.  The Commission is authorized to order one payment agreement per customer.  Obviously, the Complainant has a poor payment history because he has made no payments on his account since October 2009.  However, while enrolled on the CAP program, his payment history was at least sufficient to satisfy the CAP administrator and maintain his enrollment in the program.  The Complainant testified that he currently holds a job and earns $2,400 per month.  His roommate does not work, but receives social security disability payments in the amount of $763 per month.  Accordingly, the monthly household income for the account is $3,163.  This places the Complainant between 250% and 300% of the Federal Poverty Level Guidelines.  Section 1405(b)(3) of the Responsible Utility Customer Protection Act, authorizes the Commission to grant the Complainant a repayment term of one year to repay the arrearage on his account.  The Complainant is reminded that in addition to making payments on the arrearage of his account, he is also required to make regular, on-time payments for current electricity service as well.</w:t>
      </w:r>
      <w:r>
        <w:rPr>
          <w:rStyle w:val="FootnoteReference"/>
        </w:rPr>
        <w:footnoteReference w:id="14"/>
      </w:r>
    </w:p>
    <w:p w:rsidR="00DC50CF" w:rsidRDefault="00DC50CF" w:rsidP="00DC50CF">
      <w:pPr>
        <w:pStyle w:val="IndentedQuote"/>
        <w:ind w:left="1440" w:right="1440"/>
      </w:pPr>
    </w:p>
    <w:p w:rsidR="00FF7B9A" w:rsidRDefault="00FF7B9A" w:rsidP="00DC50CF">
      <w:pPr>
        <w:pStyle w:val="IndentedQuote"/>
        <w:ind w:left="1440" w:right="1440"/>
      </w:pPr>
    </w:p>
    <w:p w:rsidR="00FF7B9A" w:rsidRDefault="00FF7B9A" w:rsidP="00FF7B9A">
      <w:r>
        <w:t>Therefore, the Complainant has already received a final judgment on the claims concerning his CAP balance, the customer service he received from Duquesne Light related to his default from CAP, and his entitlement to relief in the form of forgiveness and a payment agreement.</w:t>
      </w:r>
    </w:p>
    <w:p w:rsidR="00FF7B9A" w:rsidRDefault="00FF7B9A" w:rsidP="00FF7B9A">
      <w:r>
        <w:t xml:space="preserve"> </w:t>
      </w:r>
    </w:p>
    <w:p w:rsidR="00FF7B9A" w:rsidRDefault="00FF7B9A" w:rsidP="00FF7B9A">
      <w:r>
        <w:tab/>
      </w:r>
      <w:r>
        <w:tab/>
        <w:t xml:space="preserve">The final requirements for the application of the doctrine of </w:t>
      </w:r>
      <w:r>
        <w:rPr>
          <w:i/>
        </w:rPr>
        <w:t>res judicata</w:t>
      </w:r>
      <w:r>
        <w:t xml:space="preserve"> are the identity of the parties to the action and the identity of the quality or capacity of the parties suing or being sued.  Since the complaint involves the same individual complaining about the same utility, these factors have been met as well.</w:t>
      </w:r>
    </w:p>
    <w:p w:rsidR="00FF7B9A" w:rsidRDefault="00FF7B9A" w:rsidP="00FF7B9A"/>
    <w:p w:rsidR="00FF7B9A" w:rsidRDefault="00FF7B9A" w:rsidP="00FF7B9A">
      <w:r>
        <w:tab/>
      </w:r>
      <w:r>
        <w:tab/>
        <w:t xml:space="preserve">In conclusion, the August 2011 Complaint filed by Dennis </w:t>
      </w:r>
      <w:proofErr w:type="spellStart"/>
      <w:r>
        <w:t>Mowrey</w:t>
      </w:r>
      <w:proofErr w:type="spellEnd"/>
      <w:r>
        <w:t xml:space="preserve"> should be dismissed because it raises identical issues and claims that have already been discussed and disposed of by the Commission.  Therefore the motion to dismiss of Duquesne Light will be granted.</w:t>
      </w:r>
    </w:p>
    <w:p w:rsidR="00FF7B9A" w:rsidRDefault="00FF7B9A" w:rsidP="00FF7B9A"/>
    <w:p w:rsidR="00DC50CF" w:rsidRDefault="00DC50CF">
      <w:pPr>
        <w:spacing w:after="200"/>
        <w:rPr>
          <w:u w:val="single"/>
        </w:rPr>
      </w:pPr>
      <w:r>
        <w:rPr>
          <w:u w:val="single"/>
        </w:rPr>
        <w:br w:type="page"/>
      </w:r>
    </w:p>
    <w:p w:rsidR="00FF7B9A" w:rsidRDefault="00FF7B9A" w:rsidP="00FF7B9A">
      <w:pPr>
        <w:jc w:val="center"/>
        <w:rPr>
          <w:u w:val="single"/>
        </w:rPr>
      </w:pPr>
      <w:r>
        <w:rPr>
          <w:u w:val="single"/>
        </w:rPr>
        <w:t>CONCLUSIONS OF LAW</w:t>
      </w:r>
    </w:p>
    <w:p w:rsidR="00FF7B9A" w:rsidRDefault="00FF7B9A" w:rsidP="00FF7B9A">
      <w:pPr>
        <w:jc w:val="center"/>
        <w:rPr>
          <w:u w:val="single"/>
        </w:rPr>
      </w:pPr>
    </w:p>
    <w:p w:rsidR="00FF7B9A" w:rsidRDefault="00FF7B9A" w:rsidP="00FF7B9A">
      <w:pPr>
        <w:pStyle w:val="ListParagraph"/>
        <w:numPr>
          <w:ilvl w:val="0"/>
          <w:numId w:val="10"/>
        </w:numPr>
        <w:ind w:left="0" w:firstLine="1440"/>
        <w:contextualSpacing/>
      </w:pPr>
      <w:r>
        <w:t>The Commission has jurisdiction over the parties and subject matter of this proceeding.</w:t>
      </w:r>
    </w:p>
    <w:p w:rsidR="00FF7B9A" w:rsidRDefault="00FF7B9A" w:rsidP="00FF7B9A">
      <w:pPr>
        <w:ind w:left="1440"/>
      </w:pPr>
    </w:p>
    <w:p w:rsidR="00FF7B9A" w:rsidRDefault="00FF7B9A" w:rsidP="00FF7B9A">
      <w:pPr>
        <w:pStyle w:val="ListParagraph"/>
        <w:numPr>
          <w:ilvl w:val="0"/>
          <w:numId w:val="10"/>
        </w:numPr>
        <w:ind w:left="0" w:firstLine="1440"/>
        <w:contextualSpacing/>
      </w:pPr>
      <w:r>
        <w:t>The issues raised and claims made in the complaint filed at F-2011-2258471 are identical to those issues and claims made in the complaint filed at F-2010-2196812.</w:t>
      </w:r>
    </w:p>
    <w:p w:rsidR="00FF7B9A" w:rsidRDefault="00FF7B9A" w:rsidP="00FF7B9A">
      <w:pPr>
        <w:ind w:left="1440"/>
      </w:pPr>
    </w:p>
    <w:p w:rsidR="00FF7B9A" w:rsidRDefault="00FF7B9A" w:rsidP="00FF7B9A">
      <w:pPr>
        <w:pStyle w:val="ListParagraph"/>
        <w:numPr>
          <w:ilvl w:val="0"/>
          <w:numId w:val="10"/>
        </w:numPr>
        <w:ind w:left="0" w:firstLine="1440"/>
        <w:contextualSpacing/>
      </w:pPr>
      <w:r>
        <w:t>The parties to the complaint filed at F-2011-2258471 are identical to the parties to the complaint filed at F-2010-2196812.</w:t>
      </w:r>
    </w:p>
    <w:p w:rsidR="00FF7B9A" w:rsidRDefault="00FF7B9A" w:rsidP="00FF7B9A">
      <w:pPr>
        <w:pStyle w:val="ListParagraph"/>
        <w:numPr>
          <w:ilvl w:val="0"/>
          <w:numId w:val="0"/>
        </w:numPr>
        <w:ind w:left="1440"/>
      </w:pPr>
    </w:p>
    <w:p w:rsidR="00FF7B9A" w:rsidRDefault="00FF7B9A" w:rsidP="00FF7B9A">
      <w:pPr>
        <w:pStyle w:val="ListParagraph"/>
        <w:numPr>
          <w:ilvl w:val="0"/>
          <w:numId w:val="10"/>
        </w:numPr>
        <w:ind w:left="0" w:firstLine="1440"/>
        <w:contextualSpacing/>
      </w:pPr>
      <w:r>
        <w:t xml:space="preserve">A final valid judgment has been rendered on the claims made by Dennis </w:t>
      </w:r>
      <w:proofErr w:type="spellStart"/>
      <w:r>
        <w:t>Mowrey</w:t>
      </w:r>
      <w:proofErr w:type="spellEnd"/>
      <w:r>
        <w:t xml:space="preserve"> at F-2010-2196812 which bars litigation of the same claims raised at F-2011-2258471 pursuant to the doctrine of </w:t>
      </w:r>
      <w:r>
        <w:rPr>
          <w:i/>
        </w:rPr>
        <w:t>res judicata</w:t>
      </w:r>
      <w:r>
        <w:t>.</w:t>
      </w:r>
    </w:p>
    <w:p w:rsidR="00FF7B9A" w:rsidRDefault="00FF7B9A" w:rsidP="00FF7B9A">
      <w:pPr>
        <w:pStyle w:val="ListParagraph"/>
        <w:numPr>
          <w:ilvl w:val="0"/>
          <w:numId w:val="0"/>
        </w:numPr>
        <w:ind w:left="1440"/>
      </w:pPr>
    </w:p>
    <w:p w:rsidR="00DC50CF" w:rsidRDefault="00DC50CF" w:rsidP="00FF7B9A">
      <w:pPr>
        <w:jc w:val="center"/>
        <w:rPr>
          <w:u w:val="single"/>
        </w:rPr>
      </w:pPr>
    </w:p>
    <w:p w:rsidR="00FF7B9A" w:rsidRDefault="00FF7B9A" w:rsidP="00FF7B9A">
      <w:pPr>
        <w:jc w:val="center"/>
        <w:rPr>
          <w:u w:val="single"/>
        </w:rPr>
      </w:pPr>
      <w:r>
        <w:rPr>
          <w:u w:val="single"/>
        </w:rPr>
        <w:t>ORDER</w:t>
      </w:r>
    </w:p>
    <w:p w:rsidR="00FF7B9A" w:rsidRDefault="00FF7B9A" w:rsidP="00FF7B9A">
      <w:pPr>
        <w:jc w:val="center"/>
        <w:rPr>
          <w:u w:val="single"/>
        </w:rPr>
      </w:pPr>
    </w:p>
    <w:p w:rsidR="00CB28E0" w:rsidRDefault="00CB28E0" w:rsidP="00DC50CF">
      <w:pPr>
        <w:ind w:firstLine="1440"/>
      </w:pPr>
    </w:p>
    <w:p w:rsidR="00FF7B9A" w:rsidRDefault="00FF7B9A" w:rsidP="00DC50CF">
      <w:pPr>
        <w:ind w:firstLine="1440"/>
      </w:pPr>
      <w:r>
        <w:t xml:space="preserve">THEREFORE, </w:t>
      </w:r>
    </w:p>
    <w:p w:rsidR="00FF7B9A" w:rsidRDefault="00FF7B9A" w:rsidP="00DC50CF">
      <w:pPr>
        <w:ind w:firstLine="1440"/>
      </w:pPr>
    </w:p>
    <w:p w:rsidR="00FF7B9A" w:rsidRDefault="00FF7B9A" w:rsidP="00DC50CF">
      <w:pPr>
        <w:ind w:firstLine="1440"/>
      </w:pPr>
      <w:r>
        <w:t>IT IS ORDERED:</w:t>
      </w:r>
    </w:p>
    <w:p w:rsidR="00FF7B9A" w:rsidRDefault="00FF7B9A" w:rsidP="00DC50CF">
      <w:r>
        <w:tab/>
      </w:r>
    </w:p>
    <w:p w:rsidR="00FF7B9A" w:rsidRDefault="00FF7B9A" w:rsidP="00DC50CF">
      <w:pPr>
        <w:pStyle w:val="ListParagraph"/>
        <w:numPr>
          <w:ilvl w:val="0"/>
          <w:numId w:val="11"/>
        </w:numPr>
        <w:ind w:left="0" w:firstLine="1440"/>
        <w:contextualSpacing/>
      </w:pPr>
      <w:r>
        <w:t xml:space="preserve">That the motion to dismiss filed by Duquesne Light Company seeking dismissal of the complaint filed by Dennis </w:t>
      </w:r>
      <w:proofErr w:type="spellStart"/>
      <w:r>
        <w:t>Mowrey</w:t>
      </w:r>
      <w:proofErr w:type="spellEnd"/>
      <w:r>
        <w:t xml:space="preserve"> at Docket No. F-2011-2258471 is granted.</w:t>
      </w:r>
    </w:p>
    <w:p w:rsidR="00FF7B9A" w:rsidRDefault="00FF7B9A" w:rsidP="00DC50CF">
      <w:pPr>
        <w:pStyle w:val="ListParagraph"/>
        <w:numPr>
          <w:ilvl w:val="0"/>
          <w:numId w:val="0"/>
        </w:numPr>
        <w:ind w:firstLine="1440"/>
      </w:pPr>
    </w:p>
    <w:p w:rsidR="00FF7B9A" w:rsidRDefault="00FF7B9A" w:rsidP="00DC50CF">
      <w:pPr>
        <w:pStyle w:val="ListParagraph"/>
        <w:numPr>
          <w:ilvl w:val="0"/>
          <w:numId w:val="11"/>
        </w:numPr>
        <w:ind w:left="0" w:firstLine="1440"/>
        <w:contextualSpacing/>
      </w:pPr>
      <w:r>
        <w:t xml:space="preserve">That the formal complaint filed by Dennis </w:t>
      </w:r>
      <w:proofErr w:type="spellStart"/>
      <w:r>
        <w:t>Mowrey</w:t>
      </w:r>
      <w:proofErr w:type="spellEnd"/>
      <w:r>
        <w:t xml:space="preserve"> at Docket No. F-2011-2258471 is dismissed.</w:t>
      </w:r>
    </w:p>
    <w:p w:rsidR="00FF7B9A" w:rsidRDefault="00FF7B9A" w:rsidP="00DC50CF">
      <w:pPr>
        <w:pStyle w:val="ListParagraph"/>
        <w:numPr>
          <w:ilvl w:val="0"/>
          <w:numId w:val="0"/>
        </w:numPr>
        <w:ind w:left="1440"/>
      </w:pPr>
    </w:p>
    <w:p w:rsidR="00CB28E0" w:rsidRDefault="00CB28E0">
      <w:pPr>
        <w:spacing w:after="200"/>
      </w:pPr>
      <w:r>
        <w:br w:type="page"/>
      </w:r>
    </w:p>
    <w:p w:rsidR="00FF7B9A" w:rsidRDefault="00FF7B9A" w:rsidP="00DC50CF">
      <w:pPr>
        <w:ind w:firstLine="1440"/>
      </w:pPr>
      <w:r>
        <w:t>3.</w:t>
      </w:r>
      <w:r>
        <w:tab/>
        <w:t>That the record in this proceeding be marked closed.</w:t>
      </w:r>
    </w:p>
    <w:p w:rsidR="00FF7B9A" w:rsidRDefault="00FF7B9A" w:rsidP="00FF7B9A">
      <w:pPr>
        <w:pStyle w:val="IndentedQuote"/>
        <w:ind w:left="0"/>
      </w:pPr>
    </w:p>
    <w:p w:rsidR="00FF7B9A" w:rsidRDefault="00FF7B9A" w:rsidP="00FF7B9A"/>
    <w:p w:rsidR="00FF7B9A" w:rsidRDefault="00FF7B9A" w:rsidP="00FF7B9A">
      <w:pPr>
        <w:spacing w:line="240" w:lineRule="auto"/>
      </w:pPr>
      <w:r>
        <w:t xml:space="preserve">Date:  </w:t>
      </w:r>
      <w:r>
        <w:rPr>
          <w:u w:val="single"/>
        </w:rPr>
        <w:t>March 16, 2012</w:t>
      </w:r>
      <w:r>
        <w:tab/>
      </w:r>
      <w:r>
        <w:tab/>
      </w:r>
      <w:r>
        <w:tab/>
      </w:r>
      <w:r>
        <w:tab/>
        <w:t>_______________________________</w:t>
      </w:r>
    </w:p>
    <w:p w:rsidR="00FF7B9A" w:rsidRDefault="00FF7B9A" w:rsidP="00FF7B9A">
      <w:pPr>
        <w:spacing w:line="240" w:lineRule="auto"/>
      </w:pPr>
      <w:r>
        <w:tab/>
      </w:r>
      <w:r>
        <w:tab/>
      </w:r>
      <w:r>
        <w:tab/>
      </w:r>
      <w:r>
        <w:tab/>
      </w:r>
      <w:r>
        <w:tab/>
      </w:r>
      <w:r w:rsidR="00CB28E0">
        <w:tab/>
      </w:r>
      <w:r w:rsidR="00CB28E0">
        <w:tab/>
      </w:r>
      <w:r>
        <w:t>Mary D. Long</w:t>
      </w:r>
    </w:p>
    <w:p w:rsidR="00FF7B9A" w:rsidRDefault="00FF7B9A" w:rsidP="00FF7B9A">
      <w:pPr>
        <w:spacing w:line="240" w:lineRule="auto"/>
      </w:pPr>
      <w:r>
        <w:tab/>
      </w:r>
      <w:r>
        <w:tab/>
      </w:r>
      <w:r>
        <w:tab/>
      </w:r>
      <w:r>
        <w:tab/>
      </w:r>
      <w:r>
        <w:tab/>
      </w:r>
      <w:r w:rsidR="00CB28E0">
        <w:tab/>
      </w:r>
      <w:r w:rsidR="00CB28E0">
        <w:tab/>
      </w:r>
      <w:r>
        <w:t>Administrative Law Judge</w:t>
      </w:r>
    </w:p>
    <w:p w:rsidR="003F3C6F" w:rsidRDefault="003F3C6F" w:rsidP="00FF7B9A">
      <w:pPr>
        <w:tabs>
          <w:tab w:val="left" w:pos="0"/>
        </w:tabs>
        <w:spacing w:line="240" w:lineRule="auto"/>
        <w:jc w:val="both"/>
      </w:pPr>
    </w:p>
    <w:sectPr w:rsidR="003F3C6F" w:rsidSect="009F2FA4">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06A" w:rsidRDefault="00C2306A" w:rsidP="003F3C6F">
      <w:pPr>
        <w:spacing w:line="240" w:lineRule="auto"/>
      </w:pPr>
      <w:r>
        <w:separator/>
      </w:r>
    </w:p>
  </w:endnote>
  <w:endnote w:type="continuationSeparator" w:id="0">
    <w:p w:rsidR="00C2306A" w:rsidRDefault="00C2306A"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439405"/>
      <w:docPartObj>
        <w:docPartGallery w:val="Page Numbers (Bottom of Page)"/>
        <w:docPartUnique/>
      </w:docPartObj>
    </w:sdtPr>
    <w:sdtEndPr>
      <w:rPr>
        <w:sz w:val="22"/>
        <w:szCs w:val="22"/>
      </w:rPr>
    </w:sdtEndPr>
    <w:sdtContent>
      <w:p w:rsidR="005913C3" w:rsidRDefault="009503C8">
        <w:pPr>
          <w:pStyle w:val="Footer"/>
          <w:jc w:val="center"/>
        </w:pPr>
        <w:r w:rsidRPr="00A2234C">
          <w:rPr>
            <w:sz w:val="20"/>
          </w:rPr>
          <w:fldChar w:fldCharType="begin"/>
        </w:r>
        <w:r w:rsidR="005913C3" w:rsidRPr="00A2234C">
          <w:rPr>
            <w:sz w:val="20"/>
          </w:rPr>
          <w:instrText xml:space="preserve"> PAGE   \* MERGEFORMAT </w:instrText>
        </w:r>
        <w:r w:rsidRPr="00A2234C">
          <w:rPr>
            <w:sz w:val="20"/>
          </w:rPr>
          <w:fldChar w:fldCharType="separate"/>
        </w:r>
        <w:r w:rsidR="00440623">
          <w:rPr>
            <w:noProof/>
            <w:sz w:val="20"/>
          </w:rPr>
          <w:t>2</w:t>
        </w:r>
        <w:r w:rsidRPr="00A2234C">
          <w:rPr>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32439401"/>
      <w:docPartObj>
        <w:docPartGallery w:val="Page Numbers (Bottom of Page)"/>
        <w:docPartUnique/>
      </w:docPartObj>
    </w:sdtPr>
    <w:sdtEndPr/>
    <w:sdtContent>
      <w:p w:rsidR="00617E16" w:rsidRPr="00617E16" w:rsidRDefault="00C2306A">
        <w:pPr>
          <w:pStyle w:val="Footer"/>
          <w:jc w:val="center"/>
          <w:rPr>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06A" w:rsidRDefault="00C2306A" w:rsidP="003F3C6F">
      <w:pPr>
        <w:spacing w:line="240" w:lineRule="auto"/>
      </w:pPr>
      <w:r>
        <w:separator/>
      </w:r>
    </w:p>
  </w:footnote>
  <w:footnote w:type="continuationSeparator" w:id="0">
    <w:p w:rsidR="00C2306A" w:rsidRDefault="00C2306A" w:rsidP="00A0161B">
      <w:pPr>
        <w:spacing w:line="240" w:lineRule="auto"/>
      </w:pPr>
      <w:r>
        <w:separator/>
      </w:r>
    </w:p>
    <w:p w:rsidR="00C2306A" w:rsidRDefault="00C2306A" w:rsidP="003F3C6F">
      <w:pPr>
        <w:spacing w:line="240" w:lineRule="auto"/>
      </w:pPr>
    </w:p>
  </w:footnote>
  <w:footnote w:id="1">
    <w:p w:rsidR="00FF7B9A" w:rsidRDefault="00FF7B9A" w:rsidP="00FF7B9A">
      <w:pPr>
        <w:pStyle w:val="FootnoteText"/>
      </w:pPr>
      <w:r>
        <w:rPr>
          <w:rStyle w:val="FootnoteReference"/>
        </w:rPr>
        <w:footnoteRef/>
      </w:r>
      <w:r>
        <w:t xml:space="preserve">  </w:t>
      </w:r>
      <w:r>
        <w:tab/>
        <w:t>52 Pa. Code § 5.102(d</w:t>
      </w:r>
      <w:proofErr w:type="gramStart"/>
      <w:r>
        <w:t>)(</w:t>
      </w:r>
      <w:proofErr w:type="gramEnd"/>
      <w:r>
        <w:t>1).</w:t>
      </w:r>
    </w:p>
  </w:footnote>
  <w:footnote w:id="2">
    <w:p w:rsidR="00FF7B9A" w:rsidRDefault="00FF7B9A" w:rsidP="00FF7B9A">
      <w:pPr>
        <w:pStyle w:val="FootnoteText"/>
      </w:pPr>
      <w:r>
        <w:rPr>
          <w:rStyle w:val="FootnoteReference"/>
        </w:rPr>
        <w:footnoteRef/>
      </w:r>
      <w:r>
        <w:t xml:space="preserve"> </w:t>
      </w:r>
      <w:r>
        <w:tab/>
      </w:r>
      <w:proofErr w:type="gramStart"/>
      <w:r>
        <w:t>Exhibit 4.</w:t>
      </w:r>
      <w:proofErr w:type="gramEnd"/>
    </w:p>
    <w:p w:rsidR="00FF7B9A" w:rsidRDefault="00FF7B9A" w:rsidP="00FF7B9A">
      <w:pPr>
        <w:pStyle w:val="FootnoteText"/>
      </w:pPr>
    </w:p>
  </w:footnote>
  <w:footnote w:id="3">
    <w:p w:rsidR="00FF7B9A" w:rsidRDefault="00FF7B9A" w:rsidP="00FF7B9A">
      <w:pPr>
        <w:pStyle w:val="FootnoteText"/>
      </w:pPr>
      <w:r>
        <w:rPr>
          <w:rStyle w:val="FootnoteReference"/>
        </w:rPr>
        <w:footnoteRef/>
      </w:r>
      <w:r>
        <w:t xml:space="preserve"> </w:t>
      </w:r>
      <w:r>
        <w:tab/>
      </w:r>
      <w:proofErr w:type="gramStart"/>
      <w:r>
        <w:t>Exhibit 1.</w:t>
      </w:r>
      <w:proofErr w:type="gramEnd"/>
    </w:p>
    <w:p w:rsidR="00FF7B9A" w:rsidRDefault="00FF7B9A" w:rsidP="00FF7B9A">
      <w:pPr>
        <w:pStyle w:val="FootnoteText"/>
      </w:pPr>
    </w:p>
  </w:footnote>
  <w:footnote w:id="4">
    <w:p w:rsidR="00FF7B9A" w:rsidRDefault="00FF7B9A" w:rsidP="00FF7B9A">
      <w:pPr>
        <w:pStyle w:val="FootnoteText"/>
      </w:pPr>
      <w:r>
        <w:rPr>
          <w:rStyle w:val="FootnoteReference"/>
        </w:rPr>
        <w:footnoteRef/>
      </w:r>
      <w:r>
        <w:t xml:space="preserve"> </w:t>
      </w:r>
      <w:r>
        <w:tab/>
      </w:r>
      <w:proofErr w:type="gramStart"/>
      <w:r>
        <w:t>Exhibit 2.</w:t>
      </w:r>
      <w:proofErr w:type="gramEnd"/>
    </w:p>
    <w:p w:rsidR="00FF7B9A" w:rsidRDefault="00FF7B9A" w:rsidP="00FF7B9A">
      <w:pPr>
        <w:pStyle w:val="FootnoteText"/>
      </w:pPr>
    </w:p>
  </w:footnote>
  <w:footnote w:id="5">
    <w:p w:rsidR="00FF7B9A" w:rsidRDefault="00FF7B9A" w:rsidP="00FF7B9A">
      <w:pPr>
        <w:pStyle w:val="FootnoteText"/>
      </w:pPr>
      <w:r>
        <w:rPr>
          <w:rStyle w:val="FootnoteReference"/>
        </w:rPr>
        <w:footnoteRef/>
      </w:r>
      <w:r>
        <w:t xml:space="preserve"> </w:t>
      </w:r>
      <w:r>
        <w:tab/>
      </w:r>
      <w:proofErr w:type="gramStart"/>
      <w:r>
        <w:t>Exhibit 5.</w:t>
      </w:r>
      <w:proofErr w:type="gramEnd"/>
    </w:p>
    <w:p w:rsidR="00FF7B9A" w:rsidRDefault="00FF7B9A" w:rsidP="00FF7B9A">
      <w:pPr>
        <w:pStyle w:val="FootnoteText"/>
      </w:pPr>
    </w:p>
  </w:footnote>
  <w:footnote w:id="6">
    <w:p w:rsidR="00FF7B9A" w:rsidRDefault="00FF7B9A" w:rsidP="00FF7B9A">
      <w:pPr>
        <w:pStyle w:val="FootnoteText"/>
      </w:pPr>
      <w:r>
        <w:rPr>
          <w:rStyle w:val="FootnoteReference"/>
        </w:rPr>
        <w:footnoteRef/>
      </w:r>
      <w:r>
        <w:t xml:space="preserve"> </w:t>
      </w:r>
      <w:r>
        <w:tab/>
      </w:r>
      <w:proofErr w:type="gramStart"/>
      <w:r>
        <w:t>Exhibit 3.</w:t>
      </w:r>
      <w:proofErr w:type="gramEnd"/>
    </w:p>
    <w:p w:rsidR="00FF7B9A" w:rsidRDefault="00FF7B9A" w:rsidP="00FF7B9A">
      <w:pPr>
        <w:pStyle w:val="FootnoteText"/>
      </w:pPr>
    </w:p>
  </w:footnote>
  <w:footnote w:id="7">
    <w:p w:rsidR="00FF7B9A" w:rsidRDefault="00FF7B9A" w:rsidP="00FF7B9A">
      <w:pPr>
        <w:pStyle w:val="FootnoteText"/>
      </w:pPr>
      <w:r>
        <w:rPr>
          <w:rStyle w:val="FootnoteReference"/>
        </w:rPr>
        <w:footnoteRef/>
      </w:r>
      <w:r>
        <w:t xml:space="preserve">   </w:t>
      </w:r>
      <w:r>
        <w:tab/>
      </w:r>
      <w:proofErr w:type="gramStart"/>
      <w:r>
        <w:rPr>
          <w:i/>
        </w:rPr>
        <w:t>Reynolds v. PPL Electric Utilities Corp.</w:t>
      </w:r>
      <w:r>
        <w:t>, PUC Docket No.</w:t>
      </w:r>
      <w:proofErr w:type="gramEnd"/>
      <w:r>
        <w:t xml:space="preserve"> C-2011-2255268 (Commission order entered January 5, 2012), slip op. at 4 (citing </w:t>
      </w:r>
      <w:r>
        <w:rPr>
          <w:i/>
        </w:rPr>
        <w:t xml:space="preserve">Day v. </w:t>
      </w:r>
      <w:proofErr w:type="spellStart"/>
      <w:r>
        <w:rPr>
          <w:i/>
        </w:rPr>
        <w:t>Volkswagenwerk</w:t>
      </w:r>
      <w:proofErr w:type="spellEnd"/>
      <w:r>
        <w:rPr>
          <w:i/>
        </w:rPr>
        <w:t xml:space="preserve"> </w:t>
      </w:r>
      <w:proofErr w:type="spellStart"/>
      <w:r>
        <w:rPr>
          <w:i/>
        </w:rPr>
        <w:t>Aktiengesellschaft</w:t>
      </w:r>
      <w:proofErr w:type="spellEnd"/>
      <w:r>
        <w:t>, 464 A.2d 1313, 1316 (Pa. Superior Ct. 1983).</w:t>
      </w:r>
    </w:p>
    <w:p w:rsidR="00FF7B9A" w:rsidRDefault="00FF7B9A" w:rsidP="00FF7B9A">
      <w:pPr>
        <w:pStyle w:val="FootnoteText"/>
      </w:pPr>
    </w:p>
  </w:footnote>
  <w:footnote w:id="8">
    <w:p w:rsidR="00FF7B9A" w:rsidRDefault="00FF7B9A" w:rsidP="00FF7B9A">
      <w:pPr>
        <w:pStyle w:val="FootnoteText"/>
      </w:pPr>
      <w:r>
        <w:rPr>
          <w:rStyle w:val="FootnoteReference"/>
        </w:rPr>
        <w:footnoteRef/>
      </w:r>
      <w:r>
        <w:t xml:space="preserve">  </w:t>
      </w:r>
      <w:r>
        <w:tab/>
      </w:r>
      <w:proofErr w:type="gramStart"/>
      <w:r>
        <w:t>66 Pa. C.S. § 316.</w:t>
      </w:r>
      <w:proofErr w:type="gramEnd"/>
    </w:p>
    <w:p w:rsidR="00FF7B9A" w:rsidRDefault="00FF7B9A" w:rsidP="00FF7B9A">
      <w:pPr>
        <w:pStyle w:val="FootnoteText"/>
      </w:pPr>
    </w:p>
  </w:footnote>
  <w:footnote w:id="9">
    <w:p w:rsidR="00FF7B9A" w:rsidRDefault="00FF7B9A" w:rsidP="00FF7B9A">
      <w:pPr>
        <w:pStyle w:val="FootnoteText"/>
      </w:pPr>
      <w:r>
        <w:rPr>
          <w:rStyle w:val="FootnoteReference"/>
        </w:rPr>
        <w:footnoteRef/>
      </w:r>
      <w:r>
        <w:t xml:space="preserve">  </w:t>
      </w:r>
      <w:r>
        <w:tab/>
      </w:r>
      <w:proofErr w:type="gramStart"/>
      <w:r>
        <w:t>Exhibit 1.</w:t>
      </w:r>
      <w:proofErr w:type="gramEnd"/>
    </w:p>
    <w:p w:rsidR="00FF7B9A" w:rsidRDefault="00FF7B9A" w:rsidP="00FF7B9A">
      <w:pPr>
        <w:pStyle w:val="FootnoteText"/>
      </w:pPr>
    </w:p>
  </w:footnote>
  <w:footnote w:id="10">
    <w:p w:rsidR="00FF7B9A" w:rsidRDefault="00FF7B9A" w:rsidP="00FF7B9A">
      <w:pPr>
        <w:pStyle w:val="FootnoteText"/>
      </w:pPr>
      <w:r>
        <w:rPr>
          <w:rStyle w:val="FootnoteReference"/>
        </w:rPr>
        <w:footnoteRef/>
      </w:r>
      <w:r>
        <w:t xml:space="preserve">  </w:t>
      </w:r>
      <w:r>
        <w:tab/>
      </w:r>
      <w:proofErr w:type="gramStart"/>
      <w:r>
        <w:t>Exhibit 2.</w:t>
      </w:r>
      <w:proofErr w:type="gramEnd"/>
      <w:r>
        <w:t xml:space="preserve">  Duquesne Light did not object to the addition of these claims to the August 31, 2010 complaint.</w:t>
      </w:r>
    </w:p>
    <w:p w:rsidR="00FF7B9A" w:rsidRDefault="00FF7B9A" w:rsidP="00FF7B9A">
      <w:pPr>
        <w:pStyle w:val="FootnoteText"/>
      </w:pPr>
    </w:p>
  </w:footnote>
  <w:footnote w:id="11">
    <w:p w:rsidR="00FF7B9A" w:rsidRDefault="00FF7B9A" w:rsidP="00FF7B9A">
      <w:pPr>
        <w:pStyle w:val="FootnoteText"/>
      </w:pPr>
      <w:r>
        <w:rPr>
          <w:rStyle w:val="FootnoteReference"/>
        </w:rPr>
        <w:footnoteRef/>
      </w:r>
      <w:r>
        <w:t xml:space="preserve">  </w:t>
      </w:r>
      <w:r>
        <w:tab/>
        <w:t>Initial Decision dated October 17, 2011 (Exhibit 5) at Finding of Fact Nos. 16-22.  See also discussion at slip op. 8-10.</w:t>
      </w:r>
    </w:p>
  </w:footnote>
  <w:footnote w:id="12">
    <w:p w:rsidR="00FF7B9A" w:rsidRDefault="00FF7B9A" w:rsidP="00FF7B9A">
      <w:pPr>
        <w:pStyle w:val="FootnoteText"/>
      </w:pPr>
      <w:r>
        <w:rPr>
          <w:rStyle w:val="FootnoteReference"/>
        </w:rPr>
        <w:footnoteRef/>
      </w:r>
      <w:r>
        <w:t xml:space="preserve">  </w:t>
      </w:r>
      <w:r>
        <w:tab/>
      </w:r>
      <w:proofErr w:type="gramStart"/>
      <w:r>
        <w:t>Exhibit 4.</w:t>
      </w:r>
      <w:proofErr w:type="gramEnd"/>
    </w:p>
    <w:p w:rsidR="00FF7B9A" w:rsidRDefault="00FF7B9A" w:rsidP="00FF7B9A">
      <w:pPr>
        <w:pStyle w:val="FootnoteText"/>
      </w:pPr>
    </w:p>
  </w:footnote>
  <w:footnote w:id="13">
    <w:p w:rsidR="00FF7B9A" w:rsidRDefault="00FF7B9A" w:rsidP="00FF7B9A">
      <w:pPr>
        <w:pStyle w:val="FootnoteText"/>
      </w:pPr>
      <w:r>
        <w:rPr>
          <w:rStyle w:val="FootnoteReference"/>
        </w:rPr>
        <w:footnoteRef/>
      </w:r>
      <w:r>
        <w:t xml:space="preserve">  </w:t>
      </w:r>
      <w:r>
        <w:tab/>
      </w:r>
      <w:proofErr w:type="gramStart"/>
      <w:r>
        <w:t>Initial Decision, slip op. at 7-8.</w:t>
      </w:r>
      <w:proofErr w:type="gramEnd"/>
    </w:p>
    <w:p w:rsidR="00FF7B9A" w:rsidRDefault="00FF7B9A" w:rsidP="00FF7B9A">
      <w:pPr>
        <w:pStyle w:val="FootnoteText"/>
      </w:pPr>
    </w:p>
  </w:footnote>
  <w:footnote w:id="14">
    <w:p w:rsidR="00FF7B9A" w:rsidRDefault="00FF7B9A" w:rsidP="00FF7B9A">
      <w:pPr>
        <w:pStyle w:val="FootnoteText"/>
      </w:pPr>
      <w:r>
        <w:rPr>
          <w:rStyle w:val="FootnoteReference"/>
        </w:rPr>
        <w:footnoteRef/>
      </w:r>
      <w:r>
        <w:t xml:space="preserve"> </w:t>
      </w:r>
      <w:r>
        <w:tab/>
        <w:t>Initial Decision, slip op. at 10 (citations omitted).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7662838"/>
    <w:lvl w:ilvl="0">
      <w:start w:val="1"/>
      <w:numFmt w:val="decimal"/>
      <w:pStyle w:val="ListNumber"/>
      <w:lvlText w:val="%1."/>
      <w:lvlJc w:val="left"/>
      <w:pPr>
        <w:tabs>
          <w:tab w:val="num" w:pos="360"/>
        </w:tabs>
        <w:ind w:left="360" w:hanging="360"/>
      </w:pPr>
    </w:lvl>
  </w:abstractNum>
  <w:abstractNum w:abstractNumId="1">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63FA4"/>
    <w:multiLevelType w:val="hybridMultilevel"/>
    <w:tmpl w:val="D370EFC2"/>
    <w:lvl w:ilvl="0" w:tplc="7376D52C">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7AC33F0"/>
    <w:multiLevelType w:val="hybridMultilevel"/>
    <w:tmpl w:val="5B4E3BF8"/>
    <w:lvl w:ilvl="0" w:tplc="0A90888A">
      <w:start w:val="1"/>
      <w:numFmt w:val="decimal"/>
      <w:pStyle w:val="StyleListParagraph12ptLinespacing15line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EAB1600"/>
    <w:multiLevelType w:val="hybridMultilevel"/>
    <w:tmpl w:val="874283D0"/>
    <w:lvl w:ilvl="0" w:tplc="61988D6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34A3641"/>
    <w:multiLevelType w:val="hybridMultilevel"/>
    <w:tmpl w:val="3EF6CCCE"/>
    <w:lvl w:ilvl="0" w:tplc="468E3B2A">
      <w:start w:val="1"/>
      <w:numFmt w:val="decimal"/>
      <w:lvlText w:val="%1."/>
      <w:lvlJc w:val="left"/>
      <w:pPr>
        <w:ind w:left="3660" w:hanging="22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438869B3"/>
    <w:multiLevelType w:val="hybridMultilevel"/>
    <w:tmpl w:val="048EFC0E"/>
    <w:lvl w:ilvl="0" w:tplc="9FA885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734C1E"/>
    <w:multiLevelType w:val="hybridMultilevel"/>
    <w:tmpl w:val="2C066412"/>
    <w:lvl w:ilvl="0" w:tplc="3FCA947C">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5B2A33A9"/>
    <w:multiLevelType w:val="multilevel"/>
    <w:tmpl w:val="55B21D02"/>
    <w:lvl w:ilvl="0">
      <w:start w:val="1"/>
      <w:numFmt w:val="upperRoman"/>
      <w:pStyle w:val="Pleading1L1"/>
      <w:lvlText w:val="%1."/>
      <w:lvlJc w:val="left"/>
      <w:pPr>
        <w:tabs>
          <w:tab w:val="num" w:pos="720"/>
        </w:tabs>
        <w:ind w:left="72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Restart w:val="0"/>
      <w:pStyle w:val="Pleading1L2"/>
      <w:lvlText w:val="%2."/>
      <w:lvlJc w:val="left"/>
      <w:pPr>
        <w:tabs>
          <w:tab w:val="num" w:pos="1440"/>
        </w:tabs>
        <w:ind w:left="0" w:firstLine="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1L3"/>
      <w:lvlText w:val="%3."/>
      <w:lvlJc w:val="left"/>
      <w:pPr>
        <w:tabs>
          <w:tab w:val="num" w:pos="1680"/>
        </w:tabs>
        <w:ind w:left="-48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leading1L4"/>
      <w:lvlText w:val="%4."/>
      <w:lvlJc w:val="left"/>
      <w:pPr>
        <w:tabs>
          <w:tab w:val="num" w:pos="2880"/>
        </w:tabs>
        <w:ind w:left="72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Pleading1L5"/>
      <w:lvlText w:val="(%5)"/>
      <w:lvlJc w:val="left"/>
      <w:pPr>
        <w:tabs>
          <w:tab w:val="num" w:pos="3600"/>
        </w:tabs>
        <w:ind w:left="1440" w:firstLine="144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798704F2"/>
    <w:multiLevelType w:val="hybridMultilevel"/>
    <w:tmpl w:val="430226EC"/>
    <w:name w:val="zzmpPleading1||Pleading1 |2|1|1|1|0|45||1|0|36||1|0|32||1|0|32||1|0|32||1|0|32||1|0|32||1|0|32||1|0|32||"/>
    <w:lvl w:ilvl="0" w:tplc="7A686134">
      <w:start w:val="1"/>
      <w:numFmt w:val="decimal"/>
      <w:lvlText w:val="%1."/>
      <w:lvlJc w:val="left"/>
      <w:pPr>
        <w:ind w:left="3240" w:hanging="360"/>
      </w:pPr>
    </w:lvl>
    <w:lvl w:ilvl="1" w:tplc="64D26902" w:tentative="1">
      <w:start w:val="1"/>
      <w:numFmt w:val="lowerLetter"/>
      <w:lvlText w:val="%2."/>
      <w:lvlJc w:val="left"/>
      <w:pPr>
        <w:ind w:left="3960" w:hanging="360"/>
      </w:pPr>
    </w:lvl>
    <w:lvl w:ilvl="2" w:tplc="06649CD0" w:tentative="1">
      <w:start w:val="1"/>
      <w:numFmt w:val="lowerRoman"/>
      <w:lvlText w:val="%3."/>
      <w:lvlJc w:val="right"/>
      <w:pPr>
        <w:ind w:left="4680" w:hanging="180"/>
      </w:pPr>
    </w:lvl>
    <w:lvl w:ilvl="3" w:tplc="41FE40CE" w:tentative="1">
      <w:start w:val="1"/>
      <w:numFmt w:val="decimal"/>
      <w:lvlText w:val="%4."/>
      <w:lvlJc w:val="left"/>
      <w:pPr>
        <w:ind w:left="5400" w:hanging="360"/>
      </w:pPr>
    </w:lvl>
    <w:lvl w:ilvl="4" w:tplc="7C02D63C" w:tentative="1">
      <w:start w:val="1"/>
      <w:numFmt w:val="lowerLetter"/>
      <w:lvlText w:val="%5."/>
      <w:lvlJc w:val="left"/>
      <w:pPr>
        <w:ind w:left="6120" w:hanging="360"/>
      </w:pPr>
    </w:lvl>
    <w:lvl w:ilvl="5" w:tplc="7C485B18" w:tentative="1">
      <w:start w:val="1"/>
      <w:numFmt w:val="lowerRoman"/>
      <w:lvlText w:val="%6."/>
      <w:lvlJc w:val="right"/>
      <w:pPr>
        <w:ind w:left="6840" w:hanging="180"/>
      </w:pPr>
    </w:lvl>
    <w:lvl w:ilvl="6" w:tplc="06D6962C" w:tentative="1">
      <w:start w:val="1"/>
      <w:numFmt w:val="decimal"/>
      <w:lvlText w:val="%7."/>
      <w:lvlJc w:val="left"/>
      <w:pPr>
        <w:ind w:left="7560" w:hanging="360"/>
      </w:pPr>
    </w:lvl>
    <w:lvl w:ilvl="7" w:tplc="88521518" w:tentative="1">
      <w:start w:val="1"/>
      <w:numFmt w:val="lowerLetter"/>
      <w:lvlText w:val="%8."/>
      <w:lvlJc w:val="left"/>
      <w:pPr>
        <w:ind w:left="8280" w:hanging="360"/>
      </w:pPr>
    </w:lvl>
    <w:lvl w:ilvl="8" w:tplc="869C7DA2" w:tentative="1">
      <w:start w:val="1"/>
      <w:numFmt w:val="lowerRoman"/>
      <w:lvlText w:val="%9."/>
      <w:lvlJc w:val="right"/>
      <w:pPr>
        <w:ind w:left="9000" w:hanging="180"/>
      </w:pPr>
    </w:lvl>
  </w:abstractNum>
  <w:num w:numId="1">
    <w:abstractNumId w:val="2"/>
  </w:num>
  <w:num w:numId="2">
    <w:abstractNumId w:val="1"/>
  </w:num>
  <w:num w:numId="3">
    <w:abstractNumId w:val="7"/>
  </w:num>
  <w:num w:numId="4">
    <w:abstractNumId w:val="8"/>
  </w:num>
  <w:num w:numId="5">
    <w:abstractNumId w:val="10"/>
  </w:num>
  <w:num w:numId="6">
    <w:abstractNumId w:val="9"/>
  </w:num>
  <w:num w:numId="7">
    <w:abstractNumId w:val="0"/>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D64"/>
    <w:rsid w:val="00000FF5"/>
    <w:rsid w:val="0001124B"/>
    <w:rsid w:val="0001297E"/>
    <w:rsid w:val="00015065"/>
    <w:rsid w:val="0001597C"/>
    <w:rsid w:val="00023638"/>
    <w:rsid w:val="00036C6D"/>
    <w:rsid w:val="000437A0"/>
    <w:rsid w:val="00055BAD"/>
    <w:rsid w:val="000610CD"/>
    <w:rsid w:val="0007317F"/>
    <w:rsid w:val="00083F2E"/>
    <w:rsid w:val="000863BB"/>
    <w:rsid w:val="0008685B"/>
    <w:rsid w:val="00090258"/>
    <w:rsid w:val="00091068"/>
    <w:rsid w:val="00091509"/>
    <w:rsid w:val="000A15DB"/>
    <w:rsid w:val="000A339B"/>
    <w:rsid w:val="000B44E4"/>
    <w:rsid w:val="000C2755"/>
    <w:rsid w:val="000C2C16"/>
    <w:rsid w:val="000C55DE"/>
    <w:rsid w:val="000D3668"/>
    <w:rsid w:val="000D4B38"/>
    <w:rsid w:val="000D4FEF"/>
    <w:rsid w:val="000D67FD"/>
    <w:rsid w:val="000E0263"/>
    <w:rsid w:val="000E7EC3"/>
    <w:rsid w:val="000F7742"/>
    <w:rsid w:val="00103967"/>
    <w:rsid w:val="001050F9"/>
    <w:rsid w:val="00105B01"/>
    <w:rsid w:val="0010637D"/>
    <w:rsid w:val="001169EA"/>
    <w:rsid w:val="00120592"/>
    <w:rsid w:val="00122C66"/>
    <w:rsid w:val="0012503E"/>
    <w:rsid w:val="001310B9"/>
    <w:rsid w:val="001337BF"/>
    <w:rsid w:val="001375AF"/>
    <w:rsid w:val="001413A2"/>
    <w:rsid w:val="001429E4"/>
    <w:rsid w:val="00144E27"/>
    <w:rsid w:val="00146F7F"/>
    <w:rsid w:val="001529F7"/>
    <w:rsid w:val="00155A74"/>
    <w:rsid w:val="0016449B"/>
    <w:rsid w:val="001837A1"/>
    <w:rsid w:val="001905C6"/>
    <w:rsid w:val="00192509"/>
    <w:rsid w:val="001945B1"/>
    <w:rsid w:val="001A21E9"/>
    <w:rsid w:val="001A4218"/>
    <w:rsid w:val="001B03C8"/>
    <w:rsid w:val="001B176C"/>
    <w:rsid w:val="001B7189"/>
    <w:rsid w:val="001C051F"/>
    <w:rsid w:val="001C102B"/>
    <w:rsid w:val="001C34AC"/>
    <w:rsid w:val="001D1DD6"/>
    <w:rsid w:val="001E2D14"/>
    <w:rsid w:val="001E2E94"/>
    <w:rsid w:val="001E4DAF"/>
    <w:rsid w:val="001F0F09"/>
    <w:rsid w:val="001F6C7E"/>
    <w:rsid w:val="00207814"/>
    <w:rsid w:val="0021039D"/>
    <w:rsid w:val="00214485"/>
    <w:rsid w:val="0022168C"/>
    <w:rsid w:val="00230F7F"/>
    <w:rsid w:val="002326C8"/>
    <w:rsid w:val="00240673"/>
    <w:rsid w:val="0024243A"/>
    <w:rsid w:val="00246040"/>
    <w:rsid w:val="002522D4"/>
    <w:rsid w:val="00253CF9"/>
    <w:rsid w:val="002676FF"/>
    <w:rsid w:val="00272ABD"/>
    <w:rsid w:val="0028123B"/>
    <w:rsid w:val="002A634F"/>
    <w:rsid w:val="002B5A13"/>
    <w:rsid w:val="002C4338"/>
    <w:rsid w:val="002C7BDE"/>
    <w:rsid w:val="002D0C73"/>
    <w:rsid w:val="002D6283"/>
    <w:rsid w:val="002E27F0"/>
    <w:rsid w:val="002E6068"/>
    <w:rsid w:val="00303A0A"/>
    <w:rsid w:val="00317BD9"/>
    <w:rsid w:val="003335F7"/>
    <w:rsid w:val="00341861"/>
    <w:rsid w:val="00345EC4"/>
    <w:rsid w:val="00350632"/>
    <w:rsid w:val="00351E8B"/>
    <w:rsid w:val="00355EA7"/>
    <w:rsid w:val="003560A8"/>
    <w:rsid w:val="00357ED9"/>
    <w:rsid w:val="003763E0"/>
    <w:rsid w:val="00376808"/>
    <w:rsid w:val="003857A1"/>
    <w:rsid w:val="00396E05"/>
    <w:rsid w:val="003A1B83"/>
    <w:rsid w:val="003A41DA"/>
    <w:rsid w:val="003A79AB"/>
    <w:rsid w:val="003C10B2"/>
    <w:rsid w:val="003C3039"/>
    <w:rsid w:val="003C3A97"/>
    <w:rsid w:val="003C7C56"/>
    <w:rsid w:val="003D284F"/>
    <w:rsid w:val="003D5372"/>
    <w:rsid w:val="003E0746"/>
    <w:rsid w:val="003F3C6F"/>
    <w:rsid w:val="003F6452"/>
    <w:rsid w:val="00404BB0"/>
    <w:rsid w:val="00404CFD"/>
    <w:rsid w:val="00413370"/>
    <w:rsid w:val="00416C25"/>
    <w:rsid w:val="0041757F"/>
    <w:rsid w:val="004229FB"/>
    <w:rsid w:val="004270FC"/>
    <w:rsid w:val="00427DD7"/>
    <w:rsid w:val="00437C6C"/>
    <w:rsid w:val="00440623"/>
    <w:rsid w:val="00443033"/>
    <w:rsid w:val="00443DD5"/>
    <w:rsid w:val="00444146"/>
    <w:rsid w:val="00461358"/>
    <w:rsid w:val="00470A03"/>
    <w:rsid w:val="0048765A"/>
    <w:rsid w:val="00491DB0"/>
    <w:rsid w:val="00496C77"/>
    <w:rsid w:val="004A2B17"/>
    <w:rsid w:val="004B7DCB"/>
    <w:rsid w:val="004C00F7"/>
    <w:rsid w:val="004C509C"/>
    <w:rsid w:val="004D1F03"/>
    <w:rsid w:val="004D3935"/>
    <w:rsid w:val="004D7BCA"/>
    <w:rsid w:val="004E174F"/>
    <w:rsid w:val="004E323B"/>
    <w:rsid w:val="004E7ABB"/>
    <w:rsid w:val="004F474F"/>
    <w:rsid w:val="00501D89"/>
    <w:rsid w:val="00502C0C"/>
    <w:rsid w:val="0051125D"/>
    <w:rsid w:val="00512D0B"/>
    <w:rsid w:val="00516A01"/>
    <w:rsid w:val="00521712"/>
    <w:rsid w:val="005221D7"/>
    <w:rsid w:val="00522979"/>
    <w:rsid w:val="00535E8C"/>
    <w:rsid w:val="00540E48"/>
    <w:rsid w:val="00541D97"/>
    <w:rsid w:val="005425B0"/>
    <w:rsid w:val="0054772F"/>
    <w:rsid w:val="00560D36"/>
    <w:rsid w:val="005614F5"/>
    <w:rsid w:val="00564DC5"/>
    <w:rsid w:val="00567537"/>
    <w:rsid w:val="005724EB"/>
    <w:rsid w:val="00572B83"/>
    <w:rsid w:val="005843DF"/>
    <w:rsid w:val="005913C3"/>
    <w:rsid w:val="00592FAE"/>
    <w:rsid w:val="00594CBA"/>
    <w:rsid w:val="005A2083"/>
    <w:rsid w:val="005A312C"/>
    <w:rsid w:val="005A62B6"/>
    <w:rsid w:val="005B0567"/>
    <w:rsid w:val="005B5FE1"/>
    <w:rsid w:val="005D28CA"/>
    <w:rsid w:val="005E0F71"/>
    <w:rsid w:val="005E483C"/>
    <w:rsid w:val="005F2EBA"/>
    <w:rsid w:val="005F5E4D"/>
    <w:rsid w:val="005F6194"/>
    <w:rsid w:val="0060682A"/>
    <w:rsid w:val="00611926"/>
    <w:rsid w:val="00611CC3"/>
    <w:rsid w:val="00617E16"/>
    <w:rsid w:val="00622E30"/>
    <w:rsid w:val="00630551"/>
    <w:rsid w:val="00641549"/>
    <w:rsid w:val="0065080A"/>
    <w:rsid w:val="00656869"/>
    <w:rsid w:val="00657CF3"/>
    <w:rsid w:val="006602A5"/>
    <w:rsid w:val="006629ED"/>
    <w:rsid w:val="00662BC4"/>
    <w:rsid w:val="00673B7D"/>
    <w:rsid w:val="006772F0"/>
    <w:rsid w:val="00681321"/>
    <w:rsid w:val="006840FF"/>
    <w:rsid w:val="00686C47"/>
    <w:rsid w:val="00687C61"/>
    <w:rsid w:val="00696D25"/>
    <w:rsid w:val="006A6ABB"/>
    <w:rsid w:val="006C04DC"/>
    <w:rsid w:val="006D47EB"/>
    <w:rsid w:val="006D5C0F"/>
    <w:rsid w:val="006D741B"/>
    <w:rsid w:val="006E7356"/>
    <w:rsid w:val="006F363F"/>
    <w:rsid w:val="006F66D2"/>
    <w:rsid w:val="006F75EE"/>
    <w:rsid w:val="006F78AD"/>
    <w:rsid w:val="0070171B"/>
    <w:rsid w:val="00702CAA"/>
    <w:rsid w:val="00711324"/>
    <w:rsid w:val="00715495"/>
    <w:rsid w:val="00721434"/>
    <w:rsid w:val="00724CC5"/>
    <w:rsid w:val="00732B9E"/>
    <w:rsid w:val="00737210"/>
    <w:rsid w:val="00741B94"/>
    <w:rsid w:val="00743EFC"/>
    <w:rsid w:val="0074525C"/>
    <w:rsid w:val="0075143F"/>
    <w:rsid w:val="00755A99"/>
    <w:rsid w:val="0076730C"/>
    <w:rsid w:val="00774973"/>
    <w:rsid w:val="0078002A"/>
    <w:rsid w:val="00782F5D"/>
    <w:rsid w:val="007A4346"/>
    <w:rsid w:val="007A7E94"/>
    <w:rsid w:val="007B02A3"/>
    <w:rsid w:val="007C3513"/>
    <w:rsid w:val="007C4DCD"/>
    <w:rsid w:val="007D3E43"/>
    <w:rsid w:val="007E44F4"/>
    <w:rsid w:val="007E59FD"/>
    <w:rsid w:val="007F0CEF"/>
    <w:rsid w:val="007F5BAB"/>
    <w:rsid w:val="008024E7"/>
    <w:rsid w:val="00802D4A"/>
    <w:rsid w:val="008230AA"/>
    <w:rsid w:val="00823844"/>
    <w:rsid w:val="00825B08"/>
    <w:rsid w:val="00831834"/>
    <w:rsid w:val="008348AD"/>
    <w:rsid w:val="00851798"/>
    <w:rsid w:val="008539B0"/>
    <w:rsid w:val="00855EE7"/>
    <w:rsid w:val="008646FB"/>
    <w:rsid w:val="0086640D"/>
    <w:rsid w:val="0086782E"/>
    <w:rsid w:val="00867DE5"/>
    <w:rsid w:val="008712E3"/>
    <w:rsid w:val="00887FCD"/>
    <w:rsid w:val="008901EE"/>
    <w:rsid w:val="00890CE3"/>
    <w:rsid w:val="00896515"/>
    <w:rsid w:val="008A356F"/>
    <w:rsid w:val="008B4037"/>
    <w:rsid w:val="008C6598"/>
    <w:rsid w:val="008C65E2"/>
    <w:rsid w:val="008C74C9"/>
    <w:rsid w:val="008E081B"/>
    <w:rsid w:val="008E37C7"/>
    <w:rsid w:val="008E4522"/>
    <w:rsid w:val="008F0A29"/>
    <w:rsid w:val="008F5457"/>
    <w:rsid w:val="009016BE"/>
    <w:rsid w:val="00911CE8"/>
    <w:rsid w:val="00914542"/>
    <w:rsid w:val="0092169E"/>
    <w:rsid w:val="00925CB9"/>
    <w:rsid w:val="00927ED9"/>
    <w:rsid w:val="00933323"/>
    <w:rsid w:val="00941A50"/>
    <w:rsid w:val="009475FB"/>
    <w:rsid w:val="009501EC"/>
    <w:rsid w:val="009503C8"/>
    <w:rsid w:val="00955913"/>
    <w:rsid w:val="00955CF8"/>
    <w:rsid w:val="00956EDE"/>
    <w:rsid w:val="00957F34"/>
    <w:rsid w:val="00961C4B"/>
    <w:rsid w:val="00970434"/>
    <w:rsid w:val="00974C25"/>
    <w:rsid w:val="00975F23"/>
    <w:rsid w:val="00985630"/>
    <w:rsid w:val="00986B02"/>
    <w:rsid w:val="009A02EE"/>
    <w:rsid w:val="009A4582"/>
    <w:rsid w:val="009A46E7"/>
    <w:rsid w:val="009A54B4"/>
    <w:rsid w:val="009B38D3"/>
    <w:rsid w:val="009C44A8"/>
    <w:rsid w:val="009C4751"/>
    <w:rsid w:val="009C6F44"/>
    <w:rsid w:val="009E0192"/>
    <w:rsid w:val="009E5506"/>
    <w:rsid w:val="009E7330"/>
    <w:rsid w:val="009E7E70"/>
    <w:rsid w:val="009F0116"/>
    <w:rsid w:val="009F03B9"/>
    <w:rsid w:val="009F1F55"/>
    <w:rsid w:val="009F2FA4"/>
    <w:rsid w:val="009F57C0"/>
    <w:rsid w:val="00A0161B"/>
    <w:rsid w:val="00A07AA1"/>
    <w:rsid w:val="00A12AF6"/>
    <w:rsid w:val="00A13013"/>
    <w:rsid w:val="00A130CF"/>
    <w:rsid w:val="00A17F02"/>
    <w:rsid w:val="00A2078D"/>
    <w:rsid w:val="00A21414"/>
    <w:rsid w:val="00A2234C"/>
    <w:rsid w:val="00A2289C"/>
    <w:rsid w:val="00A27267"/>
    <w:rsid w:val="00A27E30"/>
    <w:rsid w:val="00A334C3"/>
    <w:rsid w:val="00A35649"/>
    <w:rsid w:val="00A367CD"/>
    <w:rsid w:val="00A368EC"/>
    <w:rsid w:val="00A40037"/>
    <w:rsid w:val="00A42E20"/>
    <w:rsid w:val="00A46D93"/>
    <w:rsid w:val="00A47DC6"/>
    <w:rsid w:val="00A52D68"/>
    <w:rsid w:val="00A53A53"/>
    <w:rsid w:val="00A54AF7"/>
    <w:rsid w:val="00A566DD"/>
    <w:rsid w:val="00A60413"/>
    <w:rsid w:val="00A654DC"/>
    <w:rsid w:val="00A72287"/>
    <w:rsid w:val="00A7357D"/>
    <w:rsid w:val="00A74D0D"/>
    <w:rsid w:val="00A76192"/>
    <w:rsid w:val="00A808E2"/>
    <w:rsid w:val="00A82D57"/>
    <w:rsid w:val="00A95553"/>
    <w:rsid w:val="00A96847"/>
    <w:rsid w:val="00AA1F58"/>
    <w:rsid w:val="00AA7F67"/>
    <w:rsid w:val="00AB0727"/>
    <w:rsid w:val="00AB1B9E"/>
    <w:rsid w:val="00AB3996"/>
    <w:rsid w:val="00AB42BD"/>
    <w:rsid w:val="00AC4EA7"/>
    <w:rsid w:val="00AC7910"/>
    <w:rsid w:val="00AD2CFB"/>
    <w:rsid w:val="00AD373A"/>
    <w:rsid w:val="00AD41BC"/>
    <w:rsid w:val="00B03564"/>
    <w:rsid w:val="00B06D1E"/>
    <w:rsid w:val="00B07D49"/>
    <w:rsid w:val="00B07E03"/>
    <w:rsid w:val="00B24D1E"/>
    <w:rsid w:val="00B313B2"/>
    <w:rsid w:val="00B4153D"/>
    <w:rsid w:val="00B4281E"/>
    <w:rsid w:val="00B5241F"/>
    <w:rsid w:val="00B611A1"/>
    <w:rsid w:val="00B626DC"/>
    <w:rsid w:val="00B64091"/>
    <w:rsid w:val="00B778C0"/>
    <w:rsid w:val="00B8235C"/>
    <w:rsid w:val="00B86ADE"/>
    <w:rsid w:val="00B92D60"/>
    <w:rsid w:val="00BA3A30"/>
    <w:rsid w:val="00BA7659"/>
    <w:rsid w:val="00BA7E2A"/>
    <w:rsid w:val="00BB17C0"/>
    <w:rsid w:val="00BB1F1F"/>
    <w:rsid w:val="00BC2185"/>
    <w:rsid w:val="00BD3F16"/>
    <w:rsid w:val="00BD4B9C"/>
    <w:rsid w:val="00BE16A5"/>
    <w:rsid w:val="00BE1EEA"/>
    <w:rsid w:val="00BE2F5B"/>
    <w:rsid w:val="00BE35B5"/>
    <w:rsid w:val="00BE6195"/>
    <w:rsid w:val="00BE6D1F"/>
    <w:rsid w:val="00BF3E49"/>
    <w:rsid w:val="00BF5020"/>
    <w:rsid w:val="00BF67BB"/>
    <w:rsid w:val="00C0296B"/>
    <w:rsid w:val="00C07890"/>
    <w:rsid w:val="00C1077D"/>
    <w:rsid w:val="00C1117D"/>
    <w:rsid w:val="00C1530F"/>
    <w:rsid w:val="00C2306A"/>
    <w:rsid w:val="00C23AE5"/>
    <w:rsid w:val="00C27062"/>
    <w:rsid w:val="00C27D05"/>
    <w:rsid w:val="00C3344B"/>
    <w:rsid w:val="00C336BD"/>
    <w:rsid w:val="00C33875"/>
    <w:rsid w:val="00C378B1"/>
    <w:rsid w:val="00C50177"/>
    <w:rsid w:val="00C54937"/>
    <w:rsid w:val="00C571CA"/>
    <w:rsid w:val="00C578F6"/>
    <w:rsid w:val="00C64975"/>
    <w:rsid w:val="00C730D6"/>
    <w:rsid w:val="00C817DF"/>
    <w:rsid w:val="00C829F5"/>
    <w:rsid w:val="00C84388"/>
    <w:rsid w:val="00C940A5"/>
    <w:rsid w:val="00CA51C1"/>
    <w:rsid w:val="00CA7D87"/>
    <w:rsid w:val="00CB28E0"/>
    <w:rsid w:val="00CC0040"/>
    <w:rsid w:val="00CC274A"/>
    <w:rsid w:val="00CC54BC"/>
    <w:rsid w:val="00CD1821"/>
    <w:rsid w:val="00CF413B"/>
    <w:rsid w:val="00CF4243"/>
    <w:rsid w:val="00CF4D64"/>
    <w:rsid w:val="00CF503C"/>
    <w:rsid w:val="00CF584A"/>
    <w:rsid w:val="00D06B3C"/>
    <w:rsid w:val="00D11993"/>
    <w:rsid w:val="00D218FF"/>
    <w:rsid w:val="00D302C2"/>
    <w:rsid w:val="00D30CF0"/>
    <w:rsid w:val="00D40023"/>
    <w:rsid w:val="00D430C9"/>
    <w:rsid w:val="00D4716F"/>
    <w:rsid w:val="00D51307"/>
    <w:rsid w:val="00D528C3"/>
    <w:rsid w:val="00D6049F"/>
    <w:rsid w:val="00D6156D"/>
    <w:rsid w:val="00D6201F"/>
    <w:rsid w:val="00D7482E"/>
    <w:rsid w:val="00D75FED"/>
    <w:rsid w:val="00D8033D"/>
    <w:rsid w:val="00D82772"/>
    <w:rsid w:val="00D82814"/>
    <w:rsid w:val="00D85AA2"/>
    <w:rsid w:val="00D86D67"/>
    <w:rsid w:val="00D87121"/>
    <w:rsid w:val="00D93BF1"/>
    <w:rsid w:val="00D94619"/>
    <w:rsid w:val="00D95DD4"/>
    <w:rsid w:val="00DB0597"/>
    <w:rsid w:val="00DB0D71"/>
    <w:rsid w:val="00DC058F"/>
    <w:rsid w:val="00DC4DDA"/>
    <w:rsid w:val="00DC50CF"/>
    <w:rsid w:val="00DC7B3E"/>
    <w:rsid w:val="00DD3811"/>
    <w:rsid w:val="00DD436D"/>
    <w:rsid w:val="00DD491F"/>
    <w:rsid w:val="00DD79C6"/>
    <w:rsid w:val="00DE0833"/>
    <w:rsid w:val="00DE63ED"/>
    <w:rsid w:val="00DE6F43"/>
    <w:rsid w:val="00DF68B2"/>
    <w:rsid w:val="00DF7283"/>
    <w:rsid w:val="00E123A4"/>
    <w:rsid w:val="00E152AC"/>
    <w:rsid w:val="00E164CE"/>
    <w:rsid w:val="00E24D16"/>
    <w:rsid w:val="00E277D1"/>
    <w:rsid w:val="00E41FF0"/>
    <w:rsid w:val="00E444DD"/>
    <w:rsid w:val="00E45BC0"/>
    <w:rsid w:val="00E529BE"/>
    <w:rsid w:val="00E61541"/>
    <w:rsid w:val="00E63C6B"/>
    <w:rsid w:val="00E6747D"/>
    <w:rsid w:val="00E7378C"/>
    <w:rsid w:val="00E80C9D"/>
    <w:rsid w:val="00E83162"/>
    <w:rsid w:val="00E85D64"/>
    <w:rsid w:val="00E948FD"/>
    <w:rsid w:val="00EA22C1"/>
    <w:rsid w:val="00EA58A8"/>
    <w:rsid w:val="00EB68DB"/>
    <w:rsid w:val="00EC6592"/>
    <w:rsid w:val="00EC7305"/>
    <w:rsid w:val="00ED0502"/>
    <w:rsid w:val="00ED0B1D"/>
    <w:rsid w:val="00ED2512"/>
    <w:rsid w:val="00ED6696"/>
    <w:rsid w:val="00ED6888"/>
    <w:rsid w:val="00EE2EAA"/>
    <w:rsid w:val="00EF7B3D"/>
    <w:rsid w:val="00F02536"/>
    <w:rsid w:val="00F10C36"/>
    <w:rsid w:val="00F14F89"/>
    <w:rsid w:val="00F32AFA"/>
    <w:rsid w:val="00F348F9"/>
    <w:rsid w:val="00F4646E"/>
    <w:rsid w:val="00F576D6"/>
    <w:rsid w:val="00F629C1"/>
    <w:rsid w:val="00F65A87"/>
    <w:rsid w:val="00F7740B"/>
    <w:rsid w:val="00F82022"/>
    <w:rsid w:val="00F85A41"/>
    <w:rsid w:val="00F92A4F"/>
    <w:rsid w:val="00F92FCA"/>
    <w:rsid w:val="00F93D90"/>
    <w:rsid w:val="00FA16D5"/>
    <w:rsid w:val="00FA5F25"/>
    <w:rsid w:val="00FA6164"/>
    <w:rsid w:val="00FA74CE"/>
    <w:rsid w:val="00FB0200"/>
    <w:rsid w:val="00FB7B50"/>
    <w:rsid w:val="00FC29DE"/>
    <w:rsid w:val="00FC49F7"/>
    <w:rsid w:val="00FD7749"/>
    <w:rsid w:val="00FE2DBB"/>
    <w:rsid w:val="00FE4C2F"/>
    <w:rsid w:val="00FE79D5"/>
    <w:rsid w:val="00FF306F"/>
    <w:rsid w:val="00FF45A2"/>
    <w:rsid w:val="00FF50F4"/>
    <w:rsid w:val="00FF5162"/>
    <w:rsid w:val="00FF7B9A"/>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BC"/>
    <w:pPr>
      <w:spacing w:after="0"/>
    </w:pPr>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aliases w:val="Car"/>
    <w:basedOn w:val="Normal"/>
    <w:link w:val="FootnoteTextChar"/>
    <w:autoRedefine/>
    <w:uiPriority w:val="99"/>
    <w:unhideWhenUsed/>
    <w:qFormat/>
    <w:rsid w:val="00BD3F16"/>
    <w:pPr>
      <w:spacing w:line="240" w:lineRule="auto"/>
    </w:pPr>
    <w:rPr>
      <w:sz w:val="20"/>
    </w:rPr>
  </w:style>
  <w:style w:type="character" w:customStyle="1" w:styleId="FootnoteTextChar">
    <w:name w:val="Footnote Text Char"/>
    <w:aliases w:val="Car Char"/>
    <w:basedOn w:val="DefaultParagraphFont"/>
    <w:link w:val="FootnoteText"/>
    <w:uiPriority w:val="99"/>
    <w:rsid w:val="00BD3F16"/>
    <w:rPr>
      <w:rFonts w:cs="Times New Roman"/>
      <w:sz w:val="20"/>
      <w:szCs w:val="20"/>
    </w:rPr>
  </w:style>
  <w:style w:type="paragraph" w:styleId="ListParagraph">
    <w:name w:val="List Paragraph"/>
    <w:basedOn w:val="Normal"/>
    <w:autoRedefine/>
    <w:uiPriority w:val="34"/>
    <w:qFormat/>
    <w:rsid w:val="00BD3F16"/>
    <w:pPr>
      <w:numPr>
        <w:numId w:val="8"/>
      </w:numPr>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semiHidden/>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paragraph" w:customStyle="1" w:styleId="IndentedQuote">
    <w:name w:val="Indented Quote"/>
    <w:basedOn w:val="Normal"/>
    <w:qFormat/>
    <w:rsid w:val="005F6194"/>
    <w:pPr>
      <w:spacing w:line="240" w:lineRule="auto"/>
      <w:ind w:left="720" w:right="720"/>
    </w:pPr>
    <w:rPr>
      <w:szCs w:val="24"/>
    </w:rPr>
  </w:style>
  <w:style w:type="paragraph" w:customStyle="1" w:styleId="Indentedquote0">
    <w:name w:val="Indented quote"/>
    <w:basedOn w:val="Normal"/>
    <w:qFormat/>
    <w:rsid w:val="00B03564"/>
    <w:pPr>
      <w:widowControl w:val="0"/>
      <w:autoSpaceDE w:val="0"/>
      <w:autoSpaceDN w:val="0"/>
      <w:adjustRightInd w:val="0"/>
      <w:spacing w:after="120" w:line="240" w:lineRule="auto"/>
      <w:ind w:left="1440" w:right="1440"/>
    </w:pPr>
    <w:rPr>
      <w:szCs w:val="24"/>
    </w:rPr>
  </w:style>
  <w:style w:type="paragraph" w:customStyle="1" w:styleId="TxBrp3">
    <w:name w:val="TxBr_p3"/>
    <w:basedOn w:val="Normal"/>
    <w:rsid w:val="00AB0727"/>
    <w:pPr>
      <w:widowControl w:val="0"/>
      <w:tabs>
        <w:tab w:val="left" w:pos="1474"/>
      </w:tabs>
      <w:autoSpaceDE w:val="0"/>
      <w:autoSpaceDN w:val="0"/>
      <w:adjustRightInd w:val="0"/>
      <w:spacing w:line="425" w:lineRule="atLeast"/>
      <w:ind w:firstLine="1474"/>
    </w:pPr>
    <w:rPr>
      <w:szCs w:val="24"/>
    </w:rPr>
  </w:style>
  <w:style w:type="paragraph" w:customStyle="1" w:styleId="Pleading1L1">
    <w:name w:val="Pleading1_L1"/>
    <w:basedOn w:val="Normal"/>
    <w:rsid w:val="00AB0727"/>
    <w:pPr>
      <w:numPr>
        <w:numId w:val="6"/>
      </w:numPr>
      <w:spacing w:line="480" w:lineRule="auto"/>
      <w:outlineLvl w:val="0"/>
    </w:pPr>
    <w:rPr>
      <w:b/>
      <w:caps/>
      <w:u w:val="single"/>
    </w:rPr>
  </w:style>
  <w:style w:type="paragraph" w:customStyle="1" w:styleId="Pleading1L2">
    <w:name w:val="Pleading1_L2"/>
    <w:basedOn w:val="Pleading1L1"/>
    <w:rsid w:val="00AB0727"/>
    <w:pPr>
      <w:numPr>
        <w:ilvl w:val="1"/>
      </w:numPr>
      <w:outlineLvl w:val="1"/>
    </w:pPr>
    <w:rPr>
      <w:b w:val="0"/>
      <w:caps w:val="0"/>
    </w:rPr>
  </w:style>
  <w:style w:type="paragraph" w:customStyle="1" w:styleId="Pleading1L3">
    <w:name w:val="Pleading1_L3"/>
    <w:basedOn w:val="Pleading1L2"/>
    <w:rsid w:val="00AB0727"/>
    <w:pPr>
      <w:numPr>
        <w:ilvl w:val="2"/>
      </w:numPr>
      <w:outlineLvl w:val="2"/>
    </w:pPr>
    <w:rPr>
      <w:szCs w:val="24"/>
      <w:u w:val="none"/>
    </w:rPr>
  </w:style>
  <w:style w:type="paragraph" w:customStyle="1" w:styleId="Pleading1L4">
    <w:name w:val="Pleading1_L4"/>
    <w:basedOn w:val="Pleading1L3"/>
    <w:rsid w:val="00AB0727"/>
    <w:pPr>
      <w:numPr>
        <w:ilvl w:val="3"/>
      </w:numPr>
      <w:outlineLvl w:val="3"/>
    </w:pPr>
  </w:style>
  <w:style w:type="paragraph" w:customStyle="1" w:styleId="Pleading1L5">
    <w:name w:val="Pleading1_L5"/>
    <w:basedOn w:val="Pleading1L4"/>
    <w:rsid w:val="00AB0727"/>
    <w:pPr>
      <w:numPr>
        <w:ilvl w:val="4"/>
      </w:numPr>
      <w:outlineLvl w:val="4"/>
    </w:pPr>
  </w:style>
  <w:style w:type="paragraph" w:customStyle="1" w:styleId="Pleading1L6">
    <w:name w:val="Pleading1_L6"/>
    <w:basedOn w:val="Pleading1L5"/>
    <w:rsid w:val="00AB0727"/>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AB0727"/>
    <w:pPr>
      <w:numPr>
        <w:ilvl w:val="6"/>
      </w:numPr>
      <w:outlineLvl w:val="6"/>
    </w:pPr>
  </w:style>
  <w:style w:type="paragraph" w:customStyle="1" w:styleId="Pleading1L8">
    <w:name w:val="Pleading1_L8"/>
    <w:basedOn w:val="Pleading1L7"/>
    <w:rsid w:val="00AB0727"/>
    <w:pPr>
      <w:numPr>
        <w:ilvl w:val="7"/>
      </w:numPr>
      <w:outlineLvl w:val="7"/>
    </w:pPr>
  </w:style>
  <w:style w:type="paragraph" w:customStyle="1" w:styleId="Pleading1L9">
    <w:name w:val="Pleading1_L9"/>
    <w:basedOn w:val="Pleading1L8"/>
    <w:rsid w:val="00AB0727"/>
    <w:pPr>
      <w:numPr>
        <w:ilvl w:val="8"/>
      </w:numPr>
      <w:outlineLvl w:val="8"/>
    </w:pPr>
  </w:style>
  <w:style w:type="paragraph" w:styleId="ListNumber">
    <w:name w:val="List Number"/>
    <w:basedOn w:val="Normal"/>
    <w:rsid w:val="00AB0727"/>
    <w:pPr>
      <w:numPr>
        <w:numId w:val="7"/>
      </w:numPr>
      <w:tabs>
        <w:tab w:val="clear" w:pos="360"/>
      </w:tabs>
      <w:spacing w:line="480" w:lineRule="auto"/>
      <w:ind w:left="0" w:firstLine="720"/>
    </w:pPr>
    <w:rPr>
      <w:szCs w:val="24"/>
    </w:rPr>
  </w:style>
  <w:style w:type="paragraph" w:customStyle="1" w:styleId="StyleListParagraph12ptLinespacing15lines">
    <w:name w:val="Style List Paragraph + 12 pt Line spacing:  1.5 lines"/>
    <w:basedOn w:val="ListParagraph"/>
    <w:autoRedefine/>
    <w:rsid w:val="006A6ABB"/>
    <w:pPr>
      <w:numPr>
        <w:numId w:val="9"/>
      </w:numPr>
      <w:spacing w:after="120"/>
      <w:ind w:left="0" w:firstLine="720"/>
    </w:pPr>
    <w:rPr>
      <w:szCs w:val="20"/>
    </w:rPr>
  </w:style>
  <w:style w:type="paragraph" w:styleId="NoSpacing">
    <w:name w:val="No Spacing"/>
    <w:uiPriority w:val="1"/>
    <w:qFormat/>
    <w:rsid w:val="00FF7B9A"/>
    <w:pPr>
      <w:spacing w:after="0" w:line="240" w:lineRule="auto"/>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1BC"/>
    <w:pPr>
      <w:spacing w:after="0"/>
    </w:pPr>
    <w:rPr>
      <w:rFont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aliases w:val="Car"/>
    <w:basedOn w:val="Normal"/>
    <w:link w:val="FootnoteTextChar"/>
    <w:autoRedefine/>
    <w:uiPriority w:val="99"/>
    <w:unhideWhenUsed/>
    <w:qFormat/>
    <w:rsid w:val="00BD3F16"/>
    <w:pPr>
      <w:spacing w:line="240" w:lineRule="auto"/>
    </w:pPr>
    <w:rPr>
      <w:sz w:val="20"/>
    </w:rPr>
  </w:style>
  <w:style w:type="character" w:customStyle="1" w:styleId="FootnoteTextChar">
    <w:name w:val="Footnote Text Char"/>
    <w:aliases w:val="Car Char"/>
    <w:basedOn w:val="DefaultParagraphFont"/>
    <w:link w:val="FootnoteText"/>
    <w:uiPriority w:val="99"/>
    <w:rsid w:val="00BD3F16"/>
    <w:rPr>
      <w:rFonts w:cs="Times New Roman"/>
      <w:sz w:val="20"/>
      <w:szCs w:val="20"/>
    </w:rPr>
  </w:style>
  <w:style w:type="paragraph" w:styleId="ListParagraph">
    <w:name w:val="List Paragraph"/>
    <w:basedOn w:val="Normal"/>
    <w:autoRedefine/>
    <w:uiPriority w:val="34"/>
    <w:qFormat/>
    <w:rsid w:val="00BD3F16"/>
    <w:pPr>
      <w:numPr>
        <w:numId w:val="8"/>
      </w:numPr>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semiHidden/>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paragraph" w:customStyle="1" w:styleId="IndentedQuote">
    <w:name w:val="Indented Quote"/>
    <w:basedOn w:val="Normal"/>
    <w:qFormat/>
    <w:rsid w:val="005F6194"/>
    <w:pPr>
      <w:spacing w:line="240" w:lineRule="auto"/>
      <w:ind w:left="720" w:right="720"/>
    </w:pPr>
    <w:rPr>
      <w:szCs w:val="24"/>
    </w:rPr>
  </w:style>
  <w:style w:type="paragraph" w:customStyle="1" w:styleId="Indentedquote0">
    <w:name w:val="Indented quote"/>
    <w:basedOn w:val="Normal"/>
    <w:qFormat/>
    <w:rsid w:val="00B03564"/>
    <w:pPr>
      <w:widowControl w:val="0"/>
      <w:autoSpaceDE w:val="0"/>
      <w:autoSpaceDN w:val="0"/>
      <w:adjustRightInd w:val="0"/>
      <w:spacing w:after="120" w:line="240" w:lineRule="auto"/>
      <w:ind w:left="1440" w:right="1440"/>
    </w:pPr>
    <w:rPr>
      <w:szCs w:val="24"/>
    </w:rPr>
  </w:style>
  <w:style w:type="paragraph" w:customStyle="1" w:styleId="TxBrp3">
    <w:name w:val="TxBr_p3"/>
    <w:basedOn w:val="Normal"/>
    <w:rsid w:val="00AB0727"/>
    <w:pPr>
      <w:widowControl w:val="0"/>
      <w:tabs>
        <w:tab w:val="left" w:pos="1474"/>
      </w:tabs>
      <w:autoSpaceDE w:val="0"/>
      <w:autoSpaceDN w:val="0"/>
      <w:adjustRightInd w:val="0"/>
      <w:spacing w:line="425" w:lineRule="atLeast"/>
      <w:ind w:firstLine="1474"/>
    </w:pPr>
    <w:rPr>
      <w:szCs w:val="24"/>
    </w:rPr>
  </w:style>
  <w:style w:type="paragraph" w:customStyle="1" w:styleId="Pleading1L1">
    <w:name w:val="Pleading1_L1"/>
    <w:basedOn w:val="Normal"/>
    <w:rsid w:val="00AB0727"/>
    <w:pPr>
      <w:numPr>
        <w:numId w:val="6"/>
      </w:numPr>
      <w:spacing w:line="480" w:lineRule="auto"/>
      <w:outlineLvl w:val="0"/>
    </w:pPr>
    <w:rPr>
      <w:b/>
      <w:caps/>
      <w:u w:val="single"/>
    </w:rPr>
  </w:style>
  <w:style w:type="paragraph" w:customStyle="1" w:styleId="Pleading1L2">
    <w:name w:val="Pleading1_L2"/>
    <w:basedOn w:val="Pleading1L1"/>
    <w:rsid w:val="00AB0727"/>
    <w:pPr>
      <w:numPr>
        <w:ilvl w:val="1"/>
      </w:numPr>
      <w:outlineLvl w:val="1"/>
    </w:pPr>
    <w:rPr>
      <w:b w:val="0"/>
      <w:caps w:val="0"/>
    </w:rPr>
  </w:style>
  <w:style w:type="paragraph" w:customStyle="1" w:styleId="Pleading1L3">
    <w:name w:val="Pleading1_L3"/>
    <w:basedOn w:val="Pleading1L2"/>
    <w:rsid w:val="00AB0727"/>
    <w:pPr>
      <w:numPr>
        <w:ilvl w:val="2"/>
      </w:numPr>
      <w:outlineLvl w:val="2"/>
    </w:pPr>
    <w:rPr>
      <w:szCs w:val="24"/>
      <w:u w:val="none"/>
    </w:rPr>
  </w:style>
  <w:style w:type="paragraph" w:customStyle="1" w:styleId="Pleading1L4">
    <w:name w:val="Pleading1_L4"/>
    <w:basedOn w:val="Pleading1L3"/>
    <w:rsid w:val="00AB0727"/>
    <w:pPr>
      <w:numPr>
        <w:ilvl w:val="3"/>
      </w:numPr>
      <w:outlineLvl w:val="3"/>
    </w:pPr>
  </w:style>
  <w:style w:type="paragraph" w:customStyle="1" w:styleId="Pleading1L5">
    <w:name w:val="Pleading1_L5"/>
    <w:basedOn w:val="Pleading1L4"/>
    <w:rsid w:val="00AB0727"/>
    <w:pPr>
      <w:numPr>
        <w:ilvl w:val="4"/>
      </w:numPr>
      <w:outlineLvl w:val="4"/>
    </w:pPr>
  </w:style>
  <w:style w:type="paragraph" w:customStyle="1" w:styleId="Pleading1L6">
    <w:name w:val="Pleading1_L6"/>
    <w:basedOn w:val="Pleading1L5"/>
    <w:rsid w:val="00AB0727"/>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AB0727"/>
    <w:pPr>
      <w:numPr>
        <w:ilvl w:val="6"/>
      </w:numPr>
      <w:outlineLvl w:val="6"/>
    </w:pPr>
  </w:style>
  <w:style w:type="paragraph" w:customStyle="1" w:styleId="Pleading1L8">
    <w:name w:val="Pleading1_L8"/>
    <w:basedOn w:val="Pleading1L7"/>
    <w:rsid w:val="00AB0727"/>
    <w:pPr>
      <w:numPr>
        <w:ilvl w:val="7"/>
      </w:numPr>
      <w:outlineLvl w:val="7"/>
    </w:pPr>
  </w:style>
  <w:style w:type="paragraph" w:customStyle="1" w:styleId="Pleading1L9">
    <w:name w:val="Pleading1_L9"/>
    <w:basedOn w:val="Pleading1L8"/>
    <w:rsid w:val="00AB0727"/>
    <w:pPr>
      <w:numPr>
        <w:ilvl w:val="8"/>
      </w:numPr>
      <w:outlineLvl w:val="8"/>
    </w:pPr>
  </w:style>
  <w:style w:type="paragraph" w:styleId="ListNumber">
    <w:name w:val="List Number"/>
    <w:basedOn w:val="Normal"/>
    <w:rsid w:val="00AB0727"/>
    <w:pPr>
      <w:numPr>
        <w:numId w:val="7"/>
      </w:numPr>
      <w:tabs>
        <w:tab w:val="clear" w:pos="360"/>
      </w:tabs>
      <w:spacing w:line="480" w:lineRule="auto"/>
      <w:ind w:left="0" w:firstLine="720"/>
    </w:pPr>
    <w:rPr>
      <w:szCs w:val="24"/>
    </w:rPr>
  </w:style>
  <w:style w:type="paragraph" w:customStyle="1" w:styleId="StyleListParagraph12ptLinespacing15lines">
    <w:name w:val="Style List Paragraph + 12 pt Line spacing:  1.5 lines"/>
    <w:basedOn w:val="ListParagraph"/>
    <w:autoRedefine/>
    <w:rsid w:val="006A6ABB"/>
    <w:pPr>
      <w:numPr>
        <w:numId w:val="9"/>
      </w:numPr>
      <w:spacing w:after="120"/>
      <w:ind w:left="0" w:firstLine="720"/>
    </w:pPr>
    <w:rPr>
      <w:szCs w:val="20"/>
    </w:rPr>
  </w:style>
  <w:style w:type="paragraph" w:styleId="NoSpacing">
    <w:name w:val="No Spacing"/>
    <w:uiPriority w:val="1"/>
    <w:qFormat/>
    <w:rsid w:val="00FF7B9A"/>
    <w:pPr>
      <w:spacing w:after="0" w:line="240" w:lineRule="auto"/>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186209296">
      <w:bodyDiv w:val="1"/>
      <w:marLeft w:val="0"/>
      <w:marRight w:val="0"/>
      <w:marTop w:val="0"/>
      <w:marBottom w:val="0"/>
      <w:divBdr>
        <w:top w:val="none" w:sz="0" w:space="0" w:color="auto"/>
        <w:left w:val="none" w:sz="0" w:space="0" w:color="auto"/>
        <w:bottom w:val="none" w:sz="0" w:space="0" w:color="auto"/>
        <w:right w:val="none" w:sz="0" w:space="0" w:color="auto"/>
      </w:divBdr>
    </w:div>
    <w:div w:id="1425297519">
      <w:bodyDiv w:val="1"/>
      <w:marLeft w:val="0"/>
      <w:marRight w:val="0"/>
      <w:marTop w:val="0"/>
      <w:marBottom w:val="0"/>
      <w:divBdr>
        <w:top w:val="none" w:sz="0" w:space="0" w:color="auto"/>
        <w:left w:val="none" w:sz="0" w:space="0" w:color="auto"/>
        <w:bottom w:val="none" w:sz="0" w:space="0" w:color="auto"/>
        <w:right w:val="none" w:sz="0" w:space="0" w:color="auto"/>
      </w:divBdr>
    </w:div>
    <w:div w:id="154830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B9FE9-F3D4-498B-A4BC-E614ABF2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5</cp:revision>
  <cp:lastPrinted>2012-04-05T16:19:00Z</cp:lastPrinted>
  <dcterms:created xsi:type="dcterms:W3CDTF">2012-03-16T18:31:00Z</dcterms:created>
  <dcterms:modified xsi:type="dcterms:W3CDTF">2012-04-05T16:40:00Z</dcterms:modified>
</cp:coreProperties>
</file>