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BB" w:rsidRPr="004716D1" w:rsidRDefault="00CF1CBB" w:rsidP="00CF1CBB">
      <w:pPr>
        <w:pStyle w:val="Title"/>
        <w:rPr>
          <w:sz w:val="24"/>
          <w:szCs w:val="24"/>
        </w:rPr>
      </w:pPr>
      <w:r w:rsidRPr="004716D1">
        <w:rPr>
          <w:sz w:val="24"/>
          <w:szCs w:val="24"/>
        </w:rPr>
        <w:t>BEFORE THE</w:t>
      </w:r>
    </w:p>
    <w:p w:rsidR="00CF1CBB" w:rsidRPr="004716D1" w:rsidRDefault="00CF1CBB" w:rsidP="00CF1CBB">
      <w:pPr>
        <w:pStyle w:val="Subtitle"/>
        <w:rPr>
          <w:sz w:val="24"/>
          <w:szCs w:val="24"/>
        </w:rPr>
      </w:pPr>
      <w:smartTag w:uri="urn:schemas-microsoft-com:office:smarttags" w:element="place">
        <w:smartTag w:uri="urn:schemas-microsoft-com:office:smarttags" w:element="State">
          <w:r w:rsidRPr="004716D1">
            <w:rPr>
              <w:sz w:val="24"/>
              <w:szCs w:val="24"/>
            </w:rPr>
            <w:t>PENNSYLVANIA</w:t>
          </w:r>
        </w:smartTag>
      </w:smartTag>
      <w:r w:rsidRPr="004716D1">
        <w:rPr>
          <w:sz w:val="24"/>
          <w:szCs w:val="24"/>
        </w:rPr>
        <w:t xml:space="preserve"> PUBLIC UTILITY COMMISSION</w:t>
      </w:r>
    </w:p>
    <w:p w:rsidR="00CF1CBB" w:rsidRDefault="00CF1CBB" w:rsidP="00CF1CBB">
      <w:pPr>
        <w:jc w:val="both"/>
        <w:rPr>
          <w:sz w:val="24"/>
          <w:szCs w:val="24"/>
        </w:rPr>
      </w:pPr>
    </w:p>
    <w:p w:rsidR="003011DB" w:rsidRPr="004716D1" w:rsidRDefault="003011DB" w:rsidP="00CF1CBB">
      <w:pPr>
        <w:jc w:val="both"/>
        <w:rPr>
          <w:sz w:val="24"/>
          <w:szCs w:val="24"/>
        </w:rPr>
      </w:pPr>
    </w:p>
    <w:p w:rsidR="00CF1CBB" w:rsidRPr="004716D1" w:rsidRDefault="00CF1CBB" w:rsidP="00CF1CBB">
      <w:pPr>
        <w:jc w:val="both"/>
        <w:rPr>
          <w:sz w:val="24"/>
          <w:szCs w:val="24"/>
        </w:rPr>
      </w:pPr>
    </w:p>
    <w:p w:rsidR="00CF1CBB" w:rsidRPr="008C2D5B" w:rsidRDefault="000F49DB" w:rsidP="00CF1CBB">
      <w:pPr>
        <w:jc w:val="both"/>
        <w:rPr>
          <w:sz w:val="24"/>
          <w:szCs w:val="24"/>
        </w:rPr>
      </w:pPr>
      <w:r>
        <w:rPr>
          <w:sz w:val="24"/>
          <w:szCs w:val="24"/>
        </w:rPr>
        <w:t>Gary L. Gaskins</w:t>
      </w:r>
      <w:r w:rsidR="00CF1CBB" w:rsidRPr="008C2D5B">
        <w:rPr>
          <w:sz w:val="24"/>
          <w:szCs w:val="24"/>
        </w:rPr>
        <w:tab/>
      </w:r>
      <w:r w:rsidR="00CF1CBB" w:rsidRPr="008C2D5B">
        <w:rPr>
          <w:sz w:val="24"/>
          <w:szCs w:val="24"/>
        </w:rPr>
        <w:tab/>
      </w:r>
      <w:r w:rsidR="00CF1CBB" w:rsidRPr="008C2D5B">
        <w:rPr>
          <w:sz w:val="24"/>
          <w:szCs w:val="24"/>
        </w:rPr>
        <w:tab/>
      </w:r>
      <w:r w:rsidR="00CF1CBB" w:rsidRPr="008C2D5B">
        <w:rPr>
          <w:sz w:val="24"/>
          <w:szCs w:val="24"/>
        </w:rPr>
        <w:tab/>
      </w:r>
      <w:r w:rsidR="00CF1CBB" w:rsidRPr="008C2D5B">
        <w:rPr>
          <w:sz w:val="24"/>
          <w:szCs w:val="24"/>
        </w:rPr>
        <w:tab/>
        <w:t>:</w:t>
      </w:r>
    </w:p>
    <w:p w:rsidR="00CF1CBB" w:rsidRPr="008C2D5B" w:rsidRDefault="00CF1CBB" w:rsidP="00CF1CBB">
      <w:pPr>
        <w:jc w:val="both"/>
        <w:rPr>
          <w:sz w:val="24"/>
          <w:szCs w:val="24"/>
        </w:rPr>
      </w:pP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t>:</w:t>
      </w:r>
    </w:p>
    <w:p w:rsidR="00CF1CBB" w:rsidRPr="008C2D5B" w:rsidRDefault="00CF1CBB" w:rsidP="00CF1CBB">
      <w:pPr>
        <w:jc w:val="both"/>
        <w:rPr>
          <w:sz w:val="24"/>
          <w:szCs w:val="24"/>
        </w:rPr>
      </w:pPr>
      <w:r w:rsidRPr="008C2D5B">
        <w:rPr>
          <w:sz w:val="24"/>
          <w:szCs w:val="24"/>
        </w:rPr>
        <w:tab/>
        <w:t>v.</w:t>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t>:</w:t>
      </w:r>
      <w:r w:rsidRPr="008C2D5B">
        <w:rPr>
          <w:sz w:val="24"/>
          <w:szCs w:val="24"/>
        </w:rPr>
        <w:tab/>
      </w:r>
      <w:r w:rsidRPr="008C2D5B">
        <w:rPr>
          <w:sz w:val="24"/>
          <w:szCs w:val="24"/>
        </w:rPr>
        <w:tab/>
        <w:t>C</w:t>
      </w:r>
      <w:r w:rsidRPr="008C2D5B">
        <w:rPr>
          <w:sz w:val="24"/>
          <w:szCs w:val="24"/>
        </w:rPr>
        <w:noBreakHyphen/>
        <w:t>20</w:t>
      </w:r>
      <w:r w:rsidR="000F49DB">
        <w:rPr>
          <w:sz w:val="24"/>
          <w:szCs w:val="24"/>
        </w:rPr>
        <w:t>10</w:t>
      </w:r>
      <w:r w:rsidR="00410212" w:rsidRPr="008C2D5B">
        <w:rPr>
          <w:sz w:val="24"/>
          <w:szCs w:val="24"/>
        </w:rPr>
        <w:t>-21</w:t>
      </w:r>
      <w:r w:rsidR="000F49DB">
        <w:rPr>
          <w:sz w:val="24"/>
          <w:szCs w:val="24"/>
        </w:rPr>
        <w:t>95549</w:t>
      </w:r>
    </w:p>
    <w:p w:rsidR="00CF1CBB" w:rsidRPr="008C2D5B" w:rsidRDefault="00CF1CBB" w:rsidP="00CF1CBB">
      <w:pPr>
        <w:jc w:val="both"/>
        <w:rPr>
          <w:sz w:val="24"/>
          <w:szCs w:val="24"/>
        </w:rPr>
      </w:pP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t>:</w:t>
      </w:r>
    </w:p>
    <w:p w:rsidR="00CF1CBB" w:rsidRPr="008C2D5B" w:rsidRDefault="00CF1CBB" w:rsidP="00CF1CBB">
      <w:pPr>
        <w:jc w:val="both"/>
        <w:rPr>
          <w:sz w:val="24"/>
          <w:szCs w:val="24"/>
        </w:rPr>
      </w:pPr>
      <w:r w:rsidRPr="008C2D5B">
        <w:rPr>
          <w:sz w:val="24"/>
          <w:szCs w:val="24"/>
        </w:rPr>
        <w:t xml:space="preserve">Verizon </w:t>
      </w:r>
      <w:r w:rsidR="000F49DB">
        <w:rPr>
          <w:sz w:val="24"/>
          <w:szCs w:val="24"/>
        </w:rPr>
        <w:t>Pennsylvania</w:t>
      </w:r>
      <w:r w:rsidRPr="008C2D5B">
        <w:rPr>
          <w:sz w:val="24"/>
          <w:szCs w:val="24"/>
        </w:rPr>
        <w:t xml:space="preserve"> Inc.</w:t>
      </w:r>
      <w:r w:rsidRPr="008C2D5B">
        <w:rPr>
          <w:sz w:val="24"/>
          <w:szCs w:val="24"/>
        </w:rPr>
        <w:tab/>
      </w:r>
      <w:r w:rsidRPr="008C2D5B">
        <w:rPr>
          <w:sz w:val="24"/>
          <w:szCs w:val="24"/>
        </w:rPr>
        <w:tab/>
      </w:r>
      <w:r w:rsidRPr="008C2D5B">
        <w:rPr>
          <w:sz w:val="24"/>
          <w:szCs w:val="24"/>
        </w:rPr>
        <w:tab/>
      </w:r>
      <w:r w:rsidRPr="008C2D5B">
        <w:rPr>
          <w:sz w:val="24"/>
          <w:szCs w:val="24"/>
        </w:rPr>
        <w:tab/>
        <w:t>:</w:t>
      </w:r>
    </w:p>
    <w:p w:rsidR="00CF1CBB" w:rsidRPr="008C2D5B" w:rsidRDefault="00CF1CBB" w:rsidP="00CF1CBB">
      <w:pPr>
        <w:jc w:val="both"/>
        <w:rPr>
          <w:sz w:val="24"/>
          <w:szCs w:val="24"/>
        </w:rPr>
      </w:pPr>
    </w:p>
    <w:p w:rsidR="003011DB" w:rsidRPr="008C2D5B" w:rsidRDefault="003011DB" w:rsidP="00CF1CBB">
      <w:pPr>
        <w:jc w:val="both"/>
        <w:rPr>
          <w:sz w:val="24"/>
          <w:szCs w:val="24"/>
        </w:rPr>
      </w:pPr>
    </w:p>
    <w:p w:rsidR="00CF1CBB" w:rsidRPr="008C2D5B" w:rsidRDefault="00CF1CBB" w:rsidP="00CF1CBB">
      <w:pPr>
        <w:jc w:val="both"/>
        <w:rPr>
          <w:sz w:val="24"/>
          <w:szCs w:val="24"/>
        </w:rPr>
      </w:pPr>
    </w:p>
    <w:p w:rsidR="00CF1CBB" w:rsidRPr="008C2D5B" w:rsidRDefault="00F130ED" w:rsidP="00CF1CBB">
      <w:pPr>
        <w:jc w:val="center"/>
        <w:rPr>
          <w:sz w:val="24"/>
          <w:szCs w:val="24"/>
        </w:rPr>
      </w:pPr>
      <w:r w:rsidRPr="008C2D5B">
        <w:rPr>
          <w:b/>
          <w:sz w:val="24"/>
          <w:szCs w:val="24"/>
          <w:u w:val="single"/>
        </w:rPr>
        <w:t>INITIAL DECISION</w:t>
      </w:r>
    </w:p>
    <w:p w:rsidR="00F130ED" w:rsidRPr="008C2D5B" w:rsidRDefault="00F130ED" w:rsidP="00CF1CBB">
      <w:pPr>
        <w:jc w:val="center"/>
        <w:rPr>
          <w:sz w:val="24"/>
          <w:szCs w:val="24"/>
        </w:rPr>
      </w:pPr>
    </w:p>
    <w:p w:rsidR="00F130ED" w:rsidRPr="008C2D5B" w:rsidRDefault="00F130ED" w:rsidP="00CF1CBB">
      <w:pPr>
        <w:jc w:val="center"/>
        <w:rPr>
          <w:sz w:val="24"/>
          <w:szCs w:val="24"/>
        </w:rPr>
      </w:pPr>
    </w:p>
    <w:p w:rsidR="00F130ED" w:rsidRPr="008C2D5B" w:rsidRDefault="00F130ED" w:rsidP="00CF1CBB">
      <w:pPr>
        <w:jc w:val="center"/>
        <w:rPr>
          <w:sz w:val="24"/>
          <w:szCs w:val="24"/>
        </w:rPr>
      </w:pPr>
      <w:r w:rsidRPr="008C2D5B">
        <w:rPr>
          <w:sz w:val="24"/>
          <w:szCs w:val="24"/>
        </w:rPr>
        <w:t>Before</w:t>
      </w:r>
    </w:p>
    <w:p w:rsidR="00F130ED" w:rsidRPr="008C2D5B" w:rsidRDefault="00410212" w:rsidP="00CF1CBB">
      <w:pPr>
        <w:jc w:val="center"/>
        <w:rPr>
          <w:sz w:val="24"/>
          <w:szCs w:val="24"/>
        </w:rPr>
      </w:pPr>
      <w:r w:rsidRPr="008C2D5B">
        <w:rPr>
          <w:sz w:val="24"/>
          <w:szCs w:val="24"/>
        </w:rPr>
        <w:t>Katrina L. Dunderdale</w:t>
      </w:r>
    </w:p>
    <w:p w:rsidR="00F130ED" w:rsidRPr="008C2D5B" w:rsidRDefault="00F130ED" w:rsidP="00CF1CBB">
      <w:pPr>
        <w:jc w:val="center"/>
        <w:rPr>
          <w:sz w:val="24"/>
          <w:szCs w:val="24"/>
        </w:rPr>
      </w:pPr>
      <w:r w:rsidRPr="008C2D5B">
        <w:rPr>
          <w:sz w:val="24"/>
          <w:szCs w:val="24"/>
        </w:rPr>
        <w:t>Administrative Law Judge</w:t>
      </w:r>
    </w:p>
    <w:p w:rsidR="00CF1CBB" w:rsidRPr="008C2D5B" w:rsidRDefault="00CF1CBB" w:rsidP="00CF1CBB">
      <w:pPr>
        <w:rPr>
          <w:sz w:val="24"/>
          <w:szCs w:val="24"/>
        </w:rPr>
      </w:pPr>
    </w:p>
    <w:p w:rsidR="00CF1CBB" w:rsidRPr="008C2D5B" w:rsidRDefault="00CF1CBB" w:rsidP="00CF1CBB">
      <w:pPr>
        <w:rPr>
          <w:sz w:val="24"/>
          <w:szCs w:val="24"/>
        </w:rPr>
      </w:pPr>
    </w:p>
    <w:p w:rsidR="00CF1CBB" w:rsidRPr="008C2D5B" w:rsidRDefault="00CF1CBB" w:rsidP="00CF1CBB">
      <w:pPr>
        <w:jc w:val="center"/>
        <w:rPr>
          <w:sz w:val="24"/>
          <w:szCs w:val="24"/>
        </w:rPr>
      </w:pPr>
      <w:r w:rsidRPr="008C2D5B">
        <w:rPr>
          <w:sz w:val="24"/>
          <w:szCs w:val="24"/>
          <w:u w:val="single"/>
        </w:rPr>
        <w:t>HISTORY OF THE PROCEEDING</w:t>
      </w:r>
    </w:p>
    <w:p w:rsidR="00CF1CBB" w:rsidRPr="008C2D5B" w:rsidRDefault="00CF1CBB" w:rsidP="00CF1CBB">
      <w:pPr>
        <w:rPr>
          <w:sz w:val="24"/>
          <w:szCs w:val="24"/>
        </w:rPr>
      </w:pPr>
    </w:p>
    <w:p w:rsidR="00CF1CBB" w:rsidRPr="008C2D5B" w:rsidRDefault="00CF1CBB" w:rsidP="00CF1CBB">
      <w:pPr>
        <w:rPr>
          <w:sz w:val="24"/>
          <w:szCs w:val="24"/>
        </w:rPr>
      </w:pPr>
    </w:p>
    <w:p w:rsidR="001E7128" w:rsidRPr="008C2D5B" w:rsidRDefault="00CF1CBB" w:rsidP="001C797F">
      <w:pPr>
        <w:spacing w:line="360" w:lineRule="auto"/>
        <w:rPr>
          <w:sz w:val="24"/>
          <w:szCs w:val="24"/>
        </w:rPr>
      </w:pPr>
      <w:r w:rsidRPr="008C2D5B">
        <w:rPr>
          <w:sz w:val="24"/>
          <w:szCs w:val="24"/>
        </w:rPr>
        <w:tab/>
      </w:r>
      <w:r w:rsidRPr="008C2D5B">
        <w:rPr>
          <w:sz w:val="24"/>
          <w:szCs w:val="24"/>
        </w:rPr>
        <w:tab/>
      </w:r>
      <w:r w:rsidR="00410212" w:rsidRPr="008C2D5B">
        <w:rPr>
          <w:sz w:val="24"/>
          <w:szCs w:val="24"/>
        </w:rPr>
        <w:t xml:space="preserve">On </w:t>
      </w:r>
      <w:r w:rsidR="000F49DB">
        <w:rPr>
          <w:sz w:val="24"/>
          <w:szCs w:val="24"/>
        </w:rPr>
        <w:t>August 23, 2010</w:t>
      </w:r>
      <w:r w:rsidR="00410212" w:rsidRPr="008C2D5B">
        <w:rPr>
          <w:sz w:val="24"/>
          <w:szCs w:val="24"/>
        </w:rPr>
        <w:t xml:space="preserve">, </w:t>
      </w:r>
      <w:r w:rsidR="000F49DB">
        <w:rPr>
          <w:sz w:val="24"/>
          <w:szCs w:val="24"/>
        </w:rPr>
        <w:t>Gary L. Gaskins (“Complainant” or “Gaskins</w:t>
      </w:r>
      <w:r w:rsidR="00410212" w:rsidRPr="008C2D5B">
        <w:rPr>
          <w:sz w:val="24"/>
          <w:szCs w:val="24"/>
        </w:rPr>
        <w:t xml:space="preserve">”) </w:t>
      </w:r>
      <w:r w:rsidR="00E51C05" w:rsidRPr="008C2D5B">
        <w:rPr>
          <w:sz w:val="24"/>
          <w:szCs w:val="24"/>
        </w:rPr>
        <w:t xml:space="preserve">filed a </w:t>
      </w:r>
      <w:r w:rsidR="00410212" w:rsidRPr="008C2D5B">
        <w:rPr>
          <w:sz w:val="24"/>
          <w:szCs w:val="24"/>
        </w:rPr>
        <w:t xml:space="preserve">formal </w:t>
      </w:r>
      <w:r w:rsidR="00E51C05" w:rsidRPr="008C2D5B">
        <w:rPr>
          <w:sz w:val="24"/>
          <w:szCs w:val="24"/>
        </w:rPr>
        <w:t xml:space="preserve">complaint </w:t>
      </w:r>
      <w:r w:rsidR="00410212" w:rsidRPr="008C2D5B">
        <w:rPr>
          <w:sz w:val="24"/>
          <w:szCs w:val="24"/>
        </w:rPr>
        <w:t xml:space="preserve">alleging </w:t>
      </w:r>
      <w:r w:rsidR="000F49DB">
        <w:rPr>
          <w:sz w:val="24"/>
          <w:szCs w:val="24"/>
        </w:rPr>
        <w:t>a</w:t>
      </w:r>
      <w:r w:rsidR="00410212" w:rsidRPr="008C2D5B">
        <w:rPr>
          <w:sz w:val="24"/>
          <w:szCs w:val="24"/>
        </w:rPr>
        <w:t xml:space="preserve"> persistent telephone service problem</w:t>
      </w:r>
      <w:r w:rsidR="000F49DB">
        <w:rPr>
          <w:sz w:val="24"/>
          <w:szCs w:val="24"/>
        </w:rPr>
        <w:t xml:space="preserve"> involving an invaded telephone line and a billing dispute </w:t>
      </w:r>
      <w:r w:rsidR="00410212" w:rsidRPr="008C2D5B">
        <w:rPr>
          <w:sz w:val="24"/>
          <w:szCs w:val="24"/>
        </w:rPr>
        <w:t xml:space="preserve">with </w:t>
      </w:r>
      <w:r w:rsidRPr="008C2D5B">
        <w:rPr>
          <w:sz w:val="24"/>
          <w:szCs w:val="24"/>
        </w:rPr>
        <w:t xml:space="preserve">Verizon </w:t>
      </w:r>
      <w:r w:rsidR="000F49DB">
        <w:rPr>
          <w:sz w:val="24"/>
          <w:szCs w:val="24"/>
        </w:rPr>
        <w:t>Pennsylvania</w:t>
      </w:r>
      <w:r w:rsidRPr="008C2D5B">
        <w:rPr>
          <w:sz w:val="24"/>
          <w:szCs w:val="24"/>
        </w:rPr>
        <w:t xml:space="preserve"> Inc.</w:t>
      </w:r>
      <w:r w:rsidR="001E7128" w:rsidRPr="008C2D5B">
        <w:rPr>
          <w:sz w:val="24"/>
          <w:szCs w:val="24"/>
        </w:rPr>
        <w:t xml:space="preserve"> (“Respondent” or “Verizon”)</w:t>
      </w:r>
      <w:r w:rsidRPr="008C2D5B">
        <w:rPr>
          <w:sz w:val="24"/>
          <w:szCs w:val="24"/>
        </w:rPr>
        <w:t xml:space="preserve">.  </w:t>
      </w:r>
      <w:r w:rsidR="001E7128" w:rsidRPr="008C2D5B">
        <w:rPr>
          <w:sz w:val="24"/>
          <w:szCs w:val="24"/>
        </w:rPr>
        <w:t xml:space="preserve">Complainant requested the Public Utility Commission (“Commission”) </w:t>
      </w:r>
      <w:r w:rsidR="000F49DB">
        <w:rPr>
          <w:sz w:val="24"/>
          <w:szCs w:val="24"/>
        </w:rPr>
        <w:t>order</w:t>
      </w:r>
      <w:r w:rsidR="001E7128" w:rsidRPr="008C2D5B">
        <w:rPr>
          <w:sz w:val="24"/>
          <w:szCs w:val="24"/>
        </w:rPr>
        <w:t xml:space="preserve"> Verizon to </w:t>
      </w:r>
      <w:r w:rsidR="000F49DB">
        <w:rPr>
          <w:sz w:val="24"/>
          <w:szCs w:val="24"/>
        </w:rPr>
        <w:t>bill him appropriately and fix the service problem</w:t>
      </w:r>
      <w:r w:rsidR="001E7128" w:rsidRPr="008C2D5B">
        <w:rPr>
          <w:sz w:val="24"/>
          <w:szCs w:val="24"/>
        </w:rPr>
        <w:t xml:space="preserve">.  </w:t>
      </w:r>
    </w:p>
    <w:p w:rsidR="001E7128" w:rsidRPr="008C2D5B" w:rsidRDefault="001E7128" w:rsidP="001C797F">
      <w:pPr>
        <w:spacing w:line="360" w:lineRule="auto"/>
        <w:rPr>
          <w:sz w:val="24"/>
          <w:szCs w:val="24"/>
        </w:rPr>
      </w:pPr>
    </w:p>
    <w:p w:rsidR="00CF1CBB" w:rsidRPr="008C2D5B" w:rsidRDefault="00CF1CBB" w:rsidP="001C797F">
      <w:pPr>
        <w:spacing w:line="360" w:lineRule="auto"/>
        <w:ind w:firstLine="1440"/>
        <w:rPr>
          <w:sz w:val="24"/>
          <w:szCs w:val="24"/>
        </w:rPr>
      </w:pPr>
      <w:r w:rsidRPr="008C2D5B">
        <w:rPr>
          <w:sz w:val="24"/>
          <w:szCs w:val="24"/>
        </w:rPr>
        <w:t xml:space="preserve">Verizon answered the complaint </w:t>
      </w:r>
      <w:r w:rsidR="008C2D5B" w:rsidRPr="008C2D5B">
        <w:rPr>
          <w:sz w:val="24"/>
          <w:szCs w:val="24"/>
        </w:rPr>
        <w:t xml:space="preserve">on </w:t>
      </w:r>
      <w:r w:rsidR="000F49DB">
        <w:rPr>
          <w:sz w:val="24"/>
          <w:szCs w:val="24"/>
        </w:rPr>
        <w:t>October 1, 2010</w:t>
      </w:r>
      <w:r w:rsidRPr="008C2D5B">
        <w:rPr>
          <w:sz w:val="24"/>
          <w:szCs w:val="24"/>
        </w:rPr>
        <w:t xml:space="preserve">.  Verizon asserts </w:t>
      </w:r>
      <w:r w:rsidR="009439C3">
        <w:rPr>
          <w:sz w:val="24"/>
          <w:szCs w:val="24"/>
        </w:rPr>
        <w:t>it billed Gaskins correctly and there are no service issues with his telephone line.</w:t>
      </w:r>
      <w:r w:rsidR="00DD7EB9">
        <w:rPr>
          <w:sz w:val="24"/>
          <w:szCs w:val="24"/>
        </w:rPr>
        <w:t xml:space="preserve">  </w:t>
      </w:r>
      <w:r w:rsidRPr="008C2D5B">
        <w:rPr>
          <w:sz w:val="24"/>
          <w:szCs w:val="24"/>
        </w:rPr>
        <w:t xml:space="preserve">Verizon moved to dismiss </w:t>
      </w:r>
      <w:r w:rsidR="008C2D5B" w:rsidRPr="008C2D5B">
        <w:rPr>
          <w:sz w:val="24"/>
          <w:szCs w:val="24"/>
        </w:rPr>
        <w:t>Complainant’s formal complaint.</w:t>
      </w:r>
    </w:p>
    <w:p w:rsidR="009439C3" w:rsidRPr="00B73D10" w:rsidRDefault="009439C3" w:rsidP="001C797F">
      <w:pPr>
        <w:spacing w:line="360" w:lineRule="auto"/>
        <w:rPr>
          <w:sz w:val="24"/>
          <w:szCs w:val="24"/>
        </w:rPr>
      </w:pPr>
    </w:p>
    <w:p w:rsidR="009439C3" w:rsidRDefault="009439C3" w:rsidP="001C797F">
      <w:pPr>
        <w:spacing w:line="360" w:lineRule="auto"/>
        <w:rPr>
          <w:sz w:val="24"/>
          <w:szCs w:val="24"/>
        </w:rPr>
      </w:pPr>
      <w:r w:rsidRPr="00B73D10">
        <w:rPr>
          <w:sz w:val="24"/>
          <w:szCs w:val="24"/>
        </w:rPr>
        <w:tab/>
      </w:r>
      <w:r w:rsidRPr="00B73D10">
        <w:rPr>
          <w:sz w:val="24"/>
          <w:szCs w:val="24"/>
        </w:rPr>
        <w:tab/>
        <w:t xml:space="preserve">On </w:t>
      </w:r>
      <w:r w:rsidR="001C797F">
        <w:rPr>
          <w:sz w:val="24"/>
          <w:szCs w:val="24"/>
        </w:rPr>
        <w:t>January 4</w:t>
      </w:r>
      <w:r>
        <w:rPr>
          <w:sz w:val="24"/>
          <w:szCs w:val="24"/>
        </w:rPr>
        <w:t>, 2011</w:t>
      </w:r>
      <w:r w:rsidRPr="00B73D10">
        <w:rPr>
          <w:sz w:val="24"/>
          <w:szCs w:val="24"/>
        </w:rPr>
        <w:t xml:space="preserve">, the Office of Administrative Law Judge issued a Telephone Hearing Notice, which scheduled an initial telephonic hearing to be conducted on </w:t>
      </w:r>
      <w:r>
        <w:rPr>
          <w:sz w:val="24"/>
          <w:szCs w:val="24"/>
        </w:rPr>
        <w:t xml:space="preserve">Thursday, </w:t>
      </w:r>
      <w:r w:rsidR="001C797F">
        <w:rPr>
          <w:sz w:val="24"/>
          <w:szCs w:val="24"/>
        </w:rPr>
        <w:t>February 17</w:t>
      </w:r>
      <w:r>
        <w:rPr>
          <w:sz w:val="24"/>
          <w:szCs w:val="24"/>
        </w:rPr>
        <w:t>, 2011</w:t>
      </w:r>
      <w:r w:rsidR="003F7BDE">
        <w:rPr>
          <w:sz w:val="24"/>
          <w:szCs w:val="24"/>
        </w:rPr>
        <w:t>,</w:t>
      </w:r>
      <w:r>
        <w:rPr>
          <w:sz w:val="24"/>
          <w:szCs w:val="24"/>
        </w:rPr>
        <w:t xml:space="preserve"> </w:t>
      </w:r>
      <w:r w:rsidR="001C797F">
        <w:rPr>
          <w:sz w:val="24"/>
          <w:szCs w:val="24"/>
        </w:rPr>
        <w:t xml:space="preserve">at 10:00 a.m. </w:t>
      </w:r>
      <w:r>
        <w:rPr>
          <w:sz w:val="24"/>
          <w:szCs w:val="24"/>
        </w:rPr>
        <w:t>before Administrative Law Judge (“ALJ”) Cynthia W. Fordham</w:t>
      </w:r>
      <w:r w:rsidRPr="00B73D10">
        <w:rPr>
          <w:sz w:val="24"/>
          <w:szCs w:val="24"/>
        </w:rPr>
        <w:t xml:space="preserve">.  On </w:t>
      </w:r>
      <w:r w:rsidR="001C797F">
        <w:rPr>
          <w:sz w:val="24"/>
          <w:szCs w:val="24"/>
        </w:rPr>
        <w:t>January 24</w:t>
      </w:r>
      <w:r>
        <w:rPr>
          <w:sz w:val="24"/>
          <w:szCs w:val="24"/>
        </w:rPr>
        <w:t>, 2011</w:t>
      </w:r>
      <w:r w:rsidRPr="00B73D10">
        <w:rPr>
          <w:sz w:val="24"/>
          <w:szCs w:val="24"/>
        </w:rPr>
        <w:t xml:space="preserve">, </w:t>
      </w:r>
      <w:r>
        <w:rPr>
          <w:sz w:val="24"/>
          <w:szCs w:val="24"/>
        </w:rPr>
        <w:t>ALJ Fordham</w:t>
      </w:r>
      <w:r w:rsidRPr="00B73D10">
        <w:rPr>
          <w:sz w:val="24"/>
          <w:szCs w:val="24"/>
        </w:rPr>
        <w:t xml:space="preserve"> issued a Prehearing Order.  </w:t>
      </w:r>
    </w:p>
    <w:p w:rsidR="009439C3" w:rsidRDefault="009439C3" w:rsidP="001C797F">
      <w:pPr>
        <w:spacing w:line="360" w:lineRule="auto"/>
        <w:rPr>
          <w:sz w:val="24"/>
          <w:szCs w:val="24"/>
        </w:rPr>
      </w:pPr>
    </w:p>
    <w:p w:rsidR="009439C3" w:rsidRDefault="001C797F" w:rsidP="001C797F">
      <w:pPr>
        <w:spacing w:line="360" w:lineRule="auto"/>
        <w:rPr>
          <w:sz w:val="24"/>
          <w:szCs w:val="24"/>
        </w:rPr>
      </w:pPr>
      <w:r>
        <w:rPr>
          <w:sz w:val="24"/>
          <w:szCs w:val="24"/>
        </w:rPr>
        <w:lastRenderedPageBreak/>
        <w:tab/>
      </w:r>
      <w:r>
        <w:rPr>
          <w:sz w:val="24"/>
          <w:szCs w:val="24"/>
        </w:rPr>
        <w:tab/>
        <w:t>On February 17</w:t>
      </w:r>
      <w:r w:rsidR="009439C3">
        <w:rPr>
          <w:sz w:val="24"/>
          <w:szCs w:val="24"/>
        </w:rPr>
        <w:t xml:space="preserve">, 2011, ALJ Fordham </w:t>
      </w:r>
      <w:r>
        <w:rPr>
          <w:sz w:val="24"/>
          <w:szCs w:val="24"/>
        </w:rPr>
        <w:t xml:space="preserve">prepared to conduct the initial hearing but Complainant was </w:t>
      </w:r>
      <w:proofErr w:type="spellStart"/>
      <w:r>
        <w:rPr>
          <w:sz w:val="24"/>
          <w:szCs w:val="24"/>
        </w:rPr>
        <w:t>mis</w:t>
      </w:r>
      <w:proofErr w:type="spellEnd"/>
      <w:r>
        <w:rPr>
          <w:sz w:val="24"/>
          <w:szCs w:val="24"/>
        </w:rPr>
        <w:t>-directed to an area in the building where another agency conducted hearing</w:t>
      </w:r>
      <w:r w:rsidR="00F91AAE">
        <w:rPr>
          <w:sz w:val="24"/>
          <w:szCs w:val="24"/>
        </w:rPr>
        <w:t>s</w:t>
      </w:r>
      <w:r>
        <w:rPr>
          <w:sz w:val="24"/>
          <w:szCs w:val="24"/>
        </w:rPr>
        <w:t xml:space="preserve">.  By the time the error was discovered, Respondent and its witness had already left the building.  Therefore, on April 5, 2011, ALJ Fordham issued a Prehearing Order which scheduled the matter for a hearing on Monday, April 18, 2011 at 10:00 a.m. in the Commission’s hearing room at 801 Market Street, Philadelphia, Pennsylvania.  </w:t>
      </w:r>
    </w:p>
    <w:p w:rsidR="009439C3" w:rsidRDefault="009439C3" w:rsidP="001C797F">
      <w:pPr>
        <w:spacing w:line="360" w:lineRule="auto"/>
        <w:rPr>
          <w:sz w:val="24"/>
          <w:szCs w:val="24"/>
        </w:rPr>
      </w:pPr>
    </w:p>
    <w:p w:rsidR="009439C3" w:rsidRPr="00B73D10" w:rsidRDefault="009439C3" w:rsidP="001C797F">
      <w:pPr>
        <w:spacing w:line="360" w:lineRule="auto"/>
        <w:ind w:firstLine="1440"/>
        <w:rPr>
          <w:sz w:val="24"/>
          <w:szCs w:val="24"/>
        </w:rPr>
      </w:pPr>
      <w:r>
        <w:rPr>
          <w:sz w:val="24"/>
          <w:szCs w:val="24"/>
        </w:rPr>
        <w:t>ALJ Fordham</w:t>
      </w:r>
      <w:r w:rsidRPr="00B73D10">
        <w:rPr>
          <w:sz w:val="24"/>
          <w:szCs w:val="24"/>
        </w:rPr>
        <w:t xml:space="preserve"> convened the initial hearing as scheduled on </w:t>
      </w:r>
      <w:r w:rsidR="001C797F">
        <w:rPr>
          <w:sz w:val="24"/>
          <w:szCs w:val="24"/>
        </w:rPr>
        <w:t>April 18</w:t>
      </w:r>
      <w:r>
        <w:rPr>
          <w:sz w:val="24"/>
          <w:szCs w:val="24"/>
        </w:rPr>
        <w:t>, 2011</w:t>
      </w:r>
      <w:r w:rsidRPr="00B73D10">
        <w:rPr>
          <w:sz w:val="24"/>
          <w:szCs w:val="24"/>
        </w:rPr>
        <w:t xml:space="preserve">.  </w:t>
      </w:r>
      <w:r w:rsidR="001C797F">
        <w:rPr>
          <w:sz w:val="24"/>
          <w:szCs w:val="24"/>
        </w:rPr>
        <w:t>Gaskins</w:t>
      </w:r>
      <w:r w:rsidRPr="00B73D10">
        <w:rPr>
          <w:sz w:val="24"/>
          <w:szCs w:val="24"/>
        </w:rPr>
        <w:t xml:space="preserve"> (“Complainant”)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his own behalf.  Respondent was represented by </w:t>
      </w:r>
      <w:r w:rsidR="001C797F">
        <w:rPr>
          <w:sz w:val="24"/>
          <w:szCs w:val="24"/>
        </w:rPr>
        <w:t>Steven K. Haas</w:t>
      </w:r>
      <w:r w:rsidRPr="00B73D10">
        <w:rPr>
          <w:sz w:val="24"/>
          <w:szCs w:val="24"/>
        </w:rPr>
        <w:t xml:space="preserve">, Esquire.  Attorney </w:t>
      </w:r>
      <w:r w:rsidR="001C797F">
        <w:rPr>
          <w:sz w:val="24"/>
          <w:szCs w:val="24"/>
        </w:rPr>
        <w:t>Haas</w:t>
      </w:r>
      <w:r>
        <w:rPr>
          <w:sz w:val="24"/>
          <w:szCs w:val="24"/>
        </w:rPr>
        <w:t xml:space="preserve"> presented the testimon</w:t>
      </w:r>
      <w:r w:rsidR="001C797F">
        <w:rPr>
          <w:sz w:val="24"/>
          <w:szCs w:val="24"/>
        </w:rPr>
        <w:t>y of one</w:t>
      </w:r>
      <w:r w:rsidRPr="00B73D10">
        <w:rPr>
          <w:sz w:val="24"/>
          <w:szCs w:val="24"/>
        </w:rPr>
        <w:t xml:space="preserve"> w</w:t>
      </w:r>
      <w:r w:rsidR="001C797F">
        <w:rPr>
          <w:sz w:val="24"/>
          <w:szCs w:val="24"/>
        </w:rPr>
        <w:t>itness</w:t>
      </w:r>
      <w:r w:rsidRPr="00B73D10">
        <w:rPr>
          <w:sz w:val="24"/>
          <w:szCs w:val="24"/>
        </w:rPr>
        <w:t xml:space="preserve">, and offered </w:t>
      </w:r>
      <w:r w:rsidR="001C797F">
        <w:rPr>
          <w:sz w:val="24"/>
          <w:szCs w:val="24"/>
        </w:rPr>
        <w:t>three</w:t>
      </w:r>
      <w:r w:rsidRPr="00B73D10">
        <w:rPr>
          <w:sz w:val="24"/>
          <w:szCs w:val="24"/>
        </w:rPr>
        <w:t xml:space="preserve"> exhibits, marked </w:t>
      </w:r>
      <w:r w:rsidR="00002F0F">
        <w:rPr>
          <w:sz w:val="24"/>
          <w:szCs w:val="24"/>
        </w:rPr>
        <w:t>Verizon PA</w:t>
      </w:r>
      <w:r w:rsidRPr="00B73D10">
        <w:rPr>
          <w:sz w:val="24"/>
          <w:szCs w:val="24"/>
        </w:rPr>
        <w:t xml:space="preserve"> Exhibit</w:t>
      </w:r>
      <w:r>
        <w:rPr>
          <w:sz w:val="24"/>
          <w:szCs w:val="24"/>
        </w:rPr>
        <w:t>s 1</w:t>
      </w:r>
      <w:r w:rsidR="00002F0F">
        <w:rPr>
          <w:sz w:val="24"/>
          <w:szCs w:val="24"/>
        </w:rPr>
        <w:t xml:space="preserve"> through </w:t>
      </w:r>
      <w:r>
        <w:rPr>
          <w:sz w:val="24"/>
          <w:szCs w:val="24"/>
        </w:rPr>
        <w:t>3</w:t>
      </w:r>
      <w:r w:rsidRPr="00B73D10">
        <w:rPr>
          <w:sz w:val="24"/>
          <w:szCs w:val="24"/>
        </w:rPr>
        <w:t xml:space="preserve">, which exhibits were admitted into evidence on </w:t>
      </w:r>
      <w:r w:rsidR="00002F0F">
        <w:rPr>
          <w:sz w:val="24"/>
          <w:szCs w:val="24"/>
        </w:rPr>
        <w:t>April 18</w:t>
      </w:r>
      <w:r>
        <w:rPr>
          <w:sz w:val="24"/>
          <w:szCs w:val="24"/>
        </w:rPr>
        <w:t>, 2011</w:t>
      </w:r>
      <w:r w:rsidRPr="00B73D10">
        <w:rPr>
          <w:sz w:val="24"/>
          <w:szCs w:val="24"/>
        </w:rPr>
        <w:t xml:space="preserve">.  The transcript of the hearing contains </w:t>
      </w:r>
      <w:r w:rsidR="00002F0F">
        <w:rPr>
          <w:sz w:val="24"/>
          <w:szCs w:val="24"/>
        </w:rPr>
        <w:t>thirty-three</w:t>
      </w:r>
      <w:r>
        <w:rPr>
          <w:sz w:val="24"/>
          <w:szCs w:val="24"/>
        </w:rPr>
        <w:t xml:space="preserve"> (</w:t>
      </w:r>
      <w:r w:rsidR="00002F0F">
        <w:rPr>
          <w:sz w:val="24"/>
          <w:szCs w:val="24"/>
        </w:rPr>
        <w:t>33</w:t>
      </w:r>
      <w:r>
        <w:rPr>
          <w:sz w:val="24"/>
          <w:szCs w:val="24"/>
        </w:rPr>
        <w:t>)</w:t>
      </w:r>
      <w:r w:rsidR="00CB6D09">
        <w:rPr>
          <w:sz w:val="24"/>
          <w:szCs w:val="24"/>
        </w:rPr>
        <w:t> </w:t>
      </w:r>
      <w:r w:rsidRPr="00B73D10">
        <w:rPr>
          <w:sz w:val="24"/>
          <w:szCs w:val="24"/>
        </w:rPr>
        <w:t>pages</w:t>
      </w:r>
      <w:r>
        <w:rPr>
          <w:sz w:val="24"/>
          <w:szCs w:val="24"/>
        </w:rPr>
        <w:t xml:space="preserve"> and was received by the presiding officer on </w:t>
      </w:r>
      <w:r w:rsidR="00002F0F">
        <w:rPr>
          <w:sz w:val="24"/>
          <w:szCs w:val="24"/>
        </w:rPr>
        <w:t>May 4</w:t>
      </w:r>
      <w:r>
        <w:rPr>
          <w:sz w:val="24"/>
          <w:szCs w:val="24"/>
        </w:rPr>
        <w:t>, 2011.</w:t>
      </w:r>
      <w:r w:rsidRPr="00B73D10">
        <w:rPr>
          <w:sz w:val="24"/>
          <w:szCs w:val="24"/>
        </w:rPr>
        <w:t xml:space="preserve">  </w:t>
      </w:r>
    </w:p>
    <w:p w:rsidR="009439C3" w:rsidRPr="00B73D10" w:rsidRDefault="009439C3" w:rsidP="001C797F">
      <w:pPr>
        <w:tabs>
          <w:tab w:val="left" w:pos="2160"/>
        </w:tabs>
        <w:spacing w:line="360" w:lineRule="auto"/>
        <w:ind w:firstLine="1440"/>
        <w:rPr>
          <w:sz w:val="24"/>
          <w:szCs w:val="24"/>
        </w:rPr>
      </w:pPr>
    </w:p>
    <w:p w:rsidR="009439C3" w:rsidRPr="00B73D10" w:rsidRDefault="009439C3" w:rsidP="001C797F">
      <w:pPr>
        <w:tabs>
          <w:tab w:val="left" w:pos="2160"/>
        </w:tabs>
        <w:spacing w:line="360" w:lineRule="auto"/>
        <w:ind w:firstLine="1440"/>
        <w:rPr>
          <w:sz w:val="24"/>
          <w:szCs w:val="24"/>
        </w:rPr>
      </w:pPr>
      <w:r>
        <w:rPr>
          <w:sz w:val="24"/>
          <w:szCs w:val="24"/>
        </w:rPr>
        <w:t xml:space="preserve">On February 7, 2012, the Office of Administrative Law Judge issued a Judge Change Notice authorizing Administrative Law Judge Katrina L. Dunderdale to issue a decision in this matter.  </w:t>
      </w:r>
      <w:r w:rsidRPr="00B73D10">
        <w:rPr>
          <w:sz w:val="24"/>
          <w:szCs w:val="24"/>
        </w:rPr>
        <w:t xml:space="preserve">On </w:t>
      </w:r>
      <w:r>
        <w:rPr>
          <w:sz w:val="24"/>
          <w:szCs w:val="24"/>
        </w:rPr>
        <w:t>February 21, 2012,</w:t>
      </w:r>
      <w:r w:rsidRPr="00B73D10">
        <w:rPr>
          <w:sz w:val="24"/>
          <w:szCs w:val="24"/>
        </w:rPr>
        <w:t xml:space="preserve"> </w:t>
      </w:r>
      <w:r>
        <w:rPr>
          <w:sz w:val="24"/>
          <w:szCs w:val="24"/>
        </w:rPr>
        <w:t>the presiding officer closed the hearing</w:t>
      </w:r>
      <w:r w:rsidRPr="00B73D10">
        <w:rPr>
          <w:sz w:val="24"/>
          <w:szCs w:val="24"/>
        </w:rPr>
        <w:t xml:space="preserve"> record by Interim Order Closing the Hearing Record.</w:t>
      </w:r>
    </w:p>
    <w:p w:rsidR="00A40ED2" w:rsidRPr="00A40ED2" w:rsidRDefault="00A40ED2" w:rsidP="001C797F">
      <w:pPr>
        <w:tabs>
          <w:tab w:val="left" w:pos="2160"/>
        </w:tabs>
        <w:spacing w:line="360" w:lineRule="auto"/>
        <w:jc w:val="center"/>
        <w:rPr>
          <w:sz w:val="24"/>
          <w:szCs w:val="24"/>
          <w:u w:val="single"/>
        </w:rPr>
      </w:pPr>
    </w:p>
    <w:p w:rsidR="00A40ED2" w:rsidRPr="00A40ED2" w:rsidRDefault="00A40ED2" w:rsidP="00A40ED2">
      <w:pPr>
        <w:tabs>
          <w:tab w:val="left" w:pos="2160"/>
        </w:tabs>
        <w:spacing w:line="360" w:lineRule="auto"/>
        <w:jc w:val="center"/>
        <w:rPr>
          <w:sz w:val="24"/>
          <w:szCs w:val="24"/>
          <w:u w:val="single"/>
        </w:rPr>
      </w:pPr>
      <w:r w:rsidRPr="00A40ED2">
        <w:rPr>
          <w:sz w:val="24"/>
          <w:szCs w:val="24"/>
          <w:u w:val="single"/>
        </w:rPr>
        <w:t xml:space="preserve">FINDINGS OF </w:t>
      </w:r>
      <w:smartTag w:uri="urn:schemas-microsoft-com:office:smarttags" w:element="stockticker">
        <w:r w:rsidRPr="00A40ED2">
          <w:rPr>
            <w:sz w:val="24"/>
            <w:szCs w:val="24"/>
            <w:u w:val="single"/>
          </w:rPr>
          <w:t>FACT</w:t>
        </w:r>
      </w:smartTag>
    </w:p>
    <w:p w:rsidR="00A40ED2" w:rsidRPr="00A40ED2" w:rsidRDefault="00A40ED2" w:rsidP="00A40ED2">
      <w:pPr>
        <w:tabs>
          <w:tab w:val="left" w:pos="2160"/>
        </w:tabs>
        <w:spacing w:line="360" w:lineRule="auto"/>
        <w:rPr>
          <w:sz w:val="24"/>
          <w:szCs w:val="24"/>
          <w:u w:val="single"/>
        </w:rPr>
      </w:pPr>
    </w:p>
    <w:p w:rsidR="00A40ED2" w:rsidRPr="00A40ED2" w:rsidRDefault="00A40ED2" w:rsidP="00A40ED2">
      <w:pPr>
        <w:tabs>
          <w:tab w:val="left" w:pos="2160"/>
        </w:tabs>
        <w:spacing w:line="360" w:lineRule="auto"/>
        <w:ind w:firstLine="1440"/>
        <w:rPr>
          <w:sz w:val="24"/>
          <w:szCs w:val="24"/>
        </w:rPr>
      </w:pPr>
      <w:r w:rsidRPr="00A40ED2">
        <w:rPr>
          <w:sz w:val="24"/>
          <w:szCs w:val="24"/>
        </w:rPr>
        <w:t>1.</w:t>
      </w:r>
      <w:r w:rsidRPr="00A40ED2">
        <w:rPr>
          <w:sz w:val="24"/>
          <w:szCs w:val="24"/>
        </w:rPr>
        <w:tab/>
        <w:t xml:space="preserve">Complainant, </w:t>
      </w:r>
      <w:r w:rsidR="00002F0F">
        <w:rPr>
          <w:sz w:val="24"/>
          <w:szCs w:val="24"/>
        </w:rPr>
        <w:t>Gary L. Gaskins</w:t>
      </w:r>
      <w:r w:rsidRPr="00A40ED2">
        <w:rPr>
          <w:sz w:val="24"/>
          <w:szCs w:val="24"/>
        </w:rPr>
        <w:t>, lives at</w:t>
      </w:r>
      <w:r w:rsidR="003E4254">
        <w:rPr>
          <w:sz w:val="24"/>
          <w:szCs w:val="24"/>
        </w:rPr>
        <w:t xml:space="preserve"> 2122 Sigel Street, Philadelphia</w:t>
      </w:r>
      <w:r w:rsidR="000750A1">
        <w:rPr>
          <w:sz w:val="24"/>
          <w:szCs w:val="24"/>
        </w:rPr>
        <w:t>, Pennsylvania, 16415</w:t>
      </w:r>
      <w:r w:rsidRPr="00A40ED2">
        <w:rPr>
          <w:sz w:val="24"/>
          <w:szCs w:val="24"/>
        </w:rPr>
        <w:t xml:space="preserve">.  </w:t>
      </w:r>
      <w:proofErr w:type="gramStart"/>
      <w:r w:rsidR="003E4254">
        <w:rPr>
          <w:sz w:val="24"/>
          <w:szCs w:val="24"/>
        </w:rPr>
        <w:t>(Tr. 6).</w:t>
      </w:r>
      <w:proofErr w:type="gramEnd"/>
    </w:p>
    <w:p w:rsidR="00A40ED2" w:rsidRPr="00A40ED2" w:rsidRDefault="00A40ED2" w:rsidP="00A40ED2">
      <w:pPr>
        <w:tabs>
          <w:tab w:val="left" w:pos="2160"/>
        </w:tabs>
        <w:spacing w:line="360" w:lineRule="auto"/>
        <w:ind w:firstLine="1440"/>
        <w:rPr>
          <w:sz w:val="24"/>
          <w:szCs w:val="24"/>
        </w:rPr>
      </w:pPr>
    </w:p>
    <w:p w:rsidR="00A40ED2" w:rsidRPr="00A40ED2" w:rsidRDefault="00A40ED2" w:rsidP="00A40ED2">
      <w:pPr>
        <w:tabs>
          <w:tab w:val="left" w:pos="2160"/>
        </w:tabs>
        <w:spacing w:line="360" w:lineRule="auto"/>
        <w:ind w:firstLine="1440"/>
        <w:rPr>
          <w:sz w:val="24"/>
          <w:szCs w:val="24"/>
        </w:rPr>
      </w:pPr>
      <w:r w:rsidRPr="00A40ED2">
        <w:rPr>
          <w:sz w:val="24"/>
          <w:szCs w:val="24"/>
        </w:rPr>
        <w:t>2.</w:t>
      </w:r>
      <w:r w:rsidRPr="00A40ED2">
        <w:rPr>
          <w:sz w:val="24"/>
          <w:szCs w:val="24"/>
        </w:rPr>
        <w:tab/>
      </w:r>
      <w:r w:rsidR="00A62F13" w:rsidRPr="00A40ED2">
        <w:rPr>
          <w:sz w:val="24"/>
          <w:szCs w:val="24"/>
        </w:rPr>
        <w:t>Complainant receives</w:t>
      </w:r>
      <w:r w:rsidR="00C036F7">
        <w:rPr>
          <w:sz w:val="24"/>
          <w:szCs w:val="24"/>
        </w:rPr>
        <w:t xml:space="preserve"> basic</w:t>
      </w:r>
      <w:r w:rsidR="00A62F13" w:rsidRPr="00A40ED2">
        <w:rPr>
          <w:sz w:val="24"/>
          <w:szCs w:val="24"/>
        </w:rPr>
        <w:t xml:space="preserve"> residential telephone service at his residence from Respon</w:t>
      </w:r>
      <w:r w:rsidR="0060316E">
        <w:rPr>
          <w:sz w:val="24"/>
          <w:szCs w:val="24"/>
        </w:rPr>
        <w:t xml:space="preserve">dent, Verizon </w:t>
      </w:r>
      <w:r w:rsidR="00002F0F">
        <w:rPr>
          <w:sz w:val="24"/>
          <w:szCs w:val="24"/>
        </w:rPr>
        <w:t>Pennsylvania</w:t>
      </w:r>
      <w:r w:rsidR="0060316E">
        <w:rPr>
          <w:sz w:val="24"/>
          <w:szCs w:val="24"/>
        </w:rPr>
        <w:t xml:space="preserve"> Inc.</w:t>
      </w:r>
      <w:r w:rsidR="003E4254">
        <w:rPr>
          <w:sz w:val="24"/>
          <w:szCs w:val="24"/>
        </w:rPr>
        <w:t>,</w:t>
      </w:r>
      <w:r w:rsidR="0060316E">
        <w:rPr>
          <w:sz w:val="24"/>
          <w:szCs w:val="24"/>
        </w:rPr>
        <w:t xml:space="preserve"> </w:t>
      </w:r>
      <w:r w:rsidR="003E4254">
        <w:rPr>
          <w:sz w:val="24"/>
          <w:szCs w:val="24"/>
        </w:rPr>
        <w:t xml:space="preserve">through Lifeline. </w:t>
      </w:r>
      <w:r w:rsidR="00C036F7">
        <w:rPr>
          <w:sz w:val="24"/>
          <w:szCs w:val="24"/>
        </w:rPr>
        <w:t xml:space="preserve"> Complainant does not have long distance service on his telephone.  </w:t>
      </w:r>
      <w:proofErr w:type="gramStart"/>
      <w:r w:rsidR="003E4254">
        <w:rPr>
          <w:sz w:val="24"/>
          <w:szCs w:val="24"/>
        </w:rPr>
        <w:t>(Tr. 7</w:t>
      </w:r>
      <w:r w:rsidR="00C036F7">
        <w:rPr>
          <w:sz w:val="24"/>
          <w:szCs w:val="24"/>
        </w:rPr>
        <w:t>, 10</w:t>
      </w:r>
      <w:r w:rsidR="003E4254">
        <w:rPr>
          <w:sz w:val="24"/>
          <w:szCs w:val="24"/>
        </w:rPr>
        <w:t>).</w:t>
      </w:r>
      <w:proofErr w:type="gramEnd"/>
    </w:p>
    <w:p w:rsidR="00A40ED2" w:rsidRPr="00A40ED2" w:rsidRDefault="00A40ED2" w:rsidP="00A40ED2">
      <w:pPr>
        <w:tabs>
          <w:tab w:val="left" w:pos="2160"/>
        </w:tabs>
        <w:spacing w:line="360" w:lineRule="auto"/>
        <w:ind w:firstLine="1440"/>
        <w:rPr>
          <w:sz w:val="24"/>
          <w:szCs w:val="24"/>
        </w:rPr>
      </w:pPr>
    </w:p>
    <w:p w:rsidR="00A40ED2" w:rsidRDefault="00A40ED2" w:rsidP="00A40ED2">
      <w:pPr>
        <w:tabs>
          <w:tab w:val="left" w:pos="2160"/>
        </w:tabs>
        <w:spacing w:line="360" w:lineRule="auto"/>
        <w:ind w:firstLine="1440"/>
        <w:rPr>
          <w:sz w:val="24"/>
          <w:szCs w:val="24"/>
        </w:rPr>
      </w:pPr>
      <w:r w:rsidRPr="00A40ED2">
        <w:rPr>
          <w:sz w:val="24"/>
          <w:szCs w:val="24"/>
        </w:rPr>
        <w:t>3.</w:t>
      </w:r>
      <w:r w:rsidRPr="00A40ED2">
        <w:rPr>
          <w:sz w:val="24"/>
          <w:szCs w:val="24"/>
        </w:rPr>
        <w:tab/>
        <w:t xml:space="preserve"> </w:t>
      </w:r>
      <w:r w:rsidR="003E4254">
        <w:rPr>
          <w:sz w:val="24"/>
          <w:szCs w:val="24"/>
        </w:rPr>
        <w:t>In June 200</w:t>
      </w:r>
      <w:r w:rsidR="00E32E2B">
        <w:rPr>
          <w:sz w:val="24"/>
          <w:szCs w:val="24"/>
        </w:rPr>
        <w:t>9</w:t>
      </w:r>
      <w:r w:rsidR="003E4254">
        <w:rPr>
          <w:sz w:val="24"/>
          <w:szCs w:val="24"/>
        </w:rPr>
        <w:t>, Complainant and Verizon entered into an agreement where Complainant would pay $</w:t>
      </w:r>
      <w:r w:rsidR="00A5764A">
        <w:rPr>
          <w:sz w:val="24"/>
          <w:szCs w:val="24"/>
        </w:rPr>
        <w:t>8.87</w:t>
      </w:r>
      <w:r w:rsidR="003E4254">
        <w:rPr>
          <w:sz w:val="24"/>
          <w:szCs w:val="24"/>
        </w:rPr>
        <w:t xml:space="preserve"> each month to Verizon for telephone services and </w:t>
      </w:r>
      <w:r w:rsidR="00A5764A">
        <w:rPr>
          <w:sz w:val="24"/>
          <w:szCs w:val="24"/>
        </w:rPr>
        <w:t xml:space="preserve">$5.99 each </w:t>
      </w:r>
      <w:r w:rsidR="00A5764A">
        <w:rPr>
          <w:sz w:val="24"/>
          <w:szCs w:val="24"/>
        </w:rPr>
        <w:lastRenderedPageBreak/>
        <w:t xml:space="preserve">month for </w:t>
      </w:r>
      <w:r w:rsidR="003E4254">
        <w:rPr>
          <w:sz w:val="24"/>
          <w:szCs w:val="24"/>
        </w:rPr>
        <w:t xml:space="preserve">wire maintenance.  </w:t>
      </w:r>
      <w:r w:rsidR="00A5764A">
        <w:rPr>
          <w:sz w:val="24"/>
          <w:szCs w:val="24"/>
        </w:rPr>
        <w:t>His total monthly bill at that time was $22.05 per month</w:t>
      </w:r>
      <w:r w:rsidR="00D43E7C">
        <w:rPr>
          <w:sz w:val="24"/>
          <w:szCs w:val="24"/>
        </w:rPr>
        <w:t xml:space="preserve"> with applicable taxes, fees and surcharges added</w:t>
      </w:r>
      <w:r w:rsidR="00A5764A">
        <w:rPr>
          <w:sz w:val="24"/>
          <w:szCs w:val="24"/>
        </w:rPr>
        <w:t xml:space="preserve">.  </w:t>
      </w:r>
      <w:proofErr w:type="gramStart"/>
      <w:r w:rsidR="003E4254">
        <w:rPr>
          <w:sz w:val="24"/>
          <w:szCs w:val="24"/>
        </w:rPr>
        <w:t>(Tr.</w:t>
      </w:r>
      <w:r w:rsidR="0027644C">
        <w:rPr>
          <w:sz w:val="24"/>
          <w:szCs w:val="24"/>
        </w:rPr>
        <w:t> </w:t>
      </w:r>
      <w:r w:rsidR="003E4254">
        <w:rPr>
          <w:sz w:val="24"/>
          <w:szCs w:val="24"/>
        </w:rPr>
        <w:t>6</w:t>
      </w:r>
      <w:r w:rsidR="0027644C">
        <w:rPr>
          <w:sz w:val="24"/>
          <w:szCs w:val="24"/>
        </w:rPr>
        <w:noBreakHyphen/>
      </w:r>
      <w:r w:rsidR="003E4254">
        <w:rPr>
          <w:sz w:val="24"/>
          <w:szCs w:val="24"/>
        </w:rPr>
        <w:t>7</w:t>
      </w:r>
      <w:r w:rsidR="00E32E2B">
        <w:rPr>
          <w:sz w:val="24"/>
          <w:szCs w:val="24"/>
        </w:rPr>
        <w:t>,</w:t>
      </w:r>
      <w:r w:rsidR="0027644C">
        <w:rPr>
          <w:sz w:val="24"/>
          <w:szCs w:val="24"/>
        </w:rPr>
        <w:t> </w:t>
      </w:r>
      <w:r w:rsidR="00E32E2B">
        <w:rPr>
          <w:sz w:val="24"/>
          <w:szCs w:val="24"/>
        </w:rPr>
        <w:t>11, 20-21; Verizon PA Exhibit 1</w:t>
      </w:r>
      <w:r w:rsidR="003E4254">
        <w:rPr>
          <w:sz w:val="24"/>
          <w:szCs w:val="24"/>
        </w:rPr>
        <w:t>).</w:t>
      </w:r>
      <w:proofErr w:type="gramEnd"/>
      <w:r w:rsidR="00C036F7">
        <w:rPr>
          <w:sz w:val="24"/>
          <w:szCs w:val="24"/>
        </w:rPr>
        <w:t xml:space="preserve">  </w:t>
      </w:r>
    </w:p>
    <w:p w:rsidR="000750A1" w:rsidRDefault="000750A1" w:rsidP="00A40ED2">
      <w:pPr>
        <w:tabs>
          <w:tab w:val="left" w:pos="2160"/>
        </w:tabs>
        <w:spacing w:line="360" w:lineRule="auto"/>
        <w:ind w:firstLine="1440"/>
        <w:rPr>
          <w:sz w:val="24"/>
          <w:szCs w:val="24"/>
        </w:rPr>
      </w:pPr>
    </w:p>
    <w:p w:rsidR="000750A1" w:rsidRDefault="000750A1" w:rsidP="00A40ED2">
      <w:pPr>
        <w:tabs>
          <w:tab w:val="left" w:pos="2160"/>
        </w:tabs>
        <w:spacing w:line="360" w:lineRule="auto"/>
        <w:ind w:firstLine="1440"/>
        <w:rPr>
          <w:sz w:val="24"/>
          <w:szCs w:val="24"/>
        </w:rPr>
      </w:pPr>
      <w:r>
        <w:rPr>
          <w:sz w:val="24"/>
          <w:szCs w:val="24"/>
        </w:rPr>
        <w:t>4.</w:t>
      </w:r>
      <w:r>
        <w:rPr>
          <w:sz w:val="24"/>
          <w:szCs w:val="24"/>
        </w:rPr>
        <w:tab/>
        <w:t xml:space="preserve">In 2007, Complainant was certified to receive a Lifeline </w:t>
      </w:r>
      <w:r w:rsidR="00C80F96">
        <w:rPr>
          <w:sz w:val="24"/>
          <w:szCs w:val="24"/>
        </w:rPr>
        <w:t xml:space="preserve">100 credit.  Verizon removed </w:t>
      </w:r>
      <w:r w:rsidR="007E7019">
        <w:rPr>
          <w:sz w:val="24"/>
          <w:szCs w:val="24"/>
        </w:rPr>
        <w:t xml:space="preserve">Complainant from Lifeline 100 in August 2008.  </w:t>
      </w:r>
      <w:proofErr w:type="gramStart"/>
      <w:r>
        <w:rPr>
          <w:sz w:val="24"/>
          <w:szCs w:val="24"/>
        </w:rPr>
        <w:t>(Tr. 22-26</w:t>
      </w:r>
      <w:r w:rsidR="00C80F96">
        <w:rPr>
          <w:sz w:val="24"/>
          <w:szCs w:val="24"/>
        </w:rPr>
        <w:t>; Verizon PA Exhibit 2</w:t>
      </w:r>
      <w:r>
        <w:rPr>
          <w:sz w:val="24"/>
          <w:szCs w:val="24"/>
        </w:rPr>
        <w:t>).</w:t>
      </w:r>
      <w:proofErr w:type="gramEnd"/>
    </w:p>
    <w:p w:rsidR="000750A1" w:rsidRDefault="000750A1" w:rsidP="00A40ED2">
      <w:pPr>
        <w:tabs>
          <w:tab w:val="left" w:pos="2160"/>
        </w:tabs>
        <w:spacing w:line="360" w:lineRule="auto"/>
        <w:ind w:firstLine="1440"/>
        <w:rPr>
          <w:sz w:val="24"/>
          <w:szCs w:val="24"/>
        </w:rPr>
      </w:pPr>
    </w:p>
    <w:p w:rsidR="000750A1" w:rsidRDefault="000750A1" w:rsidP="00A40ED2">
      <w:pPr>
        <w:tabs>
          <w:tab w:val="left" w:pos="2160"/>
        </w:tabs>
        <w:spacing w:line="360" w:lineRule="auto"/>
        <w:ind w:firstLine="1440"/>
        <w:rPr>
          <w:sz w:val="24"/>
          <w:szCs w:val="24"/>
        </w:rPr>
      </w:pPr>
      <w:r>
        <w:rPr>
          <w:sz w:val="24"/>
          <w:szCs w:val="24"/>
        </w:rPr>
        <w:t>5.</w:t>
      </w:r>
      <w:r>
        <w:rPr>
          <w:sz w:val="24"/>
          <w:szCs w:val="24"/>
        </w:rPr>
        <w:tab/>
        <w:t xml:space="preserve">There are two Lifeline plans: </w:t>
      </w:r>
      <w:r w:rsidR="006C0B46">
        <w:rPr>
          <w:sz w:val="24"/>
          <w:szCs w:val="24"/>
        </w:rPr>
        <w:t xml:space="preserve"> </w:t>
      </w:r>
      <w:r>
        <w:rPr>
          <w:sz w:val="24"/>
          <w:szCs w:val="24"/>
        </w:rPr>
        <w:t xml:space="preserve">Lifeline 100 and Lifeline 135.  Lifeline 100 is for those individuals whose income is equal to or below the government poverty level.  </w:t>
      </w:r>
      <w:proofErr w:type="gramStart"/>
      <w:r>
        <w:rPr>
          <w:sz w:val="24"/>
          <w:szCs w:val="24"/>
        </w:rPr>
        <w:t>Lifeline 135 are</w:t>
      </w:r>
      <w:proofErr w:type="gramEnd"/>
      <w:r>
        <w:rPr>
          <w:sz w:val="24"/>
          <w:szCs w:val="24"/>
        </w:rPr>
        <w:t xml:space="preserve"> for those individuals whose income is equal to or below 135% of the poverty level.  </w:t>
      </w:r>
      <w:proofErr w:type="gramStart"/>
      <w:r>
        <w:rPr>
          <w:sz w:val="24"/>
          <w:szCs w:val="24"/>
        </w:rPr>
        <w:t>(Tr. 23).</w:t>
      </w:r>
      <w:proofErr w:type="gramEnd"/>
    </w:p>
    <w:p w:rsidR="000750A1" w:rsidRDefault="000750A1" w:rsidP="00A40ED2">
      <w:pPr>
        <w:tabs>
          <w:tab w:val="left" w:pos="2160"/>
        </w:tabs>
        <w:spacing w:line="360" w:lineRule="auto"/>
        <w:ind w:firstLine="1440"/>
        <w:rPr>
          <w:sz w:val="24"/>
          <w:szCs w:val="24"/>
        </w:rPr>
      </w:pPr>
    </w:p>
    <w:p w:rsidR="000750A1" w:rsidRDefault="000750A1" w:rsidP="00A40ED2">
      <w:pPr>
        <w:tabs>
          <w:tab w:val="left" w:pos="2160"/>
        </w:tabs>
        <w:spacing w:line="360" w:lineRule="auto"/>
        <w:ind w:firstLine="1440"/>
        <w:rPr>
          <w:sz w:val="24"/>
          <w:szCs w:val="24"/>
        </w:rPr>
      </w:pPr>
      <w:r>
        <w:rPr>
          <w:sz w:val="24"/>
          <w:szCs w:val="24"/>
        </w:rPr>
        <w:t>6.</w:t>
      </w:r>
      <w:r>
        <w:rPr>
          <w:sz w:val="24"/>
          <w:szCs w:val="24"/>
        </w:rPr>
        <w:tab/>
        <w:t xml:space="preserve">In March 2011, the Lifeline 100 credit totaled $11.55 </w:t>
      </w:r>
      <w:r w:rsidR="00C80F96">
        <w:rPr>
          <w:sz w:val="24"/>
          <w:szCs w:val="24"/>
        </w:rPr>
        <w:t xml:space="preserve">monthly while the Lifeline 135 credit </w:t>
      </w:r>
      <w:r>
        <w:rPr>
          <w:sz w:val="24"/>
          <w:szCs w:val="24"/>
        </w:rPr>
        <w:t xml:space="preserve">was $7.55 </w:t>
      </w:r>
      <w:r w:rsidR="00C80F96">
        <w:rPr>
          <w:sz w:val="24"/>
          <w:szCs w:val="24"/>
        </w:rPr>
        <w:t>monthly</w:t>
      </w:r>
      <w:r>
        <w:rPr>
          <w:sz w:val="24"/>
          <w:szCs w:val="24"/>
        </w:rPr>
        <w:t xml:space="preserve">.  </w:t>
      </w:r>
      <w:proofErr w:type="gramStart"/>
      <w:r>
        <w:rPr>
          <w:sz w:val="24"/>
          <w:szCs w:val="24"/>
        </w:rPr>
        <w:t>(Tr. 23).</w:t>
      </w:r>
      <w:proofErr w:type="gramEnd"/>
    </w:p>
    <w:p w:rsidR="007E7019" w:rsidRDefault="007E7019" w:rsidP="00A40ED2">
      <w:pPr>
        <w:tabs>
          <w:tab w:val="left" w:pos="2160"/>
        </w:tabs>
        <w:spacing w:line="360" w:lineRule="auto"/>
        <w:ind w:firstLine="1440"/>
        <w:rPr>
          <w:sz w:val="24"/>
          <w:szCs w:val="24"/>
        </w:rPr>
      </w:pPr>
    </w:p>
    <w:p w:rsidR="007E7019" w:rsidRPr="00A40ED2" w:rsidRDefault="007E7019" w:rsidP="00A40ED2">
      <w:pPr>
        <w:tabs>
          <w:tab w:val="left" w:pos="2160"/>
        </w:tabs>
        <w:spacing w:line="360" w:lineRule="auto"/>
        <w:ind w:firstLine="1440"/>
        <w:rPr>
          <w:sz w:val="24"/>
          <w:szCs w:val="24"/>
        </w:rPr>
      </w:pPr>
      <w:r>
        <w:rPr>
          <w:sz w:val="24"/>
          <w:szCs w:val="24"/>
        </w:rPr>
        <w:t>7.</w:t>
      </w:r>
      <w:r>
        <w:rPr>
          <w:sz w:val="24"/>
          <w:szCs w:val="24"/>
        </w:rPr>
        <w:tab/>
        <w:t>In August 2008, Verizon bill</w:t>
      </w:r>
      <w:r w:rsidR="00C80F96">
        <w:rPr>
          <w:sz w:val="24"/>
          <w:szCs w:val="24"/>
        </w:rPr>
        <w:t>ed Complainant $30.57 and then varying amounts each month</w:t>
      </w:r>
      <w:r>
        <w:rPr>
          <w:sz w:val="24"/>
          <w:szCs w:val="24"/>
        </w:rPr>
        <w:t xml:space="preserve">.  </w:t>
      </w:r>
      <w:proofErr w:type="gramStart"/>
      <w:r>
        <w:rPr>
          <w:sz w:val="24"/>
          <w:szCs w:val="24"/>
        </w:rPr>
        <w:t>(Tr. 26</w:t>
      </w:r>
      <w:r w:rsidR="00C80F96">
        <w:rPr>
          <w:sz w:val="24"/>
          <w:szCs w:val="24"/>
        </w:rPr>
        <w:t>; Verizon PA Exhibit 2</w:t>
      </w:r>
      <w:r>
        <w:rPr>
          <w:sz w:val="24"/>
          <w:szCs w:val="24"/>
        </w:rPr>
        <w:t>).</w:t>
      </w:r>
      <w:proofErr w:type="gramEnd"/>
    </w:p>
    <w:p w:rsidR="00A40ED2" w:rsidRPr="00A40ED2" w:rsidRDefault="00A40ED2" w:rsidP="00A40ED2">
      <w:pPr>
        <w:tabs>
          <w:tab w:val="left" w:pos="2160"/>
        </w:tabs>
        <w:spacing w:line="360" w:lineRule="auto"/>
        <w:ind w:firstLine="1440"/>
        <w:rPr>
          <w:sz w:val="24"/>
          <w:szCs w:val="24"/>
        </w:rPr>
      </w:pPr>
    </w:p>
    <w:p w:rsidR="00A40ED2" w:rsidRPr="007E7019" w:rsidRDefault="00C80F96" w:rsidP="00A40ED2">
      <w:pPr>
        <w:tabs>
          <w:tab w:val="left" w:pos="2160"/>
        </w:tabs>
        <w:spacing w:line="360" w:lineRule="auto"/>
        <w:ind w:firstLine="1440"/>
        <w:rPr>
          <w:sz w:val="24"/>
          <w:szCs w:val="24"/>
        </w:rPr>
      </w:pPr>
      <w:r>
        <w:rPr>
          <w:sz w:val="24"/>
          <w:szCs w:val="24"/>
        </w:rPr>
        <w:t>8</w:t>
      </w:r>
      <w:r w:rsidR="00A40ED2" w:rsidRPr="00A40ED2">
        <w:rPr>
          <w:sz w:val="24"/>
          <w:szCs w:val="24"/>
        </w:rPr>
        <w:t>.</w:t>
      </w:r>
      <w:r w:rsidR="00A40ED2" w:rsidRPr="00A40ED2">
        <w:rPr>
          <w:sz w:val="24"/>
          <w:szCs w:val="24"/>
        </w:rPr>
        <w:tab/>
      </w:r>
      <w:r w:rsidR="007E7019" w:rsidRPr="007E7019">
        <w:rPr>
          <w:sz w:val="24"/>
          <w:szCs w:val="24"/>
        </w:rPr>
        <w:t xml:space="preserve">In </w:t>
      </w:r>
      <w:r w:rsidR="007E7019">
        <w:rPr>
          <w:sz w:val="24"/>
          <w:szCs w:val="24"/>
        </w:rPr>
        <w:t>May 2009, Verizon terminated services to Complainant for non-payment</w:t>
      </w:r>
      <w:r>
        <w:rPr>
          <w:sz w:val="24"/>
          <w:szCs w:val="24"/>
        </w:rPr>
        <w:t xml:space="preserve"> and </w:t>
      </w:r>
      <w:r w:rsidR="007E7019">
        <w:rPr>
          <w:sz w:val="24"/>
          <w:szCs w:val="24"/>
        </w:rPr>
        <w:t xml:space="preserve">re-established </w:t>
      </w:r>
      <w:r>
        <w:rPr>
          <w:sz w:val="24"/>
          <w:szCs w:val="24"/>
        </w:rPr>
        <w:t xml:space="preserve">service </w:t>
      </w:r>
      <w:r w:rsidR="007E7019">
        <w:rPr>
          <w:sz w:val="24"/>
          <w:szCs w:val="24"/>
        </w:rPr>
        <w:t>on June 24, 2009</w:t>
      </w:r>
      <w:r>
        <w:rPr>
          <w:sz w:val="24"/>
          <w:szCs w:val="24"/>
        </w:rPr>
        <w:t>, at which time Verizon certified</w:t>
      </w:r>
      <w:r w:rsidR="007E7019">
        <w:rPr>
          <w:sz w:val="24"/>
          <w:szCs w:val="24"/>
        </w:rPr>
        <w:t xml:space="preserve"> Complainant as eligible for Lifeline 135.  </w:t>
      </w:r>
      <w:proofErr w:type="gramStart"/>
      <w:r w:rsidR="007E7019">
        <w:rPr>
          <w:sz w:val="24"/>
          <w:szCs w:val="24"/>
        </w:rPr>
        <w:t>(Tr. 26; Verizon PA Exhibit 1).</w:t>
      </w:r>
      <w:proofErr w:type="gramEnd"/>
    </w:p>
    <w:p w:rsidR="003E4254" w:rsidRPr="007E7019" w:rsidRDefault="003E4254" w:rsidP="00A40ED2">
      <w:pPr>
        <w:tabs>
          <w:tab w:val="left" w:pos="2160"/>
        </w:tabs>
        <w:spacing w:line="360" w:lineRule="auto"/>
        <w:ind w:firstLine="1440"/>
        <w:rPr>
          <w:sz w:val="24"/>
          <w:szCs w:val="24"/>
        </w:rPr>
      </w:pPr>
    </w:p>
    <w:p w:rsidR="00A40ED2" w:rsidRPr="00A40ED2" w:rsidRDefault="00C80F96" w:rsidP="00A40ED2">
      <w:pPr>
        <w:tabs>
          <w:tab w:val="left" w:pos="2160"/>
        </w:tabs>
        <w:spacing w:line="360" w:lineRule="auto"/>
        <w:ind w:firstLine="1440"/>
        <w:rPr>
          <w:sz w:val="24"/>
          <w:szCs w:val="24"/>
        </w:rPr>
      </w:pPr>
      <w:r>
        <w:rPr>
          <w:sz w:val="24"/>
          <w:szCs w:val="24"/>
        </w:rPr>
        <w:t>9</w:t>
      </w:r>
      <w:r w:rsidR="003E4254">
        <w:rPr>
          <w:sz w:val="24"/>
          <w:szCs w:val="24"/>
        </w:rPr>
        <w:t>.</w:t>
      </w:r>
      <w:r w:rsidR="003E4254">
        <w:rPr>
          <w:sz w:val="24"/>
          <w:szCs w:val="24"/>
        </w:rPr>
        <w:tab/>
        <w:t>Starting in July 2009, Complainant began hearing other people talking on his telephone line and complained to Respondent.  Respondent sent repair personnel three times (in 2009, 2010 and 2011) who found crossed wires and allegedly repaired the crossed wires.  (Tr.</w:t>
      </w:r>
      <w:r w:rsidR="00BA76F1">
        <w:rPr>
          <w:sz w:val="24"/>
          <w:szCs w:val="24"/>
        </w:rPr>
        <w:t> </w:t>
      </w:r>
      <w:r w:rsidR="003E4254">
        <w:rPr>
          <w:sz w:val="24"/>
          <w:szCs w:val="24"/>
        </w:rPr>
        <w:t>7-9).</w:t>
      </w:r>
    </w:p>
    <w:p w:rsidR="00A40ED2" w:rsidRPr="00A40ED2" w:rsidRDefault="00A40ED2" w:rsidP="00A40ED2">
      <w:pPr>
        <w:tabs>
          <w:tab w:val="left" w:pos="2160"/>
        </w:tabs>
        <w:spacing w:line="360" w:lineRule="auto"/>
        <w:rPr>
          <w:spacing w:val="-3"/>
          <w:sz w:val="24"/>
          <w:szCs w:val="24"/>
        </w:rPr>
      </w:pPr>
    </w:p>
    <w:p w:rsidR="00A40ED2" w:rsidRPr="00A40ED2" w:rsidRDefault="00C80F96" w:rsidP="00A40ED2">
      <w:pPr>
        <w:tabs>
          <w:tab w:val="left" w:pos="1440"/>
        </w:tabs>
        <w:spacing w:line="360" w:lineRule="auto"/>
        <w:rPr>
          <w:spacing w:val="-3"/>
          <w:sz w:val="24"/>
          <w:szCs w:val="24"/>
        </w:rPr>
      </w:pPr>
      <w:r>
        <w:rPr>
          <w:spacing w:val="-3"/>
          <w:sz w:val="24"/>
          <w:szCs w:val="24"/>
        </w:rPr>
        <w:tab/>
        <w:t>10</w:t>
      </w:r>
      <w:r w:rsidR="003E4254">
        <w:rPr>
          <w:spacing w:val="-3"/>
          <w:sz w:val="24"/>
          <w:szCs w:val="24"/>
        </w:rPr>
        <w:t>.</w:t>
      </w:r>
      <w:r w:rsidR="003E4254">
        <w:rPr>
          <w:spacing w:val="-3"/>
          <w:sz w:val="24"/>
          <w:szCs w:val="24"/>
        </w:rPr>
        <w:tab/>
        <w:t>After each repair, Complainant continued to experience problems with hearing other people talking on his telephone line and clicking noises.  (Tr. 7-9).</w:t>
      </w:r>
    </w:p>
    <w:p w:rsidR="00A40ED2" w:rsidRPr="00A40ED2" w:rsidRDefault="00A40ED2" w:rsidP="00A40ED2">
      <w:pPr>
        <w:tabs>
          <w:tab w:val="left" w:pos="1440"/>
        </w:tabs>
        <w:spacing w:line="360" w:lineRule="auto"/>
        <w:rPr>
          <w:spacing w:val="-3"/>
          <w:sz w:val="24"/>
          <w:szCs w:val="24"/>
        </w:rPr>
      </w:pPr>
    </w:p>
    <w:p w:rsidR="00A40ED2" w:rsidRPr="00A40ED2" w:rsidRDefault="00C80F96" w:rsidP="00A40ED2">
      <w:pPr>
        <w:tabs>
          <w:tab w:val="left" w:pos="1440"/>
        </w:tabs>
        <w:spacing w:line="360" w:lineRule="auto"/>
        <w:rPr>
          <w:spacing w:val="-3"/>
          <w:sz w:val="24"/>
          <w:szCs w:val="24"/>
        </w:rPr>
      </w:pPr>
      <w:r>
        <w:rPr>
          <w:spacing w:val="-3"/>
          <w:sz w:val="24"/>
          <w:szCs w:val="24"/>
        </w:rPr>
        <w:lastRenderedPageBreak/>
        <w:tab/>
        <w:t>11</w:t>
      </w:r>
      <w:r w:rsidR="00A40ED2" w:rsidRPr="00A40ED2">
        <w:rPr>
          <w:spacing w:val="-3"/>
          <w:sz w:val="24"/>
          <w:szCs w:val="24"/>
        </w:rPr>
        <w:t>.</w:t>
      </w:r>
      <w:r w:rsidR="00A40ED2" w:rsidRPr="00A40ED2">
        <w:rPr>
          <w:spacing w:val="-3"/>
          <w:sz w:val="24"/>
          <w:szCs w:val="24"/>
        </w:rPr>
        <w:tab/>
      </w:r>
      <w:r>
        <w:rPr>
          <w:spacing w:val="-3"/>
          <w:sz w:val="24"/>
          <w:szCs w:val="24"/>
        </w:rPr>
        <w:t xml:space="preserve">At the hearing, </w:t>
      </w:r>
      <w:r w:rsidR="00C036F7">
        <w:rPr>
          <w:spacing w:val="-3"/>
          <w:sz w:val="24"/>
          <w:szCs w:val="24"/>
        </w:rPr>
        <w:t xml:space="preserve">Verizon </w:t>
      </w:r>
      <w:r w:rsidR="007E7019">
        <w:rPr>
          <w:spacing w:val="-3"/>
          <w:sz w:val="24"/>
          <w:szCs w:val="24"/>
        </w:rPr>
        <w:t>offer</w:t>
      </w:r>
      <w:r>
        <w:rPr>
          <w:spacing w:val="-3"/>
          <w:sz w:val="24"/>
          <w:szCs w:val="24"/>
        </w:rPr>
        <w:t>ed</w:t>
      </w:r>
      <w:r w:rsidR="007E7019">
        <w:rPr>
          <w:spacing w:val="-3"/>
          <w:sz w:val="24"/>
          <w:szCs w:val="24"/>
        </w:rPr>
        <w:t xml:space="preserve"> to</w:t>
      </w:r>
      <w:r w:rsidR="00C036F7">
        <w:rPr>
          <w:spacing w:val="-3"/>
          <w:sz w:val="24"/>
          <w:szCs w:val="24"/>
        </w:rPr>
        <w:t xml:space="preserve"> charg</w:t>
      </w:r>
      <w:r w:rsidR="00E32E2B">
        <w:rPr>
          <w:spacing w:val="-3"/>
          <w:sz w:val="24"/>
          <w:szCs w:val="24"/>
        </w:rPr>
        <w:t>e</w:t>
      </w:r>
      <w:r w:rsidR="00B033DA">
        <w:rPr>
          <w:spacing w:val="-3"/>
          <w:sz w:val="24"/>
          <w:szCs w:val="24"/>
        </w:rPr>
        <w:t xml:space="preserve"> Complainant $16.4</w:t>
      </w:r>
      <w:r w:rsidR="00C036F7">
        <w:rPr>
          <w:spacing w:val="-3"/>
          <w:sz w:val="24"/>
          <w:szCs w:val="24"/>
        </w:rPr>
        <w:t xml:space="preserve">0 </w:t>
      </w:r>
      <w:r w:rsidR="00B033DA">
        <w:rPr>
          <w:spacing w:val="-3"/>
          <w:sz w:val="24"/>
          <w:szCs w:val="24"/>
        </w:rPr>
        <w:t>per month for basic service</w:t>
      </w:r>
      <w:r>
        <w:rPr>
          <w:spacing w:val="-3"/>
          <w:sz w:val="24"/>
          <w:szCs w:val="24"/>
        </w:rPr>
        <w:t xml:space="preserve"> but would not provide coverage for </w:t>
      </w:r>
      <w:r w:rsidR="00C036F7">
        <w:rPr>
          <w:spacing w:val="-3"/>
          <w:sz w:val="24"/>
          <w:szCs w:val="24"/>
        </w:rPr>
        <w:t xml:space="preserve">wire maintenance costs.  </w:t>
      </w:r>
      <w:proofErr w:type="gramStart"/>
      <w:r w:rsidR="00C036F7">
        <w:rPr>
          <w:spacing w:val="-3"/>
          <w:sz w:val="24"/>
          <w:szCs w:val="24"/>
        </w:rPr>
        <w:t>(Tr. 10</w:t>
      </w:r>
      <w:r>
        <w:rPr>
          <w:spacing w:val="-3"/>
          <w:sz w:val="24"/>
          <w:szCs w:val="24"/>
        </w:rPr>
        <w:t xml:space="preserve">, </w:t>
      </w:r>
      <w:r w:rsidR="00B033DA">
        <w:rPr>
          <w:spacing w:val="-3"/>
          <w:sz w:val="24"/>
          <w:szCs w:val="24"/>
        </w:rPr>
        <w:t>22</w:t>
      </w:r>
      <w:r w:rsidR="00C036F7">
        <w:rPr>
          <w:spacing w:val="-3"/>
          <w:sz w:val="24"/>
          <w:szCs w:val="24"/>
        </w:rPr>
        <w:t>).</w:t>
      </w:r>
      <w:proofErr w:type="gramEnd"/>
    </w:p>
    <w:p w:rsidR="00A40ED2" w:rsidRPr="00A40ED2" w:rsidRDefault="00A40ED2" w:rsidP="00A40ED2">
      <w:pPr>
        <w:tabs>
          <w:tab w:val="left" w:pos="1440"/>
        </w:tabs>
        <w:spacing w:line="360" w:lineRule="auto"/>
        <w:rPr>
          <w:spacing w:val="-3"/>
          <w:sz w:val="24"/>
          <w:szCs w:val="24"/>
        </w:rPr>
      </w:pPr>
    </w:p>
    <w:p w:rsidR="00A40ED2" w:rsidRPr="00A40ED2" w:rsidRDefault="00C80F96" w:rsidP="00A40ED2">
      <w:pPr>
        <w:tabs>
          <w:tab w:val="left" w:pos="1440"/>
        </w:tabs>
        <w:spacing w:line="360" w:lineRule="auto"/>
        <w:rPr>
          <w:spacing w:val="-3"/>
          <w:sz w:val="24"/>
          <w:szCs w:val="24"/>
        </w:rPr>
      </w:pPr>
      <w:r>
        <w:rPr>
          <w:spacing w:val="-3"/>
          <w:sz w:val="24"/>
          <w:szCs w:val="24"/>
        </w:rPr>
        <w:tab/>
        <w:t>12</w:t>
      </w:r>
      <w:r w:rsidR="00A40ED2" w:rsidRPr="00A40ED2">
        <w:rPr>
          <w:spacing w:val="-3"/>
          <w:sz w:val="24"/>
          <w:szCs w:val="24"/>
        </w:rPr>
        <w:t>.</w:t>
      </w:r>
      <w:r w:rsidR="00A40ED2" w:rsidRPr="00A40ED2">
        <w:rPr>
          <w:spacing w:val="-3"/>
          <w:sz w:val="24"/>
          <w:szCs w:val="24"/>
        </w:rPr>
        <w:tab/>
      </w:r>
      <w:r w:rsidR="00C036F7">
        <w:rPr>
          <w:spacing w:val="-3"/>
          <w:sz w:val="24"/>
          <w:szCs w:val="24"/>
        </w:rPr>
        <w:t>In 2010, Verizon started charging Complainant $123.00 each month for his telephone service.  (Tr. 10-11).</w:t>
      </w:r>
    </w:p>
    <w:p w:rsidR="00A40ED2" w:rsidRPr="00A40ED2" w:rsidRDefault="00A40ED2" w:rsidP="00A40ED2">
      <w:pPr>
        <w:tabs>
          <w:tab w:val="left" w:pos="1440"/>
        </w:tabs>
        <w:spacing w:line="360" w:lineRule="auto"/>
        <w:rPr>
          <w:spacing w:val="-3"/>
          <w:sz w:val="24"/>
          <w:szCs w:val="24"/>
        </w:rPr>
      </w:pPr>
    </w:p>
    <w:p w:rsidR="00A40ED2" w:rsidRPr="00A40ED2" w:rsidRDefault="00C80F96" w:rsidP="00A40ED2">
      <w:pPr>
        <w:tabs>
          <w:tab w:val="left" w:pos="1440"/>
        </w:tabs>
        <w:spacing w:line="360" w:lineRule="auto"/>
        <w:rPr>
          <w:spacing w:val="-3"/>
          <w:sz w:val="24"/>
          <w:szCs w:val="24"/>
        </w:rPr>
      </w:pPr>
      <w:r>
        <w:rPr>
          <w:spacing w:val="-3"/>
          <w:sz w:val="24"/>
          <w:szCs w:val="24"/>
        </w:rPr>
        <w:tab/>
        <w:t>13</w:t>
      </w:r>
      <w:r w:rsidR="00A40ED2" w:rsidRPr="00A40ED2">
        <w:rPr>
          <w:spacing w:val="-3"/>
          <w:sz w:val="24"/>
          <w:szCs w:val="24"/>
        </w:rPr>
        <w:t>.</w:t>
      </w:r>
      <w:r w:rsidR="00A40ED2" w:rsidRPr="00A40ED2">
        <w:rPr>
          <w:spacing w:val="-3"/>
          <w:sz w:val="24"/>
          <w:szCs w:val="24"/>
        </w:rPr>
        <w:tab/>
      </w:r>
      <w:r w:rsidR="00C036F7">
        <w:rPr>
          <w:spacing w:val="-3"/>
          <w:sz w:val="24"/>
          <w:szCs w:val="24"/>
        </w:rPr>
        <w:t>Verizon denies Complainant called to complain about service issues in 2010</w:t>
      </w:r>
      <w:r>
        <w:rPr>
          <w:spacing w:val="-3"/>
          <w:sz w:val="24"/>
          <w:szCs w:val="24"/>
        </w:rPr>
        <w:t xml:space="preserve">, however, </w:t>
      </w:r>
      <w:r w:rsidR="00C036F7">
        <w:rPr>
          <w:spacing w:val="-3"/>
          <w:sz w:val="24"/>
          <w:szCs w:val="24"/>
        </w:rPr>
        <w:t xml:space="preserve">Verizon </w:t>
      </w:r>
      <w:r>
        <w:rPr>
          <w:spacing w:val="-3"/>
          <w:sz w:val="24"/>
          <w:szCs w:val="24"/>
        </w:rPr>
        <w:t>sent</w:t>
      </w:r>
      <w:r w:rsidR="00C036F7">
        <w:rPr>
          <w:spacing w:val="-3"/>
          <w:sz w:val="24"/>
          <w:szCs w:val="24"/>
        </w:rPr>
        <w:t xml:space="preserve"> out a technician to Complainant’s residence on February 24, 2011.  </w:t>
      </w:r>
      <w:proofErr w:type="gramStart"/>
      <w:r w:rsidR="00C036F7">
        <w:rPr>
          <w:spacing w:val="-3"/>
          <w:sz w:val="24"/>
          <w:szCs w:val="24"/>
        </w:rPr>
        <w:t>(Tr.</w:t>
      </w:r>
      <w:r w:rsidR="00263336">
        <w:rPr>
          <w:spacing w:val="-3"/>
          <w:sz w:val="24"/>
          <w:szCs w:val="24"/>
        </w:rPr>
        <w:t> </w:t>
      </w:r>
      <w:r w:rsidR="00C036F7">
        <w:rPr>
          <w:spacing w:val="-3"/>
          <w:sz w:val="24"/>
          <w:szCs w:val="24"/>
        </w:rPr>
        <w:t>14</w:t>
      </w:r>
      <w:r w:rsidR="00263336">
        <w:rPr>
          <w:spacing w:val="-3"/>
          <w:sz w:val="24"/>
          <w:szCs w:val="24"/>
        </w:rPr>
        <w:noBreakHyphen/>
      </w:r>
      <w:r w:rsidR="00C036F7">
        <w:rPr>
          <w:spacing w:val="-3"/>
          <w:sz w:val="24"/>
          <w:szCs w:val="24"/>
        </w:rPr>
        <w:t>15).</w:t>
      </w:r>
      <w:proofErr w:type="gramEnd"/>
    </w:p>
    <w:p w:rsidR="00A40ED2" w:rsidRPr="00A40ED2" w:rsidRDefault="00A40ED2" w:rsidP="00A40ED2">
      <w:pPr>
        <w:tabs>
          <w:tab w:val="left" w:pos="1440"/>
        </w:tabs>
        <w:spacing w:line="360" w:lineRule="auto"/>
        <w:rPr>
          <w:spacing w:val="-3"/>
          <w:sz w:val="24"/>
          <w:szCs w:val="24"/>
        </w:rPr>
      </w:pPr>
    </w:p>
    <w:p w:rsidR="00A40ED2" w:rsidRPr="00400241" w:rsidRDefault="00C80F96" w:rsidP="00400241">
      <w:pPr>
        <w:pStyle w:val="PlainText"/>
        <w:spacing w:line="360" w:lineRule="auto"/>
        <w:rPr>
          <w:rFonts w:ascii="Times New Roman" w:hAnsi="Times New Roman" w:cs="Times New Roman"/>
          <w:spacing w:val="-3"/>
          <w:sz w:val="24"/>
          <w:szCs w:val="24"/>
        </w:rPr>
      </w:pPr>
      <w:r>
        <w:rPr>
          <w:spacing w:val="-3"/>
          <w:sz w:val="24"/>
          <w:szCs w:val="24"/>
        </w:rPr>
        <w:tab/>
      </w:r>
      <w:r w:rsidR="005D2E92">
        <w:rPr>
          <w:spacing w:val="-3"/>
          <w:sz w:val="24"/>
          <w:szCs w:val="24"/>
        </w:rPr>
        <w:tab/>
      </w:r>
      <w:bookmarkStart w:id="0" w:name="_GoBack"/>
      <w:bookmarkEnd w:id="0"/>
      <w:r w:rsidRPr="00400241">
        <w:rPr>
          <w:rFonts w:ascii="Times New Roman" w:hAnsi="Times New Roman" w:cs="Times New Roman"/>
          <w:spacing w:val="-3"/>
          <w:sz w:val="24"/>
          <w:szCs w:val="24"/>
        </w:rPr>
        <w:t>14</w:t>
      </w:r>
      <w:r w:rsidR="00A40ED2" w:rsidRPr="00400241">
        <w:rPr>
          <w:rFonts w:ascii="Times New Roman" w:hAnsi="Times New Roman" w:cs="Times New Roman"/>
          <w:spacing w:val="-3"/>
          <w:sz w:val="24"/>
          <w:szCs w:val="24"/>
        </w:rPr>
        <w:t xml:space="preserve">. </w:t>
      </w:r>
      <w:r w:rsidR="00A40ED2" w:rsidRPr="00400241">
        <w:rPr>
          <w:rFonts w:ascii="Times New Roman" w:hAnsi="Times New Roman" w:cs="Times New Roman"/>
          <w:spacing w:val="-3"/>
          <w:sz w:val="24"/>
          <w:szCs w:val="24"/>
        </w:rPr>
        <w:tab/>
      </w:r>
      <w:r w:rsidR="00907A5C" w:rsidRPr="00400241">
        <w:rPr>
          <w:rFonts w:ascii="Times New Roman" w:hAnsi="Times New Roman" w:cs="Times New Roman"/>
          <w:spacing w:val="-3"/>
          <w:sz w:val="24"/>
          <w:szCs w:val="24"/>
        </w:rPr>
        <w:t xml:space="preserve"> </w:t>
      </w:r>
      <w:r w:rsidR="00400241" w:rsidRPr="00400241">
        <w:rPr>
          <w:rFonts w:ascii="Times New Roman" w:hAnsi="Times New Roman" w:cs="Times New Roman"/>
          <w:sz w:val="24"/>
          <w:szCs w:val="24"/>
        </w:rPr>
        <w:t>Verizon provides Complainant with unlimited local calling in Philadelphia only and will charge over the basic charge if Complainant calls a telephone number which is more than eighteen miles from a center point in downtown Philadelphia.</w:t>
      </w:r>
      <w:r w:rsidR="00400241">
        <w:rPr>
          <w:rFonts w:ascii="Times New Roman" w:hAnsi="Times New Roman" w:cs="Times New Roman"/>
          <w:sz w:val="24"/>
          <w:szCs w:val="24"/>
        </w:rPr>
        <w:t xml:space="preserve"> </w:t>
      </w:r>
      <w:r w:rsidR="00400241" w:rsidRPr="00400241">
        <w:rPr>
          <w:rFonts w:ascii="Times New Roman" w:hAnsi="Times New Roman" w:cs="Times New Roman"/>
          <w:spacing w:val="-3"/>
          <w:sz w:val="24"/>
          <w:szCs w:val="24"/>
        </w:rPr>
        <w:t xml:space="preserve"> </w:t>
      </w:r>
      <w:r w:rsidR="00C036F7" w:rsidRPr="00400241">
        <w:rPr>
          <w:rFonts w:ascii="Times New Roman" w:hAnsi="Times New Roman" w:cs="Times New Roman"/>
          <w:spacing w:val="-3"/>
          <w:sz w:val="24"/>
          <w:szCs w:val="24"/>
        </w:rPr>
        <w:t>(Tr. 16-17).</w:t>
      </w:r>
    </w:p>
    <w:p w:rsidR="00A40ED2" w:rsidRPr="00A40ED2" w:rsidRDefault="00A40ED2" w:rsidP="00A40ED2">
      <w:pPr>
        <w:tabs>
          <w:tab w:val="left" w:pos="7890"/>
        </w:tabs>
        <w:spacing w:line="360" w:lineRule="auto"/>
        <w:rPr>
          <w:spacing w:val="-3"/>
          <w:sz w:val="24"/>
          <w:szCs w:val="24"/>
        </w:rPr>
      </w:pPr>
      <w:r w:rsidRPr="00A40ED2">
        <w:rPr>
          <w:spacing w:val="-3"/>
          <w:sz w:val="24"/>
          <w:szCs w:val="24"/>
        </w:rPr>
        <w:tab/>
      </w:r>
    </w:p>
    <w:p w:rsidR="00A40ED2" w:rsidRPr="00A40ED2" w:rsidRDefault="00C80F96" w:rsidP="00A40ED2">
      <w:pPr>
        <w:tabs>
          <w:tab w:val="left" w:pos="1440"/>
        </w:tabs>
        <w:spacing w:line="360" w:lineRule="auto"/>
        <w:rPr>
          <w:spacing w:val="-3"/>
          <w:sz w:val="24"/>
          <w:szCs w:val="24"/>
        </w:rPr>
      </w:pPr>
      <w:r>
        <w:rPr>
          <w:spacing w:val="-3"/>
          <w:sz w:val="24"/>
          <w:szCs w:val="24"/>
        </w:rPr>
        <w:tab/>
        <w:t>15</w:t>
      </w:r>
      <w:r w:rsidR="00A40ED2" w:rsidRPr="00A40ED2">
        <w:rPr>
          <w:spacing w:val="-3"/>
          <w:sz w:val="24"/>
          <w:szCs w:val="24"/>
        </w:rPr>
        <w:t>.</w:t>
      </w:r>
      <w:r w:rsidR="00A40ED2" w:rsidRPr="00A40ED2">
        <w:rPr>
          <w:spacing w:val="-3"/>
          <w:sz w:val="24"/>
          <w:szCs w:val="24"/>
        </w:rPr>
        <w:tab/>
      </w:r>
      <w:r w:rsidR="00941C1A">
        <w:rPr>
          <w:spacing w:val="-3"/>
          <w:sz w:val="24"/>
          <w:szCs w:val="24"/>
        </w:rPr>
        <w:t xml:space="preserve">After Complainant filed his formal complaint, Verizon </w:t>
      </w:r>
      <w:r>
        <w:rPr>
          <w:spacing w:val="-3"/>
          <w:sz w:val="24"/>
          <w:szCs w:val="24"/>
        </w:rPr>
        <w:t xml:space="preserve">credited his account </w:t>
      </w:r>
      <w:r w:rsidR="00941C1A">
        <w:rPr>
          <w:spacing w:val="-3"/>
          <w:sz w:val="24"/>
          <w:szCs w:val="24"/>
        </w:rPr>
        <w:t xml:space="preserve">$79.47 for past due charges listed on the current account.  </w:t>
      </w:r>
      <w:proofErr w:type="gramStart"/>
      <w:r w:rsidR="00941C1A">
        <w:rPr>
          <w:spacing w:val="-3"/>
          <w:sz w:val="24"/>
          <w:szCs w:val="24"/>
        </w:rPr>
        <w:t>(Tr. 18).</w:t>
      </w:r>
      <w:proofErr w:type="gramEnd"/>
    </w:p>
    <w:p w:rsidR="00A40ED2" w:rsidRPr="00A40ED2" w:rsidRDefault="00A40ED2" w:rsidP="00A40ED2">
      <w:pPr>
        <w:tabs>
          <w:tab w:val="left" w:pos="1440"/>
        </w:tabs>
        <w:spacing w:line="360" w:lineRule="auto"/>
        <w:rPr>
          <w:spacing w:val="-3"/>
          <w:sz w:val="24"/>
          <w:szCs w:val="24"/>
        </w:rPr>
      </w:pPr>
    </w:p>
    <w:p w:rsidR="00A40ED2" w:rsidRPr="00A40ED2" w:rsidRDefault="00C80F96" w:rsidP="00A40ED2">
      <w:pPr>
        <w:tabs>
          <w:tab w:val="left" w:pos="1440"/>
        </w:tabs>
        <w:spacing w:line="360" w:lineRule="auto"/>
        <w:rPr>
          <w:spacing w:val="-3"/>
          <w:sz w:val="24"/>
          <w:szCs w:val="24"/>
        </w:rPr>
      </w:pPr>
      <w:r>
        <w:rPr>
          <w:spacing w:val="-3"/>
          <w:sz w:val="24"/>
          <w:szCs w:val="24"/>
        </w:rPr>
        <w:tab/>
        <w:t>16</w:t>
      </w:r>
      <w:r w:rsidR="00A40ED2" w:rsidRPr="00A40ED2">
        <w:rPr>
          <w:spacing w:val="-3"/>
          <w:sz w:val="24"/>
          <w:szCs w:val="24"/>
        </w:rPr>
        <w:t>.</w:t>
      </w:r>
      <w:r w:rsidR="00A40ED2" w:rsidRPr="00A40ED2">
        <w:rPr>
          <w:spacing w:val="-3"/>
          <w:sz w:val="24"/>
          <w:szCs w:val="24"/>
        </w:rPr>
        <w:tab/>
      </w:r>
      <w:r w:rsidR="00941C1A">
        <w:rPr>
          <w:spacing w:val="-3"/>
          <w:sz w:val="24"/>
          <w:szCs w:val="24"/>
        </w:rPr>
        <w:t>In addition to crediting his account for $79.47, Verizon also credited $105.22 to Complainant’s account</w:t>
      </w:r>
      <w:r>
        <w:rPr>
          <w:spacing w:val="-3"/>
          <w:sz w:val="24"/>
          <w:szCs w:val="24"/>
        </w:rPr>
        <w:t xml:space="preserve"> as “adjustment to final bill account”</w:t>
      </w:r>
      <w:r w:rsidR="00941C1A">
        <w:rPr>
          <w:spacing w:val="-3"/>
          <w:sz w:val="24"/>
          <w:szCs w:val="24"/>
        </w:rPr>
        <w:t xml:space="preserve">, which brought the balance up to date.  </w:t>
      </w:r>
      <w:proofErr w:type="gramStart"/>
      <w:r w:rsidR="00941C1A">
        <w:rPr>
          <w:spacing w:val="-3"/>
          <w:sz w:val="24"/>
          <w:szCs w:val="24"/>
        </w:rPr>
        <w:t>(Tr. 18-19</w:t>
      </w:r>
      <w:r>
        <w:rPr>
          <w:spacing w:val="-3"/>
          <w:sz w:val="24"/>
          <w:szCs w:val="24"/>
        </w:rPr>
        <w:t>; Verizon PA Exhibit 2</w:t>
      </w:r>
      <w:r w:rsidR="00941C1A">
        <w:rPr>
          <w:spacing w:val="-3"/>
          <w:sz w:val="24"/>
          <w:szCs w:val="24"/>
        </w:rPr>
        <w:t>).</w:t>
      </w:r>
      <w:proofErr w:type="gramEnd"/>
    </w:p>
    <w:p w:rsidR="00A40ED2" w:rsidRPr="00A40ED2" w:rsidRDefault="00A40ED2" w:rsidP="00A40ED2">
      <w:pPr>
        <w:tabs>
          <w:tab w:val="left" w:pos="1440"/>
        </w:tabs>
        <w:spacing w:line="360" w:lineRule="auto"/>
        <w:rPr>
          <w:spacing w:val="-3"/>
          <w:sz w:val="24"/>
          <w:szCs w:val="24"/>
        </w:rPr>
      </w:pPr>
      <w:r w:rsidRPr="00A40ED2">
        <w:rPr>
          <w:spacing w:val="-3"/>
          <w:sz w:val="24"/>
          <w:szCs w:val="24"/>
        </w:rPr>
        <w:tab/>
      </w:r>
    </w:p>
    <w:p w:rsidR="00A40ED2" w:rsidRPr="00A40ED2" w:rsidRDefault="00C80F96" w:rsidP="00A40ED2">
      <w:pPr>
        <w:tabs>
          <w:tab w:val="left" w:pos="1440"/>
        </w:tabs>
        <w:spacing w:line="360" w:lineRule="auto"/>
        <w:rPr>
          <w:spacing w:val="-3"/>
          <w:sz w:val="24"/>
          <w:szCs w:val="24"/>
        </w:rPr>
      </w:pPr>
      <w:r>
        <w:rPr>
          <w:spacing w:val="-3"/>
          <w:sz w:val="24"/>
          <w:szCs w:val="24"/>
        </w:rPr>
        <w:tab/>
        <w:t>17</w:t>
      </w:r>
      <w:r w:rsidR="00A40ED2" w:rsidRPr="00A40ED2">
        <w:rPr>
          <w:spacing w:val="-3"/>
          <w:sz w:val="24"/>
          <w:szCs w:val="24"/>
        </w:rPr>
        <w:t>.</w:t>
      </w:r>
      <w:r w:rsidR="00A40ED2" w:rsidRPr="00A40ED2">
        <w:rPr>
          <w:spacing w:val="-3"/>
          <w:sz w:val="24"/>
          <w:szCs w:val="24"/>
        </w:rPr>
        <w:tab/>
      </w:r>
      <w:r w:rsidR="00941C1A">
        <w:rPr>
          <w:spacing w:val="-3"/>
          <w:sz w:val="24"/>
          <w:szCs w:val="24"/>
        </w:rPr>
        <w:t>Verizon alleged it credited $184.69 to Complainant’s account ($79.47 plus $105.22) in order to “accommodate him [Complainant] so that way, there could be a clean slate for today</w:t>
      </w:r>
      <w:r>
        <w:rPr>
          <w:spacing w:val="-3"/>
          <w:sz w:val="24"/>
          <w:szCs w:val="24"/>
        </w:rPr>
        <w:t xml:space="preserve"> [April 11, 2011]</w:t>
      </w:r>
      <w:r w:rsidR="00941C1A">
        <w:rPr>
          <w:spacing w:val="-3"/>
          <w:sz w:val="24"/>
          <w:szCs w:val="24"/>
        </w:rPr>
        <w:t xml:space="preserve">.  That if there weren’t anything going, everything is settled.”  </w:t>
      </w:r>
      <w:proofErr w:type="gramStart"/>
      <w:r w:rsidR="00941C1A">
        <w:rPr>
          <w:spacing w:val="-3"/>
          <w:sz w:val="24"/>
          <w:szCs w:val="24"/>
        </w:rPr>
        <w:t>(Tr. 19).</w:t>
      </w:r>
      <w:proofErr w:type="gramEnd"/>
    </w:p>
    <w:p w:rsidR="00A40ED2" w:rsidRPr="00A40ED2" w:rsidRDefault="00A40ED2" w:rsidP="00A40ED2">
      <w:pPr>
        <w:tabs>
          <w:tab w:val="left" w:pos="1440"/>
        </w:tabs>
        <w:spacing w:line="360" w:lineRule="auto"/>
        <w:rPr>
          <w:spacing w:val="-3"/>
          <w:sz w:val="24"/>
          <w:szCs w:val="24"/>
        </w:rPr>
      </w:pPr>
    </w:p>
    <w:p w:rsidR="00A40ED2" w:rsidRPr="00A40ED2" w:rsidRDefault="00C80F96" w:rsidP="00A40ED2">
      <w:pPr>
        <w:tabs>
          <w:tab w:val="left" w:pos="1440"/>
        </w:tabs>
        <w:spacing w:line="360" w:lineRule="auto"/>
        <w:rPr>
          <w:spacing w:val="-3"/>
          <w:sz w:val="24"/>
          <w:szCs w:val="24"/>
        </w:rPr>
      </w:pPr>
      <w:r>
        <w:rPr>
          <w:spacing w:val="-3"/>
          <w:sz w:val="24"/>
          <w:szCs w:val="24"/>
        </w:rPr>
        <w:tab/>
        <w:t>18</w:t>
      </w:r>
      <w:r w:rsidR="00A40ED2" w:rsidRPr="00A40ED2">
        <w:rPr>
          <w:spacing w:val="-3"/>
          <w:sz w:val="24"/>
          <w:szCs w:val="24"/>
        </w:rPr>
        <w:t>.</w:t>
      </w:r>
      <w:r w:rsidR="00A40ED2" w:rsidRPr="00A40ED2">
        <w:rPr>
          <w:spacing w:val="-3"/>
          <w:sz w:val="24"/>
          <w:szCs w:val="24"/>
        </w:rPr>
        <w:tab/>
        <w:t xml:space="preserve">  </w:t>
      </w:r>
      <w:r w:rsidR="00941C1A">
        <w:rPr>
          <w:spacing w:val="-3"/>
          <w:sz w:val="24"/>
          <w:szCs w:val="24"/>
        </w:rPr>
        <w:t>At the time of the hearing, Verizon offered to charge Complainant “$16 to $17 each month with the calling plan that he has and the Lifeline credit that he is certified for,” which includes unlimited local calling, a dial tone charge</w:t>
      </w:r>
      <w:r w:rsidR="005E11BC">
        <w:rPr>
          <w:spacing w:val="-3"/>
          <w:sz w:val="24"/>
          <w:szCs w:val="24"/>
        </w:rPr>
        <w:t xml:space="preserve">, 911 access fee, and various governmental fees.  </w:t>
      </w:r>
      <w:proofErr w:type="gramStart"/>
      <w:r w:rsidR="005E11BC">
        <w:rPr>
          <w:spacing w:val="-3"/>
          <w:sz w:val="24"/>
          <w:szCs w:val="24"/>
        </w:rPr>
        <w:t>(Tr. 19).</w:t>
      </w:r>
      <w:proofErr w:type="gramEnd"/>
      <w:r w:rsidR="005E11BC">
        <w:rPr>
          <w:spacing w:val="-3"/>
          <w:sz w:val="24"/>
          <w:szCs w:val="24"/>
        </w:rPr>
        <w:t xml:space="preserve">  </w:t>
      </w:r>
    </w:p>
    <w:p w:rsidR="00D748A4" w:rsidRDefault="00D748A4"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lastRenderedPageBreak/>
        <w:tab/>
        <w:t>19.</w:t>
      </w:r>
      <w:r w:rsidRPr="00A40ED2">
        <w:rPr>
          <w:spacing w:val="-3"/>
          <w:sz w:val="24"/>
          <w:szCs w:val="24"/>
        </w:rPr>
        <w:tab/>
      </w:r>
      <w:r w:rsidR="003B63EA">
        <w:rPr>
          <w:spacing w:val="-3"/>
          <w:sz w:val="24"/>
          <w:szCs w:val="24"/>
        </w:rPr>
        <w:t xml:space="preserve">On </w:t>
      </w:r>
      <w:r w:rsidR="00002F0F">
        <w:rPr>
          <w:spacing w:val="-3"/>
          <w:sz w:val="24"/>
          <w:szCs w:val="24"/>
        </w:rPr>
        <w:t>August 23, 2010</w:t>
      </w:r>
      <w:r w:rsidR="003B63EA">
        <w:rPr>
          <w:spacing w:val="-3"/>
          <w:sz w:val="24"/>
          <w:szCs w:val="24"/>
        </w:rPr>
        <w:t>, Complainant filed a formal complaint with the Commission.</w:t>
      </w:r>
    </w:p>
    <w:p w:rsidR="00A62F13" w:rsidRDefault="00A62F13" w:rsidP="00A40ED2">
      <w:pPr>
        <w:tabs>
          <w:tab w:val="left" w:pos="1440"/>
        </w:tabs>
        <w:spacing w:line="360" w:lineRule="auto"/>
        <w:rPr>
          <w:spacing w:val="-3"/>
          <w:sz w:val="24"/>
          <w:szCs w:val="24"/>
        </w:rPr>
      </w:pPr>
    </w:p>
    <w:p w:rsidR="00F26498" w:rsidRPr="00A40ED2" w:rsidRDefault="00F26498" w:rsidP="00F26498">
      <w:pPr>
        <w:spacing w:line="360" w:lineRule="auto"/>
        <w:jc w:val="center"/>
        <w:rPr>
          <w:sz w:val="24"/>
          <w:szCs w:val="24"/>
        </w:rPr>
      </w:pPr>
      <w:r w:rsidRPr="00A40ED2">
        <w:rPr>
          <w:sz w:val="24"/>
          <w:szCs w:val="24"/>
          <w:u w:val="single"/>
        </w:rPr>
        <w:t>DISCUSSION</w:t>
      </w:r>
    </w:p>
    <w:p w:rsidR="00F26498" w:rsidRDefault="00F26498" w:rsidP="00F26498">
      <w:pPr>
        <w:spacing w:line="360" w:lineRule="auto"/>
        <w:rPr>
          <w:sz w:val="24"/>
          <w:szCs w:val="24"/>
        </w:rPr>
      </w:pPr>
    </w:p>
    <w:p w:rsidR="00F26498" w:rsidRDefault="004106F5" w:rsidP="00F26498">
      <w:pPr>
        <w:spacing w:line="360" w:lineRule="auto"/>
        <w:rPr>
          <w:sz w:val="24"/>
          <w:szCs w:val="24"/>
        </w:rPr>
      </w:pPr>
      <w:r>
        <w:rPr>
          <w:sz w:val="24"/>
          <w:szCs w:val="24"/>
        </w:rPr>
        <w:tab/>
      </w:r>
      <w:r>
        <w:rPr>
          <w:sz w:val="24"/>
          <w:szCs w:val="24"/>
        </w:rPr>
        <w:tab/>
      </w:r>
      <w:r w:rsidR="00002F0F">
        <w:rPr>
          <w:sz w:val="24"/>
          <w:szCs w:val="24"/>
        </w:rPr>
        <w:t>Gaskins</w:t>
      </w:r>
      <w:r w:rsidRPr="004106F5">
        <w:rPr>
          <w:sz w:val="24"/>
          <w:szCs w:val="24"/>
        </w:rPr>
        <w:t xml:space="preserve"> challenges the reasonableness of the </w:t>
      </w:r>
      <w:r w:rsidR="00A717FA">
        <w:rPr>
          <w:sz w:val="24"/>
          <w:szCs w:val="24"/>
        </w:rPr>
        <w:t xml:space="preserve">telephone </w:t>
      </w:r>
      <w:r w:rsidRPr="004106F5">
        <w:rPr>
          <w:sz w:val="24"/>
          <w:szCs w:val="24"/>
        </w:rPr>
        <w:t xml:space="preserve">service </w:t>
      </w:r>
      <w:r w:rsidR="00C810AF">
        <w:rPr>
          <w:sz w:val="24"/>
          <w:szCs w:val="24"/>
        </w:rPr>
        <w:t>Verizon</w:t>
      </w:r>
      <w:r w:rsidRPr="004106F5">
        <w:rPr>
          <w:sz w:val="24"/>
          <w:szCs w:val="24"/>
        </w:rPr>
        <w:t xml:space="preserve"> provides him</w:t>
      </w:r>
      <w:r w:rsidR="00C80F96">
        <w:rPr>
          <w:sz w:val="24"/>
          <w:szCs w:val="24"/>
        </w:rPr>
        <w:t xml:space="preserve"> and contends he was overcharged</w:t>
      </w:r>
      <w:r w:rsidRPr="004106F5">
        <w:rPr>
          <w:sz w:val="24"/>
          <w:szCs w:val="24"/>
        </w:rPr>
        <w:t xml:space="preserve">.  For the reasons that follow, </w:t>
      </w:r>
      <w:r>
        <w:rPr>
          <w:sz w:val="24"/>
          <w:szCs w:val="24"/>
        </w:rPr>
        <w:t xml:space="preserve">his complaint </w:t>
      </w:r>
      <w:r w:rsidRPr="004106F5">
        <w:rPr>
          <w:sz w:val="24"/>
          <w:szCs w:val="24"/>
        </w:rPr>
        <w:t>possesses merit.</w:t>
      </w:r>
    </w:p>
    <w:p w:rsidR="004106F5" w:rsidRDefault="004106F5" w:rsidP="00F26498">
      <w:pPr>
        <w:spacing w:line="360" w:lineRule="auto"/>
        <w:rPr>
          <w:sz w:val="24"/>
          <w:szCs w:val="24"/>
        </w:rPr>
      </w:pPr>
    </w:p>
    <w:p w:rsidR="004106F5" w:rsidRDefault="004106F5" w:rsidP="00F26498">
      <w:pPr>
        <w:spacing w:line="360" w:lineRule="auto"/>
        <w:rPr>
          <w:sz w:val="24"/>
          <w:szCs w:val="24"/>
        </w:rPr>
      </w:pPr>
      <w:r>
        <w:rPr>
          <w:sz w:val="24"/>
          <w:szCs w:val="24"/>
        </w:rPr>
        <w:t>A.</w:t>
      </w:r>
      <w:r>
        <w:rPr>
          <w:sz w:val="24"/>
          <w:szCs w:val="24"/>
        </w:rPr>
        <w:tab/>
      </w:r>
      <w:r>
        <w:rPr>
          <w:sz w:val="24"/>
          <w:szCs w:val="24"/>
          <w:u w:val="single"/>
        </w:rPr>
        <w:t xml:space="preserve">The </w:t>
      </w:r>
      <w:r w:rsidR="00843BEE">
        <w:rPr>
          <w:sz w:val="24"/>
          <w:szCs w:val="24"/>
          <w:u w:val="single"/>
        </w:rPr>
        <w:t>Legal Standard</w:t>
      </w:r>
    </w:p>
    <w:p w:rsidR="004106F5" w:rsidRDefault="004106F5" w:rsidP="00F26498">
      <w:pPr>
        <w:spacing w:line="360" w:lineRule="auto"/>
        <w:rPr>
          <w:sz w:val="24"/>
          <w:szCs w:val="24"/>
        </w:rPr>
      </w:pPr>
    </w:p>
    <w:p w:rsidR="004106F5" w:rsidRPr="004106F5" w:rsidRDefault="004106F5" w:rsidP="004106F5">
      <w:pPr>
        <w:spacing w:line="360" w:lineRule="auto"/>
        <w:rPr>
          <w:sz w:val="24"/>
          <w:szCs w:val="24"/>
        </w:rPr>
      </w:pPr>
      <w:r>
        <w:rPr>
          <w:sz w:val="24"/>
          <w:szCs w:val="24"/>
        </w:rPr>
        <w:tab/>
      </w:r>
      <w:r>
        <w:rPr>
          <w:sz w:val="24"/>
          <w:szCs w:val="24"/>
        </w:rPr>
        <w:tab/>
      </w:r>
      <w:r w:rsidRPr="004106F5">
        <w:rPr>
          <w:sz w:val="24"/>
          <w:szCs w:val="24"/>
        </w:rPr>
        <w:t xml:space="preserve">Any person, having an interest in the subject matter, may file a complaint with the Commission setting forth any act or thing done or omitted to be done by any public utility in violation of any law, which the Commission has jurisdiction to administer.  </w:t>
      </w:r>
      <w:proofErr w:type="gramStart"/>
      <w:r w:rsidRPr="004106F5">
        <w:rPr>
          <w:sz w:val="24"/>
          <w:szCs w:val="24"/>
        </w:rPr>
        <w:t>66 Pa. C.S. §701.</w:t>
      </w:r>
      <w:proofErr w:type="gramEnd"/>
      <w:r w:rsidRPr="004106F5">
        <w:rPr>
          <w:sz w:val="24"/>
          <w:szCs w:val="24"/>
        </w:rPr>
        <w:t xml:space="preserve">  Section 1501 of the Public Utility Code (“Code”) imposes upon every public utility a duty to furnish and maintain adequate, efficient and reasonable service and facilities.  </w:t>
      </w:r>
      <w:proofErr w:type="gramStart"/>
      <w:r w:rsidRPr="004106F5">
        <w:rPr>
          <w:sz w:val="24"/>
          <w:szCs w:val="24"/>
        </w:rPr>
        <w:t>66 Pa. C.S. §1501.</w:t>
      </w:r>
      <w:proofErr w:type="gramEnd"/>
      <w:r w:rsidRPr="004106F5">
        <w:rPr>
          <w:sz w:val="24"/>
          <w:szCs w:val="24"/>
        </w:rPr>
        <w:t xml:space="preserve">  </w:t>
      </w:r>
      <w:r w:rsidR="009216BC">
        <w:rPr>
          <w:sz w:val="24"/>
          <w:szCs w:val="24"/>
        </w:rPr>
        <w:t xml:space="preserve">This service must be “reasonably continuous and without unreasonable interruptions or delay.”  </w:t>
      </w:r>
      <w:smartTag w:uri="urn:schemas-microsoft-com:office:smarttags" w:element="State">
        <w:smartTag w:uri="urn:schemas-microsoft-com:office:smarttags" w:element="place">
          <w:r w:rsidR="009216BC" w:rsidRPr="009216BC">
            <w:rPr>
              <w:i/>
              <w:sz w:val="24"/>
              <w:szCs w:val="24"/>
            </w:rPr>
            <w:t>Id</w:t>
          </w:r>
          <w:r w:rsidR="009216BC">
            <w:rPr>
              <w:sz w:val="24"/>
              <w:szCs w:val="24"/>
            </w:rPr>
            <w:t>.</w:t>
          </w:r>
        </w:smartTag>
      </w:smartTag>
      <w:r w:rsidR="009216BC">
        <w:rPr>
          <w:sz w:val="24"/>
          <w:szCs w:val="24"/>
        </w:rPr>
        <w:t xml:space="preserve">  The same</w:t>
      </w:r>
      <w:r w:rsidRPr="004106F5">
        <w:rPr>
          <w:sz w:val="24"/>
          <w:szCs w:val="24"/>
        </w:rPr>
        <w:t xml:space="preserve"> provision of the Code requires a public utility to “...make all such repairs, changes...and improvements in or to such service or facilities as shall be necessary or proper for the accommodation, convenience, and safety of its patrons, employees, and the public.”</w:t>
      </w:r>
    </w:p>
    <w:p w:rsidR="004106F5" w:rsidRPr="004106F5" w:rsidRDefault="004106F5" w:rsidP="004106F5">
      <w:pPr>
        <w:spacing w:line="360" w:lineRule="auto"/>
        <w:rPr>
          <w:sz w:val="24"/>
          <w:szCs w:val="24"/>
        </w:rPr>
      </w:pPr>
    </w:p>
    <w:p w:rsidR="004106F5" w:rsidRPr="004106F5" w:rsidRDefault="004106F5" w:rsidP="004106F5">
      <w:pPr>
        <w:spacing w:line="360" w:lineRule="auto"/>
        <w:rPr>
          <w:sz w:val="24"/>
          <w:szCs w:val="24"/>
        </w:rPr>
      </w:pPr>
      <w:r w:rsidRPr="004106F5">
        <w:rPr>
          <w:sz w:val="24"/>
          <w:szCs w:val="24"/>
        </w:rPr>
        <w:tab/>
      </w:r>
      <w:r w:rsidRPr="004106F5">
        <w:rPr>
          <w:sz w:val="24"/>
          <w:szCs w:val="24"/>
        </w:rPr>
        <w:tab/>
        <w:t xml:space="preserve">The term “service” is “used in its broadest and most inclusive sense, includ[ing] any and all acts done, rendered, or performed, and any and all things furnished or supplied...by public utilities...in the performance of their duties under [the Public Utility Code]....”  66 Pa. C.S. §102.  The term “facilities” refers to “all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  </w:t>
      </w:r>
      <w:smartTag w:uri="urn:schemas-microsoft-com:office:smarttags" w:element="State">
        <w:smartTag w:uri="urn:schemas-microsoft-com:office:smarttags" w:element="place">
          <w:r w:rsidRPr="001F5CA8">
            <w:rPr>
              <w:i/>
              <w:sz w:val="24"/>
              <w:szCs w:val="24"/>
            </w:rPr>
            <w:t>Id</w:t>
          </w:r>
          <w:r w:rsidRPr="004106F5">
            <w:rPr>
              <w:sz w:val="24"/>
              <w:szCs w:val="24"/>
            </w:rPr>
            <w:t>.</w:t>
          </w:r>
        </w:smartTag>
      </w:smartTag>
    </w:p>
    <w:p w:rsidR="004106F5" w:rsidRPr="004106F5" w:rsidRDefault="004106F5" w:rsidP="004106F5">
      <w:pPr>
        <w:spacing w:line="360" w:lineRule="auto"/>
        <w:rPr>
          <w:sz w:val="24"/>
          <w:szCs w:val="24"/>
        </w:rPr>
      </w:pPr>
    </w:p>
    <w:p w:rsidR="004106F5" w:rsidRPr="004106F5" w:rsidRDefault="004106F5" w:rsidP="004106F5">
      <w:pPr>
        <w:spacing w:line="360" w:lineRule="auto"/>
        <w:rPr>
          <w:sz w:val="24"/>
          <w:szCs w:val="24"/>
        </w:rPr>
      </w:pPr>
      <w:r w:rsidRPr="004106F5">
        <w:rPr>
          <w:sz w:val="24"/>
          <w:szCs w:val="24"/>
        </w:rPr>
        <w:tab/>
      </w:r>
      <w:r w:rsidRPr="004106F5">
        <w:rPr>
          <w:sz w:val="24"/>
          <w:szCs w:val="24"/>
        </w:rPr>
        <w:tab/>
        <w:t xml:space="preserve">Whenever the Commission, after reasonable notice and hearing upon complaint, finds the service or facilities of a public utility are unreasonable, unsafe, inadequate, insufficient, </w:t>
      </w:r>
      <w:r w:rsidRPr="004106F5">
        <w:rPr>
          <w:sz w:val="24"/>
          <w:szCs w:val="24"/>
        </w:rPr>
        <w:lastRenderedPageBreak/>
        <w:t xml:space="preserve">or otherwise in violation of the Code, the 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 reasonably necessary and proper for the safety, accommodation, and convenience of the public.  </w:t>
      </w:r>
      <w:proofErr w:type="gramStart"/>
      <w:r w:rsidRPr="004106F5">
        <w:rPr>
          <w:sz w:val="24"/>
          <w:szCs w:val="24"/>
        </w:rPr>
        <w:t>66 Pa. C.S. §1505(a).</w:t>
      </w:r>
      <w:proofErr w:type="gramEnd"/>
    </w:p>
    <w:p w:rsidR="004106F5" w:rsidRPr="004106F5" w:rsidRDefault="004106F5" w:rsidP="004106F5">
      <w:pPr>
        <w:spacing w:line="360" w:lineRule="auto"/>
        <w:rPr>
          <w:sz w:val="24"/>
          <w:szCs w:val="24"/>
        </w:rPr>
      </w:pPr>
    </w:p>
    <w:p w:rsidR="004106F5" w:rsidRPr="004106F5" w:rsidRDefault="004106F5" w:rsidP="004106F5">
      <w:pPr>
        <w:spacing w:line="360" w:lineRule="auto"/>
        <w:rPr>
          <w:sz w:val="24"/>
          <w:szCs w:val="24"/>
        </w:rPr>
      </w:pPr>
      <w:r w:rsidRPr="004106F5">
        <w:rPr>
          <w:sz w:val="24"/>
          <w:szCs w:val="24"/>
        </w:rPr>
        <w:tab/>
      </w:r>
      <w:r w:rsidRPr="004106F5">
        <w:rPr>
          <w:sz w:val="24"/>
          <w:szCs w:val="24"/>
        </w:rPr>
        <w:tab/>
        <w:t xml:space="preserve">By asserting </w:t>
      </w:r>
      <w:r w:rsidR="009216BC">
        <w:rPr>
          <w:sz w:val="24"/>
          <w:szCs w:val="24"/>
        </w:rPr>
        <w:t xml:space="preserve">Verizon </w:t>
      </w:r>
      <w:r w:rsidRPr="004106F5">
        <w:rPr>
          <w:sz w:val="24"/>
          <w:szCs w:val="24"/>
        </w:rPr>
        <w:t>fail</w:t>
      </w:r>
      <w:r w:rsidR="00C810AF">
        <w:rPr>
          <w:sz w:val="24"/>
          <w:szCs w:val="24"/>
        </w:rPr>
        <w:t>s</w:t>
      </w:r>
      <w:r w:rsidRPr="004106F5">
        <w:rPr>
          <w:sz w:val="24"/>
          <w:szCs w:val="24"/>
        </w:rPr>
        <w:t xml:space="preserve"> to provide him with residential telephone service free of the problems </w:t>
      </w:r>
      <w:r w:rsidR="00C810AF">
        <w:rPr>
          <w:sz w:val="24"/>
          <w:szCs w:val="24"/>
        </w:rPr>
        <w:t>described</w:t>
      </w:r>
      <w:r w:rsidRPr="004106F5">
        <w:rPr>
          <w:sz w:val="24"/>
          <w:szCs w:val="24"/>
        </w:rPr>
        <w:t xml:space="preserve">, Complainant implicitly alleges </w:t>
      </w:r>
      <w:r w:rsidR="009216BC">
        <w:rPr>
          <w:sz w:val="24"/>
          <w:szCs w:val="24"/>
        </w:rPr>
        <w:t xml:space="preserve">Verizon </w:t>
      </w:r>
      <w:r w:rsidRPr="004106F5">
        <w:rPr>
          <w:sz w:val="24"/>
          <w:szCs w:val="24"/>
        </w:rPr>
        <w:t xml:space="preserve">offers him inadequate or unreasonable service in violation of the Code.  </w:t>
      </w:r>
      <w:proofErr w:type="gramStart"/>
      <w:r w:rsidRPr="004106F5">
        <w:rPr>
          <w:sz w:val="24"/>
          <w:szCs w:val="24"/>
        </w:rPr>
        <w:t>66 Pa. C.S. §1501.</w:t>
      </w:r>
      <w:proofErr w:type="gramEnd"/>
      <w:r w:rsidRPr="004106F5">
        <w:rPr>
          <w:sz w:val="24"/>
          <w:szCs w:val="24"/>
        </w:rPr>
        <w:t xml:space="preserve">  As the proponent of this allegation seeking affirmative relief from the Commission, Complainant bears the burden of proof.  </w:t>
      </w:r>
      <w:proofErr w:type="gramStart"/>
      <w:r w:rsidRPr="004106F5">
        <w:rPr>
          <w:sz w:val="24"/>
          <w:szCs w:val="24"/>
        </w:rPr>
        <w:t>66 Pa. C.S. §332(a).</w:t>
      </w:r>
      <w:proofErr w:type="gramEnd"/>
    </w:p>
    <w:p w:rsidR="004106F5" w:rsidRDefault="004106F5" w:rsidP="004106F5">
      <w:pPr>
        <w:spacing w:line="360" w:lineRule="auto"/>
        <w:rPr>
          <w:sz w:val="24"/>
          <w:szCs w:val="24"/>
        </w:rPr>
      </w:pPr>
    </w:p>
    <w:p w:rsidR="009216BC" w:rsidRDefault="009216BC" w:rsidP="004106F5">
      <w:pPr>
        <w:spacing w:line="360" w:lineRule="auto"/>
        <w:rPr>
          <w:sz w:val="24"/>
          <w:szCs w:val="24"/>
        </w:rPr>
      </w:pPr>
      <w:r>
        <w:rPr>
          <w:sz w:val="24"/>
          <w:szCs w:val="24"/>
        </w:rPr>
        <w:t>B.</w:t>
      </w:r>
      <w:r>
        <w:rPr>
          <w:sz w:val="24"/>
          <w:szCs w:val="24"/>
        </w:rPr>
        <w:tab/>
      </w:r>
      <w:r>
        <w:rPr>
          <w:sz w:val="24"/>
          <w:szCs w:val="24"/>
          <w:u w:val="single"/>
        </w:rPr>
        <w:t>The Burden of Proof</w:t>
      </w:r>
    </w:p>
    <w:p w:rsidR="009216BC" w:rsidRDefault="009216BC" w:rsidP="004106F5">
      <w:pPr>
        <w:spacing w:line="360" w:lineRule="auto"/>
        <w:rPr>
          <w:sz w:val="24"/>
          <w:szCs w:val="24"/>
        </w:rPr>
      </w:pPr>
    </w:p>
    <w:p w:rsidR="000D12EE" w:rsidRDefault="009216BC" w:rsidP="000D12EE">
      <w:pPr>
        <w:spacing w:line="360" w:lineRule="auto"/>
        <w:rPr>
          <w:sz w:val="24"/>
          <w:szCs w:val="24"/>
        </w:rPr>
      </w:pPr>
      <w:r>
        <w:rPr>
          <w:sz w:val="24"/>
          <w:szCs w:val="24"/>
        </w:rPr>
        <w:tab/>
      </w:r>
      <w:r>
        <w:rPr>
          <w:sz w:val="24"/>
          <w:szCs w:val="24"/>
        </w:rPr>
        <w:tab/>
      </w:r>
      <w:r w:rsidR="000D12EE" w:rsidRPr="000D12EE">
        <w:rPr>
          <w:sz w:val="24"/>
          <w:szCs w:val="24"/>
        </w:rPr>
        <w:t>The term “burden of proof” mean</w:t>
      </w:r>
      <w:r w:rsidR="000D12EE">
        <w:rPr>
          <w:sz w:val="24"/>
          <w:szCs w:val="24"/>
        </w:rPr>
        <w:t>s</w:t>
      </w:r>
      <w:r w:rsidR="000D12EE" w:rsidRPr="000D12EE">
        <w:rPr>
          <w:sz w:val="24"/>
          <w:szCs w:val="24"/>
        </w:rPr>
        <w:t xml:space="preserve"> a duty to establish a fact by a preponderance of the evidence.</w:t>
      </w:r>
      <w:r w:rsidR="00F6346E">
        <w:rPr>
          <w:rStyle w:val="FootnoteReference"/>
          <w:sz w:val="24"/>
          <w:szCs w:val="24"/>
        </w:rPr>
        <w:footnoteReference w:id="1"/>
      </w:r>
      <w:r w:rsidR="000D12EE" w:rsidRPr="000D12EE">
        <w:rPr>
          <w:sz w:val="24"/>
          <w:szCs w:val="24"/>
        </w:rPr>
        <w:t xml:space="preserve">  The term “preponderance of the evidence” means one party must present evidence which is more convincing by even the smallest amount than the evidence presented by the other party.</w:t>
      </w:r>
      <w:r w:rsidR="00F6346E">
        <w:rPr>
          <w:rStyle w:val="FootnoteReference"/>
          <w:sz w:val="24"/>
          <w:szCs w:val="24"/>
        </w:rPr>
        <w:footnoteReference w:id="2"/>
      </w:r>
      <w:r w:rsidR="00F6346E">
        <w:rPr>
          <w:sz w:val="24"/>
          <w:szCs w:val="24"/>
        </w:rPr>
        <w:t xml:space="preserve">  </w:t>
      </w:r>
      <w:r w:rsidR="000D12EE" w:rsidRPr="000D12EE">
        <w:rPr>
          <w:sz w:val="24"/>
          <w:szCs w:val="24"/>
        </w:rPr>
        <w:t xml:space="preserve">Accordingly, one must review the record in this case to determine whether </w:t>
      </w:r>
      <w:r w:rsidR="00C810AF">
        <w:rPr>
          <w:sz w:val="24"/>
          <w:szCs w:val="24"/>
        </w:rPr>
        <w:t>Complainant</w:t>
      </w:r>
      <w:r w:rsidR="000D12EE" w:rsidRPr="000D12EE">
        <w:rPr>
          <w:sz w:val="24"/>
          <w:szCs w:val="24"/>
        </w:rPr>
        <w:t xml:space="preserve"> satisfied his burden of proof.  If the review indicates </w:t>
      </w:r>
      <w:r w:rsidR="00F6346E">
        <w:rPr>
          <w:sz w:val="24"/>
          <w:szCs w:val="24"/>
        </w:rPr>
        <w:t xml:space="preserve">Complainant satisfied </w:t>
      </w:r>
      <w:r w:rsidR="000D12EE" w:rsidRPr="000D12EE">
        <w:rPr>
          <w:sz w:val="24"/>
          <w:szCs w:val="24"/>
        </w:rPr>
        <w:t xml:space="preserve">the burden, one must then determine whether </w:t>
      </w:r>
      <w:r w:rsidR="00C810AF">
        <w:rPr>
          <w:sz w:val="24"/>
          <w:szCs w:val="24"/>
        </w:rPr>
        <w:t>Respondent</w:t>
      </w:r>
      <w:r w:rsidR="000D12EE" w:rsidRPr="000D12EE">
        <w:rPr>
          <w:sz w:val="24"/>
          <w:szCs w:val="24"/>
        </w:rPr>
        <w:t xml:space="preserve"> submitted evidence of “co-equal” value or weight to refute </w:t>
      </w:r>
      <w:r w:rsidR="00C810AF">
        <w:rPr>
          <w:sz w:val="24"/>
          <w:szCs w:val="24"/>
        </w:rPr>
        <w:t>Complainant</w:t>
      </w:r>
      <w:r w:rsidR="000D12EE" w:rsidRPr="000D12EE">
        <w:rPr>
          <w:sz w:val="24"/>
          <w:szCs w:val="24"/>
        </w:rPr>
        <w:t xml:space="preserve">’s evidence.  If </w:t>
      </w:r>
      <w:r w:rsidR="00F6346E">
        <w:rPr>
          <w:sz w:val="24"/>
          <w:szCs w:val="24"/>
        </w:rPr>
        <w:t>Respondent</w:t>
      </w:r>
      <w:r w:rsidR="000D12EE" w:rsidRPr="000D12EE">
        <w:rPr>
          <w:sz w:val="24"/>
          <w:szCs w:val="24"/>
        </w:rPr>
        <w:t xml:space="preserve"> has, </w:t>
      </w:r>
      <w:r w:rsidR="00F6346E">
        <w:rPr>
          <w:sz w:val="24"/>
          <w:szCs w:val="24"/>
        </w:rPr>
        <w:t xml:space="preserve">Complainant has not satisfied </w:t>
      </w:r>
      <w:r w:rsidR="000D12EE" w:rsidRPr="000D12EE">
        <w:rPr>
          <w:sz w:val="24"/>
          <w:szCs w:val="24"/>
        </w:rPr>
        <w:t xml:space="preserve">the burden of proof, unless </w:t>
      </w:r>
      <w:r w:rsidR="00F6346E">
        <w:rPr>
          <w:sz w:val="24"/>
          <w:szCs w:val="24"/>
        </w:rPr>
        <w:t xml:space="preserve">Complainant, as </w:t>
      </w:r>
      <w:r w:rsidR="000D12EE" w:rsidRPr="000D12EE">
        <w:rPr>
          <w:sz w:val="24"/>
          <w:szCs w:val="24"/>
        </w:rPr>
        <w:t>the party bearing the burden of proof</w:t>
      </w:r>
      <w:r w:rsidR="00F6346E">
        <w:rPr>
          <w:sz w:val="24"/>
          <w:szCs w:val="24"/>
        </w:rPr>
        <w:t>,</w:t>
      </w:r>
      <w:r w:rsidR="000D12EE" w:rsidRPr="000D12EE">
        <w:rPr>
          <w:sz w:val="24"/>
          <w:szCs w:val="24"/>
        </w:rPr>
        <w:t xml:space="preserve"> presents additional evidence.</w:t>
      </w:r>
      <w:r w:rsidR="006A6B59">
        <w:rPr>
          <w:rStyle w:val="FootnoteReference"/>
          <w:sz w:val="24"/>
          <w:szCs w:val="24"/>
        </w:rPr>
        <w:footnoteReference w:id="3"/>
      </w:r>
      <w:r w:rsidR="000D12EE" w:rsidRPr="000D12EE">
        <w:rPr>
          <w:sz w:val="24"/>
          <w:szCs w:val="24"/>
        </w:rPr>
        <w:t xml:space="preserve">  </w:t>
      </w:r>
    </w:p>
    <w:p w:rsidR="006A6B59" w:rsidRPr="000D12EE" w:rsidRDefault="006A6B59" w:rsidP="000D12EE">
      <w:pPr>
        <w:spacing w:line="360" w:lineRule="auto"/>
        <w:rPr>
          <w:sz w:val="24"/>
          <w:szCs w:val="24"/>
        </w:rPr>
      </w:pPr>
    </w:p>
    <w:p w:rsidR="000D12EE" w:rsidRDefault="000D12EE" w:rsidP="000D12EE">
      <w:pPr>
        <w:spacing w:line="360" w:lineRule="auto"/>
        <w:rPr>
          <w:sz w:val="24"/>
          <w:szCs w:val="24"/>
        </w:rPr>
      </w:pPr>
      <w:r w:rsidRPr="000D12EE">
        <w:rPr>
          <w:sz w:val="24"/>
          <w:szCs w:val="24"/>
        </w:rPr>
        <w:lastRenderedPageBreak/>
        <w:tab/>
      </w:r>
      <w:r w:rsidRPr="000D12EE">
        <w:rPr>
          <w:sz w:val="24"/>
          <w:szCs w:val="24"/>
        </w:rPr>
        <w:tab/>
        <w:t>Furthermore, one must exercise care to ensure the decision of the Commission is supported by substantial evidence in the record.</w:t>
      </w:r>
      <w:r w:rsidR="006A6B59">
        <w:rPr>
          <w:rStyle w:val="FootnoteReference"/>
          <w:sz w:val="24"/>
          <w:szCs w:val="24"/>
        </w:rPr>
        <w:footnoteReference w:id="4"/>
      </w:r>
      <w:r w:rsidRPr="000D12EE">
        <w:rPr>
          <w:sz w:val="24"/>
          <w:szCs w:val="24"/>
        </w:rPr>
        <w:t xml:space="preserve">  The term “substantial evidence” mean</w:t>
      </w:r>
      <w:r>
        <w:rPr>
          <w:sz w:val="24"/>
          <w:szCs w:val="24"/>
        </w:rPr>
        <w:t>s</w:t>
      </w:r>
      <w:r w:rsidRPr="000D12EE">
        <w:rPr>
          <w:sz w:val="24"/>
          <w:szCs w:val="24"/>
        </w:rPr>
        <w:t xml:space="preserve"> such relevant evidence that a reasonable mind may accept as adequate to support a conclusion.  More is required than a mere trace of evidence or a suspicion of the existence of a fact sought to be established.</w:t>
      </w:r>
      <w:r w:rsidR="006A6B59">
        <w:rPr>
          <w:rStyle w:val="FootnoteReference"/>
          <w:sz w:val="24"/>
          <w:szCs w:val="24"/>
        </w:rPr>
        <w:footnoteReference w:id="5"/>
      </w:r>
      <w:r w:rsidRPr="000D12EE">
        <w:rPr>
          <w:sz w:val="24"/>
          <w:szCs w:val="24"/>
        </w:rPr>
        <w:t xml:space="preserve">  </w:t>
      </w:r>
      <w:r w:rsidR="00933DFB">
        <w:rPr>
          <w:sz w:val="24"/>
          <w:szCs w:val="24"/>
        </w:rPr>
        <w:t>Complainant</w:t>
      </w:r>
      <w:r w:rsidRPr="000D12EE">
        <w:rPr>
          <w:sz w:val="24"/>
          <w:szCs w:val="24"/>
        </w:rPr>
        <w:t xml:space="preserve"> must show the utility is responsible or accountable for the problem described in the complaint</w:t>
      </w:r>
      <w:r w:rsidR="00933DFB">
        <w:rPr>
          <w:sz w:val="24"/>
          <w:szCs w:val="24"/>
        </w:rPr>
        <w:t xml:space="preserve">, in order </w:t>
      </w:r>
      <w:r w:rsidR="00933DFB" w:rsidRPr="000D12EE">
        <w:rPr>
          <w:sz w:val="24"/>
          <w:szCs w:val="24"/>
        </w:rPr>
        <w:t>to establish a sufficient case against a utility and satisfy the burden of proof</w:t>
      </w:r>
      <w:r w:rsidRPr="000D12EE">
        <w:rPr>
          <w:sz w:val="24"/>
          <w:szCs w:val="24"/>
        </w:rPr>
        <w:t>.</w:t>
      </w:r>
      <w:r w:rsidR="00933DFB">
        <w:rPr>
          <w:rStyle w:val="FootnoteReference"/>
          <w:sz w:val="24"/>
          <w:szCs w:val="24"/>
        </w:rPr>
        <w:footnoteReference w:id="6"/>
      </w:r>
      <w:r w:rsidRPr="000D12EE">
        <w:rPr>
          <w:sz w:val="24"/>
          <w:szCs w:val="24"/>
        </w:rPr>
        <w:t xml:space="preserve">  </w:t>
      </w:r>
    </w:p>
    <w:p w:rsidR="00933DFB" w:rsidRDefault="00933DFB" w:rsidP="000D12EE">
      <w:pPr>
        <w:spacing w:line="360" w:lineRule="auto"/>
        <w:rPr>
          <w:sz w:val="24"/>
          <w:szCs w:val="24"/>
        </w:rPr>
      </w:pPr>
    </w:p>
    <w:p w:rsidR="000D12EE" w:rsidRDefault="009B7752" w:rsidP="000D12EE">
      <w:pPr>
        <w:spacing w:line="360" w:lineRule="auto"/>
        <w:rPr>
          <w:sz w:val="24"/>
          <w:szCs w:val="24"/>
        </w:rPr>
      </w:pPr>
      <w:r>
        <w:rPr>
          <w:sz w:val="24"/>
          <w:szCs w:val="24"/>
        </w:rPr>
        <w:t>C.</w:t>
      </w:r>
      <w:r>
        <w:rPr>
          <w:sz w:val="24"/>
          <w:szCs w:val="24"/>
        </w:rPr>
        <w:tab/>
      </w:r>
      <w:r w:rsidR="00395252">
        <w:rPr>
          <w:sz w:val="24"/>
          <w:szCs w:val="24"/>
          <w:u w:val="single"/>
        </w:rPr>
        <w:t>Overcharge</w:t>
      </w:r>
      <w:r>
        <w:rPr>
          <w:sz w:val="24"/>
          <w:szCs w:val="24"/>
          <w:u w:val="single"/>
        </w:rPr>
        <w:t xml:space="preserve"> </w:t>
      </w:r>
      <w:r w:rsidR="00C00A0C">
        <w:rPr>
          <w:sz w:val="24"/>
          <w:szCs w:val="24"/>
          <w:u w:val="single"/>
        </w:rPr>
        <w:t>Complaint</w:t>
      </w:r>
    </w:p>
    <w:p w:rsidR="009B7752" w:rsidRDefault="009B7752" w:rsidP="000D12EE">
      <w:pPr>
        <w:spacing w:line="360" w:lineRule="auto"/>
        <w:rPr>
          <w:sz w:val="24"/>
          <w:szCs w:val="24"/>
        </w:rPr>
      </w:pPr>
    </w:p>
    <w:p w:rsidR="007B126C" w:rsidRDefault="009B7752" w:rsidP="008A5D04">
      <w:pPr>
        <w:spacing w:line="360" w:lineRule="auto"/>
        <w:rPr>
          <w:sz w:val="24"/>
          <w:szCs w:val="24"/>
        </w:rPr>
      </w:pPr>
      <w:r>
        <w:rPr>
          <w:sz w:val="24"/>
          <w:szCs w:val="24"/>
        </w:rPr>
        <w:tab/>
      </w:r>
      <w:r>
        <w:rPr>
          <w:sz w:val="24"/>
          <w:szCs w:val="24"/>
        </w:rPr>
        <w:tab/>
      </w:r>
      <w:proofErr w:type="gramStart"/>
      <w:r w:rsidR="00C80F96">
        <w:rPr>
          <w:sz w:val="24"/>
          <w:szCs w:val="24"/>
        </w:rPr>
        <w:t>Gask</w:t>
      </w:r>
      <w:r w:rsidR="00002F0F">
        <w:rPr>
          <w:sz w:val="24"/>
          <w:szCs w:val="24"/>
        </w:rPr>
        <w:t xml:space="preserve">ins </w:t>
      </w:r>
      <w:r w:rsidR="004762C8">
        <w:rPr>
          <w:sz w:val="24"/>
          <w:szCs w:val="24"/>
        </w:rPr>
        <w:t>avers</w:t>
      </w:r>
      <w:proofErr w:type="gramEnd"/>
      <w:r w:rsidR="004762C8">
        <w:rPr>
          <w:sz w:val="24"/>
          <w:szCs w:val="24"/>
        </w:rPr>
        <w:t xml:space="preserve"> Verizon entered into an agreement with him, </w:t>
      </w:r>
      <w:r w:rsidR="00C00F7A">
        <w:rPr>
          <w:sz w:val="24"/>
          <w:szCs w:val="24"/>
        </w:rPr>
        <w:t>with assistance through the</w:t>
      </w:r>
      <w:r w:rsidR="004762C8">
        <w:rPr>
          <w:sz w:val="24"/>
          <w:szCs w:val="24"/>
        </w:rPr>
        <w:t xml:space="preserve"> Lifeline</w:t>
      </w:r>
      <w:r w:rsidR="00C00F7A">
        <w:rPr>
          <w:sz w:val="24"/>
          <w:szCs w:val="24"/>
        </w:rPr>
        <w:t xml:space="preserve"> program</w:t>
      </w:r>
      <w:r w:rsidR="004762C8">
        <w:rPr>
          <w:sz w:val="24"/>
          <w:szCs w:val="24"/>
        </w:rPr>
        <w:t xml:space="preserve">, to charge Complainant only $12.50 monthly for basic residential telephone service, including a wire maintenance plan.  </w:t>
      </w:r>
      <w:proofErr w:type="gramStart"/>
      <w:r w:rsidR="004762C8">
        <w:rPr>
          <w:sz w:val="24"/>
          <w:szCs w:val="24"/>
        </w:rPr>
        <w:t>Gaskins contends</w:t>
      </w:r>
      <w:proofErr w:type="gramEnd"/>
      <w:r w:rsidR="004762C8">
        <w:rPr>
          <w:sz w:val="24"/>
          <w:szCs w:val="24"/>
        </w:rPr>
        <w:t xml:space="preserve"> Verizon started over-charging him for telephone services in 2010.  </w:t>
      </w:r>
      <w:r w:rsidR="000C50C3">
        <w:rPr>
          <w:sz w:val="24"/>
          <w:szCs w:val="24"/>
        </w:rPr>
        <w:t xml:space="preserve">Complainant asks the Commission to </w:t>
      </w:r>
      <w:r w:rsidR="004762C8">
        <w:rPr>
          <w:sz w:val="24"/>
          <w:szCs w:val="24"/>
        </w:rPr>
        <w:t xml:space="preserve">require Verizon to charge him the agreed-upon rate, which rate should include the telephone wire maintenance plan.   </w:t>
      </w:r>
    </w:p>
    <w:p w:rsidR="009F7F88" w:rsidRDefault="009F7F88" w:rsidP="000D12EE">
      <w:pPr>
        <w:spacing w:line="360" w:lineRule="auto"/>
        <w:rPr>
          <w:sz w:val="24"/>
          <w:szCs w:val="24"/>
        </w:rPr>
      </w:pPr>
    </w:p>
    <w:p w:rsidR="003832CF" w:rsidRDefault="00024633" w:rsidP="000D12EE">
      <w:pPr>
        <w:spacing w:line="360" w:lineRule="auto"/>
        <w:rPr>
          <w:sz w:val="24"/>
          <w:szCs w:val="24"/>
        </w:rPr>
      </w:pPr>
      <w:r>
        <w:rPr>
          <w:sz w:val="24"/>
          <w:szCs w:val="24"/>
        </w:rPr>
        <w:tab/>
      </w:r>
      <w:r>
        <w:rPr>
          <w:sz w:val="24"/>
          <w:szCs w:val="24"/>
        </w:rPr>
        <w:tab/>
      </w:r>
      <w:r w:rsidR="003832CF">
        <w:rPr>
          <w:sz w:val="24"/>
          <w:szCs w:val="24"/>
        </w:rPr>
        <w:t xml:space="preserve">Verizon denies it entered into a payment agreement with Complainant to charge Complainant only $12.50 each month for basic residential telephone services and </w:t>
      </w:r>
      <w:proofErr w:type="gramStart"/>
      <w:r w:rsidR="003832CF">
        <w:rPr>
          <w:sz w:val="24"/>
          <w:szCs w:val="24"/>
        </w:rPr>
        <w:t>a wire</w:t>
      </w:r>
      <w:proofErr w:type="gramEnd"/>
      <w:r w:rsidR="003832CF">
        <w:rPr>
          <w:sz w:val="24"/>
          <w:szCs w:val="24"/>
        </w:rPr>
        <w:t xml:space="preserve"> maintenance plan.</w:t>
      </w:r>
      <w:r w:rsidR="008A5D04">
        <w:rPr>
          <w:sz w:val="24"/>
          <w:szCs w:val="24"/>
        </w:rPr>
        <w:t xml:space="preserve">  </w:t>
      </w:r>
      <w:r w:rsidR="003832CF">
        <w:rPr>
          <w:sz w:val="24"/>
          <w:szCs w:val="24"/>
        </w:rPr>
        <w:t xml:space="preserve">Verizon insists it has charged Complainant varying amounts since 2007 because Complainant qualified sometimes for Lifeline 100 credits, or Lifeline 135 credits, or didn’t qualify for any credits.  Verizon admits Complainant’s payments initially included paying for a wire maintenance plan but insists Complainant no longer qualifies for a wire maintenance plan because he only receives basic services.  </w:t>
      </w:r>
    </w:p>
    <w:p w:rsidR="00C7680F" w:rsidRDefault="00C7680F" w:rsidP="000D12EE">
      <w:pPr>
        <w:spacing w:line="360" w:lineRule="auto"/>
        <w:rPr>
          <w:sz w:val="24"/>
          <w:szCs w:val="24"/>
        </w:rPr>
      </w:pPr>
    </w:p>
    <w:p w:rsidR="00C7680F" w:rsidRDefault="00C7680F" w:rsidP="000D12EE">
      <w:pPr>
        <w:spacing w:line="360" w:lineRule="auto"/>
        <w:rPr>
          <w:sz w:val="24"/>
          <w:szCs w:val="24"/>
        </w:rPr>
      </w:pPr>
      <w:r>
        <w:rPr>
          <w:sz w:val="24"/>
          <w:szCs w:val="24"/>
        </w:rPr>
        <w:lastRenderedPageBreak/>
        <w:tab/>
      </w:r>
      <w:r>
        <w:rPr>
          <w:sz w:val="24"/>
          <w:szCs w:val="24"/>
        </w:rPr>
        <w:tab/>
        <w:t>The evidence presented clearly shows Complainant agreed in June 2009 to pay $8.87 each month to Verizon for telephone services with $5.99 added each month for wire maintenance and, with applicable fees and taxes added</w:t>
      </w:r>
      <w:proofErr w:type="gramStart"/>
      <w:r>
        <w:rPr>
          <w:sz w:val="24"/>
          <w:szCs w:val="24"/>
        </w:rPr>
        <w:t>,</w:t>
      </w:r>
      <w:proofErr w:type="gramEnd"/>
      <w:r>
        <w:rPr>
          <w:sz w:val="24"/>
          <w:szCs w:val="24"/>
        </w:rPr>
        <w:t xml:space="preserve"> his total monthly bill at that time was $22.05 per month.</w:t>
      </w:r>
    </w:p>
    <w:p w:rsidR="00C00F7A" w:rsidRDefault="00C00F7A" w:rsidP="000D12EE">
      <w:pPr>
        <w:spacing w:line="360" w:lineRule="auto"/>
        <w:rPr>
          <w:sz w:val="24"/>
          <w:szCs w:val="24"/>
        </w:rPr>
      </w:pPr>
    </w:p>
    <w:p w:rsidR="008A5D04" w:rsidRDefault="00C00F7A" w:rsidP="000D12EE">
      <w:pPr>
        <w:spacing w:line="360" w:lineRule="auto"/>
        <w:rPr>
          <w:sz w:val="24"/>
          <w:szCs w:val="24"/>
        </w:rPr>
      </w:pPr>
      <w:r>
        <w:rPr>
          <w:sz w:val="24"/>
          <w:szCs w:val="24"/>
        </w:rPr>
        <w:tab/>
      </w:r>
      <w:r>
        <w:rPr>
          <w:sz w:val="24"/>
          <w:szCs w:val="24"/>
        </w:rPr>
        <w:tab/>
        <w:t>Unfortunately, Verizon chose not to submit evidence of what it billed Complainant and how it determined the amounts due and payable from Complainant each month</w:t>
      </w:r>
      <w:r w:rsidR="00C7680F">
        <w:rPr>
          <w:sz w:val="24"/>
          <w:szCs w:val="24"/>
        </w:rPr>
        <w:t xml:space="preserve"> from June 2009 to March 2011</w:t>
      </w:r>
      <w:r>
        <w:rPr>
          <w:sz w:val="24"/>
          <w:szCs w:val="24"/>
        </w:rPr>
        <w:t>.  Verizon did not present copies of its own computer screens, or printouts of Complainant’s account su</w:t>
      </w:r>
      <w:r w:rsidR="00395252">
        <w:rPr>
          <w:sz w:val="24"/>
          <w:szCs w:val="24"/>
        </w:rPr>
        <w:t xml:space="preserve">mmary.  What Verizon submitted, </w:t>
      </w:r>
      <w:r>
        <w:rPr>
          <w:sz w:val="24"/>
          <w:szCs w:val="24"/>
        </w:rPr>
        <w:t xml:space="preserve">in </w:t>
      </w:r>
      <w:r w:rsidR="00395252">
        <w:rPr>
          <w:sz w:val="24"/>
          <w:szCs w:val="24"/>
        </w:rPr>
        <w:t>Verizon PA</w:t>
      </w:r>
      <w:r>
        <w:rPr>
          <w:sz w:val="24"/>
          <w:szCs w:val="24"/>
        </w:rPr>
        <w:t xml:space="preserve"> Exhibit</w:t>
      </w:r>
      <w:r w:rsidR="002E796C">
        <w:rPr>
          <w:sz w:val="24"/>
          <w:szCs w:val="24"/>
        </w:rPr>
        <w:t> </w:t>
      </w:r>
      <w:r>
        <w:rPr>
          <w:sz w:val="24"/>
          <w:szCs w:val="24"/>
        </w:rPr>
        <w:t>#2</w:t>
      </w:r>
      <w:r w:rsidR="00395252">
        <w:rPr>
          <w:sz w:val="24"/>
          <w:szCs w:val="24"/>
        </w:rPr>
        <w:t>,</w:t>
      </w:r>
      <w:r>
        <w:rPr>
          <w:sz w:val="24"/>
          <w:szCs w:val="24"/>
        </w:rPr>
        <w:t xml:space="preserve"> was a typed listing with only four columns:</w:t>
      </w:r>
      <w:r w:rsidR="002E796C">
        <w:rPr>
          <w:sz w:val="24"/>
          <w:szCs w:val="24"/>
        </w:rPr>
        <w:t xml:space="preserve"> </w:t>
      </w:r>
      <w:r>
        <w:rPr>
          <w:sz w:val="24"/>
          <w:szCs w:val="24"/>
        </w:rPr>
        <w:t xml:space="preserve"> Bill Date, Current Charges, Lifeline Credit, and Payment.  The “account billing and payment summary” did not show</w:t>
      </w:r>
      <w:r w:rsidR="008A5D04">
        <w:rPr>
          <w:sz w:val="24"/>
          <w:szCs w:val="24"/>
        </w:rPr>
        <w:t xml:space="preserve"> any of the following data:</w:t>
      </w:r>
    </w:p>
    <w:p w:rsidR="008A5D04" w:rsidRDefault="008A5D04" w:rsidP="00ED559F">
      <w:pPr>
        <w:pStyle w:val="ListParagraph"/>
        <w:numPr>
          <w:ilvl w:val="0"/>
          <w:numId w:val="7"/>
        </w:numPr>
        <w:ind w:firstLine="360"/>
        <w:rPr>
          <w:sz w:val="24"/>
          <w:szCs w:val="24"/>
        </w:rPr>
      </w:pPr>
      <w:r>
        <w:rPr>
          <w:sz w:val="24"/>
          <w:szCs w:val="24"/>
        </w:rPr>
        <w:t>Th</w:t>
      </w:r>
      <w:r w:rsidR="00C00F7A" w:rsidRPr="008A5D04">
        <w:rPr>
          <w:sz w:val="24"/>
          <w:szCs w:val="24"/>
        </w:rPr>
        <w:t>e bill due date</w:t>
      </w:r>
      <w:r>
        <w:rPr>
          <w:sz w:val="24"/>
          <w:szCs w:val="24"/>
        </w:rPr>
        <w:t xml:space="preserve">; </w:t>
      </w:r>
    </w:p>
    <w:p w:rsidR="00ED559F" w:rsidRDefault="00ED559F" w:rsidP="00ED559F">
      <w:pPr>
        <w:pStyle w:val="ListParagraph"/>
        <w:ind w:left="2160"/>
        <w:rPr>
          <w:sz w:val="24"/>
          <w:szCs w:val="24"/>
        </w:rPr>
      </w:pPr>
    </w:p>
    <w:p w:rsidR="00ED559F" w:rsidRDefault="008A5D04" w:rsidP="00ED559F">
      <w:pPr>
        <w:pStyle w:val="ListParagraph"/>
        <w:numPr>
          <w:ilvl w:val="0"/>
          <w:numId w:val="7"/>
        </w:numPr>
        <w:ind w:left="2880" w:hanging="720"/>
        <w:rPr>
          <w:sz w:val="24"/>
          <w:szCs w:val="24"/>
        </w:rPr>
      </w:pPr>
      <w:r w:rsidRPr="00ED559F">
        <w:rPr>
          <w:sz w:val="24"/>
          <w:szCs w:val="24"/>
        </w:rPr>
        <w:t>I</w:t>
      </w:r>
      <w:r w:rsidR="00C00F7A" w:rsidRPr="00ED559F">
        <w:rPr>
          <w:sz w:val="24"/>
          <w:szCs w:val="24"/>
        </w:rPr>
        <w:t>ndicate if “current charges” are the total amount billed or a portion of the charges incurred</w:t>
      </w:r>
      <w:r w:rsidRPr="00ED559F">
        <w:rPr>
          <w:sz w:val="24"/>
          <w:szCs w:val="24"/>
        </w:rPr>
        <w:t xml:space="preserve"> prior to fees and surcharges;</w:t>
      </w:r>
    </w:p>
    <w:p w:rsidR="00ED559F" w:rsidRPr="00ED559F" w:rsidRDefault="00ED559F" w:rsidP="00ED559F">
      <w:pPr>
        <w:rPr>
          <w:sz w:val="24"/>
          <w:szCs w:val="24"/>
        </w:rPr>
      </w:pPr>
    </w:p>
    <w:p w:rsidR="008A5D04" w:rsidRDefault="008A5D04" w:rsidP="00ED559F">
      <w:pPr>
        <w:pStyle w:val="ListParagraph"/>
        <w:numPr>
          <w:ilvl w:val="0"/>
          <w:numId w:val="7"/>
        </w:numPr>
        <w:ind w:firstLine="360"/>
        <w:rPr>
          <w:sz w:val="24"/>
          <w:szCs w:val="24"/>
        </w:rPr>
      </w:pPr>
      <w:r>
        <w:rPr>
          <w:sz w:val="24"/>
          <w:szCs w:val="24"/>
        </w:rPr>
        <w:t>I</w:t>
      </w:r>
      <w:r w:rsidR="00C00F7A" w:rsidRPr="008A5D04">
        <w:rPr>
          <w:sz w:val="24"/>
          <w:szCs w:val="24"/>
        </w:rPr>
        <w:t>ndicate the amount of taxes or fees due monthly</w:t>
      </w:r>
      <w:r>
        <w:rPr>
          <w:sz w:val="24"/>
          <w:szCs w:val="24"/>
        </w:rPr>
        <w:t xml:space="preserve">; </w:t>
      </w:r>
    </w:p>
    <w:p w:rsidR="00ED559F" w:rsidRPr="00ED559F" w:rsidRDefault="00ED559F" w:rsidP="00ED559F">
      <w:pPr>
        <w:rPr>
          <w:sz w:val="24"/>
          <w:szCs w:val="24"/>
        </w:rPr>
      </w:pPr>
    </w:p>
    <w:p w:rsidR="008A5D04" w:rsidRDefault="008A5D04" w:rsidP="00ED559F">
      <w:pPr>
        <w:pStyle w:val="ListParagraph"/>
        <w:numPr>
          <w:ilvl w:val="0"/>
          <w:numId w:val="7"/>
        </w:numPr>
        <w:ind w:firstLine="360"/>
        <w:rPr>
          <w:sz w:val="24"/>
          <w:szCs w:val="24"/>
        </w:rPr>
      </w:pPr>
      <w:r>
        <w:rPr>
          <w:sz w:val="24"/>
          <w:szCs w:val="24"/>
        </w:rPr>
        <w:t>T</w:t>
      </w:r>
      <w:r w:rsidR="00C00F7A" w:rsidRPr="008A5D04">
        <w:rPr>
          <w:sz w:val="24"/>
          <w:szCs w:val="24"/>
        </w:rPr>
        <w:t>he total amount billed monthly</w:t>
      </w:r>
      <w:r>
        <w:rPr>
          <w:sz w:val="24"/>
          <w:szCs w:val="24"/>
        </w:rPr>
        <w:t xml:space="preserve">; </w:t>
      </w:r>
    </w:p>
    <w:p w:rsidR="00ED559F" w:rsidRPr="00ED559F" w:rsidRDefault="00ED559F" w:rsidP="00ED559F">
      <w:pPr>
        <w:rPr>
          <w:sz w:val="24"/>
          <w:szCs w:val="24"/>
        </w:rPr>
      </w:pPr>
    </w:p>
    <w:p w:rsidR="008A5D04" w:rsidRDefault="008A5D04" w:rsidP="00ED559F">
      <w:pPr>
        <w:pStyle w:val="ListParagraph"/>
        <w:numPr>
          <w:ilvl w:val="0"/>
          <w:numId w:val="7"/>
        </w:numPr>
        <w:ind w:firstLine="360"/>
        <w:rPr>
          <w:sz w:val="24"/>
          <w:szCs w:val="24"/>
        </w:rPr>
      </w:pPr>
      <w:r>
        <w:rPr>
          <w:sz w:val="24"/>
          <w:szCs w:val="24"/>
        </w:rPr>
        <w:t>The date Complainant’s</w:t>
      </w:r>
      <w:r w:rsidR="00C00F7A" w:rsidRPr="008A5D04">
        <w:rPr>
          <w:sz w:val="24"/>
          <w:szCs w:val="24"/>
        </w:rPr>
        <w:t xml:space="preserve"> payments were received</w:t>
      </w:r>
      <w:r>
        <w:rPr>
          <w:sz w:val="24"/>
          <w:szCs w:val="24"/>
        </w:rPr>
        <w:t xml:space="preserve">; or </w:t>
      </w:r>
    </w:p>
    <w:p w:rsidR="00ED559F" w:rsidRPr="00ED559F" w:rsidRDefault="00ED559F" w:rsidP="00ED559F">
      <w:pPr>
        <w:rPr>
          <w:sz w:val="24"/>
          <w:szCs w:val="24"/>
        </w:rPr>
      </w:pPr>
    </w:p>
    <w:p w:rsidR="00395252" w:rsidRPr="008A5D04" w:rsidRDefault="008A5D04" w:rsidP="00ED559F">
      <w:pPr>
        <w:pStyle w:val="ListParagraph"/>
        <w:numPr>
          <w:ilvl w:val="0"/>
          <w:numId w:val="7"/>
        </w:numPr>
        <w:ind w:firstLine="360"/>
        <w:rPr>
          <w:sz w:val="24"/>
          <w:szCs w:val="24"/>
        </w:rPr>
      </w:pPr>
      <w:r>
        <w:rPr>
          <w:sz w:val="24"/>
          <w:szCs w:val="24"/>
        </w:rPr>
        <w:t>The remaining balance</w:t>
      </w:r>
      <w:r w:rsidR="00C00F7A" w:rsidRPr="008A5D04">
        <w:rPr>
          <w:sz w:val="24"/>
          <w:szCs w:val="24"/>
        </w:rPr>
        <w:t xml:space="preserve">.  </w:t>
      </w:r>
    </w:p>
    <w:p w:rsidR="00395252" w:rsidRDefault="00395252" w:rsidP="000D12EE">
      <w:pPr>
        <w:spacing w:line="360" w:lineRule="auto"/>
        <w:rPr>
          <w:sz w:val="24"/>
          <w:szCs w:val="24"/>
        </w:rPr>
      </w:pPr>
    </w:p>
    <w:p w:rsidR="00395252" w:rsidRDefault="00C00F7A" w:rsidP="00395252">
      <w:pPr>
        <w:spacing w:line="360" w:lineRule="auto"/>
        <w:ind w:firstLine="1440"/>
        <w:rPr>
          <w:sz w:val="24"/>
          <w:szCs w:val="24"/>
        </w:rPr>
      </w:pPr>
      <w:r>
        <w:rPr>
          <w:sz w:val="24"/>
          <w:szCs w:val="24"/>
        </w:rPr>
        <w:t>In addition, Verizon did not submit any documentation or correspondence which listed what Complainant’s charges would be at any time from 200</w:t>
      </w:r>
      <w:r w:rsidR="00C7680F">
        <w:rPr>
          <w:sz w:val="24"/>
          <w:szCs w:val="24"/>
        </w:rPr>
        <w:t>7 (when initiating service with Complainant through Lifeline)</w:t>
      </w:r>
      <w:r>
        <w:rPr>
          <w:sz w:val="24"/>
          <w:szCs w:val="24"/>
        </w:rPr>
        <w:t xml:space="preserve"> to 2011.  </w:t>
      </w:r>
      <w:r w:rsidR="00490BF7">
        <w:rPr>
          <w:sz w:val="24"/>
          <w:szCs w:val="24"/>
        </w:rPr>
        <w:t>Verizon also did not provide any documentation concerning when or how it communicated rate information to Complainant (or other ratepayers) about the “tiered” pricing structure that permits Verizon to charge more money (over the basic charges) for calls made outside the city limits of Philadelphia but within the “metropolitan” area.</w:t>
      </w:r>
      <w:r w:rsidR="00395252">
        <w:rPr>
          <w:sz w:val="24"/>
          <w:szCs w:val="24"/>
        </w:rPr>
        <w:t xml:space="preserve">  </w:t>
      </w:r>
      <w:r w:rsidR="002E1177">
        <w:rPr>
          <w:sz w:val="24"/>
          <w:szCs w:val="24"/>
        </w:rPr>
        <w:t xml:space="preserve">All of this information was or should have been in Verizon’s possession and would have bolstered Verizon’s response to the original complaint </w:t>
      </w:r>
      <w:r w:rsidR="00FD5472">
        <w:rPr>
          <w:sz w:val="24"/>
          <w:szCs w:val="24"/>
        </w:rPr>
        <w:t xml:space="preserve">that </w:t>
      </w:r>
      <w:r w:rsidR="002E1177">
        <w:rPr>
          <w:sz w:val="24"/>
          <w:szCs w:val="24"/>
        </w:rPr>
        <w:t xml:space="preserve">Mr. Gaskins was overcharged.  </w:t>
      </w:r>
      <w:r>
        <w:rPr>
          <w:sz w:val="24"/>
          <w:szCs w:val="24"/>
        </w:rPr>
        <w:t xml:space="preserve">Without that information, it is impossible to determine whether Verizon correctly billed Complainant for residential telephone service.  </w:t>
      </w:r>
    </w:p>
    <w:p w:rsidR="00490BF7" w:rsidRDefault="002E1177" w:rsidP="00395252">
      <w:pPr>
        <w:spacing w:line="360" w:lineRule="auto"/>
        <w:ind w:firstLine="1440"/>
        <w:rPr>
          <w:sz w:val="24"/>
          <w:szCs w:val="24"/>
        </w:rPr>
      </w:pPr>
      <w:r>
        <w:rPr>
          <w:sz w:val="24"/>
          <w:szCs w:val="24"/>
        </w:rPr>
        <w:lastRenderedPageBreak/>
        <w:t>Verizon’s failure to provide information available to it and within its possession and control permits an adverse inference that the material, if presented, would have supported and/or proven Complainant’s allegations.</w:t>
      </w:r>
      <w:r>
        <w:rPr>
          <w:rStyle w:val="FootnoteReference"/>
          <w:sz w:val="24"/>
          <w:szCs w:val="24"/>
        </w:rPr>
        <w:footnoteReference w:id="7"/>
      </w:r>
      <w:r>
        <w:rPr>
          <w:sz w:val="24"/>
          <w:szCs w:val="24"/>
        </w:rPr>
        <w:t xml:space="preserve">  </w:t>
      </w:r>
      <w:r w:rsidR="00C00F7A">
        <w:rPr>
          <w:sz w:val="24"/>
          <w:szCs w:val="24"/>
        </w:rPr>
        <w:t xml:space="preserve">Therefore, the credible evidence </w:t>
      </w:r>
      <w:r w:rsidR="00C7680F">
        <w:rPr>
          <w:sz w:val="24"/>
          <w:szCs w:val="24"/>
        </w:rPr>
        <w:t>with the greatest weight is Verizon’s testimony Complainant would pay $8.87 each month to Verizon for telephone services and $5.99 each month for wire maintenance</w:t>
      </w:r>
      <w:r w:rsidR="00DD79E8">
        <w:rPr>
          <w:sz w:val="24"/>
          <w:szCs w:val="24"/>
        </w:rPr>
        <w:t xml:space="preserve"> in June 2009</w:t>
      </w:r>
      <w:r w:rsidR="00C7680F">
        <w:rPr>
          <w:sz w:val="24"/>
          <w:szCs w:val="24"/>
        </w:rPr>
        <w:t xml:space="preserve">.  </w:t>
      </w:r>
      <w:r w:rsidR="00DD79E8">
        <w:rPr>
          <w:sz w:val="24"/>
          <w:szCs w:val="24"/>
        </w:rPr>
        <w:t xml:space="preserve">No credible evidence was presented by Verizon concerning how Complainant’s payment arrangements changed since June 2009.  </w:t>
      </w:r>
      <w:r w:rsidR="00C23F2E">
        <w:rPr>
          <w:sz w:val="24"/>
          <w:szCs w:val="24"/>
        </w:rPr>
        <w:t xml:space="preserve">Therefore, </w:t>
      </w:r>
      <w:r w:rsidR="00C00F7A">
        <w:rPr>
          <w:sz w:val="24"/>
          <w:szCs w:val="24"/>
        </w:rPr>
        <w:t xml:space="preserve">Verizon must re-compute the charges incurred by Complainant from </w:t>
      </w:r>
      <w:r w:rsidR="00DD79E8">
        <w:rPr>
          <w:sz w:val="24"/>
          <w:szCs w:val="24"/>
        </w:rPr>
        <w:t>June 2009</w:t>
      </w:r>
      <w:r w:rsidR="00C00F7A">
        <w:rPr>
          <w:sz w:val="24"/>
          <w:szCs w:val="24"/>
        </w:rPr>
        <w:t xml:space="preserve"> to March 2011</w:t>
      </w:r>
      <w:r w:rsidR="00490BF7">
        <w:rPr>
          <w:sz w:val="24"/>
          <w:szCs w:val="24"/>
        </w:rPr>
        <w:t xml:space="preserve"> and charge him </w:t>
      </w:r>
      <w:r w:rsidR="00C23F2E">
        <w:rPr>
          <w:sz w:val="24"/>
          <w:szCs w:val="24"/>
        </w:rPr>
        <w:t>the sum of</w:t>
      </w:r>
      <w:r w:rsidR="00490BF7">
        <w:rPr>
          <w:sz w:val="24"/>
          <w:szCs w:val="24"/>
        </w:rPr>
        <w:t xml:space="preserve"> $</w:t>
      </w:r>
      <w:r w:rsidR="00DD79E8">
        <w:rPr>
          <w:sz w:val="24"/>
          <w:szCs w:val="24"/>
        </w:rPr>
        <w:t>22.05</w:t>
      </w:r>
      <w:r w:rsidR="00490BF7">
        <w:rPr>
          <w:sz w:val="24"/>
          <w:szCs w:val="24"/>
        </w:rPr>
        <w:t xml:space="preserve"> each month </w:t>
      </w:r>
      <w:r w:rsidR="00F52FD1">
        <w:rPr>
          <w:sz w:val="24"/>
          <w:szCs w:val="24"/>
        </w:rPr>
        <w:t>(</w:t>
      </w:r>
      <w:r w:rsidR="00A242CA">
        <w:rPr>
          <w:sz w:val="24"/>
          <w:szCs w:val="24"/>
        </w:rPr>
        <w:t>including applicable fees, taxes and surcharges</w:t>
      </w:r>
      <w:r w:rsidR="00F52FD1">
        <w:rPr>
          <w:sz w:val="24"/>
          <w:szCs w:val="24"/>
        </w:rPr>
        <w:t>)</w:t>
      </w:r>
      <w:r w:rsidR="00A242CA">
        <w:rPr>
          <w:sz w:val="24"/>
          <w:szCs w:val="24"/>
        </w:rPr>
        <w:t xml:space="preserve"> </w:t>
      </w:r>
      <w:r w:rsidR="00490BF7">
        <w:rPr>
          <w:sz w:val="24"/>
          <w:szCs w:val="24"/>
        </w:rPr>
        <w:t>for the telephone service</w:t>
      </w:r>
      <w:r w:rsidR="00C00F7A">
        <w:rPr>
          <w:sz w:val="24"/>
          <w:szCs w:val="24"/>
        </w:rPr>
        <w:t xml:space="preserve">.  </w:t>
      </w:r>
    </w:p>
    <w:p w:rsidR="00490BF7" w:rsidRDefault="00490BF7" w:rsidP="000D12EE">
      <w:pPr>
        <w:spacing w:line="360" w:lineRule="auto"/>
        <w:rPr>
          <w:sz w:val="24"/>
          <w:szCs w:val="24"/>
        </w:rPr>
      </w:pPr>
    </w:p>
    <w:p w:rsidR="00490BF7" w:rsidRDefault="00C00F7A" w:rsidP="00220B52">
      <w:pPr>
        <w:ind w:firstLine="1440"/>
        <w:rPr>
          <w:sz w:val="24"/>
          <w:szCs w:val="24"/>
        </w:rPr>
      </w:pPr>
      <w:r>
        <w:rPr>
          <w:sz w:val="24"/>
          <w:szCs w:val="24"/>
        </w:rPr>
        <w:t>This re-computation must state with specificity</w:t>
      </w:r>
      <w:r w:rsidR="00490BF7">
        <w:rPr>
          <w:sz w:val="24"/>
          <w:szCs w:val="24"/>
        </w:rPr>
        <w:t>:</w:t>
      </w:r>
    </w:p>
    <w:p w:rsidR="00220B52" w:rsidRDefault="00220B52" w:rsidP="00220B52">
      <w:pPr>
        <w:ind w:firstLine="1440"/>
        <w:rPr>
          <w:sz w:val="24"/>
          <w:szCs w:val="24"/>
        </w:rPr>
      </w:pPr>
    </w:p>
    <w:p w:rsidR="00490BF7" w:rsidRDefault="00490BF7" w:rsidP="007C344A">
      <w:pPr>
        <w:pStyle w:val="ListParagraph"/>
        <w:numPr>
          <w:ilvl w:val="0"/>
          <w:numId w:val="6"/>
        </w:numPr>
        <w:ind w:left="2160" w:firstLine="0"/>
        <w:rPr>
          <w:sz w:val="24"/>
          <w:szCs w:val="24"/>
        </w:rPr>
      </w:pPr>
      <w:r w:rsidRPr="00490BF7">
        <w:rPr>
          <w:sz w:val="24"/>
          <w:szCs w:val="24"/>
        </w:rPr>
        <w:t>Complainant’s mo</w:t>
      </w:r>
      <w:r>
        <w:rPr>
          <w:sz w:val="24"/>
          <w:szCs w:val="24"/>
        </w:rPr>
        <w:t>nthly charges for basic service;</w:t>
      </w:r>
      <w:r w:rsidRPr="00490BF7">
        <w:rPr>
          <w:sz w:val="24"/>
          <w:szCs w:val="24"/>
        </w:rPr>
        <w:t xml:space="preserve"> </w:t>
      </w:r>
    </w:p>
    <w:p w:rsidR="007C344A" w:rsidRDefault="007C344A" w:rsidP="007C344A">
      <w:pPr>
        <w:pStyle w:val="ListParagraph"/>
        <w:ind w:left="2160"/>
        <w:rPr>
          <w:sz w:val="24"/>
          <w:szCs w:val="24"/>
        </w:rPr>
      </w:pPr>
    </w:p>
    <w:p w:rsidR="00490BF7" w:rsidRDefault="00490BF7" w:rsidP="007C344A">
      <w:pPr>
        <w:pStyle w:val="ListParagraph"/>
        <w:numPr>
          <w:ilvl w:val="0"/>
          <w:numId w:val="6"/>
        </w:numPr>
        <w:ind w:left="2880" w:hanging="720"/>
        <w:rPr>
          <w:sz w:val="24"/>
          <w:szCs w:val="24"/>
        </w:rPr>
      </w:pPr>
      <w:r>
        <w:rPr>
          <w:sz w:val="24"/>
          <w:szCs w:val="24"/>
        </w:rPr>
        <w:t>When Lifeline 100 was applied and how it reduced his monthly payment;</w:t>
      </w:r>
    </w:p>
    <w:p w:rsidR="008F7079" w:rsidRDefault="008F7079" w:rsidP="007C344A">
      <w:pPr>
        <w:pStyle w:val="ListParagraph"/>
        <w:ind w:left="2880"/>
        <w:rPr>
          <w:sz w:val="24"/>
          <w:szCs w:val="24"/>
        </w:rPr>
      </w:pPr>
    </w:p>
    <w:p w:rsidR="00C00F7A" w:rsidRDefault="00490BF7" w:rsidP="007C344A">
      <w:pPr>
        <w:pStyle w:val="ListParagraph"/>
        <w:numPr>
          <w:ilvl w:val="0"/>
          <w:numId w:val="6"/>
        </w:numPr>
        <w:ind w:left="2880" w:hanging="720"/>
        <w:rPr>
          <w:sz w:val="24"/>
          <w:szCs w:val="24"/>
        </w:rPr>
      </w:pPr>
      <w:r>
        <w:rPr>
          <w:sz w:val="24"/>
          <w:szCs w:val="24"/>
        </w:rPr>
        <w:t xml:space="preserve">When Lifeline 135 was applied and how it reduced his monthly payment; </w:t>
      </w:r>
    </w:p>
    <w:p w:rsidR="009A490A" w:rsidRPr="009A490A" w:rsidRDefault="009A490A" w:rsidP="007C344A">
      <w:pPr>
        <w:rPr>
          <w:sz w:val="24"/>
          <w:szCs w:val="24"/>
        </w:rPr>
      </w:pPr>
    </w:p>
    <w:p w:rsidR="00490BF7" w:rsidRDefault="00490BF7" w:rsidP="007C344A">
      <w:pPr>
        <w:pStyle w:val="ListParagraph"/>
        <w:numPr>
          <w:ilvl w:val="0"/>
          <w:numId w:val="6"/>
        </w:numPr>
        <w:ind w:left="2160" w:firstLine="0"/>
        <w:rPr>
          <w:sz w:val="24"/>
          <w:szCs w:val="24"/>
        </w:rPr>
      </w:pPr>
      <w:r>
        <w:rPr>
          <w:sz w:val="24"/>
          <w:szCs w:val="24"/>
        </w:rPr>
        <w:t>When no Lifeline assistance was applied to his account;</w:t>
      </w:r>
    </w:p>
    <w:p w:rsidR="007C344A" w:rsidRPr="007C344A" w:rsidRDefault="007C344A" w:rsidP="007C344A">
      <w:pPr>
        <w:rPr>
          <w:sz w:val="24"/>
          <w:szCs w:val="24"/>
        </w:rPr>
      </w:pPr>
    </w:p>
    <w:p w:rsidR="00490BF7" w:rsidRDefault="00490BF7" w:rsidP="007C344A">
      <w:pPr>
        <w:pStyle w:val="ListParagraph"/>
        <w:numPr>
          <w:ilvl w:val="0"/>
          <w:numId w:val="6"/>
        </w:numPr>
        <w:ind w:left="2880" w:hanging="720"/>
        <w:rPr>
          <w:sz w:val="24"/>
          <w:szCs w:val="24"/>
        </w:rPr>
      </w:pPr>
      <w:r>
        <w:rPr>
          <w:sz w:val="24"/>
          <w:szCs w:val="24"/>
        </w:rPr>
        <w:t xml:space="preserve">The taxes, surcharges and fees added each month to the basic service costs; </w:t>
      </w:r>
    </w:p>
    <w:p w:rsidR="00A018BC" w:rsidRDefault="00A018BC" w:rsidP="007C344A">
      <w:pPr>
        <w:pStyle w:val="ListParagraph"/>
        <w:ind w:left="2160"/>
        <w:rPr>
          <w:sz w:val="24"/>
          <w:szCs w:val="24"/>
        </w:rPr>
      </w:pPr>
    </w:p>
    <w:p w:rsidR="00490BF7" w:rsidRDefault="00490BF7" w:rsidP="007C344A">
      <w:pPr>
        <w:pStyle w:val="ListParagraph"/>
        <w:numPr>
          <w:ilvl w:val="0"/>
          <w:numId w:val="6"/>
        </w:numPr>
        <w:ind w:left="2160" w:firstLine="0"/>
        <w:rPr>
          <w:sz w:val="24"/>
          <w:szCs w:val="24"/>
        </w:rPr>
      </w:pPr>
      <w:r>
        <w:rPr>
          <w:sz w:val="24"/>
          <w:szCs w:val="24"/>
        </w:rPr>
        <w:t xml:space="preserve">The total amount </w:t>
      </w:r>
      <w:r w:rsidR="006461CC">
        <w:rPr>
          <w:sz w:val="24"/>
          <w:szCs w:val="24"/>
        </w:rPr>
        <w:t>charged for</w:t>
      </w:r>
      <w:r>
        <w:rPr>
          <w:sz w:val="24"/>
          <w:szCs w:val="24"/>
        </w:rPr>
        <w:t xml:space="preserve"> each month;</w:t>
      </w:r>
    </w:p>
    <w:p w:rsidR="007C344A" w:rsidRPr="007C344A" w:rsidRDefault="007C344A" w:rsidP="007C344A">
      <w:pPr>
        <w:rPr>
          <w:sz w:val="24"/>
          <w:szCs w:val="24"/>
        </w:rPr>
      </w:pPr>
    </w:p>
    <w:p w:rsidR="00C23F2E" w:rsidRDefault="00C23F2E" w:rsidP="007C344A">
      <w:pPr>
        <w:pStyle w:val="ListParagraph"/>
        <w:numPr>
          <w:ilvl w:val="0"/>
          <w:numId w:val="6"/>
        </w:numPr>
        <w:ind w:left="2160" w:firstLine="0"/>
        <w:rPr>
          <w:sz w:val="24"/>
          <w:szCs w:val="24"/>
        </w:rPr>
      </w:pPr>
      <w:r>
        <w:rPr>
          <w:sz w:val="24"/>
          <w:szCs w:val="24"/>
        </w:rPr>
        <w:t>The due date for each month’s billing cycle;</w:t>
      </w:r>
    </w:p>
    <w:p w:rsidR="007C344A" w:rsidRPr="007C344A" w:rsidRDefault="007C344A" w:rsidP="007C344A">
      <w:pPr>
        <w:rPr>
          <w:sz w:val="24"/>
          <w:szCs w:val="24"/>
        </w:rPr>
      </w:pPr>
    </w:p>
    <w:p w:rsidR="00490BF7" w:rsidRDefault="006461CC" w:rsidP="007C344A">
      <w:pPr>
        <w:pStyle w:val="ListParagraph"/>
        <w:numPr>
          <w:ilvl w:val="0"/>
          <w:numId w:val="6"/>
        </w:numPr>
        <w:ind w:left="2160" w:firstLine="0"/>
        <w:rPr>
          <w:sz w:val="24"/>
          <w:szCs w:val="24"/>
        </w:rPr>
      </w:pPr>
      <w:r>
        <w:rPr>
          <w:sz w:val="24"/>
          <w:szCs w:val="24"/>
        </w:rPr>
        <w:t>The date</w:t>
      </w:r>
      <w:r w:rsidR="00C31B27">
        <w:rPr>
          <w:sz w:val="24"/>
          <w:szCs w:val="24"/>
        </w:rPr>
        <w:t>s</w:t>
      </w:r>
      <w:r>
        <w:rPr>
          <w:sz w:val="24"/>
          <w:szCs w:val="24"/>
        </w:rPr>
        <w:t xml:space="preserve"> Verizon received Complainant’s payments;</w:t>
      </w:r>
    </w:p>
    <w:p w:rsidR="007C344A" w:rsidRPr="007C344A" w:rsidRDefault="007C344A" w:rsidP="007C344A">
      <w:pPr>
        <w:rPr>
          <w:sz w:val="24"/>
          <w:szCs w:val="24"/>
        </w:rPr>
      </w:pPr>
    </w:p>
    <w:p w:rsidR="00C23F2E" w:rsidRDefault="00C23F2E" w:rsidP="007C344A">
      <w:pPr>
        <w:pStyle w:val="ListParagraph"/>
        <w:numPr>
          <w:ilvl w:val="0"/>
          <w:numId w:val="6"/>
        </w:numPr>
        <w:ind w:left="2160" w:firstLine="0"/>
        <w:rPr>
          <w:sz w:val="24"/>
          <w:szCs w:val="24"/>
        </w:rPr>
      </w:pPr>
      <w:r>
        <w:rPr>
          <w:sz w:val="24"/>
          <w:szCs w:val="24"/>
        </w:rPr>
        <w:t>The amount of Complainant’s payment;</w:t>
      </w:r>
    </w:p>
    <w:p w:rsidR="007C344A" w:rsidRPr="007C344A" w:rsidRDefault="007C344A" w:rsidP="007C344A">
      <w:pPr>
        <w:rPr>
          <w:sz w:val="24"/>
          <w:szCs w:val="24"/>
        </w:rPr>
      </w:pPr>
    </w:p>
    <w:p w:rsidR="00C23F2E" w:rsidRDefault="00C23F2E" w:rsidP="007C344A">
      <w:pPr>
        <w:pStyle w:val="ListParagraph"/>
        <w:numPr>
          <w:ilvl w:val="0"/>
          <w:numId w:val="6"/>
        </w:numPr>
        <w:ind w:left="2880" w:hanging="720"/>
        <w:rPr>
          <w:sz w:val="24"/>
          <w:szCs w:val="24"/>
        </w:rPr>
      </w:pPr>
      <w:r>
        <w:rPr>
          <w:sz w:val="24"/>
          <w:szCs w:val="24"/>
        </w:rPr>
        <w:t>The amount, if applicable, of late payment charges applied to Complainant’s account; and</w:t>
      </w:r>
    </w:p>
    <w:p w:rsidR="00A018BC" w:rsidRDefault="00A018BC" w:rsidP="007C344A">
      <w:pPr>
        <w:pStyle w:val="ListParagraph"/>
        <w:ind w:left="2160"/>
        <w:rPr>
          <w:sz w:val="24"/>
          <w:szCs w:val="24"/>
        </w:rPr>
      </w:pPr>
    </w:p>
    <w:p w:rsidR="006461CC" w:rsidRDefault="006461CC" w:rsidP="007C344A">
      <w:pPr>
        <w:pStyle w:val="ListParagraph"/>
        <w:numPr>
          <w:ilvl w:val="0"/>
          <w:numId w:val="6"/>
        </w:numPr>
        <w:ind w:left="2160" w:firstLine="0"/>
        <w:rPr>
          <w:sz w:val="24"/>
          <w:szCs w:val="24"/>
        </w:rPr>
      </w:pPr>
      <w:r>
        <w:rPr>
          <w:sz w:val="24"/>
          <w:szCs w:val="24"/>
        </w:rPr>
        <w:t>The balance due as of March 31, 2011.</w:t>
      </w:r>
    </w:p>
    <w:p w:rsidR="006461CC" w:rsidRPr="006461CC" w:rsidRDefault="006461CC" w:rsidP="006461CC">
      <w:pPr>
        <w:spacing w:line="360" w:lineRule="auto"/>
        <w:ind w:firstLine="1440"/>
        <w:rPr>
          <w:sz w:val="24"/>
          <w:szCs w:val="24"/>
        </w:rPr>
      </w:pPr>
      <w:r>
        <w:rPr>
          <w:sz w:val="24"/>
          <w:szCs w:val="24"/>
        </w:rPr>
        <w:lastRenderedPageBreak/>
        <w:t>In addition, Verizon</w:t>
      </w:r>
      <w:r w:rsidR="00C23F2E">
        <w:rPr>
          <w:sz w:val="24"/>
          <w:szCs w:val="24"/>
        </w:rPr>
        <w:t xml:space="preserve">’s explanation of charges should show the </w:t>
      </w:r>
      <w:r>
        <w:rPr>
          <w:sz w:val="24"/>
          <w:szCs w:val="24"/>
        </w:rPr>
        <w:t>two adjustments it made on March 7, 2011</w:t>
      </w:r>
      <w:r w:rsidR="0053622C">
        <w:rPr>
          <w:sz w:val="24"/>
          <w:szCs w:val="24"/>
        </w:rPr>
        <w:t>, which amounted to $79.47 and $105.22</w:t>
      </w:r>
      <w:r w:rsidR="00C23F2E">
        <w:rPr>
          <w:sz w:val="24"/>
          <w:szCs w:val="24"/>
        </w:rPr>
        <w:t>, respectively</w:t>
      </w:r>
      <w:r w:rsidR="0053622C">
        <w:rPr>
          <w:sz w:val="24"/>
          <w:szCs w:val="24"/>
        </w:rPr>
        <w:t>.</w:t>
      </w:r>
      <w:r w:rsidR="008A5D04">
        <w:rPr>
          <w:sz w:val="24"/>
          <w:szCs w:val="24"/>
        </w:rPr>
        <w:t xml:space="preserve">  Therefore, Complainant’s complaint will be sustained to the extent Verizon must charge him the agreed-upon rate </w:t>
      </w:r>
      <w:r w:rsidR="00DD79E8">
        <w:rPr>
          <w:sz w:val="24"/>
          <w:szCs w:val="24"/>
        </w:rPr>
        <w:t xml:space="preserve">of $22.05 from June 2009 </w:t>
      </w:r>
      <w:r w:rsidR="008A5D04">
        <w:rPr>
          <w:sz w:val="24"/>
          <w:szCs w:val="24"/>
        </w:rPr>
        <w:t>through March 2011.</w:t>
      </w:r>
    </w:p>
    <w:p w:rsidR="00024633" w:rsidRDefault="00024633" w:rsidP="000D12EE">
      <w:pPr>
        <w:spacing w:line="360" w:lineRule="auto"/>
        <w:rPr>
          <w:sz w:val="24"/>
          <w:szCs w:val="24"/>
        </w:rPr>
      </w:pPr>
    </w:p>
    <w:p w:rsidR="003832CF" w:rsidRPr="003832CF" w:rsidRDefault="00803709" w:rsidP="000D12EE">
      <w:pPr>
        <w:spacing w:line="360" w:lineRule="auto"/>
        <w:rPr>
          <w:sz w:val="24"/>
          <w:szCs w:val="24"/>
          <w:u w:val="single"/>
        </w:rPr>
      </w:pPr>
      <w:r w:rsidRPr="00803709">
        <w:rPr>
          <w:sz w:val="24"/>
          <w:szCs w:val="24"/>
        </w:rPr>
        <w:t>D.</w:t>
      </w:r>
      <w:r w:rsidRPr="00803709">
        <w:rPr>
          <w:sz w:val="24"/>
          <w:szCs w:val="24"/>
        </w:rPr>
        <w:tab/>
      </w:r>
      <w:r w:rsidR="003832CF" w:rsidRPr="003832CF">
        <w:rPr>
          <w:sz w:val="24"/>
          <w:szCs w:val="24"/>
          <w:u w:val="single"/>
        </w:rPr>
        <w:t>Customer Service</w:t>
      </w:r>
      <w:r w:rsidR="00395252">
        <w:rPr>
          <w:sz w:val="24"/>
          <w:szCs w:val="24"/>
          <w:u w:val="single"/>
        </w:rPr>
        <w:t xml:space="preserve"> Complaint</w:t>
      </w:r>
    </w:p>
    <w:p w:rsidR="003832CF" w:rsidRDefault="003832CF" w:rsidP="000D12EE">
      <w:pPr>
        <w:spacing w:line="360" w:lineRule="auto"/>
        <w:rPr>
          <w:sz w:val="24"/>
          <w:szCs w:val="24"/>
        </w:rPr>
      </w:pPr>
    </w:p>
    <w:p w:rsidR="008A5D04" w:rsidRDefault="00D80765" w:rsidP="000D12EE">
      <w:pPr>
        <w:spacing w:line="360" w:lineRule="auto"/>
        <w:rPr>
          <w:sz w:val="24"/>
          <w:szCs w:val="24"/>
        </w:rPr>
      </w:pPr>
      <w:r>
        <w:rPr>
          <w:sz w:val="24"/>
          <w:szCs w:val="24"/>
        </w:rPr>
        <w:tab/>
      </w:r>
      <w:r>
        <w:rPr>
          <w:sz w:val="24"/>
          <w:szCs w:val="24"/>
        </w:rPr>
        <w:tab/>
      </w:r>
      <w:proofErr w:type="gramStart"/>
      <w:r w:rsidR="00395252">
        <w:rPr>
          <w:sz w:val="24"/>
          <w:szCs w:val="24"/>
        </w:rPr>
        <w:t>Gaskins contends</w:t>
      </w:r>
      <w:proofErr w:type="gramEnd"/>
      <w:r w:rsidR="00395252">
        <w:rPr>
          <w:sz w:val="24"/>
          <w:szCs w:val="24"/>
        </w:rPr>
        <w:t xml:space="preserve"> he can hear other telephone conversations on his line and Verizon has not repaired the problem.  </w:t>
      </w:r>
      <w:r w:rsidR="008A5D04">
        <w:rPr>
          <w:sz w:val="24"/>
          <w:szCs w:val="24"/>
        </w:rPr>
        <w:t>Complainant cannot use his telephone line without interference because he hears other conversations and “clicking” noises on the line at times.  Complainant contends he complained to Verizon multiple times and Verizon sent repairmen to fix the problem on three occasions.  At each inspection, the field technician said there was a crossed wire.  The repaired line would be okay for a while after the field technician investigated the problems but then would return.</w:t>
      </w:r>
    </w:p>
    <w:p w:rsidR="008A5D04" w:rsidRDefault="008A5D04" w:rsidP="000D12EE">
      <w:pPr>
        <w:spacing w:line="360" w:lineRule="auto"/>
        <w:rPr>
          <w:sz w:val="24"/>
          <w:szCs w:val="24"/>
        </w:rPr>
      </w:pPr>
    </w:p>
    <w:p w:rsidR="00B11958" w:rsidRDefault="00B11958" w:rsidP="008A5D04">
      <w:pPr>
        <w:spacing w:line="360" w:lineRule="auto"/>
        <w:ind w:firstLine="1440"/>
        <w:rPr>
          <w:sz w:val="24"/>
          <w:szCs w:val="24"/>
        </w:rPr>
      </w:pPr>
      <w:r>
        <w:rPr>
          <w:sz w:val="24"/>
          <w:szCs w:val="24"/>
        </w:rPr>
        <w:t>Section 63.56(a) of the Commission’s regulations, 52 Pa. Code §63.56(a), states a public telephone utility must “utilize measuring devices, methods and practices generally recognized and accepted by the communications industry to obtain or to allow the calculation of the service objectives” detailed in the Commission’s telephone service regulations.</w:t>
      </w:r>
      <w:r w:rsidR="009178BD">
        <w:rPr>
          <w:sz w:val="24"/>
          <w:szCs w:val="24"/>
        </w:rPr>
        <w:t xml:space="preserve">  On the subject of transmission requirements and standards, 52 </w:t>
      </w:r>
      <w:smartTag w:uri="urn:schemas-microsoft-com:office:smarttags" w:element="place">
        <w:smartTag w:uri="urn:schemas-microsoft-com:office:smarttags" w:element="State">
          <w:r w:rsidR="009178BD">
            <w:rPr>
              <w:sz w:val="24"/>
              <w:szCs w:val="24"/>
            </w:rPr>
            <w:t>Pa.</w:t>
          </w:r>
        </w:smartTag>
      </w:smartTag>
      <w:r w:rsidR="009178BD">
        <w:rPr>
          <w:sz w:val="24"/>
          <w:szCs w:val="24"/>
        </w:rPr>
        <w:t xml:space="preserve"> Code §63.63 </w:t>
      </w:r>
      <w:proofErr w:type="gramStart"/>
      <w:r w:rsidR="009178BD">
        <w:rPr>
          <w:sz w:val="24"/>
          <w:szCs w:val="24"/>
        </w:rPr>
        <w:t>provides</w:t>
      </w:r>
      <w:proofErr w:type="gramEnd"/>
      <w:r w:rsidR="009178BD">
        <w:rPr>
          <w:sz w:val="24"/>
          <w:szCs w:val="24"/>
        </w:rPr>
        <w:t>:</w:t>
      </w:r>
    </w:p>
    <w:p w:rsidR="00255DD8" w:rsidRDefault="00255DD8" w:rsidP="009178BD">
      <w:pPr>
        <w:ind w:left="1440" w:right="1440"/>
        <w:rPr>
          <w:sz w:val="24"/>
          <w:szCs w:val="24"/>
        </w:rPr>
      </w:pPr>
    </w:p>
    <w:p w:rsidR="009178BD" w:rsidRDefault="009178BD" w:rsidP="009178BD">
      <w:pPr>
        <w:ind w:left="1440" w:right="1440"/>
        <w:rPr>
          <w:sz w:val="24"/>
          <w:szCs w:val="24"/>
        </w:rPr>
      </w:pPr>
      <w:r>
        <w:rPr>
          <w:sz w:val="24"/>
          <w:szCs w:val="24"/>
        </w:rPr>
        <w:t>(a)</w:t>
      </w:r>
      <w:r>
        <w:rPr>
          <w:sz w:val="24"/>
          <w:szCs w:val="24"/>
        </w:rPr>
        <w:tab/>
        <w:t xml:space="preserve">A public utility shall furnish, operate and maintain facilities adequate to provide acceptable transmission of communications.  </w:t>
      </w:r>
      <w:r w:rsidRPr="0062435F">
        <w:rPr>
          <w:sz w:val="24"/>
          <w:szCs w:val="24"/>
          <w:u w:val="single"/>
        </w:rPr>
        <w:t>Transmission shall be</w:t>
      </w:r>
      <w:r>
        <w:rPr>
          <w:sz w:val="24"/>
          <w:szCs w:val="24"/>
        </w:rPr>
        <w:t xml:space="preserve"> at adequate volume levels and </w:t>
      </w:r>
      <w:r w:rsidRPr="0062435F">
        <w:rPr>
          <w:sz w:val="24"/>
          <w:szCs w:val="24"/>
          <w:u w:val="single"/>
        </w:rPr>
        <w:t>free of excessive distortion, noise and cross-talk</w:t>
      </w:r>
      <w:r>
        <w:rPr>
          <w:sz w:val="24"/>
          <w:szCs w:val="24"/>
        </w:rPr>
        <w:t>.</w:t>
      </w:r>
    </w:p>
    <w:p w:rsidR="009178BD" w:rsidRDefault="009178BD" w:rsidP="009178BD">
      <w:pPr>
        <w:ind w:left="1440" w:right="1440"/>
        <w:rPr>
          <w:sz w:val="24"/>
          <w:szCs w:val="24"/>
        </w:rPr>
      </w:pPr>
    </w:p>
    <w:p w:rsidR="009178BD" w:rsidRDefault="009178BD" w:rsidP="009178BD">
      <w:pPr>
        <w:ind w:left="1440" w:right="1440"/>
        <w:rPr>
          <w:sz w:val="24"/>
          <w:szCs w:val="24"/>
        </w:rPr>
      </w:pPr>
      <w:r>
        <w:rPr>
          <w:sz w:val="24"/>
          <w:szCs w:val="24"/>
        </w:rPr>
        <w:t>(b)</w:t>
      </w:r>
      <w:r>
        <w:rPr>
          <w:sz w:val="24"/>
          <w:szCs w:val="24"/>
        </w:rPr>
        <w:tab/>
        <w:t>The transmission standards shall be based upon the use of te</w:t>
      </w:r>
      <w:r w:rsidR="0062435F">
        <w:rPr>
          <w:sz w:val="24"/>
          <w:szCs w:val="24"/>
        </w:rPr>
        <w:t>lephone sets connected to a 48-V</w:t>
      </w:r>
      <w:r>
        <w:rPr>
          <w:sz w:val="24"/>
          <w:szCs w:val="24"/>
        </w:rPr>
        <w:t>olt dial central office, measured at a frequency of 1000 Hertz (Hz).</w:t>
      </w:r>
    </w:p>
    <w:p w:rsidR="009178BD" w:rsidRDefault="009178BD" w:rsidP="009178BD">
      <w:pPr>
        <w:ind w:left="1440" w:right="1440"/>
        <w:rPr>
          <w:sz w:val="24"/>
          <w:szCs w:val="24"/>
        </w:rPr>
      </w:pPr>
    </w:p>
    <w:p w:rsidR="009178BD" w:rsidRDefault="009178BD" w:rsidP="009178BD">
      <w:pPr>
        <w:ind w:left="1440" w:right="1440"/>
        <w:rPr>
          <w:sz w:val="24"/>
          <w:szCs w:val="24"/>
        </w:rPr>
      </w:pPr>
      <w:r>
        <w:rPr>
          <w:sz w:val="24"/>
          <w:szCs w:val="24"/>
        </w:rPr>
        <w:t>(c)</w:t>
      </w:r>
      <w:r>
        <w:rPr>
          <w:sz w:val="24"/>
          <w:szCs w:val="24"/>
        </w:rPr>
        <w:tab/>
        <w:t>A telephone line terminating at a customer’s premises shall have a loop resistance not exceeding the operating design of the associated central office equipment.</w:t>
      </w:r>
    </w:p>
    <w:p w:rsidR="009178BD" w:rsidRDefault="009178BD" w:rsidP="009178BD">
      <w:pPr>
        <w:ind w:left="1440" w:right="1440"/>
        <w:rPr>
          <w:sz w:val="24"/>
          <w:szCs w:val="24"/>
        </w:rPr>
      </w:pPr>
    </w:p>
    <w:p w:rsidR="00835B43" w:rsidRDefault="00835B43">
      <w:pPr>
        <w:rPr>
          <w:sz w:val="24"/>
          <w:szCs w:val="24"/>
        </w:rPr>
      </w:pPr>
      <w:r>
        <w:rPr>
          <w:sz w:val="24"/>
          <w:szCs w:val="24"/>
        </w:rPr>
        <w:br w:type="page"/>
      </w:r>
    </w:p>
    <w:p w:rsidR="009178BD" w:rsidRDefault="009178BD" w:rsidP="009178BD">
      <w:pPr>
        <w:ind w:left="1440" w:right="1440"/>
        <w:rPr>
          <w:sz w:val="24"/>
          <w:szCs w:val="24"/>
        </w:rPr>
      </w:pPr>
      <w:r>
        <w:rPr>
          <w:sz w:val="24"/>
          <w:szCs w:val="24"/>
        </w:rPr>
        <w:lastRenderedPageBreak/>
        <w:t>(d)</w:t>
      </w:r>
      <w:r>
        <w:rPr>
          <w:sz w:val="24"/>
          <w:szCs w:val="24"/>
        </w:rPr>
        <w:tab/>
        <w:t>Overall transmission loss on a customer loop shall not exceed 15 decibels.</w:t>
      </w:r>
    </w:p>
    <w:p w:rsidR="00835B43" w:rsidRDefault="00835B43" w:rsidP="009178BD">
      <w:pPr>
        <w:ind w:left="1440" w:right="1440"/>
        <w:rPr>
          <w:sz w:val="24"/>
          <w:szCs w:val="24"/>
        </w:rPr>
      </w:pPr>
    </w:p>
    <w:p w:rsidR="0062435F" w:rsidRDefault="0062435F" w:rsidP="009178BD">
      <w:pPr>
        <w:spacing w:line="360" w:lineRule="auto"/>
        <w:rPr>
          <w:sz w:val="24"/>
          <w:szCs w:val="24"/>
        </w:rPr>
      </w:pPr>
      <w:r>
        <w:rPr>
          <w:sz w:val="24"/>
          <w:szCs w:val="24"/>
        </w:rPr>
        <w:t>(Emphasis added).</w:t>
      </w:r>
    </w:p>
    <w:p w:rsidR="0062435F" w:rsidRDefault="0062435F" w:rsidP="009178BD">
      <w:pPr>
        <w:spacing w:line="360" w:lineRule="auto"/>
        <w:rPr>
          <w:sz w:val="24"/>
          <w:szCs w:val="24"/>
        </w:rPr>
      </w:pPr>
    </w:p>
    <w:p w:rsidR="003832CF" w:rsidRDefault="00B8652A" w:rsidP="009178BD">
      <w:pPr>
        <w:spacing w:line="360" w:lineRule="auto"/>
        <w:rPr>
          <w:sz w:val="24"/>
          <w:szCs w:val="24"/>
        </w:rPr>
      </w:pPr>
      <w:r>
        <w:rPr>
          <w:sz w:val="24"/>
          <w:szCs w:val="24"/>
        </w:rPr>
        <w:tab/>
      </w:r>
      <w:r>
        <w:rPr>
          <w:sz w:val="24"/>
          <w:szCs w:val="24"/>
        </w:rPr>
        <w:tab/>
      </w:r>
      <w:r w:rsidR="003832CF">
        <w:rPr>
          <w:sz w:val="24"/>
          <w:szCs w:val="24"/>
        </w:rPr>
        <w:t>Complainant credibly testified he often heard other telephone conversations periodically on his telephone line and he called Verizon to request a service call.  Complainant’s testimony was also credible that Verizon visited his home on three occasions and inspected the equipment.  Each time, Verizon’s technician</w:t>
      </w:r>
      <w:r w:rsidR="008A5D04">
        <w:rPr>
          <w:sz w:val="24"/>
          <w:szCs w:val="24"/>
        </w:rPr>
        <w:t xml:space="preserve"> indicated to Complainant the technician</w:t>
      </w:r>
      <w:r w:rsidR="003832CF">
        <w:rPr>
          <w:sz w:val="24"/>
          <w:szCs w:val="24"/>
        </w:rPr>
        <w:t xml:space="preserve"> found </w:t>
      </w:r>
      <w:r w:rsidR="008A5D04">
        <w:rPr>
          <w:sz w:val="24"/>
          <w:szCs w:val="24"/>
        </w:rPr>
        <w:t xml:space="preserve">crossed </w:t>
      </w:r>
      <w:r w:rsidR="003832CF">
        <w:rPr>
          <w:sz w:val="24"/>
          <w:szCs w:val="24"/>
        </w:rPr>
        <w:t>wires and each time a repair was made.  However, while the problem would go away initially, eventually Complainant experienc</w:t>
      </w:r>
      <w:r w:rsidR="00395252">
        <w:rPr>
          <w:sz w:val="24"/>
          <w:szCs w:val="24"/>
        </w:rPr>
        <w:t>ed</w:t>
      </w:r>
      <w:r w:rsidR="003832CF">
        <w:rPr>
          <w:sz w:val="24"/>
          <w:szCs w:val="24"/>
        </w:rPr>
        <w:t xml:space="preserve"> the same problems.  </w:t>
      </w:r>
    </w:p>
    <w:p w:rsidR="003832CF" w:rsidRDefault="003832CF" w:rsidP="009178BD">
      <w:pPr>
        <w:spacing w:line="360" w:lineRule="auto"/>
        <w:rPr>
          <w:sz w:val="24"/>
          <w:szCs w:val="24"/>
        </w:rPr>
      </w:pPr>
    </w:p>
    <w:p w:rsidR="00395252" w:rsidRDefault="003832CF" w:rsidP="003832CF">
      <w:pPr>
        <w:spacing w:line="360" w:lineRule="auto"/>
        <w:ind w:firstLine="1440"/>
        <w:rPr>
          <w:sz w:val="24"/>
          <w:szCs w:val="24"/>
        </w:rPr>
      </w:pPr>
      <w:r>
        <w:rPr>
          <w:sz w:val="24"/>
          <w:szCs w:val="24"/>
        </w:rPr>
        <w:t xml:space="preserve">Verizon’s testimony concerning the service issue in Complainant’s formal complaint is nonsensical.  </w:t>
      </w:r>
      <w:r w:rsidR="008A5D04">
        <w:rPr>
          <w:sz w:val="24"/>
          <w:szCs w:val="24"/>
        </w:rPr>
        <w:t xml:space="preserve">Verizon asserts Complainant never contacted them to complain about noises or voices on the telephone line.  </w:t>
      </w:r>
      <w:r>
        <w:rPr>
          <w:sz w:val="24"/>
          <w:szCs w:val="24"/>
        </w:rPr>
        <w:t>Verizon insists it never got a call from Complainant complaining about his service issues but Verizon decided to visit the residence anyway in February 2011 to inspect the facilities.  There does not appear to have been a real attempt by Verizon to investigate the problem or take seriously Complainant’s stated concerns</w:t>
      </w:r>
      <w:r w:rsidR="00C7680F">
        <w:rPr>
          <w:sz w:val="24"/>
          <w:szCs w:val="24"/>
        </w:rPr>
        <w:t xml:space="preserve"> inside his residence or outside his residence back to Respondent’s central office</w:t>
      </w:r>
      <w:r>
        <w:rPr>
          <w:sz w:val="24"/>
          <w:szCs w:val="24"/>
        </w:rPr>
        <w:t xml:space="preserve">.  </w:t>
      </w:r>
    </w:p>
    <w:p w:rsidR="00395252" w:rsidRDefault="00395252" w:rsidP="003832CF">
      <w:pPr>
        <w:spacing w:line="360" w:lineRule="auto"/>
        <w:ind w:firstLine="1440"/>
        <w:rPr>
          <w:sz w:val="24"/>
          <w:szCs w:val="24"/>
        </w:rPr>
      </w:pPr>
    </w:p>
    <w:p w:rsidR="007C2D31" w:rsidRDefault="00395252" w:rsidP="003832CF">
      <w:pPr>
        <w:spacing w:line="360" w:lineRule="auto"/>
        <w:ind w:firstLine="1440"/>
        <w:rPr>
          <w:sz w:val="24"/>
          <w:szCs w:val="24"/>
        </w:rPr>
      </w:pPr>
      <w:r>
        <w:rPr>
          <w:sz w:val="24"/>
          <w:szCs w:val="24"/>
        </w:rPr>
        <w:t>Complainant credibly testified and met the burden of proving t</w:t>
      </w:r>
      <w:r w:rsidR="00770107">
        <w:rPr>
          <w:sz w:val="24"/>
          <w:szCs w:val="24"/>
        </w:rPr>
        <w:t xml:space="preserve">he </w:t>
      </w:r>
      <w:r w:rsidR="007C0E6A">
        <w:rPr>
          <w:sz w:val="24"/>
          <w:szCs w:val="24"/>
        </w:rPr>
        <w:t xml:space="preserve">service </w:t>
      </w:r>
      <w:r>
        <w:rPr>
          <w:sz w:val="24"/>
          <w:szCs w:val="24"/>
        </w:rPr>
        <w:t>he</w:t>
      </w:r>
      <w:r w:rsidR="00002F0F">
        <w:rPr>
          <w:sz w:val="24"/>
          <w:szCs w:val="24"/>
        </w:rPr>
        <w:t xml:space="preserve"> experienced </w:t>
      </w:r>
      <w:r>
        <w:rPr>
          <w:sz w:val="24"/>
          <w:szCs w:val="24"/>
        </w:rPr>
        <w:t>did</w:t>
      </w:r>
      <w:r w:rsidR="009605AB">
        <w:rPr>
          <w:sz w:val="24"/>
          <w:szCs w:val="24"/>
        </w:rPr>
        <w:t xml:space="preserve"> not </w:t>
      </w:r>
      <w:r w:rsidR="00B8652A">
        <w:rPr>
          <w:sz w:val="24"/>
          <w:szCs w:val="24"/>
        </w:rPr>
        <w:t xml:space="preserve">comport with the Commission’s regulation requiring </w:t>
      </w:r>
      <w:r w:rsidR="009605AB">
        <w:rPr>
          <w:sz w:val="24"/>
          <w:szCs w:val="24"/>
        </w:rPr>
        <w:t xml:space="preserve">the provision of acceptable transmission of communications that are </w:t>
      </w:r>
      <w:r w:rsidR="009605AB" w:rsidRPr="009605AB">
        <w:rPr>
          <w:sz w:val="24"/>
          <w:szCs w:val="24"/>
        </w:rPr>
        <w:t>free of excessive distortion, noise and cross-talk</w:t>
      </w:r>
      <w:r w:rsidR="00B8652A" w:rsidRPr="00F25775">
        <w:rPr>
          <w:sz w:val="24"/>
          <w:szCs w:val="24"/>
        </w:rPr>
        <w:t>.</w:t>
      </w:r>
      <w:r w:rsidR="00B8652A">
        <w:rPr>
          <w:sz w:val="24"/>
          <w:szCs w:val="24"/>
        </w:rPr>
        <w:t xml:space="preserve">  Thus, Verizon </w:t>
      </w:r>
      <w:r w:rsidR="009605AB">
        <w:rPr>
          <w:sz w:val="24"/>
          <w:szCs w:val="24"/>
        </w:rPr>
        <w:t xml:space="preserve">did not </w:t>
      </w:r>
      <w:r w:rsidR="00B8652A">
        <w:rPr>
          <w:sz w:val="24"/>
          <w:szCs w:val="24"/>
        </w:rPr>
        <w:t xml:space="preserve">provide </w:t>
      </w:r>
      <w:r w:rsidR="00C810AF">
        <w:rPr>
          <w:sz w:val="24"/>
          <w:szCs w:val="24"/>
        </w:rPr>
        <w:t>Complainant</w:t>
      </w:r>
      <w:r w:rsidR="00B8652A">
        <w:rPr>
          <w:sz w:val="24"/>
          <w:szCs w:val="24"/>
        </w:rPr>
        <w:t xml:space="preserve"> with reasonable and adequate telephone service.</w:t>
      </w:r>
      <w:r w:rsidR="00BF1564">
        <w:rPr>
          <w:rStyle w:val="FootnoteReference"/>
          <w:sz w:val="24"/>
          <w:szCs w:val="24"/>
        </w:rPr>
        <w:footnoteReference w:id="8"/>
      </w:r>
      <w:r w:rsidR="00B8652A">
        <w:rPr>
          <w:sz w:val="24"/>
          <w:szCs w:val="24"/>
        </w:rPr>
        <w:t xml:space="preserve">  </w:t>
      </w:r>
      <w:r w:rsidR="00770107">
        <w:rPr>
          <w:sz w:val="24"/>
          <w:szCs w:val="24"/>
        </w:rPr>
        <w:t>For this reason, Complainant’s</w:t>
      </w:r>
      <w:r w:rsidR="00B8652A">
        <w:rPr>
          <w:sz w:val="24"/>
          <w:szCs w:val="24"/>
        </w:rPr>
        <w:t xml:space="preserve"> complaint will be </w:t>
      </w:r>
      <w:r w:rsidR="009605AB">
        <w:rPr>
          <w:sz w:val="24"/>
          <w:szCs w:val="24"/>
        </w:rPr>
        <w:t>sustained</w:t>
      </w:r>
      <w:r w:rsidR="00B8652A">
        <w:rPr>
          <w:sz w:val="24"/>
          <w:szCs w:val="24"/>
        </w:rPr>
        <w:t xml:space="preserve">.  </w:t>
      </w:r>
      <w:r w:rsidR="008A5D04">
        <w:rPr>
          <w:sz w:val="24"/>
          <w:szCs w:val="24"/>
        </w:rPr>
        <w:t>Verizon must fully investigate the cause of Complainant’s problems</w:t>
      </w:r>
      <w:r w:rsidR="00C7680F">
        <w:rPr>
          <w:sz w:val="24"/>
          <w:szCs w:val="24"/>
        </w:rPr>
        <w:t xml:space="preserve">, including investigating the condition of Verizon’s facilities from the </w:t>
      </w:r>
      <w:r w:rsidR="00C7680F" w:rsidRPr="00CE6BB0">
        <w:rPr>
          <w:sz w:val="24"/>
          <w:szCs w:val="24"/>
        </w:rPr>
        <w:t>central office and Complainant’s Network Interface Device (NID)</w:t>
      </w:r>
      <w:r w:rsidR="00C7680F">
        <w:rPr>
          <w:sz w:val="24"/>
          <w:szCs w:val="24"/>
        </w:rPr>
        <w:t>, and the condition of the wiring inside Complainant’s residence.  Verizon is directed to</w:t>
      </w:r>
      <w:r w:rsidR="008A5D04">
        <w:rPr>
          <w:sz w:val="24"/>
          <w:szCs w:val="24"/>
        </w:rPr>
        <w:t xml:space="preserve"> provide </w:t>
      </w:r>
      <w:r w:rsidR="00C7680F">
        <w:rPr>
          <w:sz w:val="24"/>
          <w:szCs w:val="24"/>
        </w:rPr>
        <w:t>Complainant</w:t>
      </w:r>
      <w:r w:rsidR="008A5D04">
        <w:rPr>
          <w:sz w:val="24"/>
          <w:szCs w:val="24"/>
        </w:rPr>
        <w:t xml:space="preserve"> with</w:t>
      </w:r>
      <w:r w:rsidR="00BF1564">
        <w:rPr>
          <w:sz w:val="24"/>
          <w:szCs w:val="24"/>
        </w:rPr>
        <w:t xml:space="preserve"> transmission that shall be </w:t>
      </w:r>
      <w:r w:rsidR="008A5D04">
        <w:rPr>
          <w:sz w:val="24"/>
          <w:szCs w:val="24"/>
        </w:rPr>
        <w:t xml:space="preserve">at </w:t>
      </w:r>
      <w:r w:rsidR="00BF1564">
        <w:rPr>
          <w:sz w:val="24"/>
          <w:szCs w:val="24"/>
        </w:rPr>
        <w:t>“</w:t>
      </w:r>
      <w:r w:rsidR="008A5D04">
        <w:rPr>
          <w:sz w:val="24"/>
          <w:szCs w:val="24"/>
        </w:rPr>
        <w:t xml:space="preserve">adequate volume levels and </w:t>
      </w:r>
      <w:r w:rsidR="008A5D04" w:rsidRPr="00BF1564">
        <w:rPr>
          <w:sz w:val="24"/>
          <w:szCs w:val="24"/>
        </w:rPr>
        <w:t>free of excessive distortion, noise and cross-talk</w:t>
      </w:r>
      <w:r w:rsidR="008A5D04">
        <w:rPr>
          <w:sz w:val="24"/>
          <w:szCs w:val="24"/>
        </w:rPr>
        <w:t>.</w:t>
      </w:r>
      <w:r w:rsidR="00BF1564">
        <w:rPr>
          <w:sz w:val="24"/>
          <w:szCs w:val="24"/>
        </w:rPr>
        <w:t>”</w:t>
      </w:r>
      <w:r w:rsidR="00BF1564">
        <w:rPr>
          <w:rStyle w:val="FootnoteReference"/>
          <w:sz w:val="24"/>
          <w:szCs w:val="24"/>
        </w:rPr>
        <w:footnoteReference w:id="9"/>
      </w:r>
      <w:r w:rsidR="00BF1564">
        <w:rPr>
          <w:sz w:val="24"/>
          <w:szCs w:val="24"/>
        </w:rPr>
        <w:t xml:space="preserve"> </w:t>
      </w:r>
    </w:p>
    <w:p w:rsidR="00CE6BB0" w:rsidRDefault="00803709" w:rsidP="009178BD">
      <w:pPr>
        <w:spacing w:line="360" w:lineRule="auto"/>
        <w:rPr>
          <w:sz w:val="24"/>
          <w:szCs w:val="24"/>
        </w:rPr>
      </w:pPr>
      <w:r w:rsidRPr="00803709">
        <w:rPr>
          <w:sz w:val="24"/>
          <w:szCs w:val="24"/>
        </w:rPr>
        <w:lastRenderedPageBreak/>
        <w:t>E.</w:t>
      </w:r>
      <w:r w:rsidRPr="00803709">
        <w:rPr>
          <w:sz w:val="24"/>
          <w:szCs w:val="24"/>
        </w:rPr>
        <w:tab/>
      </w:r>
      <w:r w:rsidR="00395252">
        <w:rPr>
          <w:sz w:val="24"/>
          <w:szCs w:val="24"/>
          <w:u w:val="single"/>
        </w:rPr>
        <w:t>Wire Maintenance Complaint</w:t>
      </w:r>
    </w:p>
    <w:p w:rsidR="00CE6BB0" w:rsidRDefault="00CE6BB0" w:rsidP="009178BD">
      <w:pPr>
        <w:spacing w:line="360" w:lineRule="auto"/>
        <w:rPr>
          <w:sz w:val="24"/>
          <w:szCs w:val="24"/>
        </w:rPr>
      </w:pPr>
    </w:p>
    <w:p w:rsidR="005F7BA3" w:rsidRDefault="00C23F2E" w:rsidP="009178BD">
      <w:pPr>
        <w:spacing w:line="360" w:lineRule="auto"/>
        <w:rPr>
          <w:sz w:val="24"/>
          <w:szCs w:val="24"/>
        </w:rPr>
      </w:pPr>
      <w:r>
        <w:rPr>
          <w:sz w:val="24"/>
          <w:szCs w:val="24"/>
        </w:rPr>
        <w:tab/>
      </w:r>
      <w:r>
        <w:rPr>
          <w:sz w:val="24"/>
          <w:szCs w:val="24"/>
        </w:rPr>
        <w:tab/>
        <w:t>Complainant contended his pa</w:t>
      </w:r>
      <w:r w:rsidR="00BF1564">
        <w:rPr>
          <w:sz w:val="24"/>
          <w:szCs w:val="24"/>
        </w:rPr>
        <w:t xml:space="preserve">yment arrangement with Verizon </w:t>
      </w:r>
      <w:r>
        <w:rPr>
          <w:sz w:val="24"/>
          <w:szCs w:val="24"/>
        </w:rPr>
        <w:t xml:space="preserve">included a wire maintenance plan wherein Verizon would cover the cost of repairing any defects or service problems which might develop with the telephone wiring on the inside of Complainant’s residence.  Verizon acknowledged </w:t>
      </w:r>
      <w:r w:rsidR="005F7BA3">
        <w:rPr>
          <w:sz w:val="24"/>
          <w:szCs w:val="24"/>
        </w:rPr>
        <w:t>its</w:t>
      </w:r>
      <w:r>
        <w:rPr>
          <w:sz w:val="24"/>
          <w:szCs w:val="24"/>
        </w:rPr>
        <w:t xml:space="preserve"> original </w:t>
      </w:r>
      <w:r w:rsidR="005F7BA3">
        <w:rPr>
          <w:sz w:val="24"/>
          <w:szCs w:val="24"/>
        </w:rPr>
        <w:t>payment plan</w:t>
      </w:r>
      <w:r>
        <w:rPr>
          <w:sz w:val="24"/>
          <w:szCs w:val="24"/>
        </w:rPr>
        <w:t xml:space="preserve"> with Complainant did, in fact, include a wire maintenance plan but that the wire maintenance plan no longer was available to Complainant because </w:t>
      </w:r>
      <w:r w:rsidR="00BF1564">
        <w:rPr>
          <w:sz w:val="24"/>
          <w:szCs w:val="24"/>
        </w:rPr>
        <w:t>Complainant only receives basic service.  Verizon did not provide proof of when or why this Complainant no longer qualified for a wire maintenance plan.  Therefore, Complainant’s credible testimony that he paid for the plan carries more weight than the evidence provided by Verizon</w:t>
      </w:r>
      <w:r w:rsidR="005F7BA3">
        <w:rPr>
          <w:sz w:val="24"/>
          <w:szCs w:val="24"/>
        </w:rPr>
        <w:t xml:space="preserve"> that he no longer qualified</w:t>
      </w:r>
      <w:r w:rsidR="00BF1564">
        <w:rPr>
          <w:sz w:val="24"/>
          <w:szCs w:val="24"/>
        </w:rPr>
        <w:t>.</w:t>
      </w:r>
    </w:p>
    <w:p w:rsidR="005F7BA3" w:rsidRDefault="005F7BA3" w:rsidP="009178BD">
      <w:pPr>
        <w:spacing w:line="360" w:lineRule="auto"/>
        <w:rPr>
          <w:sz w:val="24"/>
          <w:szCs w:val="24"/>
        </w:rPr>
      </w:pPr>
    </w:p>
    <w:p w:rsidR="005F7BA3" w:rsidRDefault="005F7BA3" w:rsidP="009178BD">
      <w:pPr>
        <w:spacing w:line="360" w:lineRule="auto"/>
        <w:rPr>
          <w:sz w:val="24"/>
          <w:szCs w:val="24"/>
        </w:rPr>
      </w:pPr>
      <w:r>
        <w:rPr>
          <w:sz w:val="24"/>
          <w:szCs w:val="24"/>
        </w:rPr>
        <w:tab/>
      </w:r>
      <w:r>
        <w:rPr>
          <w:sz w:val="24"/>
          <w:szCs w:val="24"/>
        </w:rPr>
        <w:tab/>
        <w:t>Verizon did prove that, as of March 2011, Complainant no longer qualified for the wire maintenance plan on the billing plan to which Complainant subscribed at that date.  Verizon needs to provide additional information to Complainant about when or how he can receive the wire maintenance plan, if still available, but Complainant ceased to receive that service as of the month when the administrative hearing took place (March 2011).</w:t>
      </w:r>
      <w:r w:rsidR="00BF1564">
        <w:rPr>
          <w:sz w:val="24"/>
          <w:szCs w:val="24"/>
        </w:rPr>
        <w:t xml:space="preserve">  </w:t>
      </w:r>
    </w:p>
    <w:p w:rsidR="005F7BA3" w:rsidRDefault="005F7BA3" w:rsidP="009178BD">
      <w:pPr>
        <w:spacing w:line="360" w:lineRule="auto"/>
        <w:rPr>
          <w:sz w:val="24"/>
          <w:szCs w:val="24"/>
        </w:rPr>
      </w:pPr>
    </w:p>
    <w:p w:rsidR="009605AB" w:rsidRDefault="00BF1564" w:rsidP="005F7BA3">
      <w:pPr>
        <w:spacing w:line="360" w:lineRule="auto"/>
        <w:ind w:firstLine="1440"/>
        <w:rPr>
          <w:sz w:val="24"/>
          <w:szCs w:val="24"/>
        </w:rPr>
      </w:pPr>
      <w:r>
        <w:rPr>
          <w:sz w:val="24"/>
          <w:szCs w:val="24"/>
        </w:rPr>
        <w:t xml:space="preserve">Accordingly, Complainant’s complaint is sustained in </w:t>
      </w:r>
      <w:r w:rsidR="005F7BA3">
        <w:rPr>
          <w:sz w:val="24"/>
          <w:szCs w:val="24"/>
        </w:rPr>
        <w:t xml:space="preserve">part in </w:t>
      </w:r>
      <w:r>
        <w:rPr>
          <w:sz w:val="24"/>
          <w:szCs w:val="24"/>
        </w:rPr>
        <w:t xml:space="preserve">that </w:t>
      </w:r>
      <w:r w:rsidR="005F7BA3">
        <w:rPr>
          <w:sz w:val="24"/>
          <w:szCs w:val="24"/>
        </w:rPr>
        <w:t xml:space="preserve">Complainant’s monthly payments included covering </w:t>
      </w:r>
      <w:r>
        <w:rPr>
          <w:sz w:val="24"/>
          <w:szCs w:val="24"/>
        </w:rPr>
        <w:t xml:space="preserve">the costs of wire maintenance </w:t>
      </w:r>
      <w:r w:rsidR="005F7BA3">
        <w:rPr>
          <w:sz w:val="24"/>
          <w:szCs w:val="24"/>
        </w:rPr>
        <w:t xml:space="preserve">from </w:t>
      </w:r>
      <w:r w:rsidR="00DD79E8">
        <w:rPr>
          <w:sz w:val="24"/>
          <w:szCs w:val="24"/>
        </w:rPr>
        <w:t>June 2009</w:t>
      </w:r>
      <w:r w:rsidR="005F7BA3">
        <w:rPr>
          <w:sz w:val="24"/>
          <w:szCs w:val="24"/>
        </w:rPr>
        <w:t xml:space="preserve"> </w:t>
      </w:r>
      <w:r>
        <w:rPr>
          <w:sz w:val="24"/>
          <w:szCs w:val="24"/>
        </w:rPr>
        <w:t xml:space="preserve">through March 2011.  Since Verizon admits investigating the equipment in February 2011, this current service issue (referenced above) shall be covered under the wire maintenance </w:t>
      </w:r>
      <w:proofErr w:type="gramStart"/>
      <w:r>
        <w:rPr>
          <w:sz w:val="24"/>
          <w:szCs w:val="24"/>
        </w:rPr>
        <w:t>plan</w:t>
      </w:r>
      <w:proofErr w:type="gramEnd"/>
      <w:r w:rsidR="005F7BA3">
        <w:rPr>
          <w:sz w:val="24"/>
          <w:szCs w:val="24"/>
        </w:rPr>
        <w:t xml:space="preserve"> because Verizon did not provide any documentation showing when Complainant ceased to qualify for the maintenance plan</w:t>
      </w:r>
      <w:r w:rsidR="00C23F2E">
        <w:rPr>
          <w:sz w:val="24"/>
          <w:szCs w:val="24"/>
        </w:rPr>
        <w:t>.</w:t>
      </w:r>
      <w:r>
        <w:rPr>
          <w:sz w:val="24"/>
          <w:szCs w:val="24"/>
        </w:rPr>
        <w:t xml:space="preserve">  </w:t>
      </w:r>
      <w:r w:rsidR="00DD79E8">
        <w:rPr>
          <w:sz w:val="24"/>
          <w:szCs w:val="24"/>
        </w:rPr>
        <w:t>W</w:t>
      </w:r>
      <w:r>
        <w:rPr>
          <w:sz w:val="24"/>
          <w:szCs w:val="24"/>
        </w:rPr>
        <w:t xml:space="preserve">ithin </w:t>
      </w:r>
      <w:r w:rsidR="005F7BA3">
        <w:rPr>
          <w:sz w:val="24"/>
          <w:szCs w:val="24"/>
        </w:rPr>
        <w:t>forty-five</w:t>
      </w:r>
      <w:r>
        <w:rPr>
          <w:sz w:val="24"/>
          <w:szCs w:val="24"/>
        </w:rPr>
        <w:t xml:space="preserve"> (</w:t>
      </w:r>
      <w:r w:rsidR="005F7BA3">
        <w:rPr>
          <w:sz w:val="24"/>
          <w:szCs w:val="24"/>
        </w:rPr>
        <w:t>45</w:t>
      </w:r>
      <w:r>
        <w:rPr>
          <w:sz w:val="24"/>
          <w:szCs w:val="24"/>
        </w:rPr>
        <w:t xml:space="preserve">) days </w:t>
      </w:r>
      <w:r w:rsidR="007C057A">
        <w:rPr>
          <w:sz w:val="24"/>
          <w:szCs w:val="24"/>
        </w:rPr>
        <w:t>of</w:t>
      </w:r>
      <w:r>
        <w:rPr>
          <w:sz w:val="24"/>
          <w:szCs w:val="24"/>
        </w:rPr>
        <w:t xml:space="preserve"> the date of the </w:t>
      </w:r>
      <w:r w:rsidR="005F7BA3">
        <w:rPr>
          <w:sz w:val="24"/>
          <w:szCs w:val="24"/>
        </w:rPr>
        <w:t>Commission’s</w:t>
      </w:r>
      <w:r>
        <w:rPr>
          <w:sz w:val="24"/>
          <w:szCs w:val="24"/>
        </w:rPr>
        <w:t xml:space="preserve"> Order in this matter, Verizon shall provide to Complainant in writing an explanation of when and why his wire maintenance plan was discontinued, and what Complainant must do in order to purchase that service, if he so wishes.  </w:t>
      </w:r>
    </w:p>
    <w:p w:rsidR="009605AB" w:rsidRDefault="009605AB" w:rsidP="009178BD">
      <w:pPr>
        <w:spacing w:line="360" w:lineRule="auto"/>
        <w:rPr>
          <w:sz w:val="24"/>
          <w:szCs w:val="24"/>
        </w:rPr>
      </w:pPr>
    </w:p>
    <w:p w:rsidR="008C7ABA" w:rsidRDefault="008C7ABA">
      <w:pPr>
        <w:rPr>
          <w:sz w:val="24"/>
          <w:szCs w:val="24"/>
          <w:u w:val="single"/>
        </w:rPr>
      </w:pPr>
      <w:r>
        <w:rPr>
          <w:sz w:val="24"/>
          <w:szCs w:val="24"/>
          <w:u w:val="single"/>
        </w:rPr>
        <w:br w:type="page"/>
      </w:r>
    </w:p>
    <w:p w:rsidR="006E7CB4" w:rsidRPr="00CE6BB0" w:rsidRDefault="006E7CB4" w:rsidP="00CE6BB0">
      <w:pPr>
        <w:spacing w:line="360" w:lineRule="auto"/>
        <w:jc w:val="center"/>
        <w:rPr>
          <w:sz w:val="24"/>
          <w:szCs w:val="24"/>
        </w:rPr>
      </w:pPr>
      <w:r w:rsidRPr="00CE6BB0">
        <w:rPr>
          <w:sz w:val="24"/>
          <w:szCs w:val="24"/>
          <w:u w:val="single"/>
        </w:rPr>
        <w:lastRenderedPageBreak/>
        <w:t>CONCLUSIONS OF LAW</w:t>
      </w:r>
    </w:p>
    <w:p w:rsidR="006E7CB4" w:rsidRPr="00CE6BB0" w:rsidRDefault="006E7CB4" w:rsidP="00CE6BB0">
      <w:pPr>
        <w:spacing w:line="360" w:lineRule="auto"/>
        <w:rPr>
          <w:sz w:val="24"/>
          <w:szCs w:val="24"/>
        </w:rPr>
      </w:pPr>
    </w:p>
    <w:p w:rsidR="006E7CB4" w:rsidRPr="00CE6BB0" w:rsidRDefault="006E7CB4" w:rsidP="00CE6BB0">
      <w:pPr>
        <w:numPr>
          <w:ilvl w:val="0"/>
          <w:numId w:val="2"/>
        </w:numPr>
        <w:tabs>
          <w:tab w:val="clear" w:pos="720"/>
          <w:tab w:val="num" w:pos="0"/>
        </w:tabs>
        <w:spacing w:line="360" w:lineRule="auto"/>
        <w:ind w:left="0" w:firstLine="1440"/>
        <w:rPr>
          <w:sz w:val="24"/>
          <w:szCs w:val="24"/>
        </w:rPr>
      </w:pPr>
      <w:r w:rsidRPr="00CE6BB0">
        <w:rPr>
          <w:sz w:val="24"/>
          <w:szCs w:val="24"/>
        </w:rPr>
        <w:t>The Commission has jurisdiction over the subject matter and the parties to this proceeding</w:t>
      </w:r>
      <w:r w:rsidR="00C96463" w:rsidRPr="00CE6BB0">
        <w:rPr>
          <w:sz w:val="24"/>
          <w:szCs w:val="24"/>
        </w:rPr>
        <w:t xml:space="preserve"> to the extent discussed in this decision</w:t>
      </w:r>
      <w:r w:rsidRPr="00CE6BB0">
        <w:rPr>
          <w:sz w:val="24"/>
          <w:szCs w:val="24"/>
        </w:rPr>
        <w:t xml:space="preserve">.  </w:t>
      </w:r>
      <w:r w:rsidR="00AC5606" w:rsidRPr="00CE6BB0">
        <w:rPr>
          <w:i/>
          <w:sz w:val="24"/>
          <w:szCs w:val="24"/>
        </w:rPr>
        <w:t>See</w:t>
      </w:r>
      <w:r w:rsidR="00AC5606" w:rsidRPr="00CE6BB0">
        <w:rPr>
          <w:sz w:val="24"/>
          <w:szCs w:val="24"/>
        </w:rPr>
        <w:t xml:space="preserve">, </w:t>
      </w:r>
      <w:r w:rsidRPr="00CE6BB0">
        <w:rPr>
          <w:sz w:val="24"/>
          <w:szCs w:val="24"/>
        </w:rPr>
        <w:t xml:space="preserve">66 Pa. C.S. §§701, </w:t>
      </w:r>
      <w:r w:rsidRPr="00CE6BB0">
        <w:rPr>
          <w:i/>
          <w:sz w:val="24"/>
          <w:szCs w:val="24"/>
        </w:rPr>
        <w:t>et seq</w:t>
      </w:r>
      <w:r w:rsidRPr="00CE6BB0">
        <w:rPr>
          <w:sz w:val="24"/>
          <w:szCs w:val="24"/>
        </w:rPr>
        <w:t>.</w:t>
      </w:r>
    </w:p>
    <w:p w:rsidR="006E7CB4" w:rsidRPr="00CE6BB0" w:rsidRDefault="006E7CB4" w:rsidP="00CE6BB0">
      <w:pPr>
        <w:spacing w:line="360" w:lineRule="auto"/>
        <w:rPr>
          <w:sz w:val="24"/>
          <w:szCs w:val="24"/>
        </w:rPr>
      </w:pPr>
    </w:p>
    <w:p w:rsidR="006E7CB4" w:rsidRPr="00CE6BB0" w:rsidRDefault="00C810AF" w:rsidP="00CE6BB0">
      <w:pPr>
        <w:numPr>
          <w:ilvl w:val="0"/>
          <w:numId w:val="2"/>
        </w:numPr>
        <w:tabs>
          <w:tab w:val="clear" w:pos="720"/>
          <w:tab w:val="num" w:pos="0"/>
        </w:tabs>
        <w:spacing w:line="360" w:lineRule="auto"/>
        <w:ind w:left="0" w:firstLine="1440"/>
        <w:rPr>
          <w:sz w:val="24"/>
          <w:szCs w:val="24"/>
        </w:rPr>
      </w:pPr>
      <w:r w:rsidRPr="00CE6BB0">
        <w:rPr>
          <w:sz w:val="24"/>
          <w:szCs w:val="24"/>
        </w:rPr>
        <w:t>Complainant</w:t>
      </w:r>
      <w:r w:rsidR="006E7CB4" w:rsidRPr="00CE6BB0">
        <w:rPr>
          <w:sz w:val="24"/>
          <w:szCs w:val="24"/>
        </w:rPr>
        <w:t xml:space="preserve"> met his burden of proving </w:t>
      </w:r>
      <w:r w:rsidRPr="00CE6BB0">
        <w:rPr>
          <w:sz w:val="24"/>
          <w:szCs w:val="24"/>
        </w:rPr>
        <w:t>Respondent</w:t>
      </w:r>
      <w:r w:rsidR="006E7CB4" w:rsidRPr="00CE6BB0">
        <w:rPr>
          <w:sz w:val="24"/>
          <w:szCs w:val="24"/>
        </w:rPr>
        <w:t xml:space="preserve"> provided him with unreasonable and inadequate telephone service</w:t>
      </w:r>
      <w:r w:rsidR="00FE0D2B">
        <w:rPr>
          <w:sz w:val="24"/>
          <w:szCs w:val="24"/>
        </w:rPr>
        <w:t xml:space="preserve"> in how Respondent charged him for service from </w:t>
      </w:r>
      <w:r w:rsidR="00DD79E8">
        <w:rPr>
          <w:sz w:val="24"/>
          <w:szCs w:val="24"/>
        </w:rPr>
        <w:t>June 2009</w:t>
      </w:r>
      <w:r w:rsidR="00FE0D2B">
        <w:rPr>
          <w:sz w:val="24"/>
          <w:szCs w:val="24"/>
        </w:rPr>
        <w:t xml:space="preserve"> through March 2011</w:t>
      </w:r>
      <w:r w:rsidR="006E7CB4" w:rsidRPr="00CE6BB0">
        <w:rPr>
          <w:sz w:val="24"/>
          <w:szCs w:val="24"/>
        </w:rPr>
        <w:t xml:space="preserve">.  </w:t>
      </w:r>
      <w:r w:rsidR="00AC5606" w:rsidRPr="00CE6BB0">
        <w:rPr>
          <w:i/>
          <w:sz w:val="24"/>
          <w:szCs w:val="24"/>
        </w:rPr>
        <w:t>See</w:t>
      </w:r>
      <w:r w:rsidR="00AC5606" w:rsidRPr="00CE6BB0">
        <w:rPr>
          <w:sz w:val="24"/>
          <w:szCs w:val="24"/>
        </w:rPr>
        <w:t xml:space="preserve">, </w:t>
      </w:r>
      <w:r w:rsidR="006E7CB4" w:rsidRPr="00CE6BB0">
        <w:rPr>
          <w:sz w:val="24"/>
          <w:szCs w:val="24"/>
        </w:rPr>
        <w:t>66 Pa. C.S.</w:t>
      </w:r>
      <w:r w:rsidR="00FE0D2B">
        <w:rPr>
          <w:sz w:val="24"/>
          <w:szCs w:val="24"/>
        </w:rPr>
        <w:t>A.</w:t>
      </w:r>
      <w:r w:rsidR="006E7CB4" w:rsidRPr="00CE6BB0">
        <w:rPr>
          <w:sz w:val="24"/>
          <w:szCs w:val="24"/>
        </w:rPr>
        <w:t xml:space="preserve"> §1501 and 52 Pa. Code §63.63.</w:t>
      </w:r>
    </w:p>
    <w:p w:rsidR="00CE6BB0" w:rsidRDefault="00CE6BB0" w:rsidP="00CE6BB0">
      <w:pPr>
        <w:pStyle w:val="BodyTextIndent"/>
        <w:spacing w:line="360" w:lineRule="auto"/>
        <w:ind w:firstLine="0"/>
        <w:rPr>
          <w:sz w:val="24"/>
          <w:szCs w:val="24"/>
        </w:rPr>
      </w:pPr>
    </w:p>
    <w:p w:rsidR="00FE0D2B" w:rsidRDefault="00FE0D2B" w:rsidP="0034148E">
      <w:pPr>
        <w:pStyle w:val="BodyTextIndent"/>
        <w:spacing w:line="360" w:lineRule="auto"/>
        <w:jc w:val="left"/>
        <w:rPr>
          <w:sz w:val="24"/>
          <w:szCs w:val="24"/>
        </w:rPr>
      </w:pPr>
      <w:r>
        <w:rPr>
          <w:sz w:val="24"/>
          <w:szCs w:val="24"/>
        </w:rPr>
        <w:t>3.</w:t>
      </w:r>
      <w:r>
        <w:rPr>
          <w:sz w:val="24"/>
          <w:szCs w:val="24"/>
        </w:rPr>
        <w:tab/>
        <w:t xml:space="preserve">Respondent must provide clear explanations of how Respondent determined the amounts charged to Complainant’s account from </w:t>
      </w:r>
      <w:r w:rsidR="00DD79E8">
        <w:rPr>
          <w:sz w:val="24"/>
          <w:szCs w:val="24"/>
        </w:rPr>
        <w:t>June 2009</w:t>
      </w:r>
      <w:r>
        <w:rPr>
          <w:sz w:val="24"/>
          <w:szCs w:val="24"/>
        </w:rPr>
        <w:t xml:space="preserve"> through March 2011.</w:t>
      </w:r>
    </w:p>
    <w:p w:rsidR="00FE0D2B" w:rsidRDefault="00FE0D2B" w:rsidP="00FE0D2B">
      <w:pPr>
        <w:pStyle w:val="BodyTextIndent"/>
        <w:spacing w:line="360" w:lineRule="auto"/>
        <w:rPr>
          <w:sz w:val="24"/>
          <w:szCs w:val="24"/>
        </w:rPr>
      </w:pPr>
    </w:p>
    <w:p w:rsidR="00FE0D2B" w:rsidRDefault="00FE0D2B" w:rsidP="0034148E">
      <w:pPr>
        <w:pStyle w:val="BodyTextIndent"/>
        <w:spacing w:line="360" w:lineRule="auto"/>
        <w:jc w:val="left"/>
        <w:rPr>
          <w:sz w:val="24"/>
          <w:szCs w:val="24"/>
        </w:rPr>
      </w:pPr>
      <w:r>
        <w:rPr>
          <w:sz w:val="24"/>
          <w:szCs w:val="24"/>
        </w:rPr>
        <w:t>4.</w:t>
      </w:r>
      <w:r>
        <w:rPr>
          <w:sz w:val="24"/>
          <w:szCs w:val="24"/>
        </w:rPr>
        <w:tab/>
      </w:r>
      <w:r w:rsidRPr="00CE6BB0">
        <w:rPr>
          <w:sz w:val="24"/>
          <w:szCs w:val="24"/>
        </w:rPr>
        <w:t>Complainant met his burden of proving Respondent provided him with unreasonable and inadequate telephone service</w:t>
      </w:r>
      <w:r>
        <w:rPr>
          <w:sz w:val="24"/>
          <w:szCs w:val="24"/>
        </w:rPr>
        <w:t xml:space="preserve"> in how Respondent responded to Complainant’s allegation of a service issue </w:t>
      </w:r>
      <w:r w:rsidR="00DD79E8">
        <w:rPr>
          <w:sz w:val="24"/>
          <w:szCs w:val="24"/>
        </w:rPr>
        <w:t xml:space="preserve">from </w:t>
      </w:r>
      <w:r w:rsidR="004B320C">
        <w:rPr>
          <w:sz w:val="24"/>
          <w:szCs w:val="24"/>
        </w:rPr>
        <w:t xml:space="preserve">June </w:t>
      </w:r>
      <w:r w:rsidR="00DD79E8">
        <w:rPr>
          <w:sz w:val="24"/>
          <w:szCs w:val="24"/>
        </w:rPr>
        <w:t xml:space="preserve">2009 </w:t>
      </w:r>
      <w:r>
        <w:rPr>
          <w:sz w:val="24"/>
          <w:szCs w:val="24"/>
        </w:rPr>
        <w:t>to March 2011</w:t>
      </w:r>
      <w:r w:rsidRPr="00CE6BB0">
        <w:rPr>
          <w:sz w:val="24"/>
          <w:szCs w:val="24"/>
        </w:rPr>
        <w:t xml:space="preserve">.  </w:t>
      </w:r>
      <w:r w:rsidRPr="00CE6BB0">
        <w:rPr>
          <w:i/>
          <w:sz w:val="24"/>
          <w:szCs w:val="24"/>
        </w:rPr>
        <w:t>See</w:t>
      </w:r>
      <w:r w:rsidRPr="00CE6BB0">
        <w:rPr>
          <w:sz w:val="24"/>
          <w:szCs w:val="24"/>
        </w:rPr>
        <w:t>, 66 Pa. C.S.</w:t>
      </w:r>
      <w:r>
        <w:rPr>
          <w:sz w:val="24"/>
          <w:szCs w:val="24"/>
        </w:rPr>
        <w:t>A.</w:t>
      </w:r>
      <w:r w:rsidRPr="00CE6BB0">
        <w:rPr>
          <w:sz w:val="24"/>
          <w:szCs w:val="24"/>
        </w:rPr>
        <w:t xml:space="preserve"> §1501 and 52 Pa. Code §63.63.</w:t>
      </w:r>
    </w:p>
    <w:p w:rsidR="00FE0D2B" w:rsidRDefault="00FE0D2B" w:rsidP="00CE6BB0">
      <w:pPr>
        <w:pStyle w:val="BodyTextIndent"/>
        <w:spacing w:line="360" w:lineRule="auto"/>
        <w:ind w:firstLine="0"/>
        <w:rPr>
          <w:sz w:val="24"/>
          <w:szCs w:val="24"/>
        </w:rPr>
      </w:pPr>
    </w:p>
    <w:p w:rsidR="00FE0D2B" w:rsidRPr="00CE6BB0" w:rsidRDefault="00FE0D2B" w:rsidP="0034148E">
      <w:pPr>
        <w:pStyle w:val="BodyTextIndent"/>
        <w:spacing w:line="360" w:lineRule="auto"/>
        <w:ind w:firstLine="0"/>
        <w:jc w:val="left"/>
        <w:rPr>
          <w:sz w:val="24"/>
          <w:szCs w:val="24"/>
        </w:rPr>
      </w:pPr>
      <w:r>
        <w:rPr>
          <w:sz w:val="24"/>
          <w:szCs w:val="24"/>
        </w:rPr>
        <w:tab/>
      </w:r>
      <w:r>
        <w:rPr>
          <w:sz w:val="24"/>
          <w:szCs w:val="24"/>
        </w:rPr>
        <w:tab/>
        <w:t>5.</w:t>
      </w:r>
      <w:r>
        <w:rPr>
          <w:sz w:val="24"/>
          <w:szCs w:val="24"/>
        </w:rPr>
        <w:tab/>
        <w:t>Complainant did not meet his burden of proving that he is entitled to receive the same low rate of residential telephone service after March 2011, and is not entitled to obtain any relief from this Commission concerning the amounts he will be billed by Respondent going forward.</w:t>
      </w:r>
    </w:p>
    <w:p w:rsidR="00FE0D2B" w:rsidRDefault="00FE0D2B" w:rsidP="00FE0D2B">
      <w:pPr>
        <w:pStyle w:val="BodyTextIndent"/>
        <w:spacing w:line="360" w:lineRule="auto"/>
        <w:ind w:firstLine="0"/>
        <w:rPr>
          <w:sz w:val="24"/>
          <w:szCs w:val="24"/>
        </w:rPr>
      </w:pPr>
    </w:p>
    <w:p w:rsidR="00CE6BB0" w:rsidRDefault="00CE6BB0" w:rsidP="00CE6BB0">
      <w:pPr>
        <w:pStyle w:val="BodyTextIndent"/>
        <w:spacing w:line="360" w:lineRule="auto"/>
        <w:ind w:firstLine="0"/>
        <w:jc w:val="center"/>
        <w:rPr>
          <w:sz w:val="24"/>
          <w:szCs w:val="24"/>
          <w:u w:val="single"/>
        </w:rPr>
      </w:pPr>
      <w:r w:rsidRPr="00203D7F">
        <w:rPr>
          <w:sz w:val="24"/>
          <w:szCs w:val="24"/>
          <w:u w:val="single"/>
        </w:rPr>
        <w:t>ORDER</w:t>
      </w:r>
    </w:p>
    <w:p w:rsidR="00203D7F" w:rsidRPr="00203D7F" w:rsidRDefault="00203D7F" w:rsidP="00CE6BB0">
      <w:pPr>
        <w:pStyle w:val="BodyTextIndent"/>
        <w:spacing w:line="360" w:lineRule="auto"/>
        <w:ind w:firstLine="0"/>
        <w:jc w:val="center"/>
        <w:rPr>
          <w:sz w:val="24"/>
          <w:szCs w:val="24"/>
        </w:rPr>
      </w:pPr>
    </w:p>
    <w:p w:rsidR="00CE6BB0" w:rsidRPr="00CE6BB0" w:rsidRDefault="00CE6BB0" w:rsidP="00CE6BB0">
      <w:pPr>
        <w:pStyle w:val="BodyTextIndent"/>
        <w:spacing w:line="360" w:lineRule="auto"/>
        <w:ind w:firstLine="0"/>
        <w:rPr>
          <w:sz w:val="24"/>
          <w:szCs w:val="24"/>
        </w:rPr>
      </w:pPr>
    </w:p>
    <w:p w:rsidR="00CE6BB0" w:rsidRPr="00CE6BB0" w:rsidRDefault="00CE6BB0" w:rsidP="00CE6BB0">
      <w:pPr>
        <w:pStyle w:val="BodyTextIndent"/>
        <w:spacing w:line="360" w:lineRule="auto"/>
        <w:ind w:firstLine="0"/>
        <w:rPr>
          <w:sz w:val="24"/>
          <w:szCs w:val="24"/>
        </w:rPr>
      </w:pPr>
      <w:r w:rsidRPr="00CE6BB0">
        <w:rPr>
          <w:sz w:val="24"/>
          <w:szCs w:val="24"/>
        </w:rPr>
        <w:tab/>
      </w:r>
      <w:r w:rsidRPr="00CE6BB0">
        <w:rPr>
          <w:sz w:val="24"/>
          <w:szCs w:val="24"/>
        </w:rPr>
        <w:tab/>
        <w:t>THEREFORE,</w:t>
      </w:r>
    </w:p>
    <w:p w:rsidR="00CE6BB0" w:rsidRPr="00CE6BB0" w:rsidRDefault="00CE6BB0" w:rsidP="00CE6BB0">
      <w:pPr>
        <w:pStyle w:val="BodyTextIndent"/>
        <w:spacing w:line="360" w:lineRule="auto"/>
        <w:ind w:firstLine="0"/>
        <w:rPr>
          <w:sz w:val="24"/>
          <w:szCs w:val="24"/>
        </w:rPr>
      </w:pPr>
    </w:p>
    <w:p w:rsidR="00CE6BB0" w:rsidRPr="00CE6BB0" w:rsidRDefault="00CE6BB0" w:rsidP="00CE6BB0">
      <w:pPr>
        <w:pStyle w:val="BodyTextIndent"/>
        <w:spacing w:line="360" w:lineRule="auto"/>
        <w:ind w:firstLine="0"/>
        <w:rPr>
          <w:sz w:val="24"/>
          <w:szCs w:val="24"/>
        </w:rPr>
      </w:pPr>
      <w:r w:rsidRPr="00CE6BB0">
        <w:rPr>
          <w:sz w:val="24"/>
          <w:szCs w:val="24"/>
        </w:rPr>
        <w:tab/>
      </w:r>
      <w:r w:rsidRPr="00CE6BB0">
        <w:rPr>
          <w:sz w:val="24"/>
          <w:szCs w:val="24"/>
        </w:rPr>
        <w:tab/>
        <w:t>IT IS ORDERED:</w:t>
      </w:r>
    </w:p>
    <w:p w:rsidR="00CE6BB0" w:rsidRPr="00CE6BB0" w:rsidRDefault="00CE6BB0" w:rsidP="00CE6BB0">
      <w:pPr>
        <w:pStyle w:val="BodyTextIndent"/>
        <w:spacing w:line="360" w:lineRule="auto"/>
        <w:ind w:firstLine="0"/>
        <w:rPr>
          <w:sz w:val="24"/>
          <w:szCs w:val="24"/>
        </w:rPr>
      </w:pPr>
    </w:p>
    <w:p w:rsidR="00CE6BB0" w:rsidRDefault="00CE6BB0" w:rsidP="0034148E">
      <w:pPr>
        <w:pStyle w:val="BodyTextIndent"/>
        <w:numPr>
          <w:ilvl w:val="0"/>
          <w:numId w:val="5"/>
        </w:numPr>
        <w:tabs>
          <w:tab w:val="clear" w:pos="360"/>
          <w:tab w:val="num" w:pos="0"/>
        </w:tabs>
        <w:spacing w:line="360" w:lineRule="auto"/>
        <w:ind w:left="0" w:firstLine="1440"/>
        <w:jc w:val="left"/>
        <w:rPr>
          <w:sz w:val="24"/>
          <w:szCs w:val="24"/>
        </w:rPr>
      </w:pPr>
      <w:r w:rsidRPr="00CE6BB0">
        <w:rPr>
          <w:sz w:val="24"/>
          <w:szCs w:val="24"/>
        </w:rPr>
        <w:t xml:space="preserve">That the complaint of </w:t>
      </w:r>
      <w:r w:rsidR="00FE0D2B" w:rsidRPr="00C462D0">
        <w:rPr>
          <w:sz w:val="24"/>
          <w:szCs w:val="24"/>
        </w:rPr>
        <w:t>Gary L. Gaskins</w:t>
      </w:r>
      <w:r w:rsidRPr="00C462D0">
        <w:rPr>
          <w:sz w:val="24"/>
          <w:szCs w:val="24"/>
        </w:rPr>
        <w:t xml:space="preserve"> v. </w:t>
      </w:r>
      <w:r w:rsidR="00FE0D2B" w:rsidRPr="00C462D0">
        <w:rPr>
          <w:sz w:val="24"/>
          <w:szCs w:val="24"/>
        </w:rPr>
        <w:t xml:space="preserve">Verizon </w:t>
      </w:r>
      <w:r w:rsidRPr="00C462D0">
        <w:rPr>
          <w:sz w:val="24"/>
          <w:szCs w:val="24"/>
        </w:rPr>
        <w:t>Pennsylvania Inc</w:t>
      </w:r>
      <w:r w:rsidR="00C462D0">
        <w:rPr>
          <w:sz w:val="24"/>
          <w:szCs w:val="24"/>
        </w:rPr>
        <w:t>.</w:t>
      </w:r>
      <w:r w:rsidRPr="00C462D0">
        <w:rPr>
          <w:sz w:val="24"/>
          <w:szCs w:val="24"/>
        </w:rPr>
        <w:t>,</w:t>
      </w:r>
      <w:r w:rsidRPr="00CE6BB0">
        <w:rPr>
          <w:sz w:val="24"/>
          <w:szCs w:val="24"/>
        </w:rPr>
        <w:t xml:space="preserve"> docketed with the Pennsylvania Public Utility Commission at </w:t>
      </w:r>
      <w:r w:rsidR="00FE0D2B">
        <w:rPr>
          <w:sz w:val="24"/>
          <w:szCs w:val="24"/>
        </w:rPr>
        <w:t xml:space="preserve">Docket No. C-2010-2195549 </w:t>
      </w:r>
      <w:r w:rsidRPr="00CE6BB0">
        <w:rPr>
          <w:sz w:val="24"/>
          <w:szCs w:val="24"/>
        </w:rPr>
        <w:t xml:space="preserve">is </w:t>
      </w:r>
      <w:r w:rsidRPr="00CE6BB0">
        <w:rPr>
          <w:sz w:val="24"/>
          <w:szCs w:val="24"/>
        </w:rPr>
        <w:lastRenderedPageBreak/>
        <w:t xml:space="preserve">hereby granted in part and denied in part.  To the extent the complaint raises an issue of the Respondent refusing to </w:t>
      </w:r>
      <w:r w:rsidR="00FE0D2B">
        <w:rPr>
          <w:sz w:val="24"/>
          <w:szCs w:val="24"/>
        </w:rPr>
        <w:t>investigate and repair Complainant’s residential service line and fail</w:t>
      </w:r>
      <w:r w:rsidR="003151D3">
        <w:rPr>
          <w:sz w:val="24"/>
          <w:szCs w:val="24"/>
        </w:rPr>
        <w:t>ing</w:t>
      </w:r>
      <w:r w:rsidR="00FE0D2B">
        <w:rPr>
          <w:sz w:val="24"/>
          <w:szCs w:val="24"/>
        </w:rPr>
        <w:t xml:space="preserve"> to provide Complainant with a clear listing of all charges each month from </w:t>
      </w:r>
      <w:r w:rsidR="00DD79E8">
        <w:rPr>
          <w:sz w:val="24"/>
          <w:szCs w:val="24"/>
        </w:rPr>
        <w:t xml:space="preserve">June 2009 </w:t>
      </w:r>
      <w:r w:rsidR="00FE0D2B">
        <w:rPr>
          <w:sz w:val="24"/>
          <w:szCs w:val="24"/>
        </w:rPr>
        <w:t xml:space="preserve">through March 2011, </w:t>
      </w:r>
      <w:r w:rsidRPr="00CE6BB0">
        <w:rPr>
          <w:sz w:val="24"/>
          <w:szCs w:val="24"/>
        </w:rPr>
        <w:t>the complaint is hereby granted.  In all other respects, the complaint is hereby denied.</w:t>
      </w:r>
    </w:p>
    <w:p w:rsidR="00FE0D2B" w:rsidRDefault="00FE0D2B" w:rsidP="00FE0D2B">
      <w:pPr>
        <w:pStyle w:val="BodyTextIndent"/>
        <w:spacing w:line="360" w:lineRule="auto"/>
        <w:ind w:firstLine="0"/>
        <w:rPr>
          <w:sz w:val="24"/>
          <w:szCs w:val="24"/>
        </w:rPr>
      </w:pPr>
    </w:p>
    <w:p w:rsidR="002421B5" w:rsidRDefault="00FE0D2B" w:rsidP="00FB32AD">
      <w:pPr>
        <w:pStyle w:val="BodyTextIndent"/>
        <w:spacing w:line="360" w:lineRule="auto"/>
        <w:jc w:val="left"/>
        <w:rPr>
          <w:sz w:val="24"/>
          <w:szCs w:val="24"/>
        </w:rPr>
      </w:pPr>
      <w:r>
        <w:rPr>
          <w:sz w:val="24"/>
          <w:szCs w:val="24"/>
        </w:rPr>
        <w:t>2.</w:t>
      </w:r>
      <w:r>
        <w:rPr>
          <w:sz w:val="24"/>
          <w:szCs w:val="24"/>
        </w:rPr>
        <w:tab/>
        <w:t xml:space="preserve">That Respondent is hereby directed within </w:t>
      </w:r>
      <w:r w:rsidR="005F7BA3">
        <w:rPr>
          <w:sz w:val="24"/>
          <w:szCs w:val="24"/>
        </w:rPr>
        <w:t>forty-five (45)</w:t>
      </w:r>
      <w:r>
        <w:rPr>
          <w:sz w:val="24"/>
          <w:szCs w:val="24"/>
        </w:rPr>
        <w:t xml:space="preserve"> days of entry of the Commission’s Order </w:t>
      </w:r>
      <w:r w:rsidR="00F738DB">
        <w:rPr>
          <w:sz w:val="24"/>
          <w:szCs w:val="24"/>
        </w:rPr>
        <w:t xml:space="preserve">issued in this case to inspect its facilities between the </w:t>
      </w:r>
      <w:r w:rsidR="005C561B" w:rsidRPr="00CE6BB0">
        <w:rPr>
          <w:sz w:val="24"/>
          <w:szCs w:val="24"/>
        </w:rPr>
        <w:t xml:space="preserve">central office and Complainant’s </w:t>
      </w:r>
      <w:r w:rsidR="00457F9F" w:rsidRPr="00CE6BB0">
        <w:rPr>
          <w:sz w:val="24"/>
          <w:szCs w:val="24"/>
        </w:rPr>
        <w:t>Network Interface Device</w:t>
      </w:r>
      <w:r w:rsidR="00E1567F" w:rsidRPr="00CE6BB0">
        <w:rPr>
          <w:sz w:val="24"/>
          <w:szCs w:val="24"/>
        </w:rPr>
        <w:t xml:space="preserve"> (</w:t>
      </w:r>
      <w:r w:rsidR="005C561B" w:rsidRPr="00CE6BB0">
        <w:rPr>
          <w:sz w:val="24"/>
          <w:szCs w:val="24"/>
        </w:rPr>
        <w:t>NID</w:t>
      </w:r>
      <w:r w:rsidR="00E1567F" w:rsidRPr="00CE6BB0">
        <w:rPr>
          <w:sz w:val="24"/>
          <w:szCs w:val="24"/>
        </w:rPr>
        <w:t>)</w:t>
      </w:r>
      <w:r w:rsidR="005C561B" w:rsidRPr="00CE6BB0">
        <w:rPr>
          <w:sz w:val="24"/>
          <w:szCs w:val="24"/>
        </w:rPr>
        <w:t xml:space="preserve">, </w:t>
      </w:r>
      <w:r w:rsidR="002421B5" w:rsidRPr="00CE6BB0">
        <w:rPr>
          <w:sz w:val="24"/>
          <w:szCs w:val="24"/>
        </w:rPr>
        <w:t xml:space="preserve">complete whatever corrective action may be necessary to provide </w:t>
      </w:r>
      <w:r w:rsidR="00C810AF" w:rsidRPr="00CE6BB0">
        <w:rPr>
          <w:sz w:val="24"/>
          <w:szCs w:val="24"/>
        </w:rPr>
        <w:t>Complainant</w:t>
      </w:r>
      <w:r w:rsidR="002421B5" w:rsidRPr="00CE6BB0">
        <w:rPr>
          <w:sz w:val="24"/>
          <w:szCs w:val="24"/>
        </w:rPr>
        <w:t xml:space="preserve"> with a level of reasonable and adequate telephone service that is free of </w:t>
      </w:r>
      <w:r w:rsidR="00457F9F" w:rsidRPr="00CE6BB0">
        <w:rPr>
          <w:sz w:val="24"/>
          <w:szCs w:val="24"/>
        </w:rPr>
        <w:t xml:space="preserve">dropped </w:t>
      </w:r>
      <w:r w:rsidR="002421B5" w:rsidRPr="00CE6BB0">
        <w:rPr>
          <w:sz w:val="24"/>
          <w:szCs w:val="24"/>
        </w:rPr>
        <w:t>excessive distortion</w:t>
      </w:r>
      <w:r w:rsidR="00CF46BD" w:rsidRPr="00CE6BB0">
        <w:rPr>
          <w:sz w:val="24"/>
          <w:szCs w:val="24"/>
        </w:rPr>
        <w:t xml:space="preserve"> and noise</w:t>
      </w:r>
      <w:r w:rsidR="005C561B" w:rsidRPr="00CE6BB0">
        <w:rPr>
          <w:sz w:val="24"/>
          <w:szCs w:val="24"/>
        </w:rPr>
        <w:t>, and send a report within forty-five (45) days to the Commission’s Bureau of Consumer Services</w:t>
      </w:r>
      <w:r w:rsidR="002421B5" w:rsidRPr="00CE6BB0">
        <w:rPr>
          <w:sz w:val="24"/>
          <w:szCs w:val="24"/>
        </w:rPr>
        <w:t>.</w:t>
      </w:r>
    </w:p>
    <w:p w:rsidR="00F738DB" w:rsidRDefault="00F738DB" w:rsidP="00F738DB">
      <w:pPr>
        <w:pStyle w:val="BodyTextIndent"/>
        <w:spacing w:line="360" w:lineRule="auto"/>
        <w:rPr>
          <w:sz w:val="24"/>
          <w:szCs w:val="24"/>
        </w:rPr>
      </w:pPr>
    </w:p>
    <w:p w:rsidR="005F7BA3" w:rsidRPr="00322885" w:rsidRDefault="00F738DB" w:rsidP="00F07E41">
      <w:pPr>
        <w:pStyle w:val="ListParagraph"/>
        <w:numPr>
          <w:ilvl w:val="0"/>
          <w:numId w:val="2"/>
        </w:numPr>
        <w:tabs>
          <w:tab w:val="clear" w:pos="720"/>
          <w:tab w:val="num" w:pos="0"/>
        </w:tabs>
        <w:spacing w:line="360" w:lineRule="auto"/>
        <w:ind w:left="0" w:firstLine="1440"/>
        <w:rPr>
          <w:sz w:val="24"/>
          <w:szCs w:val="24"/>
        </w:rPr>
      </w:pPr>
      <w:r w:rsidRPr="00322885">
        <w:rPr>
          <w:sz w:val="24"/>
          <w:szCs w:val="24"/>
        </w:rPr>
        <w:t xml:space="preserve">That Respondent is hereby directed within </w:t>
      </w:r>
      <w:r w:rsidR="005F7BA3" w:rsidRPr="00322885">
        <w:rPr>
          <w:sz w:val="24"/>
          <w:szCs w:val="24"/>
        </w:rPr>
        <w:t>forty-five (45)</w:t>
      </w:r>
      <w:r w:rsidRPr="00322885">
        <w:rPr>
          <w:sz w:val="24"/>
          <w:szCs w:val="24"/>
        </w:rPr>
        <w:t xml:space="preserve"> days of entry of the Commission’s Order issued in this case to send a detailed billing statement to Complainant, which statement shall include the following information:</w:t>
      </w:r>
      <w:r w:rsidR="005F7BA3" w:rsidRPr="00322885">
        <w:rPr>
          <w:sz w:val="24"/>
          <w:szCs w:val="24"/>
        </w:rPr>
        <w:t xml:space="preserve"> </w:t>
      </w:r>
    </w:p>
    <w:p w:rsidR="00322885" w:rsidRPr="00322885" w:rsidRDefault="00322885" w:rsidP="00AF678A">
      <w:pPr>
        <w:rPr>
          <w:sz w:val="24"/>
          <w:szCs w:val="24"/>
        </w:rPr>
      </w:pPr>
    </w:p>
    <w:p w:rsidR="007B7CC4" w:rsidRDefault="005F7BA3" w:rsidP="00D24890">
      <w:pPr>
        <w:pStyle w:val="ListParagraph"/>
        <w:numPr>
          <w:ilvl w:val="0"/>
          <w:numId w:val="8"/>
        </w:numPr>
        <w:ind w:left="2880" w:hanging="720"/>
        <w:rPr>
          <w:sz w:val="24"/>
          <w:szCs w:val="24"/>
        </w:rPr>
      </w:pPr>
      <w:r w:rsidRPr="00AF678A">
        <w:rPr>
          <w:sz w:val="24"/>
          <w:szCs w:val="24"/>
        </w:rPr>
        <w:t xml:space="preserve">Complainant’s monthly charges for basic service from </w:t>
      </w:r>
      <w:r w:rsidR="00DD79E8" w:rsidRPr="00AF678A">
        <w:rPr>
          <w:sz w:val="24"/>
          <w:szCs w:val="24"/>
        </w:rPr>
        <w:t>June 2009</w:t>
      </w:r>
      <w:r w:rsidRPr="00AF678A">
        <w:rPr>
          <w:sz w:val="24"/>
          <w:szCs w:val="24"/>
        </w:rPr>
        <w:t xml:space="preserve"> through March 2011; </w:t>
      </w:r>
    </w:p>
    <w:p w:rsidR="00AF678A" w:rsidRPr="00AF678A" w:rsidRDefault="00AF678A" w:rsidP="00AF678A">
      <w:pPr>
        <w:pStyle w:val="ListParagraph"/>
        <w:ind w:left="2160"/>
        <w:rPr>
          <w:sz w:val="24"/>
          <w:szCs w:val="24"/>
        </w:rPr>
      </w:pPr>
    </w:p>
    <w:p w:rsidR="00AF678A" w:rsidRDefault="005F7BA3" w:rsidP="00007BBE">
      <w:pPr>
        <w:pStyle w:val="ListParagraph"/>
        <w:numPr>
          <w:ilvl w:val="0"/>
          <w:numId w:val="8"/>
        </w:numPr>
        <w:ind w:left="2880" w:hanging="720"/>
        <w:rPr>
          <w:sz w:val="24"/>
          <w:szCs w:val="24"/>
        </w:rPr>
      </w:pPr>
      <w:r>
        <w:rPr>
          <w:sz w:val="24"/>
          <w:szCs w:val="24"/>
        </w:rPr>
        <w:t>When Lifeline 100 was applied and how it reduced his monthly payment;</w:t>
      </w:r>
    </w:p>
    <w:p w:rsidR="00222FEE" w:rsidRPr="00222FEE" w:rsidRDefault="00222FEE" w:rsidP="00222FEE">
      <w:pPr>
        <w:rPr>
          <w:sz w:val="24"/>
          <w:szCs w:val="24"/>
        </w:rPr>
      </w:pPr>
    </w:p>
    <w:p w:rsidR="005F7BA3" w:rsidRDefault="005F7BA3" w:rsidP="00D814C7">
      <w:pPr>
        <w:pStyle w:val="ListParagraph"/>
        <w:numPr>
          <w:ilvl w:val="0"/>
          <w:numId w:val="8"/>
        </w:numPr>
        <w:ind w:left="2880" w:hanging="720"/>
        <w:rPr>
          <w:sz w:val="24"/>
          <w:szCs w:val="24"/>
        </w:rPr>
      </w:pPr>
      <w:r>
        <w:rPr>
          <w:sz w:val="24"/>
          <w:szCs w:val="24"/>
        </w:rPr>
        <w:t xml:space="preserve">When Lifeline 135 was applied and how it reduced his monthly payment; </w:t>
      </w:r>
    </w:p>
    <w:p w:rsidR="00222FEE" w:rsidRPr="00222FEE" w:rsidRDefault="00222FEE" w:rsidP="00222FEE">
      <w:pPr>
        <w:rPr>
          <w:sz w:val="24"/>
          <w:szCs w:val="24"/>
        </w:rPr>
      </w:pPr>
    </w:p>
    <w:p w:rsidR="00F07E41" w:rsidRDefault="005F7BA3" w:rsidP="00012148">
      <w:pPr>
        <w:pStyle w:val="ListParagraph"/>
        <w:numPr>
          <w:ilvl w:val="0"/>
          <w:numId w:val="8"/>
        </w:numPr>
        <w:ind w:firstLine="0"/>
        <w:rPr>
          <w:sz w:val="24"/>
          <w:szCs w:val="24"/>
        </w:rPr>
      </w:pPr>
      <w:r>
        <w:rPr>
          <w:sz w:val="24"/>
          <w:szCs w:val="24"/>
        </w:rPr>
        <w:t>When no Lifeline assistance was applied to his account;</w:t>
      </w:r>
    </w:p>
    <w:p w:rsidR="00F07E41" w:rsidRPr="00F07E41" w:rsidRDefault="00F07E41" w:rsidP="00F07E41">
      <w:pPr>
        <w:rPr>
          <w:sz w:val="24"/>
          <w:szCs w:val="24"/>
        </w:rPr>
      </w:pPr>
    </w:p>
    <w:p w:rsidR="007B7CC4" w:rsidRDefault="005F7BA3" w:rsidP="00E8095C">
      <w:pPr>
        <w:pStyle w:val="ListParagraph"/>
        <w:numPr>
          <w:ilvl w:val="0"/>
          <w:numId w:val="8"/>
        </w:numPr>
        <w:ind w:left="2880" w:hanging="720"/>
        <w:rPr>
          <w:sz w:val="24"/>
          <w:szCs w:val="24"/>
        </w:rPr>
      </w:pPr>
      <w:r w:rsidRPr="00F07E41">
        <w:rPr>
          <w:sz w:val="24"/>
          <w:szCs w:val="24"/>
        </w:rPr>
        <w:t xml:space="preserve">The taxes, surcharges and fees added each month to the basic service costs; </w:t>
      </w:r>
    </w:p>
    <w:p w:rsidR="00F07E41" w:rsidRPr="00F07E41" w:rsidRDefault="00F07E41" w:rsidP="00F07E41">
      <w:pPr>
        <w:pStyle w:val="ListParagraph"/>
        <w:rPr>
          <w:sz w:val="24"/>
          <w:szCs w:val="24"/>
        </w:rPr>
      </w:pPr>
    </w:p>
    <w:p w:rsidR="005F7BA3" w:rsidRDefault="005F7BA3" w:rsidP="00F31884">
      <w:pPr>
        <w:pStyle w:val="ListParagraph"/>
        <w:numPr>
          <w:ilvl w:val="0"/>
          <w:numId w:val="8"/>
        </w:numPr>
        <w:ind w:firstLine="0"/>
        <w:rPr>
          <w:sz w:val="24"/>
          <w:szCs w:val="24"/>
        </w:rPr>
      </w:pPr>
      <w:r>
        <w:rPr>
          <w:sz w:val="24"/>
          <w:szCs w:val="24"/>
        </w:rPr>
        <w:t>The total amount charged for each month;</w:t>
      </w:r>
    </w:p>
    <w:p w:rsidR="00F07E41" w:rsidRPr="00F07E41" w:rsidRDefault="00F07E41" w:rsidP="00F07E41">
      <w:pPr>
        <w:rPr>
          <w:sz w:val="24"/>
          <w:szCs w:val="24"/>
        </w:rPr>
      </w:pPr>
    </w:p>
    <w:p w:rsidR="00F07E41" w:rsidRDefault="005F7BA3" w:rsidP="00F31884">
      <w:pPr>
        <w:pStyle w:val="ListParagraph"/>
        <w:numPr>
          <w:ilvl w:val="0"/>
          <w:numId w:val="8"/>
        </w:numPr>
        <w:ind w:firstLine="0"/>
        <w:rPr>
          <w:sz w:val="24"/>
          <w:szCs w:val="24"/>
        </w:rPr>
      </w:pPr>
      <w:r>
        <w:rPr>
          <w:sz w:val="24"/>
          <w:szCs w:val="24"/>
        </w:rPr>
        <w:t>The due date for each month’s billing cycle;</w:t>
      </w:r>
    </w:p>
    <w:p w:rsidR="00F07E41" w:rsidRPr="00F07E41" w:rsidRDefault="00F07E41" w:rsidP="00F07E41">
      <w:pPr>
        <w:rPr>
          <w:sz w:val="24"/>
          <w:szCs w:val="24"/>
        </w:rPr>
      </w:pPr>
    </w:p>
    <w:p w:rsidR="005F7BA3" w:rsidRDefault="005F7BA3" w:rsidP="00F31884">
      <w:pPr>
        <w:pStyle w:val="ListParagraph"/>
        <w:numPr>
          <w:ilvl w:val="0"/>
          <w:numId w:val="8"/>
        </w:numPr>
        <w:ind w:firstLine="0"/>
        <w:rPr>
          <w:sz w:val="24"/>
          <w:szCs w:val="24"/>
        </w:rPr>
      </w:pPr>
      <w:r>
        <w:rPr>
          <w:sz w:val="24"/>
          <w:szCs w:val="24"/>
        </w:rPr>
        <w:t>The date</w:t>
      </w:r>
      <w:r w:rsidR="0003635A">
        <w:rPr>
          <w:sz w:val="24"/>
          <w:szCs w:val="24"/>
        </w:rPr>
        <w:t>s</w:t>
      </w:r>
      <w:r>
        <w:rPr>
          <w:sz w:val="24"/>
          <w:szCs w:val="24"/>
        </w:rPr>
        <w:t xml:space="preserve"> Verizon received Complainant’s payments;</w:t>
      </w:r>
    </w:p>
    <w:p w:rsidR="00F07E41" w:rsidRPr="00F07E41" w:rsidRDefault="00F07E41" w:rsidP="00F07E41">
      <w:pPr>
        <w:rPr>
          <w:sz w:val="24"/>
          <w:szCs w:val="24"/>
        </w:rPr>
      </w:pPr>
    </w:p>
    <w:p w:rsidR="00F07E41" w:rsidRDefault="005F7BA3" w:rsidP="00F31884">
      <w:pPr>
        <w:pStyle w:val="ListParagraph"/>
        <w:numPr>
          <w:ilvl w:val="0"/>
          <w:numId w:val="8"/>
        </w:numPr>
        <w:ind w:firstLine="0"/>
        <w:rPr>
          <w:sz w:val="24"/>
          <w:szCs w:val="24"/>
        </w:rPr>
      </w:pPr>
      <w:r>
        <w:rPr>
          <w:sz w:val="24"/>
          <w:szCs w:val="24"/>
        </w:rPr>
        <w:t>The amount of Complainant’s payment;</w:t>
      </w:r>
    </w:p>
    <w:p w:rsidR="005F7BA3" w:rsidRDefault="005F7BA3" w:rsidP="00C07FF9">
      <w:pPr>
        <w:pStyle w:val="ListParagraph"/>
        <w:numPr>
          <w:ilvl w:val="0"/>
          <w:numId w:val="8"/>
        </w:numPr>
        <w:ind w:left="2880" w:hanging="720"/>
        <w:rPr>
          <w:sz w:val="24"/>
          <w:szCs w:val="24"/>
        </w:rPr>
      </w:pPr>
      <w:r>
        <w:rPr>
          <w:sz w:val="24"/>
          <w:szCs w:val="24"/>
        </w:rPr>
        <w:lastRenderedPageBreak/>
        <w:t>The amount, if applicable, of late payment charges applied to Complainant’s account; and</w:t>
      </w:r>
    </w:p>
    <w:p w:rsidR="00CB33E3" w:rsidRDefault="00CB33E3" w:rsidP="00CB33E3">
      <w:pPr>
        <w:pStyle w:val="ListParagraph"/>
        <w:ind w:left="2160"/>
        <w:rPr>
          <w:sz w:val="24"/>
          <w:szCs w:val="24"/>
        </w:rPr>
      </w:pPr>
    </w:p>
    <w:p w:rsidR="005F7BA3" w:rsidRDefault="005F7BA3" w:rsidP="00C07FF9">
      <w:pPr>
        <w:pStyle w:val="ListParagraph"/>
        <w:numPr>
          <w:ilvl w:val="0"/>
          <w:numId w:val="8"/>
        </w:numPr>
        <w:spacing w:line="360" w:lineRule="auto"/>
        <w:ind w:firstLine="0"/>
        <w:rPr>
          <w:sz w:val="24"/>
          <w:szCs w:val="24"/>
        </w:rPr>
      </w:pPr>
      <w:r>
        <w:rPr>
          <w:sz w:val="24"/>
          <w:szCs w:val="24"/>
        </w:rPr>
        <w:t>The balance due as of March 31, 2011.</w:t>
      </w:r>
    </w:p>
    <w:p w:rsidR="00F738DB" w:rsidRDefault="00F738DB" w:rsidP="00F738DB">
      <w:pPr>
        <w:pStyle w:val="BodyTextIndent"/>
        <w:spacing w:line="360" w:lineRule="auto"/>
        <w:rPr>
          <w:sz w:val="24"/>
          <w:szCs w:val="24"/>
        </w:rPr>
      </w:pPr>
    </w:p>
    <w:p w:rsidR="00457F9F" w:rsidRPr="00457F9F" w:rsidRDefault="00F738DB" w:rsidP="00F738DB">
      <w:pPr>
        <w:pStyle w:val="BodyTextIndent"/>
        <w:spacing w:line="360" w:lineRule="auto"/>
        <w:rPr>
          <w:sz w:val="24"/>
          <w:szCs w:val="24"/>
        </w:rPr>
      </w:pPr>
      <w:r>
        <w:rPr>
          <w:sz w:val="24"/>
          <w:szCs w:val="24"/>
        </w:rPr>
        <w:t>4.</w:t>
      </w:r>
      <w:r>
        <w:rPr>
          <w:sz w:val="24"/>
          <w:szCs w:val="24"/>
        </w:rPr>
        <w:tab/>
        <w:t xml:space="preserve">That </w:t>
      </w:r>
      <w:r w:rsidR="00457F9F" w:rsidRPr="00457F9F">
        <w:rPr>
          <w:sz w:val="24"/>
          <w:szCs w:val="24"/>
        </w:rPr>
        <w:t xml:space="preserve">the Bureau of Consumer Services should receive a copy of the Commission’s </w:t>
      </w:r>
      <w:r>
        <w:rPr>
          <w:sz w:val="24"/>
          <w:szCs w:val="24"/>
        </w:rPr>
        <w:t>O</w:t>
      </w:r>
      <w:r w:rsidR="00457F9F" w:rsidRPr="00457F9F">
        <w:rPr>
          <w:sz w:val="24"/>
          <w:szCs w:val="24"/>
        </w:rPr>
        <w:t>rder in this matter.</w:t>
      </w:r>
    </w:p>
    <w:p w:rsidR="002421B5" w:rsidRPr="00457F9F" w:rsidRDefault="002421B5" w:rsidP="002421B5">
      <w:pPr>
        <w:spacing w:line="360" w:lineRule="auto"/>
        <w:rPr>
          <w:sz w:val="24"/>
          <w:szCs w:val="24"/>
        </w:rPr>
      </w:pPr>
    </w:p>
    <w:p w:rsidR="002421B5" w:rsidRPr="00457F9F" w:rsidRDefault="002421B5" w:rsidP="002421B5">
      <w:pPr>
        <w:spacing w:line="360" w:lineRule="auto"/>
        <w:rPr>
          <w:sz w:val="24"/>
          <w:szCs w:val="24"/>
        </w:rPr>
      </w:pPr>
    </w:p>
    <w:p w:rsidR="002421B5" w:rsidRDefault="002421B5" w:rsidP="002421B5">
      <w:pPr>
        <w:rPr>
          <w:sz w:val="24"/>
          <w:szCs w:val="24"/>
        </w:rPr>
      </w:pPr>
      <w:r>
        <w:rPr>
          <w:sz w:val="24"/>
          <w:szCs w:val="24"/>
        </w:rPr>
        <w:t xml:space="preserve">Date:  </w:t>
      </w:r>
      <w:r w:rsidR="00F738DB">
        <w:rPr>
          <w:sz w:val="24"/>
          <w:szCs w:val="24"/>
          <w:u w:val="single"/>
        </w:rPr>
        <w:t>March 19, 2012</w:t>
      </w:r>
      <w:r>
        <w:rPr>
          <w:sz w:val="24"/>
          <w:szCs w:val="24"/>
        </w:rPr>
        <w:tab/>
      </w:r>
      <w:r>
        <w:rPr>
          <w:sz w:val="24"/>
          <w:szCs w:val="24"/>
        </w:rPr>
        <w:tab/>
      </w:r>
      <w:r>
        <w:rPr>
          <w:sz w:val="24"/>
          <w:szCs w:val="24"/>
        </w:rPr>
        <w:tab/>
      </w:r>
      <w:r>
        <w:rPr>
          <w:sz w:val="24"/>
          <w:szCs w:val="24"/>
        </w:rPr>
        <w:tab/>
      </w:r>
      <w:r w:rsidR="00D569B1">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2421B5" w:rsidRDefault="002421B5" w:rsidP="002421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569B1">
        <w:rPr>
          <w:sz w:val="24"/>
          <w:szCs w:val="24"/>
        </w:rPr>
        <w:tab/>
      </w:r>
      <w:r w:rsidR="00CF46BD">
        <w:rPr>
          <w:sz w:val="24"/>
          <w:szCs w:val="24"/>
        </w:rPr>
        <w:t>Katrina L. Dunderdale</w:t>
      </w:r>
    </w:p>
    <w:p w:rsidR="002421B5" w:rsidRDefault="002421B5" w:rsidP="002421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569B1">
        <w:rPr>
          <w:sz w:val="24"/>
          <w:szCs w:val="24"/>
        </w:rPr>
        <w:tab/>
      </w:r>
      <w:r>
        <w:rPr>
          <w:sz w:val="24"/>
          <w:szCs w:val="24"/>
        </w:rPr>
        <w:t>Administrative Law Judge</w:t>
      </w:r>
    </w:p>
    <w:p w:rsidR="002421B5" w:rsidRPr="002421B5" w:rsidRDefault="002421B5" w:rsidP="002421B5">
      <w:pPr>
        <w:rPr>
          <w:sz w:val="24"/>
          <w:szCs w:val="24"/>
        </w:rPr>
      </w:pPr>
    </w:p>
    <w:sectPr w:rsidR="002421B5" w:rsidRPr="002421B5" w:rsidSect="00D5462A">
      <w:footerReference w:type="even" r:id="rId9"/>
      <w:footerReference w:type="default" r:id="rId10"/>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F6" w:rsidRDefault="007C0BF6">
      <w:r>
        <w:separator/>
      </w:r>
    </w:p>
  </w:endnote>
  <w:endnote w:type="continuationSeparator" w:id="0">
    <w:p w:rsidR="007C0BF6" w:rsidRDefault="007C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0A" w:rsidRDefault="00021B0A" w:rsidP="00CF1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0A7">
      <w:rPr>
        <w:rStyle w:val="PageNumber"/>
        <w:noProof/>
      </w:rPr>
      <w:t>11</w:t>
    </w:r>
    <w:r>
      <w:rPr>
        <w:rStyle w:val="PageNumber"/>
      </w:rPr>
      <w:fldChar w:fldCharType="end"/>
    </w:r>
  </w:p>
  <w:p w:rsidR="00021B0A" w:rsidRDefault="00021B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0A" w:rsidRPr="00192565" w:rsidRDefault="00021B0A" w:rsidP="00CF1CBB">
    <w:pPr>
      <w:pStyle w:val="Footer"/>
      <w:framePr w:wrap="around" w:vAnchor="text" w:hAnchor="margin" w:xAlign="center" w:y="1"/>
      <w:rPr>
        <w:rStyle w:val="PageNumber"/>
        <w:sz w:val="24"/>
        <w:szCs w:val="24"/>
      </w:rPr>
    </w:pPr>
    <w:r w:rsidRPr="00192565">
      <w:rPr>
        <w:rStyle w:val="PageNumber"/>
        <w:sz w:val="24"/>
        <w:szCs w:val="24"/>
      </w:rPr>
      <w:fldChar w:fldCharType="begin"/>
    </w:r>
    <w:r w:rsidRPr="00192565">
      <w:rPr>
        <w:rStyle w:val="PageNumber"/>
        <w:sz w:val="24"/>
        <w:szCs w:val="24"/>
      </w:rPr>
      <w:instrText xml:space="preserve">PAGE  </w:instrText>
    </w:r>
    <w:r w:rsidRPr="00192565">
      <w:rPr>
        <w:rStyle w:val="PageNumber"/>
        <w:sz w:val="24"/>
        <w:szCs w:val="24"/>
      </w:rPr>
      <w:fldChar w:fldCharType="separate"/>
    </w:r>
    <w:r w:rsidR="005D2E92">
      <w:rPr>
        <w:rStyle w:val="PageNumber"/>
        <w:noProof/>
        <w:sz w:val="24"/>
        <w:szCs w:val="24"/>
      </w:rPr>
      <w:t>4</w:t>
    </w:r>
    <w:r w:rsidRPr="00192565">
      <w:rPr>
        <w:rStyle w:val="PageNumber"/>
        <w:sz w:val="24"/>
        <w:szCs w:val="24"/>
      </w:rPr>
      <w:fldChar w:fldCharType="end"/>
    </w:r>
  </w:p>
  <w:p w:rsidR="00021B0A" w:rsidRDefault="00021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F6" w:rsidRDefault="007C0BF6">
      <w:r>
        <w:separator/>
      </w:r>
    </w:p>
  </w:footnote>
  <w:footnote w:type="continuationSeparator" w:id="0">
    <w:p w:rsidR="007C0BF6" w:rsidRDefault="007C0BF6">
      <w:r>
        <w:continuationSeparator/>
      </w:r>
    </w:p>
  </w:footnote>
  <w:footnote w:id="1">
    <w:p w:rsidR="00F6346E" w:rsidRDefault="00F6346E" w:rsidP="003974D9">
      <w:pPr>
        <w:pStyle w:val="FootnoteText"/>
        <w:ind w:firstLine="720"/>
      </w:pPr>
      <w:r>
        <w:rPr>
          <w:rStyle w:val="FootnoteReference"/>
        </w:rPr>
        <w:footnoteRef/>
      </w:r>
      <w:r>
        <w:t xml:space="preserve"> </w:t>
      </w:r>
      <w:r>
        <w:tab/>
      </w:r>
      <w:r w:rsidRPr="00F6346E">
        <w:t xml:space="preserve">See </w:t>
      </w:r>
      <w:r w:rsidRPr="00F6346E">
        <w:rPr>
          <w:u w:val="single"/>
        </w:rPr>
        <w:t xml:space="preserve">Se-Ling Hosiery v. </w:t>
      </w:r>
      <w:proofErr w:type="spellStart"/>
      <w:r w:rsidRPr="00F6346E">
        <w:rPr>
          <w:u w:val="single"/>
        </w:rPr>
        <w:t>Mar</w:t>
      </w:r>
      <w:r w:rsidR="00A32FFD">
        <w:rPr>
          <w:u w:val="single"/>
        </w:rPr>
        <w:t>g</w:t>
      </w:r>
      <w:r w:rsidRPr="00F6346E">
        <w:rPr>
          <w:u w:val="single"/>
        </w:rPr>
        <w:t>u</w:t>
      </w:r>
      <w:r w:rsidR="00D12D13">
        <w:rPr>
          <w:u w:val="single"/>
        </w:rPr>
        <w:t>i</w:t>
      </w:r>
      <w:r w:rsidRPr="00F6346E">
        <w:rPr>
          <w:u w:val="single"/>
        </w:rPr>
        <w:t>les</w:t>
      </w:r>
      <w:proofErr w:type="spellEnd"/>
      <w:r w:rsidRPr="00F6346E">
        <w:t>, 364 Pa. 45, 70 A.2d 854 (195</w:t>
      </w:r>
      <w:r w:rsidR="008E163D">
        <w:t>0</w:t>
      </w:r>
      <w:r w:rsidRPr="00F6346E">
        <w:t xml:space="preserve">); </w:t>
      </w:r>
      <w:r w:rsidR="006A6B59">
        <w:t xml:space="preserve">and </w:t>
      </w:r>
      <w:r w:rsidRPr="00F6346E">
        <w:rPr>
          <w:u w:val="single"/>
        </w:rPr>
        <w:t>Feinstein v. Philadelphia Suburban Water Company</w:t>
      </w:r>
      <w:r w:rsidRPr="00F6346E">
        <w:t>, 50 Pa. P.U.C. 300 (1976).</w:t>
      </w:r>
    </w:p>
    <w:p w:rsidR="003974D9" w:rsidRPr="00F6346E" w:rsidRDefault="003974D9" w:rsidP="003974D9">
      <w:pPr>
        <w:pStyle w:val="FootnoteText"/>
        <w:ind w:firstLine="720"/>
      </w:pPr>
    </w:p>
  </w:footnote>
  <w:footnote w:id="2">
    <w:p w:rsidR="00F6346E" w:rsidRDefault="00F6346E" w:rsidP="003974D9">
      <w:pPr>
        <w:pStyle w:val="FootnoteText"/>
        <w:ind w:firstLine="720"/>
      </w:pPr>
      <w:r>
        <w:rPr>
          <w:rStyle w:val="FootnoteReference"/>
        </w:rPr>
        <w:footnoteRef/>
      </w:r>
      <w:r>
        <w:t xml:space="preserve"> </w:t>
      </w:r>
      <w:r>
        <w:tab/>
      </w:r>
      <w:r w:rsidRPr="00F6346E">
        <w:rPr>
          <w:i/>
        </w:rPr>
        <w:t>Id</w:t>
      </w:r>
      <w:r w:rsidRPr="00F6346E">
        <w:t>.</w:t>
      </w:r>
    </w:p>
    <w:p w:rsidR="003974D9" w:rsidRDefault="003974D9" w:rsidP="003974D9">
      <w:pPr>
        <w:pStyle w:val="FootnoteText"/>
        <w:ind w:firstLine="720"/>
      </w:pPr>
    </w:p>
  </w:footnote>
  <w:footnote w:id="3">
    <w:p w:rsidR="006A6B59" w:rsidRDefault="006A6B59" w:rsidP="003974D9">
      <w:pPr>
        <w:ind w:firstLine="720"/>
      </w:pPr>
      <w:r>
        <w:rPr>
          <w:rStyle w:val="FootnoteReference"/>
        </w:rPr>
        <w:footnoteRef/>
      </w:r>
      <w:r>
        <w:t xml:space="preserve"> </w:t>
      </w:r>
      <w:r>
        <w:tab/>
        <w:t xml:space="preserve">See </w:t>
      </w:r>
      <w:r w:rsidRPr="006A6B59">
        <w:rPr>
          <w:u w:val="single"/>
        </w:rPr>
        <w:t>Morissey v. Pa. Dept. of Highways</w:t>
      </w:r>
      <w:r w:rsidRPr="006A6B59">
        <w:t xml:space="preserve">, 424 Pa. 87, 225 A.2d 895 (1967); and </w:t>
      </w:r>
      <w:r w:rsidRPr="006A6B59">
        <w:rPr>
          <w:u w:val="single"/>
        </w:rPr>
        <w:t>Burleson v. Pa. P.U.C.</w:t>
      </w:r>
      <w:r w:rsidRPr="006A6B59">
        <w:t>, 443 A.2d 1373 (Pa. Cmwlth. 1982).</w:t>
      </w:r>
    </w:p>
    <w:p w:rsidR="003974D9" w:rsidRDefault="003974D9" w:rsidP="003974D9">
      <w:pPr>
        <w:ind w:firstLine="720"/>
      </w:pPr>
    </w:p>
  </w:footnote>
  <w:footnote w:id="4">
    <w:p w:rsidR="006A6B59" w:rsidRDefault="006A6B59" w:rsidP="003974D9">
      <w:pPr>
        <w:pStyle w:val="FootnoteText"/>
        <w:ind w:firstLine="720"/>
      </w:pPr>
      <w:r>
        <w:rPr>
          <w:rStyle w:val="FootnoteReference"/>
        </w:rPr>
        <w:footnoteRef/>
      </w:r>
      <w:r>
        <w:t xml:space="preserve"> </w:t>
      </w:r>
      <w:r>
        <w:tab/>
      </w:r>
      <w:r w:rsidRPr="006A6B59">
        <w:t xml:space="preserve">See, Section 704 of the Administrative Agency Law, 2 Pa. C.S. §704; </w:t>
      </w:r>
      <w:r>
        <w:t xml:space="preserve">and </w:t>
      </w:r>
      <w:r w:rsidRPr="006A6B59">
        <w:rPr>
          <w:u w:val="single"/>
        </w:rPr>
        <w:t>Yellow Cab Company v. Pa. P.U.C.,</w:t>
      </w:r>
      <w:r w:rsidRPr="006A6B59">
        <w:t xml:space="preserve"> 524 A.2d 1069 (Pa. Cmwlth. 1987).  </w:t>
      </w:r>
    </w:p>
    <w:p w:rsidR="003974D9" w:rsidRDefault="003974D9" w:rsidP="003974D9">
      <w:pPr>
        <w:pStyle w:val="FootnoteText"/>
        <w:ind w:firstLine="720"/>
      </w:pPr>
    </w:p>
  </w:footnote>
  <w:footnote w:id="5">
    <w:p w:rsidR="006A6B59" w:rsidRDefault="006A6B59" w:rsidP="003974D9">
      <w:pPr>
        <w:pStyle w:val="FootnoteText"/>
        <w:ind w:firstLine="720"/>
      </w:pPr>
      <w:r>
        <w:rPr>
          <w:rStyle w:val="FootnoteReference"/>
        </w:rPr>
        <w:footnoteRef/>
      </w:r>
      <w:r>
        <w:t xml:space="preserve"> </w:t>
      </w:r>
      <w:r>
        <w:tab/>
        <w:t xml:space="preserve">See </w:t>
      </w:r>
      <w:r w:rsidRPr="006A6B59">
        <w:rPr>
          <w:u w:val="single"/>
        </w:rPr>
        <w:t>Norfolk &amp; Western Ry. Co. v. Pa. P.U.C.</w:t>
      </w:r>
      <w:r w:rsidRPr="006A6B59">
        <w:t xml:space="preserve">, 489 Pa. 109, 413 A.2d 1037 (1980); </w:t>
      </w:r>
      <w:r w:rsidRPr="006A6B59">
        <w:rPr>
          <w:u w:val="single"/>
        </w:rPr>
        <w:t>Erie Resistor Corp. v. Unemployment Comp. Bd. of Review</w:t>
      </w:r>
      <w:r w:rsidRPr="006A6B59">
        <w:t xml:space="preserve">, 194 Pa. Superior Ct. 278, 166 A.2d 96 (1961); and </w:t>
      </w:r>
      <w:r w:rsidRPr="006A6B59">
        <w:rPr>
          <w:u w:val="single"/>
        </w:rPr>
        <w:t>Murphy v. Pa. Dept. of Public Welfare, White Haven Center</w:t>
      </w:r>
      <w:r w:rsidRPr="006A6B59">
        <w:t xml:space="preserve">, 480 A.2d 382 (Pa. Cmwlth. 1984).  </w:t>
      </w:r>
    </w:p>
    <w:p w:rsidR="003974D9" w:rsidRDefault="003974D9" w:rsidP="003974D9">
      <w:pPr>
        <w:pStyle w:val="FootnoteText"/>
        <w:ind w:firstLine="720"/>
      </w:pPr>
    </w:p>
  </w:footnote>
  <w:footnote w:id="6">
    <w:p w:rsidR="00933DFB" w:rsidRPr="00933DFB" w:rsidRDefault="00933DFB" w:rsidP="003974D9">
      <w:pPr>
        <w:spacing w:line="360" w:lineRule="auto"/>
        <w:ind w:firstLine="720"/>
        <w:rPr>
          <w:szCs w:val="24"/>
        </w:rPr>
      </w:pPr>
      <w:r>
        <w:rPr>
          <w:rStyle w:val="FootnoteReference"/>
        </w:rPr>
        <w:footnoteRef/>
      </w:r>
      <w:r>
        <w:t xml:space="preserve"> </w:t>
      </w:r>
      <w:r>
        <w:tab/>
      </w:r>
      <w:proofErr w:type="gramStart"/>
      <w:r w:rsidRPr="00933DFB">
        <w:rPr>
          <w:szCs w:val="24"/>
          <w:u w:val="single"/>
        </w:rPr>
        <w:t>Feinstein</w:t>
      </w:r>
      <w:r w:rsidRPr="00933DFB">
        <w:rPr>
          <w:szCs w:val="24"/>
        </w:rPr>
        <w:t xml:space="preserve">, </w:t>
      </w:r>
      <w:r w:rsidRPr="00933DFB">
        <w:rPr>
          <w:i/>
          <w:szCs w:val="24"/>
        </w:rPr>
        <w:t>supra</w:t>
      </w:r>
      <w:r w:rsidRPr="00933DFB">
        <w:rPr>
          <w:szCs w:val="24"/>
        </w:rPr>
        <w:t>.</w:t>
      </w:r>
      <w:proofErr w:type="gramEnd"/>
    </w:p>
  </w:footnote>
  <w:footnote w:id="7">
    <w:p w:rsidR="002E1177" w:rsidRDefault="002E1177" w:rsidP="002E1177">
      <w:pPr>
        <w:pStyle w:val="FootnoteText"/>
        <w:ind w:firstLine="720"/>
      </w:pPr>
      <w:r>
        <w:rPr>
          <w:rStyle w:val="FootnoteReference"/>
        </w:rPr>
        <w:footnoteRef/>
      </w:r>
      <w:r>
        <w:t xml:space="preserve"> </w:t>
      </w:r>
      <w:r>
        <w:tab/>
        <w:t xml:space="preserve">See </w:t>
      </w:r>
      <w:proofErr w:type="spellStart"/>
      <w:r>
        <w:rPr>
          <w:u w:val="single"/>
        </w:rPr>
        <w:t>Tremaine</w:t>
      </w:r>
      <w:proofErr w:type="spellEnd"/>
      <w:r>
        <w:rPr>
          <w:u w:val="single"/>
        </w:rPr>
        <w:t xml:space="preserve"> v. H.K. </w:t>
      </w:r>
      <w:proofErr w:type="spellStart"/>
      <w:r>
        <w:rPr>
          <w:u w:val="single"/>
        </w:rPr>
        <w:t>Mulford</w:t>
      </w:r>
      <w:proofErr w:type="spellEnd"/>
      <w:r>
        <w:rPr>
          <w:u w:val="single"/>
        </w:rPr>
        <w:t xml:space="preserve"> Company</w:t>
      </w:r>
      <w:r>
        <w:t>, 317 Pa. 97</w:t>
      </w:r>
      <w:r w:rsidR="00C23F2E">
        <w:t xml:space="preserve">, 176 A. 212 (1935); </w:t>
      </w:r>
      <w:r w:rsidR="00C23F2E">
        <w:rPr>
          <w:u w:val="single"/>
        </w:rPr>
        <w:t>Kovach v. Solomon</w:t>
      </w:r>
      <w:r w:rsidR="00C23F2E">
        <w:t xml:space="preserve">, 1999 Pa. Super. </w:t>
      </w:r>
      <w:proofErr w:type="gramStart"/>
      <w:r w:rsidR="00C23F2E">
        <w:t xml:space="preserve">109, 732 A.2d 1 (1999); and </w:t>
      </w:r>
      <w:r w:rsidR="00C23F2E">
        <w:rPr>
          <w:u w:val="single"/>
        </w:rPr>
        <w:t>Duquesne Light Company v. Woodland Hills School District</w:t>
      </w:r>
      <w:r w:rsidR="00C23F2E">
        <w:t xml:space="preserve">, 700 A.2d 1038 (Pa. </w:t>
      </w:r>
      <w:proofErr w:type="spellStart"/>
      <w:r w:rsidR="00C23F2E">
        <w:t>Commw</w:t>
      </w:r>
      <w:proofErr w:type="spellEnd"/>
      <w:r w:rsidR="00C23F2E">
        <w:t>. 1997).</w:t>
      </w:r>
      <w:proofErr w:type="gramEnd"/>
    </w:p>
    <w:p w:rsidR="00C23F2E" w:rsidRPr="00C23F2E" w:rsidRDefault="00C23F2E" w:rsidP="002E1177">
      <w:pPr>
        <w:pStyle w:val="FootnoteText"/>
        <w:ind w:firstLine="720"/>
      </w:pPr>
    </w:p>
  </w:footnote>
  <w:footnote w:id="8">
    <w:p w:rsidR="00BF1564" w:rsidRPr="00BF1564" w:rsidRDefault="00BF1564" w:rsidP="00BF1564">
      <w:pPr>
        <w:pStyle w:val="FootnoteText"/>
        <w:ind w:firstLine="720"/>
      </w:pPr>
      <w:r w:rsidRPr="00BF1564">
        <w:rPr>
          <w:rStyle w:val="FootnoteReference"/>
        </w:rPr>
        <w:footnoteRef/>
      </w:r>
      <w:r w:rsidRPr="00BF1564">
        <w:t xml:space="preserve"> </w:t>
      </w:r>
      <w:r w:rsidRPr="00BF1564">
        <w:tab/>
      </w:r>
      <w:proofErr w:type="gramStart"/>
      <w:r w:rsidRPr="00BF1564">
        <w:t>66 Pa. C.S. §1501.</w:t>
      </w:r>
      <w:proofErr w:type="gramEnd"/>
      <w:r w:rsidRPr="00BF1564">
        <w:t xml:space="preserve">  </w:t>
      </w:r>
    </w:p>
  </w:footnote>
  <w:footnote w:id="9">
    <w:p w:rsidR="00BF1564" w:rsidRDefault="00BF1564" w:rsidP="00BF1564">
      <w:pPr>
        <w:pStyle w:val="FootnoteText"/>
        <w:ind w:firstLine="720"/>
      </w:pPr>
    </w:p>
    <w:p w:rsidR="00BF1564" w:rsidRPr="00BF1564" w:rsidRDefault="00BF1564" w:rsidP="00BF1564">
      <w:pPr>
        <w:pStyle w:val="FootnoteText"/>
        <w:ind w:firstLine="720"/>
      </w:pPr>
      <w:r w:rsidRPr="00BF1564">
        <w:rPr>
          <w:rStyle w:val="FootnoteReference"/>
        </w:rPr>
        <w:footnoteRef/>
      </w:r>
      <w:r w:rsidRPr="00BF1564">
        <w:t xml:space="preserve"> </w:t>
      </w:r>
      <w:r w:rsidRPr="00BF1564">
        <w:tab/>
        <w:t>See 62 Pa. Code §63.63(a).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3327"/>
    <w:multiLevelType w:val="hybridMultilevel"/>
    <w:tmpl w:val="4D88D158"/>
    <w:lvl w:ilvl="0" w:tplc="91B2E6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00C455C"/>
    <w:multiLevelType w:val="hybridMultilevel"/>
    <w:tmpl w:val="3BBC11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EC0D05"/>
    <w:multiLevelType w:val="hybridMultilevel"/>
    <w:tmpl w:val="64800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1E137F"/>
    <w:multiLevelType w:val="hybridMultilevel"/>
    <w:tmpl w:val="5D9C7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693EDB"/>
    <w:multiLevelType w:val="hybridMultilevel"/>
    <w:tmpl w:val="878C7DFE"/>
    <w:lvl w:ilvl="0" w:tplc="EEEA23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2B27342"/>
    <w:multiLevelType w:val="singleLevel"/>
    <w:tmpl w:val="0409000F"/>
    <w:lvl w:ilvl="0">
      <w:start w:val="1"/>
      <w:numFmt w:val="decimal"/>
      <w:lvlText w:val="%1."/>
      <w:lvlJc w:val="left"/>
      <w:pPr>
        <w:tabs>
          <w:tab w:val="num" w:pos="360"/>
        </w:tabs>
        <w:ind w:left="360" w:hanging="360"/>
      </w:pPr>
    </w:lvl>
  </w:abstractNum>
  <w:abstractNum w:abstractNumId="6">
    <w:nsid w:val="73FB2D1D"/>
    <w:multiLevelType w:val="singleLevel"/>
    <w:tmpl w:val="0409000F"/>
    <w:lvl w:ilvl="0">
      <w:start w:val="1"/>
      <w:numFmt w:val="decimal"/>
      <w:lvlText w:val="%1."/>
      <w:lvlJc w:val="left"/>
      <w:pPr>
        <w:tabs>
          <w:tab w:val="num" w:pos="360"/>
        </w:tabs>
        <w:ind w:left="360" w:hanging="360"/>
      </w:pPr>
    </w:lvl>
  </w:abstractNum>
  <w:abstractNum w:abstractNumId="7">
    <w:nsid w:val="78D964A2"/>
    <w:multiLevelType w:val="hybridMultilevel"/>
    <w:tmpl w:val="ABB85E06"/>
    <w:lvl w:ilvl="0" w:tplc="E382AE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8278768"/>
  </w:docVars>
  <w:rsids>
    <w:rsidRoot w:val="001A517C"/>
    <w:rsid w:val="000023EF"/>
    <w:rsid w:val="00002F0F"/>
    <w:rsid w:val="000054BC"/>
    <w:rsid w:val="00007BBE"/>
    <w:rsid w:val="00012148"/>
    <w:rsid w:val="0001444C"/>
    <w:rsid w:val="00021B0A"/>
    <w:rsid w:val="00022664"/>
    <w:rsid w:val="00024633"/>
    <w:rsid w:val="00024AA5"/>
    <w:rsid w:val="00024F84"/>
    <w:rsid w:val="00026FD2"/>
    <w:rsid w:val="00034EC2"/>
    <w:rsid w:val="0003635A"/>
    <w:rsid w:val="000404B5"/>
    <w:rsid w:val="00041943"/>
    <w:rsid w:val="00042860"/>
    <w:rsid w:val="00044944"/>
    <w:rsid w:val="0005471E"/>
    <w:rsid w:val="00056DD1"/>
    <w:rsid w:val="00056E65"/>
    <w:rsid w:val="0006554F"/>
    <w:rsid w:val="00065F6F"/>
    <w:rsid w:val="00070D98"/>
    <w:rsid w:val="000716B7"/>
    <w:rsid w:val="00072AA5"/>
    <w:rsid w:val="000750A1"/>
    <w:rsid w:val="00075939"/>
    <w:rsid w:val="000767FF"/>
    <w:rsid w:val="00087CC5"/>
    <w:rsid w:val="0009005C"/>
    <w:rsid w:val="00090294"/>
    <w:rsid w:val="000969D7"/>
    <w:rsid w:val="00096F74"/>
    <w:rsid w:val="000A510C"/>
    <w:rsid w:val="000B1A10"/>
    <w:rsid w:val="000B629F"/>
    <w:rsid w:val="000C1A6B"/>
    <w:rsid w:val="000C269C"/>
    <w:rsid w:val="000C34F5"/>
    <w:rsid w:val="000C50C3"/>
    <w:rsid w:val="000C71B2"/>
    <w:rsid w:val="000D11E8"/>
    <w:rsid w:val="000D12EE"/>
    <w:rsid w:val="000D1336"/>
    <w:rsid w:val="000D35C9"/>
    <w:rsid w:val="000E0C64"/>
    <w:rsid w:val="000E0EA0"/>
    <w:rsid w:val="000E254E"/>
    <w:rsid w:val="000E6C36"/>
    <w:rsid w:val="000F22AD"/>
    <w:rsid w:val="000F49DB"/>
    <w:rsid w:val="000F5EC6"/>
    <w:rsid w:val="00100D1F"/>
    <w:rsid w:val="001059C3"/>
    <w:rsid w:val="001163B8"/>
    <w:rsid w:val="0012059C"/>
    <w:rsid w:val="001336B2"/>
    <w:rsid w:val="00141768"/>
    <w:rsid w:val="001431FE"/>
    <w:rsid w:val="0014695E"/>
    <w:rsid w:val="001534FA"/>
    <w:rsid w:val="0016331C"/>
    <w:rsid w:val="00167D18"/>
    <w:rsid w:val="00171BA7"/>
    <w:rsid w:val="00173FB0"/>
    <w:rsid w:val="00184F4D"/>
    <w:rsid w:val="00192565"/>
    <w:rsid w:val="00192F81"/>
    <w:rsid w:val="001945DF"/>
    <w:rsid w:val="00197214"/>
    <w:rsid w:val="00197FE7"/>
    <w:rsid w:val="001A517C"/>
    <w:rsid w:val="001B2515"/>
    <w:rsid w:val="001B37F9"/>
    <w:rsid w:val="001B389A"/>
    <w:rsid w:val="001C296E"/>
    <w:rsid w:val="001C3CB7"/>
    <w:rsid w:val="001C797F"/>
    <w:rsid w:val="001E13F6"/>
    <w:rsid w:val="001E19E0"/>
    <w:rsid w:val="001E415D"/>
    <w:rsid w:val="001E6948"/>
    <w:rsid w:val="001E7128"/>
    <w:rsid w:val="001F563A"/>
    <w:rsid w:val="001F5CA8"/>
    <w:rsid w:val="001F5E84"/>
    <w:rsid w:val="001F78B6"/>
    <w:rsid w:val="001F7AE7"/>
    <w:rsid w:val="00202271"/>
    <w:rsid w:val="00203D7F"/>
    <w:rsid w:val="00203E1F"/>
    <w:rsid w:val="00206547"/>
    <w:rsid w:val="0020746B"/>
    <w:rsid w:val="002107F3"/>
    <w:rsid w:val="00212324"/>
    <w:rsid w:val="00212A93"/>
    <w:rsid w:val="00212F85"/>
    <w:rsid w:val="0021472B"/>
    <w:rsid w:val="00216054"/>
    <w:rsid w:val="00220B52"/>
    <w:rsid w:val="00222BC6"/>
    <w:rsid w:val="00222FEE"/>
    <w:rsid w:val="00224FF4"/>
    <w:rsid w:val="0022623F"/>
    <w:rsid w:val="002270C7"/>
    <w:rsid w:val="00234986"/>
    <w:rsid w:val="0023594C"/>
    <w:rsid w:val="00237F95"/>
    <w:rsid w:val="002421B5"/>
    <w:rsid w:val="00246D35"/>
    <w:rsid w:val="0025366F"/>
    <w:rsid w:val="00254AC4"/>
    <w:rsid w:val="0025505D"/>
    <w:rsid w:val="0025568C"/>
    <w:rsid w:val="00255DD8"/>
    <w:rsid w:val="0025624A"/>
    <w:rsid w:val="002569D2"/>
    <w:rsid w:val="00256F15"/>
    <w:rsid w:val="00256F1F"/>
    <w:rsid w:val="002602BD"/>
    <w:rsid w:val="0026114F"/>
    <w:rsid w:val="00262526"/>
    <w:rsid w:val="00263336"/>
    <w:rsid w:val="002659C1"/>
    <w:rsid w:val="002735DA"/>
    <w:rsid w:val="00275D02"/>
    <w:rsid w:val="0027644C"/>
    <w:rsid w:val="00286013"/>
    <w:rsid w:val="00286E18"/>
    <w:rsid w:val="0028705A"/>
    <w:rsid w:val="00292413"/>
    <w:rsid w:val="002A08AE"/>
    <w:rsid w:val="002B080D"/>
    <w:rsid w:val="002B43C8"/>
    <w:rsid w:val="002B5807"/>
    <w:rsid w:val="002C0A83"/>
    <w:rsid w:val="002C3C64"/>
    <w:rsid w:val="002C5195"/>
    <w:rsid w:val="002C6736"/>
    <w:rsid w:val="002D2E80"/>
    <w:rsid w:val="002D3563"/>
    <w:rsid w:val="002D50E8"/>
    <w:rsid w:val="002E1177"/>
    <w:rsid w:val="002E28C7"/>
    <w:rsid w:val="002E62AE"/>
    <w:rsid w:val="002E796C"/>
    <w:rsid w:val="003009B5"/>
    <w:rsid w:val="003011DB"/>
    <w:rsid w:val="003105EB"/>
    <w:rsid w:val="003127F3"/>
    <w:rsid w:val="003151D3"/>
    <w:rsid w:val="003162A4"/>
    <w:rsid w:val="0032156A"/>
    <w:rsid w:val="0032184B"/>
    <w:rsid w:val="003218DF"/>
    <w:rsid w:val="00322885"/>
    <w:rsid w:val="00322AAB"/>
    <w:rsid w:val="00323CE9"/>
    <w:rsid w:val="00323DBF"/>
    <w:rsid w:val="0033353F"/>
    <w:rsid w:val="0034148E"/>
    <w:rsid w:val="00342086"/>
    <w:rsid w:val="00343DF7"/>
    <w:rsid w:val="00344BBD"/>
    <w:rsid w:val="003461AD"/>
    <w:rsid w:val="0035546D"/>
    <w:rsid w:val="003560A1"/>
    <w:rsid w:val="0036055F"/>
    <w:rsid w:val="00370412"/>
    <w:rsid w:val="00372BCE"/>
    <w:rsid w:val="00373C7A"/>
    <w:rsid w:val="00375FC7"/>
    <w:rsid w:val="003832CF"/>
    <w:rsid w:val="00383E9E"/>
    <w:rsid w:val="00386EC2"/>
    <w:rsid w:val="003914A1"/>
    <w:rsid w:val="00393EAF"/>
    <w:rsid w:val="00395252"/>
    <w:rsid w:val="003974D9"/>
    <w:rsid w:val="003A1B71"/>
    <w:rsid w:val="003A4C93"/>
    <w:rsid w:val="003A51FD"/>
    <w:rsid w:val="003A7731"/>
    <w:rsid w:val="003A7EB2"/>
    <w:rsid w:val="003B5554"/>
    <w:rsid w:val="003B63EA"/>
    <w:rsid w:val="003C49C9"/>
    <w:rsid w:val="003C6A66"/>
    <w:rsid w:val="003D15D0"/>
    <w:rsid w:val="003D38F7"/>
    <w:rsid w:val="003D6830"/>
    <w:rsid w:val="003E4254"/>
    <w:rsid w:val="003F0757"/>
    <w:rsid w:val="003F200A"/>
    <w:rsid w:val="003F33A6"/>
    <w:rsid w:val="003F347A"/>
    <w:rsid w:val="003F69C5"/>
    <w:rsid w:val="003F7BDE"/>
    <w:rsid w:val="00400241"/>
    <w:rsid w:val="0040287E"/>
    <w:rsid w:val="00402B69"/>
    <w:rsid w:val="00402E2D"/>
    <w:rsid w:val="00410212"/>
    <w:rsid w:val="004106F5"/>
    <w:rsid w:val="0041758B"/>
    <w:rsid w:val="00417A48"/>
    <w:rsid w:val="00427446"/>
    <w:rsid w:val="00441E8C"/>
    <w:rsid w:val="00443FC3"/>
    <w:rsid w:val="00457F9F"/>
    <w:rsid w:val="00466EEB"/>
    <w:rsid w:val="00475BE1"/>
    <w:rsid w:val="004762C8"/>
    <w:rsid w:val="004763CF"/>
    <w:rsid w:val="00476406"/>
    <w:rsid w:val="00477A51"/>
    <w:rsid w:val="00490BF7"/>
    <w:rsid w:val="00492902"/>
    <w:rsid w:val="00494559"/>
    <w:rsid w:val="004A0D2F"/>
    <w:rsid w:val="004A5F2D"/>
    <w:rsid w:val="004A7C1E"/>
    <w:rsid w:val="004B1125"/>
    <w:rsid w:val="004B1549"/>
    <w:rsid w:val="004B1CFE"/>
    <w:rsid w:val="004B1E4E"/>
    <w:rsid w:val="004B320C"/>
    <w:rsid w:val="004B4EE7"/>
    <w:rsid w:val="004B58A0"/>
    <w:rsid w:val="004C1ADF"/>
    <w:rsid w:val="004C6ACC"/>
    <w:rsid w:val="004D0BDB"/>
    <w:rsid w:val="004D1AF6"/>
    <w:rsid w:val="004D26B3"/>
    <w:rsid w:val="004D3CF4"/>
    <w:rsid w:val="004D5571"/>
    <w:rsid w:val="004D5E29"/>
    <w:rsid w:val="004D6A84"/>
    <w:rsid w:val="004E2DEE"/>
    <w:rsid w:val="004E48B8"/>
    <w:rsid w:val="004E56E5"/>
    <w:rsid w:val="004F1FE3"/>
    <w:rsid w:val="004F34CF"/>
    <w:rsid w:val="004F3674"/>
    <w:rsid w:val="004F52CA"/>
    <w:rsid w:val="00500E04"/>
    <w:rsid w:val="00501290"/>
    <w:rsid w:val="00503B65"/>
    <w:rsid w:val="005055FD"/>
    <w:rsid w:val="00510BCD"/>
    <w:rsid w:val="00513A0D"/>
    <w:rsid w:val="00513E78"/>
    <w:rsid w:val="00520B4D"/>
    <w:rsid w:val="005235D3"/>
    <w:rsid w:val="00526125"/>
    <w:rsid w:val="0052693F"/>
    <w:rsid w:val="005319D7"/>
    <w:rsid w:val="00533A6E"/>
    <w:rsid w:val="00534EBC"/>
    <w:rsid w:val="00535E9A"/>
    <w:rsid w:val="0053622C"/>
    <w:rsid w:val="00537D72"/>
    <w:rsid w:val="00546F57"/>
    <w:rsid w:val="00566A66"/>
    <w:rsid w:val="00570A2F"/>
    <w:rsid w:val="005756F9"/>
    <w:rsid w:val="00575B38"/>
    <w:rsid w:val="00576844"/>
    <w:rsid w:val="00576918"/>
    <w:rsid w:val="005773BD"/>
    <w:rsid w:val="00590615"/>
    <w:rsid w:val="00595C07"/>
    <w:rsid w:val="005963C4"/>
    <w:rsid w:val="005A1387"/>
    <w:rsid w:val="005A1973"/>
    <w:rsid w:val="005B04D0"/>
    <w:rsid w:val="005B08AD"/>
    <w:rsid w:val="005B4EAA"/>
    <w:rsid w:val="005B7546"/>
    <w:rsid w:val="005C2A25"/>
    <w:rsid w:val="005C5138"/>
    <w:rsid w:val="005C561B"/>
    <w:rsid w:val="005D03C5"/>
    <w:rsid w:val="005D141F"/>
    <w:rsid w:val="005D2E92"/>
    <w:rsid w:val="005E11BC"/>
    <w:rsid w:val="005E6C7E"/>
    <w:rsid w:val="005F7BA3"/>
    <w:rsid w:val="00601C38"/>
    <w:rsid w:val="0060255E"/>
    <w:rsid w:val="0060316E"/>
    <w:rsid w:val="00603FCF"/>
    <w:rsid w:val="00610030"/>
    <w:rsid w:val="0061142B"/>
    <w:rsid w:val="00613B6C"/>
    <w:rsid w:val="00616EF1"/>
    <w:rsid w:val="006207B1"/>
    <w:rsid w:val="00622936"/>
    <w:rsid w:val="006236AA"/>
    <w:rsid w:val="0062391C"/>
    <w:rsid w:val="0062435F"/>
    <w:rsid w:val="00636172"/>
    <w:rsid w:val="0064016B"/>
    <w:rsid w:val="00640DF9"/>
    <w:rsid w:val="00641105"/>
    <w:rsid w:val="006461CC"/>
    <w:rsid w:val="0065509C"/>
    <w:rsid w:val="0065674E"/>
    <w:rsid w:val="00657F07"/>
    <w:rsid w:val="00661B4E"/>
    <w:rsid w:val="0067080A"/>
    <w:rsid w:val="00670B1B"/>
    <w:rsid w:val="006710A7"/>
    <w:rsid w:val="006729FF"/>
    <w:rsid w:val="006734EC"/>
    <w:rsid w:val="00676400"/>
    <w:rsid w:val="0068098C"/>
    <w:rsid w:val="00690EC7"/>
    <w:rsid w:val="006951F9"/>
    <w:rsid w:val="006A38AF"/>
    <w:rsid w:val="006A6B59"/>
    <w:rsid w:val="006B209F"/>
    <w:rsid w:val="006B3EFB"/>
    <w:rsid w:val="006B653C"/>
    <w:rsid w:val="006B690F"/>
    <w:rsid w:val="006C0B46"/>
    <w:rsid w:val="006C245B"/>
    <w:rsid w:val="006C30F4"/>
    <w:rsid w:val="006C4620"/>
    <w:rsid w:val="006C7836"/>
    <w:rsid w:val="006E1DF2"/>
    <w:rsid w:val="006E7CB4"/>
    <w:rsid w:val="006F08AE"/>
    <w:rsid w:val="006F4F51"/>
    <w:rsid w:val="007000FB"/>
    <w:rsid w:val="00705235"/>
    <w:rsid w:val="007074C0"/>
    <w:rsid w:val="007107AD"/>
    <w:rsid w:val="007349F5"/>
    <w:rsid w:val="00735001"/>
    <w:rsid w:val="00745364"/>
    <w:rsid w:val="00745C38"/>
    <w:rsid w:val="00747A6F"/>
    <w:rsid w:val="00747BA7"/>
    <w:rsid w:val="00752308"/>
    <w:rsid w:val="007567E2"/>
    <w:rsid w:val="00766C21"/>
    <w:rsid w:val="00770107"/>
    <w:rsid w:val="0077010C"/>
    <w:rsid w:val="00780C32"/>
    <w:rsid w:val="00781BAD"/>
    <w:rsid w:val="0079540C"/>
    <w:rsid w:val="00796F08"/>
    <w:rsid w:val="007A3CF6"/>
    <w:rsid w:val="007A4181"/>
    <w:rsid w:val="007A46A0"/>
    <w:rsid w:val="007B126C"/>
    <w:rsid w:val="007B430A"/>
    <w:rsid w:val="007B5630"/>
    <w:rsid w:val="007B7CC4"/>
    <w:rsid w:val="007C057A"/>
    <w:rsid w:val="007C0BAC"/>
    <w:rsid w:val="007C0BF6"/>
    <w:rsid w:val="007C0E6A"/>
    <w:rsid w:val="007C2D31"/>
    <w:rsid w:val="007C344A"/>
    <w:rsid w:val="007D2137"/>
    <w:rsid w:val="007D67D1"/>
    <w:rsid w:val="007E2A88"/>
    <w:rsid w:val="007E33F7"/>
    <w:rsid w:val="007E7019"/>
    <w:rsid w:val="00803709"/>
    <w:rsid w:val="008046A7"/>
    <w:rsid w:val="0082072C"/>
    <w:rsid w:val="008211B6"/>
    <w:rsid w:val="008215F2"/>
    <w:rsid w:val="00831EDA"/>
    <w:rsid w:val="00832BF7"/>
    <w:rsid w:val="00832C12"/>
    <w:rsid w:val="00835B43"/>
    <w:rsid w:val="008363BD"/>
    <w:rsid w:val="008433EA"/>
    <w:rsid w:val="00843BEE"/>
    <w:rsid w:val="00853982"/>
    <w:rsid w:val="0085796E"/>
    <w:rsid w:val="008739F3"/>
    <w:rsid w:val="00875888"/>
    <w:rsid w:val="00877335"/>
    <w:rsid w:val="00881A7C"/>
    <w:rsid w:val="0088444A"/>
    <w:rsid w:val="00886AD9"/>
    <w:rsid w:val="00886F1B"/>
    <w:rsid w:val="0089092B"/>
    <w:rsid w:val="00890FD6"/>
    <w:rsid w:val="0089104A"/>
    <w:rsid w:val="00895B38"/>
    <w:rsid w:val="00896C80"/>
    <w:rsid w:val="008A53F1"/>
    <w:rsid w:val="008A5D04"/>
    <w:rsid w:val="008B4191"/>
    <w:rsid w:val="008C0A8C"/>
    <w:rsid w:val="008C2D5B"/>
    <w:rsid w:val="008C6C90"/>
    <w:rsid w:val="008C6CD3"/>
    <w:rsid w:val="008C7ABA"/>
    <w:rsid w:val="008D25CC"/>
    <w:rsid w:val="008D553C"/>
    <w:rsid w:val="008E163D"/>
    <w:rsid w:val="008F7079"/>
    <w:rsid w:val="009006E4"/>
    <w:rsid w:val="00904091"/>
    <w:rsid w:val="00904476"/>
    <w:rsid w:val="009044B7"/>
    <w:rsid w:val="00906E26"/>
    <w:rsid w:val="00907A5C"/>
    <w:rsid w:val="00912360"/>
    <w:rsid w:val="00915D0A"/>
    <w:rsid w:val="009178BD"/>
    <w:rsid w:val="009216BC"/>
    <w:rsid w:val="00921DA9"/>
    <w:rsid w:val="00933DFB"/>
    <w:rsid w:val="0094137F"/>
    <w:rsid w:val="00941BFF"/>
    <w:rsid w:val="00941C1A"/>
    <w:rsid w:val="00942B3C"/>
    <w:rsid w:val="009439C3"/>
    <w:rsid w:val="00946288"/>
    <w:rsid w:val="009471F4"/>
    <w:rsid w:val="00950187"/>
    <w:rsid w:val="00951BC4"/>
    <w:rsid w:val="0095596F"/>
    <w:rsid w:val="009603C9"/>
    <w:rsid w:val="009605AB"/>
    <w:rsid w:val="009635AB"/>
    <w:rsid w:val="009715AB"/>
    <w:rsid w:val="00971A09"/>
    <w:rsid w:val="00975E03"/>
    <w:rsid w:val="00980566"/>
    <w:rsid w:val="0098135F"/>
    <w:rsid w:val="009829E6"/>
    <w:rsid w:val="00986732"/>
    <w:rsid w:val="00986ECD"/>
    <w:rsid w:val="009903E3"/>
    <w:rsid w:val="0099176B"/>
    <w:rsid w:val="0099459B"/>
    <w:rsid w:val="009972E5"/>
    <w:rsid w:val="0099771E"/>
    <w:rsid w:val="009A3D45"/>
    <w:rsid w:val="009A490A"/>
    <w:rsid w:val="009B3268"/>
    <w:rsid w:val="009B3726"/>
    <w:rsid w:val="009B7752"/>
    <w:rsid w:val="009C16BD"/>
    <w:rsid w:val="009D0659"/>
    <w:rsid w:val="009D6A62"/>
    <w:rsid w:val="009D7811"/>
    <w:rsid w:val="009E0743"/>
    <w:rsid w:val="009E0762"/>
    <w:rsid w:val="009E3575"/>
    <w:rsid w:val="009F07ED"/>
    <w:rsid w:val="009F17FE"/>
    <w:rsid w:val="009F34A1"/>
    <w:rsid w:val="009F4617"/>
    <w:rsid w:val="009F47A7"/>
    <w:rsid w:val="009F7A6D"/>
    <w:rsid w:val="009F7F88"/>
    <w:rsid w:val="00A009D4"/>
    <w:rsid w:val="00A018BC"/>
    <w:rsid w:val="00A01F10"/>
    <w:rsid w:val="00A022EF"/>
    <w:rsid w:val="00A02FF5"/>
    <w:rsid w:val="00A228BB"/>
    <w:rsid w:val="00A2409D"/>
    <w:rsid w:val="00A242CA"/>
    <w:rsid w:val="00A24C4F"/>
    <w:rsid w:val="00A312B8"/>
    <w:rsid w:val="00A31375"/>
    <w:rsid w:val="00A32891"/>
    <w:rsid w:val="00A32C82"/>
    <w:rsid w:val="00A32FFD"/>
    <w:rsid w:val="00A33A9C"/>
    <w:rsid w:val="00A3421C"/>
    <w:rsid w:val="00A40ED2"/>
    <w:rsid w:val="00A427D1"/>
    <w:rsid w:val="00A442C3"/>
    <w:rsid w:val="00A459D1"/>
    <w:rsid w:val="00A5764A"/>
    <w:rsid w:val="00A62F13"/>
    <w:rsid w:val="00A67D0C"/>
    <w:rsid w:val="00A7014D"/>
    <w:rsid w:val="00A710C4"/>
    <w:rsid w:val="00A717FA"/>
    <w:rsid w:val="00A743A5"/>
    <w:rsid w:val="00A76E97"/>
    <w:rsid w:val="00A83846"/>
    <w:rsid w:val="00A8599D"/>
    <w:rsid w:val="00A94AE2"/>
    <w:rsid w:val="00AA1CCA"/>
    <w:rsid w:val="00AA3899"/>
    <w:rsid w:val="00AA5753"/>
    <w:rsid w:val="00AB0B25"/>
    <w:rsid w:val="00AB18FC"/>
    <w:rsid w:val="00AB7DE9"/>
    <w:rsid w:val="00AC04B4"/>
    <w:rsid w:val="00AC49CA"/>
    <w:rsid w:val="00AC54FF"/>
    <w:rsid w:val="00AC5606"/>
    <w:rsid w:val="00AC6021"/>
    <w:rsid w:val="00AD069F"/>
    <w:rsid w:val="00AD0ED8"/>
    <w:rsid w:val="00AE3450"/>
    <w:rsid w:val="00AF33FC"/>
    <w:rsid w:val="00AF3494"/>
    <w:rsid w:val="00AF678A"/>
    <w:rsid w:val="00B033DA"/>
    <w:rsid w:val="00B11958"/>
    <w:rsid w:val="00B11FCE"/>
    <w:rsid w:val="00B150FA"/>
    <w:rsid w:val="00B21B7C"/>
    <w:rsid w:val="00B25B4E"/>
    <w:rsid w:val="00B2607B"/>
    <w:rsid w:val="00B323F0"/>
    <w:rsid w:val="00B37E41"/>
    <w:rsid w:val="00B47709"/>
    <w:rsid w:val="00B50794"/>
    <w:rsid w:val="00B67383"/>
    <w:rsid w:val="00B747F6"/>
    <w:rsid w:val="00B7634A"/>
    <w:rsid w:val="00B763C7"/>
    <w:rsid w:val="00B80CF5"/>
    <w:rsid w:val="00B81A18"/>
    <w:rsid w:val="00B81D8F"/>
    <w:rsid w:val="00B82AC2"/>
    <w:rsid w:val="00B83C4A"/>
    <w:rsid w:val="00B8652A"/>
    <w:rsid w:val="00BA3333"/>
    <w:rsid w:val="00BA36B3"/>
    <w:rsid w:val="00BA5B1F"/>
    <w:rsid w:val="00BA76F1"/>
    <w:rsid w:val="00BB1638"/>
    <w:rsid w:val="00BB4B35"/>
    <w:rsid w:val="00BB4BAF"/>
    <w:rsid w:val="00BC1DCF"/>
    <w:rsid w:val="00BC2892"/>
    <w:rsid w:val="00BC346D"/>
    <w:rsid w:val="00BC35D4"/>
    <w:rsid w:val="00BC3D16"/>
    <w:rsid w:val="00BE0A13"/>
    <w:rsid w:val="00BE3510"/>
    <w:rsid w:val="00BF0632"/>
    <w:rsid w:val="00BF0827"/>
    <w:rsid w:val="00BF1564"/>
    <w:rsid w:val="00BF1FDF"/>
    <w:rsid w:val="00BF3093"/>
    <w:rsid w:val="00BF3C89"/>
    <w:rsid w:val="00C00A0C"/>
    <w:rsid w:val="00C00F7A"/>
    <w:rsid w:val="00C036F7"/>
    <w:rsid w:val="00C041B6"/>
    <w:rsid w:val="00C04531"/>
    <w:rsid w:val="00C07FF9"/>
    <w:rsid w:val="00C11AAF"/>
    <w:rsid w:val="00C11EFF"/>
    <w:rsid w:val="00C12156"/>
    <w:rsid w:val="00C124E6"/>
    <w:rsid w:val="00C13F83"/>
    <w:rsid w:val="00C15ECA"/>
    <w:rsid w:val="00C20E93"/>
    <w:rsid w:val="00C222F3"/>
    <w:rsid w:val="00C23F2E"/>
    <w:rsid w:val="00C24004"/>
    <w:rsid w:val="00C312A8"/>
    <w:rsid w:val="00C3159B"/>
    <w:rsid w:val="00C31B27"/>
    <w:rsid w:val="00C41CD6"/>
    <w:rsid w:val="00C462D0"/>
    <w:rsid w:val="00C46D2E"/>
    <w:rsid w:val="00C4789A"/>
    <w:rsid w:val="00C51105"/>
    <w:rsid w:val="00C51EF8"/>
    <w:rsid w:val="00C55F6E"/>
    <w:rsid w:val="00C56E60"/>
    <w:rsid w:val="00C629A3"/>
    <w:rsid w:val="00C7680F"/>
    <w:rsid w:val="00C80F96"/>
    <w:rsid w:val="00C810AF"/>
    <w:rsid w:val="00C87418"/>
    <w:rsid w:val="00C93740"/>
    <w:rsid w:val="00C96463"/>
    <w:rsid w:val="00CB158C"/>
    <w:rsid w:val="00CB1A0C"/>
    <w:rsid w:val="00CB33E3"/>
    <w:rsid w:val="00CB3DEE"/>
    <w:rsid w:val="00CB6D09"/>
    <w:rsid w:val="00CB7B6B"/>
    <w:rsid w:val="00CC6700"/>
    <w:rsid w:val="00CC6D89"/>
    <w:rsid w:val="00CD20F8"/>
    <w:rsid w:val="00CD228D"/>
    <w:rsid w:val="00CE116F"/>
    <w:rsid w:val="00CE1403"/>
    <w:rsid w:val="00CE2FD5"/>
    <w:rsid w:val="00CE374B"/>
    <w:rsid w:val="00CE6BA1"/>
    <w:rsid w:val="00CE6BB0"/>
    <w:rsid w:val="00CF1A8C"/>
    <w:rsid w:val="00CF1CBB"/>
    <w:rsid w:val="00CF28C3"/>
    <w:rsid w:val="00CF3228"/>
    <w:rsid w:val="00CF35E9"/>
    <w:rsid w:val="00CF3F77"/>
    <w:rsid w:val="00CF46BD"/>
    <w:rsid w:val="00CF6DEC"/>
    <w:rsid w:val="00D01BEB"/>
    <w:rsid w:val="00D06CF4"/>
    <w:rsid w:val="00D074DF"/>
    <w:rsid w:val="00D1088E"/>
    <w:rsid w:val="00D12D13"/>
    <w:rsid w:val="00D15AA4"/>
    <w:rsid w:val="00D162BC"/>
    <w:rsid w:val="00D167BB"/>
    <w:rsid w:val="00D24890"/>
    <w:rsid w:val="00D25F59"/>
    <w:rsid w:val="00D30754"/>
    <w:rsid w:val="00D3255C"/>
    <w:rsid w:val="00D3420E"/>
    <w:rsid w:val="00D356CF"/>
    <w:rsid w:val="00D414B0"/>
    <w:rsid w:val="00D4206A"/>
    <w:rsid w:val="00D439EC"/>
    <w:rsid w:val="00D43E7C"/>
    <w:rsid w:val="00D5462A"/>
    <w:rsid w:val="00D569B1"/>
    <w:rsid w:val="00D6419F"/>
    <w:rsid w:val="00D64B32"/>
    <w:rsid w:val="00D72F00"/>
    <w:rsid w:val="00D748A4"/>
    <w:rsid w:val="00D77CD9"/>
    <w:rsid w:val="00D80765"/>
    <w:rsid w:val="00D807D1"/>
    <w:rsid w:val="00D814C7"/>
    <w:rsid w:val="00D82139"/>
    <w:rsid w:val="00D91676"/>
    <w:rsid w:val="00DA0377"/>
    <w:rsid w:val="00DA06FC"/>
    <w:rsid w:val="00DA5F0B"/>
    <w:rsid w:val="00DB1541"/>
    <w:rsid w:val="00DC5B32"/>
    <w:rsid w:val="00DD3EA7"/>
    <w:rsid w:val="00DD55FA"/>
    <w:rsid w:val="00DD79E8"/>
    <w:rsid w:val="00DD7EB9"/>
    <w:rsid w:val="00DE091C"/>
    <w:rsid w:val="00DE1E68"/>
    <w:rsid w:val="00DE5630"/>
    <w:rsid w:val="00DE5FF0"/>
    <w:rsid w:val="00DE72B7"/>
    <w:rsid w:val="00DF0EC6"/>
    <w:rsid w:val="00DF21E3"/>
    <w:rsid w:val="00DF26E7"/>
    <w:rsid w:val="00DF46CD"/>
    <w:rsid w:val="00DF6DBF"/>
    <w:rsid w:val="00E049A4"/>
    <w:rsid w:val="00E1174C"/>
    <w:rsid w:val="00E125AF"/>
    <w:rsid w:val="00E1342A"/>
    <w:rsid w:val="00E1567F"/>
    <w:rsid w:val="00E21788"/>
    <w:rsid w:val="00E25191"/>
    <w:rsid w:val="00E30849"/>
    <w:rsid w:val="00E32E2B"/>
    <w:rsid w:val="00E36C6E"/>
    <w:rsid w:val="00E43A15"/>
    <w:rsid w:val="00E45AC3"/>
    <w:rsid w:val="00E476FB"/>
    <w:rsid w:val="00E50FE8"/>
    <w:rsid w:val="00E51C05"/>
    <w:rsid w:val="00E52101"/>
    <w:rsid w:val="00E53C53"/>
    <w:rsid w:val="00E56ADF"/>
    <w:rsid w:val="00E57EC1"/>
    <w:rsid w:val="00E6714F"/>
    <w:rsid w:val="00E705D3"/>
    <w:rsid w:val="00E73276"/>
    <w:rsid w:val="00E76ACE"/>
    <w:rsid w:val="00E8095C"/>
    <w:rsid w:val="00E84012"/>
    <w:rsid w:val="00E861DA"/>
    <w:rsid w:val="00E8770A"/>
    <w:rsid w:val="00E904E5"/>
    <w:rsid w:val="00E96A0E"/>
    <w:rsid w:val="00E96D98"/>
    <w:rsid w:val="00E97598"/>
    <w:rsid w:val="00EB1B66"/>
    <w:rsid w:val="00EB208A"/>
    <w:rsid w:val="00EB2FB3"/>
    <w:rsid w:val="00EB4B99"/>
    <w:rsid w:val="00EC11E4"/>
    <w:rsid w:val="00EC7B43"/>
    <w:rsid w:val="00ED2C51"/>
    <w:rsid w:val="00ED4012"/>
    <w:rsid w:val="00ED559F"/>
    <w:rsid w:val="00ED55A2"/>
    <w:rsid w:val="00EE010A"/>
    <w:rsid w:val="00EF268E"/>
    <w:rsid w:val="00EF37F8"/>
    <w:rsid w:val="00EF4F0C"/>
    <w:rsid w:val="00F0033E"/>
    <w:rsid w:val="00F02A7A"/>
    <w:rsid w:val="00F03624"/>
    <w:rsid w:val="00F07E41"/>
    <w:rsid w:val="00F130ED"/>
    <w:rsid w:val="00F25775"/>
    <w:rsid w:val="00F26498"/>
    <w:rsid w:val="00F31884"/>
    <w:rsid w:val="00F3651B"/>
    <w:rsid w:val="00F37163"/>
    <w:rsid w:val="00F435F1"/>
    <w:rsid w:val="00F45F9D"/>
    <w:rsid w:val="00F51224"/>
    <w:rsid w:val="00F52FD1"/>
    <w:rsid w:val="00F6346E"/>
    <w:rsid w:val="00F656CA"/>
    <w:rsid w:val="00F705AF"/>
    <w:rsid w:val="00F7132D"/>
    <w:rsid w:val="00F738DB"/>
    <w:rsid w:val="00F73E58"/>
    <w:rsid w:val="00F74249"/>
    <w:rsid w:val="00F75473"/>
    <w:rsid w:val="00F75752"/>
    <w:rsid w:val="00F810BF"/>
    <w:rsid w:val="00F838BA"/>
    <w:rsid w:val="00F91577"/>
    <w:rsid w:val="00F91AAE"/>
    <w:rsid w:val="00FA42D5"/>
    <w:rsid w:val="00FB0CB0"/>
    <w:rsid w:val="00FB1797"/>
    <w:rsid w:val="00FB32AD"/>
    <w:rsid w:val="00FC1903"/>
    <w:rsid w:val="00FC7D18"/>
    <w:rsid w:val="00FD128A"/>
    <w:rsid w:val="00FD5472"/>
    <w:rsid w:val="00FE0A6D"/>
    <w:rsid w:val="00FE0D2B"/>
    <w:rsid w:val="00FE1554"/>
    <w:rsid w:val="00FE3202"/>
    <w:rsid w:val="00FE3976"/>
    <w:rsid w:val="00FE5327"/>
    <w:rsid w:val="00FF73EC"/>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F1CBB"/>
    <w:pPr>
      <w:jc w:val="center"/>
    </w:pPr>
    <w:rPr>
      <w:b/>
      <w:sz w:val="26"/>
    </w:rPr>
  </w:style>
  <w:style w:type="paragraph" w:styleId="Subtitle">
    <w:name w:val="Subtitle"/>
    <w:basedOn w:val="Normal"/>
    <w:qFormat/>
    <w:rsid w:val="00CF1CBB"/>
    <w:pPr>
      <w:jc w:val="center"/>
    </w:pPr>
    <w:rPr>
      <w:b/>
      <w:sz w:val="26"/>
    </w:rPr>
  </w:style>
  <w:style w:type="paragraph" w:styleId="Footer">
    <w:name w:val="footer"/>
    <w:basedOn w:val="Normal"/>
    <w:rsid w:val="00CF1CBB"/>
    <w:pPr>
      <w:tabs>
        <w:tab w:val="center" w:pos="4320"/>
        <w:tab w:val="right" w:pos="8640"/>
      </w:tabs>
    </w:pPr>
  </w:style>
  <w:style w:type="character" w:styleId="PageNumber">
    <w:name w:val="page number"/>
    <w:basedOn w:val="DefaultParagraphFont"/>
    <w:rsid w:val="00CF1CBB"/>
  </w:style>
  <w:style w:type="paragraph" w:styleId="FootnoteText">
    <w:name w:val="footnote text"/>
    <w:basedOn w:val="Normal"/>
    <w:semiHidden/>
    <w:rsid w:val="000054BC"/>
  </w:style>
  <w:style w:type="character" w:styleId="FootnoteReference">
    <w:name w:val="footnote reference"/>
    <w:basedOn w:val="DefaultParagraphFont"/>
    <w:semiHidden/>
    <w:rsid w:val="000054BC"/>
    <w:rPr>
      <w:vertAlign w:val="superscript"/>
    </w:rPr>
  </w:style>
  <w:style w:type="paragraph" w:styleId="ListParagraph">
    <w:name w:val="List Paragraph"/>
    <w:basedOn w:val="Normal"/>
    <w:uiPriority w:val="34"/>
    <w:qFormat/>
    <w:rsid w:val="00065F6F"/>
    <w:pPr>
      <w:ind w:left="720"/>
    </w:pPr>
  </w:style>
  <w:style w:type="paragraph" w:styleId="BodyTextIndent">
    <w:name w:val="Body Text Indent"/>
    <w:basedOn w:val="Normal"/>
    <w:link w:val="BodyTextIndentChar"/>
    <w:rsid w:val="00CE6BB0"/>
    <w:pPr>
      <w:ind w:firstLine="1440"/>
      <w:jc w:val="both"/>
    </w:pPr>
    <w:rPr>
      <w:sz w:val="26"/>
    </w:rPr>
  </w:style>
  <w:style w:type="character" w:customStyle="1" w:styleId="BodyTextIndentChar">
    <w:name w:val="Body Text Indent Char"/>
    <w:basedOn w:val="DefaultParagraphFont"/>
    <w:link w:val="BodyTextIndent"/>
    <w:rsid w:val="00CE6BB0"/>
    <w:rPr>
      <w:sz w:val="26"/>
    </w:rPr>
  </w:style>
  <w:style w:type="paragraph" w:styleId="BalloonText">
    <w:name w:val="Balloon Text"/>
    <w:basedOn w:val="Normal"/>
    <w:link w:val="BalloonTextChar"/>
    <w:rsid w:val="00BF1FDF"/>
    <w:rPr>
      <w:rFonts w:ascii="Tahoma" w:hAnsi="Tahoma" w:cs="Tahoma"/>
      <w:sz w:val="16"/>
      <w:szCs w:val="16"/>
    </w:rPr>
  </w:style>
  <w:style w:type="character" w:customStyle="1" w:styleId="BalloonTextChar">
    <w:name w:val="Balloon Text Char"/>
    <w:basedOn w:val="DefaultParagraphFont"/>
    <w:link w:val="BalloonText"/>
    <w:rsid w:val="00BF1FDF"/>
    <w:rPr>
      <w:rFonts w:ascii="Tahoma" w:hAnsi="Tahoma" w:cs="Tahoma"/>
      <w:sz w:val="16"/>
      <w:szCs w:val="16"/>
    </w:rPr>
  </w:style>
  <w:style w:type="paragraph" w:styleId="Header">
    <w:name w:val="header"/>
    <w:basedOn w:val="Normal"/>
    <w:link w:val="HeaderChar"/>
    <w:rsid w:val="00192565"/>
    <w:pPr>
      <w:tabs>
        <w:tab w:val="center" w:pos="4680"/>
        <w:tab w:val="right" w:pos="9360"/>
      </w:tabs>
    </w:pPr>
  </w:style>
  <w:style w:type="character" w:customStyle="1" w:styleId="HeaderChar">
    <w:name w:val="Header Char"/>
    <w:basedOn w:val="DefaultParagraphFont"/>
    <w:link w:val="Header"/>
    <w:rsid w:val="00192565"/>
  </w:style>
  <w:style w:type="paragraph" w:styleId="PlainText">
    <w:name w:val="Plain Text"/>
    <w:basedOn w:val="Normal"/>
    <w:link w:val="PlainTextChar"/>
    <w:uiPriority w:val="99"/>
    <w:unhideWhenUsed/>
    <w:rsid w:val="004002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00241"/>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F1CBB"/>
    <w:pPr>
      <w:jc w:val="center"/>
    </w:pPr>
    <w:rPr>
      <w:b/>
      <w:sz w:val="26"/>
    </w:rPr>
  </w:style>
  <w:style w:type="paragraph" w:styleId="Subtitle">
    <w:name w:val="Subtitle"/>
    <w:basedOn w:val="Normal"/>
    <w:qFormat/>
    <w:rsid w:val="00CF1CBB"/>
    <w:pPr>
      <w:jc w:val="center"/>
    </w:pPr>
    <w:rPr>
      <w:b/>
      <w:sz w:val="26"/>
    </w:rPr>
  </w:style>
  <w:style w:type="paragraph" w:styleId="Footer">
    <w:name w:val="footer"/>
    <w:basedOn w:val="Normal"/>
    <w:rsid w:val="00CF1CBB"/>
    <w:pPr>
      <w:tabs>
        <w:tab w:val="center" w:pos="4320"/>
        <w:tab w:val="right" w:pos="8640"/>
      </w:tabs>
    </w:pPr>
  </w:style>
  <w:style w:type="character" w:styleId="PageNumber">
    <w:name w:val="page number"/>
    <w:basedOn w:val="DefaultParagraphFont"/>
    <w:rsid w:val="00CF1CBB"/>
  </w:style>
  <w:style w:type="paragraph" w:styleId="FootnoteText">
    <w:name w:val="footnote text"/>
    <w:basedOn w:val="Normal"/>
    <w:semiHidden/>
    <w:rsid w:val="000054BC"/>
  </w:style>
  <w:style w:type="character" w:styleId="FootnoteReference">
    <w:name w:val="footnote reference"/>
    <w:basedOn w:val="DefaultParagraphFont"/>
    <w:semiHidden/>
    <w:rsid w:val="000054BC"/>
    <w:rPr>
      <w:vertAlign w:val="superscript"/>
    </w:rPr>
  </w:style>
  <w:style w:type="paragraph" w:styleId="ListParagraph">
    <w:name w:val="List Paragraph"/>
    <w:basedOn w:val="Normal"/>
    <w:uiPriority w:val="34"/>
    <w:qFormat/>
    <w:rsid w:val="00065F6F"/>
    <w:pPr>
      <w:ind w:left="720"/>
    </w:pPr>
  </w:style>
  <w:style w:type="paragraph" w:styleId="BodyTextIndent">
    <w:name w:val="Body Text Indent"/>
    <w:basedOn w:val="Normal"/>
    <w:link w:val="BodyTextIndentChar"/>
    <w:rsid w:val="00CE6BB0"/>
    <w:pPr>
      <w:ind w:firstLine="1440"/>
      <w:jc w:val="both"/>
    </w:pPr>
    <w:rPr>
      <w:sz w:val="26"/>
    </w:rPr>
  </w:style>
  <w:style w:type="character" w:customStyle="1" w:styleId="BodyTextIndentChar">
    <w:name w:val="Body Text Indent Char"/>
    <w:basedOn w:val="DefaultParagraphFont"/>
    <w:link w:val="BodyTextIndent"/>
    <w:rsid w:val="00CE6BB0"/>
    <w:rPr>
      <w:sz w:val="26"/>
    </w:rPr>
  </w:style>
  <w:style w:type="paragraph" w:styleId="BalloonText">
    <w:name w:val="Balloon Text"/>
    <w:basedOn w:val="Normal"/>
    <w:link w:val="BalloonTextChar"/>
    <w:rsid w:val="00BF1FDF"/>
    <w:rPr>
      <w:rFonts w:ascii="Tahoma" w:hAnsi="Tahoma" w:cs="Tahoma"/>
      <w:sz w:val="16"/>
      <w:szCs w:val="16"/>
    </w:rPr>
  </w:style>
  <w:style w:type="character" w:customStyle="1" w:styleId="BalloonTextChar">
    <w:name w:val="Balloon Text Char"/>
    <w:basedOn w:val="DefaultParagraphFont"/>
    <w:link w:val="BalloonText"/>
    <w:rsid w:val="00BF1FDF"/>
    <w:rPr>
      <w:rFonts w:ascii="Tahoma" w:hAnsi="Tahoma" w:cs="Tahoma"/>
      <w:sz w:val="16"/>
      <w:szCs w:val="16"/>
    </w:rPr>
  </w:style>
  <w:style w:type="paragraph" w:styleId="Header">
    <w:name w:val="header"/>
    <w:basedOn w:val="Normal"/>
    <w:link w:val="HeaderChar"/>
    <w:rsid w:val="00192565"/>
    <w:pPr>
      <w:tabs>
        <w:tab w:val="center" w:pos="4680"/>
        <w:tab w:val="right" w:pos="9360"/>
      </w:tabs>
    </w:pPr>
  </w:style>
  <w:style w:type="character" w:customStyle="1" w:styleId="HeaderChar">
    <w:name w:val="Header Char"/>
    <w:basedOn w:val="DefaultParagraphFont"/>
    <w:link w:val="Header"/>
    <w:rsid w:val="00192565"/>
  </w:style>
  <w:style w:type="paragraph" w:styleId="PlainText">
    <w:name w:val="Plain Text"/>
    <w:basedOn w:val="Normal"/>
    <w:link w:val="PlainTextChar"/>
    <w:uiPriority w:val="99"/>
    <w:unhideWhenUsed/>
    <w:rsid w:val="0040024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0024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9F07-2D70-4C96-8EFA-6B3A82DA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78</cp:revision>
  <cp:lastPrinted>2012-03-27T14:15:00Z</cp:lastPrinted>
  <dcterms:created xsi:type="dcterms:W3CDTF">2012-03-19T16:35:00Z</dcterms:created>
  <dcterms:modified xsi:type="dcterms:W3CDTF">2012-03-27T14:24:00Z</dcterms:modified>
</cp:coreProperties>
</file>