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0270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02706C" w:rsidRDefault="00643C76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M-2009</w:t>
            </w:r>
            <w:r w:rsidR="0002706C" w:rsidRPr="0002706C">
              <w:rPr>
                <w:rFonts w:ascii="Arial" w:hAnsi="Arial"/>
                <w:sz w:val="16"/>
                <w:szCs w:val="16"/>
              </w:rPr>
              <w:t>-20</w:t>
            </w:r>
            <w:r w:rsidR="00574A9E">
              <w:rPr>
                <w:rFonts w:ascii="Arial" w:hAnsi="Arial"/>
                <w:sz w:val="16"/>
                <w:szCs w:val="16"/>
              </w:rPr>
              <w:t>93216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10"/>
          <w:footerReference w:type="default" r:id="rId11"/>
          <w:headerReference w:type="firs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89350A" w:rsidRDefault="00CC610C" w:rsidP="004970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April 10, 2012</w:t>
      </w:r>
    </w:p>
    <w:p w:rsidR="0049706D" w:rsidRDefault="0049706D" w:rsidP="0049706D">
      <w:pPr>
        <w:jc w:val="center"/>
        <w:rPr>
          <w:b/>
          <w:sz w:val="26"/>
          <w:szCs w:val="26"/>
        </w:rPr>
      </w:pPr>
    </w:p>
    <w:p w:rsidR="001E1BF3" w:rsidRPr="009E40EC" w:rsidRDefault="001E1BF3" w:rsidP="00FA0E37">
      <w:pPr>
        <w:jc w:val="center"/>
        <w:rPr>
          <w:b/>
          <w:sz w:val="26"/>
          <w:szCs w:val="26"/>
        </w:rPr>
      </w:pPr>
    </w:p>
    <w:p w:rsidR="0089350A" w:rsidRDefault="0089350A" w:rsidP="00BE4A72">
      <w:pPr>
        <w:rPr>
          <w:sz w:val="24"/>
          <w:szCs w:val="24"/>
        </w:rPr>
      </w:pPr>
    </w:p>
    <w:p w:rsidR="0002706C" w:rsidRPr="00707F3E" w:rsidRDefault="0002706C" w:rsidP="00BE4A72">
      <w:pPr>
        <w:rPr>
          <w:sz w:val="24"/>
          <w:szCs w:val="24"/>
        </w:rPr>
      </w:pPr>
      <w:r w:rsidRPr="00707F3E">
        <w:rPr>
          <w:sz w:val="24"/>
          <w:szCs w:val="24"/>
        </w:rPr>
        <w:t>TO ALL INTERESTED PARTIES:</w:t>
      </w:r>
    </w:p>
    <w:p w:rsidR="00C90506" w:rsidRPr="00707F3E" w:rsidRDefault="00C90506" w:rsidP="00BE4A72">
      <w:pPr>
        <w:rPr>
          <w:sz w:val="24"/>
          <w:szCs w:val="24"/>
        </w:rPr>
      </w:pPr>
    </w:p>
    <w:p w:rsidR="009B23D8" w:rsidRPr="00707F3E" w:rsidRDefault="009B23D8" w:rsidP="006B4577">
      <w:pPr>
        <w:ind w:left="1440" w:hanging="1440"/>
        <w:rPr>
          <w:sz w:val="24"/>
          <w:szCs w:val="24"/>
        </w:rPr>
      </w:pPr>
      <w:r w:rsidRPr="00707F3E">
        <w:rPr>
          <w:sz w:val="24"/>
          <w:szCs w:val="24"/>
        </w:rPr>
        <w:t>Re:</w:t>
      </w:r>
      <w:r w:rsidR="00C77F29" w:rsidRPr="00707F3E">
        <w:rPr>
          <w:sz w:val="24"/>
          <w:szCs w:val="24"/>
        </w:rPr>
        <w:tab/>
      </w:r>
      <w:r w:rsidR="006B4577" w:rsidRPr="006B4577">
        <w:rPr>
          <w:spacing w:val="-3"/>
          <w:sz w:val="24"/>
          <w:szCs w:val="24"/>
        </w:rPr>
        <w:t>Petition of PPL Electric Utilities Corporation for Approval of an Energy Efficiency and Conservation Plan</w:t>
      </w:r>
    </w:p>
    <w:p w:rsidR="0002706C" w:rsidRPr="00707F3E" w:rsidRDefault="001540BA" w:rsidP="009E4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Docket No. M-</w:t>
      </w:r>
      <w:r w:rsidR="00FC0647" w:rsidRPr="00707F3E">
        <w:rPr>
          <w:sz w:val="24"/>
          <w:szCs w:val="24"/>
        </w:rPr>
        <w:t>2009-2093216</w:t>
      </w:r>
    </w:p>
    <w:p w:rsidR="00C90506" w:rsidRDefault="00C90506" w:rsidP="009E40EC">
      <w:pPr>
        <w:rPr>
          <w:sz w:val="24"/>
          <w:szCs w:val="24"/>
        </w:rPr>
      </w:pPr>
    </w:p>
    <w:p w:rsidR="004C084A" w:rsidRPr="00707F3E" w:rsidRDefault="004C084A" w:rsidP="009E40EC">
      <w:pPr>
        <w:rPr>
          <w:sz w:val="24"/>
          <w:szCs w:val="24"/>
        </w:rPr>
      </w:pPr>
    </w:p>
    <w:p w:rsidR="007724AE" w:rsidRDefault="004C084A" w:rsidP="004C084A">
      <w:pPr>
        <w:ind w:firstLine="1440"/>
        <w:rPr>
          <w:rFonts w:cs="Mangal"/>
          <w:sz w:val="26"/>
          <w:szCs w:val="26"/>
        </w:rPr>
      </w:pPr>
      <w:r w:rsidRPr="004C084A">
        <w:rPr>
          <w:rFonts w:cs="Mangal"/>
          <w:sz w:val="26"/>
          <w:szCs w:val="26"/>
        </w:rPr>
        <w:t xml:space="preserve">On February 2, 2012, PPL </w:t>
      </w:r>
      <w:r w:rsidR="00402651">
        <w:rPr>
          <w:rFonts w:cs="Mangal"/>
          <w:sz w:val="26"/>
          <w:szCs w:val="26"/>
        </w:rPr>
        <w:t>E</w:t>
      </w:r>
      <w:r w:rsidR="00402651" w:rsidRPr="006B4577">
        <w:rPr>
          <w:spacing w:val="-3"/>
          <w:sz w:val="24"/>
          <w:szCs w:val="24"/>
        </w:rPr>
        <w:t xml:space="preserve">lectric Utilities Corporation </w:t>
      </w:r>
      <w:r w:rsidR="00402651">
        <w:rPr>
          <w:spacing w:val="-3"/>
          <w:sz w:val="24"/>
          <w:szCs w:val="24"/>
        </w:rPr>
        <w:t xml:space="preserve">(PPL) </w:t>
      </w:r>
      <w:r w:rsidRPr="004C084A">
        <w:rPr>
          <w:rFonts w:cs="Mangal"/>
          <w:sz w:val="26"/>
          <w:szCs w:val="26"/>
        </w:rPr>
        <w:t xml:space="preserve">filed a Petition for Approval of Changes to its Act 129 Energy Efficiency and Conservation (EE&amp;C) Plan (Petition) and a black-line EE&amp;C Plan (Revised Plan) that reflects the proposed changes.   The Petition indicates that the Revised Plan contains fifty-six “minor” changes and six “non-minor” changes as defined in the Commission’s </w:t>
      </w:r>
      <w:r>
        <w:rPr>
          <w:rFonts w:cs="Mangal"/>
          <w:sz w:val="26"/>
          <w:szCs w:val="26"/>
        </w:rPr>
        <w:t xml:space="preserve">Order entered </w:t>
      </w:r>
      <w:r w:rsidRPr="004C084A">
        <w:rPr>
          <w:rFonts w:cs="Mangal"/>
          <w:sz w:val="26"/>
          <w:szCs w:val="26"/>
        </w:rPr>
        <w:t xml:space="preserve">June 10, 2011 at Docket </w:t>
      </w:r>
      <w:r w:rsidR="007724AE">
        <w:rPr>
          <w:rFonts w:cs="Mangal"/>
          <w:sz w:val="26"/>
          <w:szCs w:val="26"/>
        </w:rPr>
        <w:t xml:space="preserve">No. </w:t>
      </w:r>
      <w:r w:rsidRPr="004C084A">
        <w:rPr>
          <w:rFonts w:cs="Mangal"/>
          <w:sz w:val="26"/>
          <w:szCs w:val="26"/>
        </w:rPr>
        <w:t>M-2008-2069887 (</w:t>
      </w:r>
      <w:r w:rsidRPr="004C084A">
        <w:rPr>
          <w:rFonts w:cs="Mangal"/>
          <w:i/>
          <w:sz w:val="26"/>
          <w:szCs w:val="26"/>
        </w:rPr>
        <w:t>June 2011 Order</w:t>
      </w:r>
      <w:r w:rsidRPr="004C084A">
        <w:rPr>
          <w:rFonts w:cs="Mangal"/>
          <w:sz w:val="26"/>
          <w:szCs w:val="26"/>
        </w:rPr>
        <w:t xml:space="preserve">).   The </w:t>
      </w:r>
      <w:r w:rsidRPr="004C084A">
        <w:rPr>
          <w:rFonts w:cs="Mangal"/>
          <w:i/>
          <w:sz w:val="26"/>
          <w:szCs w:val="26"/>
        </w:rPr>
        <w:t>June 2011 Order</w:t>
      </w:r>
      <w:r w:rsidRPr="004C084A">
        <w:rPr>
          <w:rFonts w:cs="Mangal"/>
          <w:sz w:val="26"/>
          <w:szCs w:val="26"/>
        </w:rPr>
        <w:t xml:space="preserve"> established an expedited review process for minor EE&amp;C Plan changes and clarified the review process for non-minor changes.  PPL is requesting that the Commission address the minor and non-minor changes together</w:t>
      </w:r>
      <w:r w:rsidR="007724AE">
        <w:rPr>
          <w:rFonts w:cs="Mangal"/>
          <w:sz w:val="26"/>
          <w:szCs w:val="26"/>
        </w:rPr>
        <w:t>,</w:t>
      </w:r>
      <w:r w:rsidRPr="004C084A">
        <w:rPr>
          <w:rFonts w:cs="Mangal"/>
          <w:sz w:val="26"/>
          <w:szCs w:val="26"/>
        </w:rPr>
        <w:t xml:space="preserve"> pursuant to the review process for non-minor changes.  </w:t>
      </w:r>
    </w:p>
    <w:p w:rsidR="007724AE" w:rsidRDefault="007724AE" w:rsidP="004C084A">
      <w:pPr>
        <w:ind w:firstLine="1440"/>
        <w:rPr>
          <w:rFonts w:cs="Mangal"/>
          <w:sz w:val="26"/>
          <w:szCs w:val="26"/>
        </w:rPr>
      </w:pPr>
    </w:p>
    <w:p w:rsidR="004C084A" w:rsidRDefault="004C084A" w:rsidP="004C084A">
      <w:pPr>
        <w:ind w:firstLine="1440"/>
        <w:rPr>
          <w:sz w:val="26"/>
          <w:szCs w:val="26"/>
        </w:rPr>
      </w:pPr>
      <w:r w:rsidRPr="004C084A">
        <w:rPr>
          <w:rFonts w:cs="Mangal"/>
          <w:sz w:val="26"/>
          <w:szCs w:val="26"/>
        </w:rPr>
        <w:t>Consistent with the review process for non-minor changes,</w:t>
      </w:r>
      <w:r w:rsidR="00453B8B">
        <w:rPr>
          <w:rFonts w:cs="Mangal"/>
          <w:sz w:val="26"/>
          <w:szCs w:val="26"/>
        </w:rPr>
        <w:t xml:space="preserve"> </w:t>
      </w:r>
      <w:r w:rsidR="008E7595">
        <w:rPr>
          <w:rFonts w:cs="Mangal"/>
          <w:sz w:val="26"/>
          <w:szCs w:val="26"/>
        </w:rPr>
        <w:t xml:space="preserve">the Petition was served on all Parties to this proceeding. </w:t>
      </w:r>
      <w:r w:rsidRPr="004C084A">
        <w:rPr>
          <w:rFonts w:cs="Mangal"/>
          <w:sz w:val="26"/>
          <w:szCs w:val="26"/>
        </w:rPr>
        <w:t xml:space="preserve"> Comments were filed on the proposed changes by the </w:t>
      </w:r>
      <w:r w:rsidRPr="004C084A">
        <w:rPr>
          <w:sz w:val="26"/>
          <w:szCs w:val="26"/>
        </w:rPr>
        <w:t xml:space="preserve">Office of Consumer Advocate (OCA), Pennsylvania Communities Organizing for Change d/b/a Action United, Inc. (PCOC), PP&amp;L Industrial Customer Alliance (PPLICA) and Sustainable Energy Fund of Central Pennsylvania (SEF) on March 5, 2012.  Reply Comments were filed by PPL on March 26, 2012. </w:t>
      </w:r>
    </w:p>
    <w:p w:rsidR="004C084A" w:rsidRDefault="004C084A" w:rsidP="004C084A">
      <w:pPr>
        <w:ind w:firstLine="1440"/>
        <w:rPr>
          <w:sz w:val="26"/>
          <w:szCs w:val="26"/>
        </w:rPr>
      </w:pPr>
    </w:p>
    <w:p w:rsidR="004C084A" w:rsidRPr="004C084A" w:rsidRDefault="004C084A" w:rsidP="004C084A">
      <w:pPr>
        <w:ind w:firstLine="1440"/>
        <w:rPr>
          <w:sz w:val="26"/>
          <w:szCs w:val="26"/>
        </w:rPr>
      </w:pPr>
      <w:r w:rsidRPr="004C084A">
        <w:rPr>
          <w:sz w:val="26"/>
          <w:szCs w:val="26"/>
        </w:rPr>
        <w:t xml:space="preserve">In this proceeding, PPLICA and SEF have explicitly requested </w:t>
      </w:r>
      <w:r w:rsidR="007A786D">
        <w:rPr>
          <w:sz w:val="26"/>
          <w:szCs w:val="26"/>
        </w:rPr>
        <w:t xml:space="preserve">an investigation and </w:t>
      </w:r>
      <w:r w:rsidRPr="004C084A">
        <w:rPr>
          <w:sz w:val="26"/>
          <w:szCs w:val="26"/>
        </w:rPr>
        <w:t>hearings</w:t>
      </w:r>
      <w:r w:rsidR="00F04214">
        <w:rPr>
          <w:sz w:val="26"/>
          <w:szCs w:val="26"/>
        </w:rPr>
        <w:t xml:space="preserve"> on specific proposed modifications set forth in the </w:t>
      </w:r>
      <w:r w:rsidR="00402651">
        <w:rPr>
          <w:sz w:val="26"/>
          <w:szCs w:val="26"/>
        </w:rPr>
        <w:t xml:space="preserve">Petition and </w:t>
      </w:r>
      <w:r w:rsidR="00F04214">
        <w:rPr>
          <w:sz w:val="26"/>
          <w:szCs w:val="26"/>
        </w:rPr>
        <w:t>Revised Plan</w:t>
      </w:r>
      <w:r w:rsidRPr="004C084A">
        <w:rPr>
          <w:sz w:val="26"/>
          <w:szCs w:val="26"/>
        </w:rPr>
        <w:t>.  The Commission hereby grants this request and refers this matter to the Office of Administrative Law Judge (OALJ) for further proceedings.</w:t>
      </w:r>
    </w:p>
    <w:p w:rsidR="004C084A" w:rsidRDefault="004C084A" w:rsidP="004C084A">
      <w:pPr>
        <w:ind w:firstLine="1440"/>
        <w:rPr>
          <w:sz w:val="26"/>
          <w:szCs w:val="26"/>
        </w:rPr>
      </w:pPr>
    </w:p>
    <w:p w:rsidR="00453B8B" w:rsidRPr="00AA200F" w:rsidRDefault="00F04214" w:rsidP="00453B8B">
      <w:pPr>
        <w:ind w:firstLine="1440"/>
        <w:rPr>
          <w:sz w:val="26"/>
          <w:szCs w:val="26"/>
        </w:rPr>
      </w:pPr>
      <w:r w:rsidRPr="00F04214">
        <w:rPr>
          <w:rFonts w:eastAsiaTheme="minorHAnsi"/>
          <w:sz w:val="26"/>
          <w:szCs w:val="26"/>
        </w:rPr>
        <w:t xml:space="preserve">The Commission recognizes that the three percent energy reduction targets set forth in Act 129 must be achieved during the twelve months ending May 31, 2013, and the 4.5% demand reduction </w:t>
      </w:r>
      <w:r w:rsidR="00AA200F">
        <w:rPr>
          <w:rFonts w:eastAsiaTheme="minorHAnsi"/>
          <w:sz w:val="26"/>
          <w:szCs w:val="26"/>
        </w:rPr>
        <w:t xml:space="preserve">requirement </w:t>
      </w:r>
      <w:r w:rsidRPr="00F04214">
        <w:rPr>
          <w:rFonts w:eastAsiaTheme="minorHAnsi"/>
          <w:sz w:val="26"/>
          <w:szCs w:val="26"/>
        </w:rPr>
        <w:t xml:space="preserve">must be realized during the 100 peak hours during the forthcoming summer of 2012.  Consequently, </w:t>
      </w:r>
      <w:r w:rsidR="00453B8B">
        <w:rPr>
          <w:rFonts w:eastAsiaTheme="minorHAnsi"/>
          <w:sz w:val="26"/>
          <w:szCs w:val="26"/>
        </w:rPr>
        <w:t xml:space="preserve">the </w:t>
      </w:r>
      <w:r w:rsidRPr="00F04214">
        <w:rPr>
          <w:rFonts w:eastAsiaTheme="minorHAnsi"/>
          <w:sz w:val="26"/>
          <w:szCs w:val="26"/>
        </w:rPr>
        <w:t xml:space="preserve">outstanding issues </w:t>
      </w:r>
      <w:r w:rsidR="00453B8B">
        <w:rPr>
          <w:rFonts w:eastAsiaTheme="minorHAnsi"/>
          <w:sz w:val="26"/>
          <w:szCs w:val="26"/>
        </w:rPr>
        <w:t xml:space="preserve">in this proceeding </w:t>
      </w:r>
      <w:r w:rsidRPr="00F04214">
        <w:rPr>
          <w:rFonts w:eastAsiaTheme="minorHAnsi"/>
          <w:sz w:val="26"/>
          <w:szCs w:val="26"/>
        </w:rPr>
        <w:t>must be resolved as soon as practical</w:t>
      </w:r>
      <w:r w:rsidR="007724AE">
        <w:rPr>
          <w:rFonts w:eastAsiaTheme="minorHAnsi"/>
          <w:sz w:val="26"/>
          <w:szCs w:val="26"/>
        </w:rPr>
        <w:t>, consistent with due process,</w:t>
      </w:r>
      <w:r w:rsidRPr="00F04214">
        <w:rPr>
          <w:rFonts w:eastAsiaTheme="minorHAnsi"/>
          <w:sz w:val="26"/>
          <w:szCs w:val="26"/>
        </w:rPr>
        <w:t xml:space="preserve"> so that PPL can </w:t>
      </w:r>
      <w:r>
        <w:rPr>
          <w:rFonts w:eastAsiaTheme="minorHAnsi"/>
          <w:sz w:val="26"/>
          <w:szCs w:val="26"/>
        </w:rPr>
        <w:t xml:space="preserve">meet the energy and demand reduction requirements of Act 129.  </w:t>
      </w:r>
      <w:r w:rsidR="00453B8B">
        <w:rPr>
          <w:rFonts w:eastAsiaTheme="minorHAnsi"/>
          <w:sz w:val="26"/>
          <w:szCs w:val="26"/>
        </w:rPr>
        <w:t xml:space="preserve">Accordingly, </w:t>
      </w:r>
      <w:r w:rsidR="00453B8B" w:rsidRPr="00AA200F">
        <w:rPr>
          <w:sz w:val="26"/>
          <w:szCs w:val="26"/>
        </w:rPr>
        <w:lastRenderedPageBreak/>
        <w:t xml:space="preserve">OALJ is directed to proceed in this matter, such that the Administrative Law Judge can certify the record of this proceeding to the Commission by May </w:t>
      </w:r>
      <w:r w:rsidR="007724AE">
        <w:rPr>
          <w:sz w:val="26"/>
          <w:szCs w:val="26"/>
        </w:rPr>
        <w:t>1</w:t>
      </w:r>
      <w:r w:rsidR="00453B8B" w:rsidRPr="00AA200F">
        <w:rPr>
          <w:sz w:val="26"/>
          <w:szCs w:val="26"/>
        </w:rPr>
        <w:t xml:space="preserve">, 2012.  </w:t>
      </w:r>
    </w:p>
    <w:p w:rsidR="00453B8B" w:rsidRDefault="00453B8B" w:rsidP="00453B8B">
      <w:pPr>
        <w:ind w:firstLine="1440"/>
        <w:rPr>
          <w:sz w:val="24"/>
          <w:szCs w:val="24"/>
        </w:rPr>
      </w:pPr>
    </w:p>
    <w:p w:rsidR="005D54BD" w:rsidRDefault="00AA200F" w:rsidP="00453B8B">
      <w:pPr>
        <w:ind w:firstLine="1440"/>
        <w:rPr>
          <w:sz w:val="26"/>
          <w:szCs w:val="26"/>
        </w:rPr>
      </w:pPr>
      <w:r w:rsidRPr="005D54BD">
        <w:rPr>
          <w:sz w:val="26"/>
          <w:szCs w:val="26"/>
        </w:rPr>
        <w:t xml:space="preserve">Since all Parties to this proceeding </w:t>
      </w:r>
      <w:r w:rsidR="005D54BD" w:rsidRPr="005D54BD">
        <w:rPr>
          <w:sz w:val="26"/>
          <w:szCs w:val="26"/>
        </w:rPr>
        <w:t xml:space="preserve">have </w:t>
      </w:r>
      <w:r w:rsidRPr="005D54BD">
        <w:rPr>
          <w:sz w:val="26"/>
          <w:szCs w:val="26"/>
        </w:rPr>
        <w:t xml:space="preserve">had an opportunity to file Comments and Reply Comments on PPL’s Petition and Revised Plan, the issues to be addressed in the forthcoming proceedings shall be limited to those issues </w:t>
      </w:r>
      <w:r w:rsidR="001E42D6">
        <w:rPr>
          <w:sz w:val="26"/>
          <w:szCs w:val="26"/>
        </w:rPr>
        <w:t xml:space="preserve">set forth in this letter.  First, </w:t>
      </w:r>
      <w:r w:rsidR="00180BAA">
        <w:rPr>
          <w:sz w:val="26"/>
          <w:szCs w:val="26"/>
        </w:rPr>
        <w:t xml:space="preserve">the proceedings shall address </w:t>
      </w:r>
      <w:r w:rsidR="001E42D6">
        <w:rPr>
          <w:sz w:val="26"/>
          <w:szCs w:val="26"/>
        </w:rPr>
        <w:t xml:space="preserve">those issues </w:t>
      </w:r>
      <w:r w:rsidR="009B31FF">
        <w:rPr>
          <w:sz w:val="26"/>
          <w:szCs w:val="26"/>
        </w:rPr>
        <w:t xml:space="preserve">for which </w:t>
      </w:r>
      <w:r w:rsidRPr="005D54BD">
        <w:rPr>
          <w:sz w:val="26"/>
          <w:szCs w:val="26"/>
        </w:rPr>
        <w:t>PPLICA and</w:t>
      </w:r>
      <w:r w:rsidR="009B31FF">
        <w:rPr>
          <w:sz w:val="26"/>
          <w:szCs w:val="26"/>
        </w:rPr>
        <w:t>/or</w:t>
      </w:r>
      <w:r w:rsidRPr="005D54BD">
        <w:rPr>
          <w:sz w:val="26"/>
          <w:szCs w:val="26"/>
        </w:rPr>
        <w:t xml:space="preserve"> SEF requested </w:t>
      </w:r>
      <w:r w:rsidR="009B31FF">
        <w:rPr>
          <w:sz w:val="26"/>
          <w:szCs w:val="26"/>
        </w:rPr>
        <w:t xml:space="preserve">an </w:t>
      </w:r>
      <w:r w:rsidRPr="005D54BD">
        <w:rPr>
          <w:sz w:val="26"/>
          <w:szCs w:val="26"/>
        </w:rPr>
        <w:t xml:space="preserve">investigation and hearing.  </w:t>
      </w:r>
      <w:r w:rsidR="005D54BD">
        <w:rPr>
          <w:sz w:val="26"/>
          <w:szCs w:val="26"/>
        </w:rPr>
        <w:t>Specifically, th</w:t>
      </w:r>
      <w:r w:rsidR="00874EC2">
        <w:rPr>
          <w:sz w:val="26"/>
          <w:szCs w:val="26"/>
        </w:rPr>
        <w:t>e</w:t>
      </w:r>
      <w:r w:rsidR="001E42D6">
        <w:rPr>
          <w:sz w:val="26"/>
          <w:szCs w:val="26"/>
        </w:rPr>
        <w:t>se</w:t>
      </w:r>
      <w:r w:rsidR="005D54BD">
        <w:rPr>
          <w:sz w:val="26"/>
          <w:szCs w:val="26"/>
        </w:rPr>
        <w:t xml:space="preserve"> issues</w:t>
      </w:r>
      <w:r w:rsidR="00874EC2">
        <w:rPr>
          <w:sz w:val="26"/>
          <w:szCs w:val="26"/>
        </w:rPr>
        <w:t xml:space="preserve"> </w:t>
      </w:r>
      <w:r w:rsidR="005D54BD">
        <w:rPr>
          <w:sz w:val="26"/>
          <w:szCs w:val="26"/>
        </w:rPr>
        <w:t>pertain to the following proposed minor and non-minor modifications addressed in the Petition and contained in the Revised Plan:</w:t>
      </w:r>
    </w:p>
    <w:p w:rsidR="005D54BD" w:rsidRDefault="005D54BD" w:rsidP="00453B8B">
      <w:pPr>
        <w:ind w:firstLine="1440"/>
        <w:rPr>
          <w:sz w:val="26"/>
          <w:szCs w:val="26"/>
        </w:rPr>
      </w:pPr>
    </w:p>
    <w:p w:rsidR="005D54BD" w:rsidRDefault="005D54BD" w:rsidP="005D54BD">
      <w:pPr>
        <w:jc w:val="center"/>
        <w:rPr>
          <w:b/>
          <w:sz w:val="26"/>
          <w:szCs w:val="26"/>
          <w:u w:val="single"/>
        </w:rPr>
      </w:pPr>
      <w:r w:rsidRPr="005D54BD">
        <w:rPr>
          <w:b/>
          <w:sz w:val="26"/>
          <w:szCs w:val="26"/>
          <w:u w:val="single"/>
        </w:rPr>
        <w:t>Minor Modifications</w:t>
      </w:r>
    </w:p>
    <w:p w:rsidR="00104AC6" w:rsidRDefault="00104AC6" w:rsidP="005D54BD">
      <w:pPr>
        <w:jc w:val="center"/>
        <w:rPr>
          <w:b/>
          <w:sz w:val="26"/>
          <w:szCs w:val="26"/>
          <w:u w:val="single"/>
        </w:rPr>
      </w:pPr>
    </w:p>
    <w:p w:rsidR="005D54BD" w:rsidRPr="005D54BD" w:rsidRDefault="005D54BD" w:rsidP="005D54BD">
      <w:pPr>
        <w:keepNext/>
        <w:ind w:left="2160" w:right="1440" w:hanging="720"/>
        <w:rPr>
          <w:rFonts w:eastAsiaTheme="minorHAnsi"/>
          <w:sz w:val="26"/>
        </w:rPr>
      </w:pPr>
      <w:r w:rsidRPr="005D54BD">
        <w:rPr>
          <w:rFonts w:eastAsiaTheme="minorHAnsi"/>
          <w:sz w:val="26"/>
        </w:rPr>
        <w:t>1</w:t>
      </w:r>
      <w:r>
        <w:rPr>
          <w:rFonts w:eastAsiaTheme="minorHAnsi"/>
          <w:sz w:val="26"/>
        </w:rPr>
        <w:t>.</w:t>
      </w:r>
      <w:r w:rsidR="00874EC2">
        <w:rPr>
          <w:rFonts w:eastAsiaTheme="minorHAnsi"/>
          <w:sz w:val="26"/>
        </w:rPr>
        <w:tab/>
      </w:r>
      <w:r w:rsidRPr="005D54BD">
        <w:rPr>
          <w:rFonts w:eastAsiaTheme="minorHAnsi"/>
          <w:sz w:val="26"/>
        </w:rPr>
        <w:t>Discontinue Rebate for Dehumidifiers</w:t>
      </w:r>
      <w:r w:rsidR="0059739E">
        <w:rPr>
          <w:rFonts w:eastAsiaTheme="minorHAnsi"/>
          <w:sz w:val="26"/>
        </w:rPr>
        <w:t>.</w:t>
      </w:r>
    </w:p>
    <w:p w:rsidR="005D54BD" w:rsidRPr="005D54BD" w:rsidRDefault="005D54BD" w:rsidP="00874EC2">
      <w:pPr>
        <w:keepNext/>
        <w:ind w:left="1440" w:right="1440"/>
        <w:rPr>
          <w:rFonts w:eastAsiaTheme="minorHAnsi"/>
          <w:sz w:val="26"/>
        </w:rPr>
      </w:pPr>
    </w:p>
    <w:p w:rsidR="005D54BD" w:rsidRDefault="005D54BD" w:rsidP="00874EC2">
      <w:pPr>
        <w:keepNext/>
        <w:ind w:left="2160" w:right="1440" w:hanging="720"/>
        <w:rPr>
          <w:rFonts w:eastAsiaTheme="minorHAnsi"/>
          <w:sz w:val="26"/>
        </w:rPr>
      </w:pPr>
      <w:r>
        <w:rPr>
          <w:rFonts w:eastAsiaTheme="minorHAnsi"/>
          <w:sz w:val="26"/>
        </w:rPr>
        <w:t>3.</w:t>
      </w:r>
      <w:r w:rsidRPr="005D54BD">
        <w:rPr>
          <w:rFonts w:eastAsiaTheme="minorHAnsi"/>
          <w:sz w:val="26"/>
        </w:rPr>
        <w:t xml:space="preserve"> </w:t>
      </w:r>
      <w:r w:rsidR="00874EC2">
        <w:rPr>
          <w:rFonts w:eastAsiaTheme="minorHAnsi"/>
          <w:sz w:val="26"/>
        </w:rPr>
        <w:tab/>
      </w:r>
      <w:r w:rsidRPr="005D54BD">
        <w:rPr>
          <w:rFonts w:eastAsiaTheme="minorHAnsi"/>
          <w:sz w:val="26"/>
        </w:rPr>
        <w:t>Discontinue Rebate for Scanner</w:t>
      </w:r>
      <w:r w:rsidR="00886939">
        <w:rPr>
          <w:rFonts w:eastAsiaTheme="minorHAnsi"/>
          <w:sz w:val="26"/>
        </w:rPr>
        <w:t>s,</w:t>
      </w:r>
      <w:r w:rsidRPr="005D54BD">
        <w:rPr>
          <w:rFonts w:eastAsiaTheme="minorHAnsi"/>
          <w:sz w:val="26"/>
        </w:rPr>
        <w:t xml:space="preserve"> Printers and All Other Office Equipment.</w:t>
      </w:r>
    </w:p>
    <w:p w:rsidR="00874EC2" w:rsidRDefault="00874EC2" w:rsidP="00874EC2">
      <w:pPr>
        <w:keepNext/>
        <w:ind w:left="2160" w:right="1440" w:hanging="720"/>
        <w:rPr>
          <w:rFonts w:eastAsiaTheme="minorHAnsi"/>
          <w:sz w:val="26"/>
        </w:rPr>
      </w:pPr>
    </w:p>
    <w:p w:rsidR="00874EC2" w:rsidRDefault="00874EC2" w:rsidP="00874EC2">
      <w:pPr>
        <w:keepNext/>
        <w:ind w:left="2160" w:right="1440" w:hanging="720"/>
        <w:rPr>
          <w:rFonts w:eastAsiaTheme="minorHAnsi" w:cs="Mangal"/>
          <w:sz w:val="26"/>
          <w:szCs w:val="26"/>
        </w:rPr>
      </w:pPr>
      <w:r>
        <w:rPr>
          <w:rFonts w:eastAsiaTheme="minorHAnsi"/>
          <w:sz w:val="26"/>
        </w:rPr>
        <w:t>4.</w:t>
      </w:r>
      <w:r>
        <w:rPr>
          <w:rFonts w:eastAsiaTheme="minorHAnsi"/>
          <w:sz w:val="26"/>
        </w:rPr>
        <w:tab/>
      </w:r>
      <w:r w:rsidRPr="005D54BD">
        <w:rPr>
          <w:rFonts w:eastAsiaTheme="minorHAnsi" w:cs="Mangal"/>
          <w:sz w:val="26"/>
          <w:szCs w:val="26"/>
        </w:rPr>
        <w:t>Close Residential Portion of Renewable Energy Program</w:t>
      </w:r>
      <w:r w:rsidRPr="00874EC2">
        <w:rPr>
          <w:rFonts w:eastAsiaTheme="minorHAnsi" w:cs="Mangal"/>
          <w:sz w:val="26"/>
          <w:szCs w:val="26"/>
        </w:rPr>
        <w:t xml:space="preserve"> Earlier than Expected</w:t>
      </w:r>
      <w:r w:rsidR="00886939">
        <w:rPr>
          <w:rFonts w:eastAsiaTheme="minorHAnsi" w:cs="Mangal"/>
          <w:sz w:val="26"/>
          <w:szCs w:val="26"/>
        </w:rPr>
        <w:t>.</w:t>
      </w:r>
    </w:p>
    <w:p w:rsidR="00886939" w:rsidRDefault="00886939" w:rsidP="00874EC2">
      <w:pPr>
        <w:keepNext/>
        <w:ind w:left="2160" w:right="1440" w:hanging="720"/>
        <w:rPr>
          <w:rFonts w:eastAsiaTheme="minorHAnsi" w:cs="Mangal"/>
          <w:sz w:val="26"/>
          <w:szCs w:val="26"/>
        </w:rPr>
      </w:pPr>
    </w:p>
    <w:p w:rsidR="00886939" w:rsidRDefault="00886939" w:rsidP="00886939">
      <w:pPr>
        <w:ind w:left="2160" w:right="1440" w:hanging="720"/>
        <w:rPr>
          <w:rFonts w:eastAsiaTheme="minorHAnsi" w:cs="Mangal"/>
          <w:sz w:val="26"/>
          <w:szCs w:val="26"/>
        </w:rPr>
      </w:pPr>
      <w:r w:rsidRPr="005D54BD">
        <w:rPr>
          <w:rFonts w:eastAsiaTheme="minorHAnsi" w:cs="Mangal"/>
          <w:b/>
          <w:sz w:val="26"/>
          <w:szCs w:val="26"/>
        </w:rPr>
        <w:t>5</w:t>
      </w:r>
      <w:r w:rsidRPr="005D54BD">
        <w:rPr>
          <w:rFonts w:eastAsiaTheme="minorHAnsi" w:cs="Mangal"/>
          <w:sz w:val="26"/>
          <w:szCs w:val="26"/>
        </w:rPr>
        <w:t xml:space="preserve">. </w:t>
      </w:r>
      <w:r>
        <w:rPr>
          <w:rFonts w:eastAsiaTheme="minorHAnsi" w:cs="Mangal"/>
          <w:sz w:val="26"/>
          <w:szCs w:val="26"/>
        </w:rPr>
        <w:tab/>
      </w:r>
      <w:r w:rsidRPr="005D54BD">
        <w:rPr>
          <w:rFonts w:eastAsiaTheme="minorHAnsi" w:cs="Mangal"/>
          <w:sz w:val="26"/>
          <w:szCs w:val="26"/>
        </w:rPr>
        <w:t>Close Government, Non-Profit, Institutional (GNI) Portion of Renewal Energy Program</w:t>
      </w:r>
      <w:r w:rsidR="0059739E">
        <w:rPr>
          <w:rFonts w:eastAsiaTheme="minorHAnsi" w:cs="Mangal"/>
          <w:sz w:val="26"/>
          <w:szCs w:val="26"/>
        </w:rPr>
        <w:t xml:space="preserve"> Earlier than Expected</w:t>
      </w:r>
      <w:r w:rsidRPr="005D54BD">
        <w:rPr>
          <w:rFonts w:eastAsiaTheme="minorHAnsi" w:cs="Mangal"/>
          <w:sz w:val="26"/>
          <w:szCs w:val="26"/>
        </w:rPr>
        <w:t xml:space="preserve">.  </w:t>
      </w:r>
    </w:p>
    <w:p w:rsidR="00886939" w:rsidRDefault="00886939" w:rsidP="00886939">
      <w:pPr>
        <w:ind w:left="2160" w:right="1440" w:hanging="720"/>
        <w:rPr>
          <w:rFonts w:eastAsiaTheme="minorHAnsi"/>
          <w:sz w:val="26"/>
        </w:rPr>
      </w:pPr>
    </w:p>
    <w:p w:rsidR="00874EC2" w:rsidRDefault="00886939" w:rsidP="00886939">
      <w:pPr>
        <w:ind w:left="2160" w:right="1440" w:hanging="720"/>
        <w:rPr>
          <w:rFonts w:eastAsiaTheme="minorHAnsi"/>
          <w:sz w:val="26"/>
        </w:rPr>
      </w:pPr>
      <w:r>
        <w:rPr>
          <w:rFonts w:eastAsiaTheme="minorHAnsi"/>
          <w:sz w:val="26"/>
        </w:rPr>
        <w:t>6</w:t>
      </w:r>
      <w:r w:rsidR="00874EC2">
        <w:rPr>
          <w:rFonts w:eastAsiaTheme="minorHAnsi"/>
          <w:sz w:val="26"/>
        </w:rPr>
        <w:t>.</w:t>
      </w:r>
      <w:r w:rsidR="00874EC2">
        <w:rPr>
          <w:rFonts w:eastAsiaTheme="minorHAnsi"/>
          <w:sz w:val="26"/>
        </w:rPr>
        <w:tab/>
        <w:t>Discontinue Rebate for Dishwasher</w:t>
      </w:r>
      <w:r w:rsidR="0059739E">
        <w:rPr>
          <w:rFonts w:eastAsiaTheme="minorHAnsi"/>
          <w:sz w:val="26"/>
        </w:rPr>
        <w:t>s</w:t>
      </w:r>
      <w:r w:rsidR="00874EC2">
        <w:rPr>
          <w:rFonts w:eastAsiaTheme="minorHAnsi"/>
          <w:sz w:val="26"/>
        </w:rPr>
        <w:t xml:space="preserve"> and Clothes Washer</w:t>
      </w:r>
      <w:r w:rsidR="0059739E">
        <w:rPr>
          <w:rFonts w:eastAsiaTheme="minorHAnsi"/>
          <w:sz w:val="26"/>
        </w:rPr>
        <w:t>s</w:t>
      </w:r>
      <w:r w:rsidR="00874EC2">
        <w:rPr>
          <w:rFonts w:eastAsiaTheme="minorHAnsi"/>
          <w:sz w:val="26"/>
        </w:rPr>
        <w:t>.</w:t>
      </w:r>
    </w:p>
    <w:p w:rsidR="00886939" w:rsidRDefault="00886939" w:rsidP="00886939">
      <w:pPr>
        <w:ind w:left="2160" w:right="1440" w:hanging="720"/>
        <w:rPr>
          <w:rFonts w:eastAsiaTheme="minorHAnsi"/>
          <w:sz w:val="26"/>
        </w:rPr>
      </w:pPr>
    </w:p>
    <w:p w:rsidR="00886939" w:rsidRDefault="00886939" w:rsidP="00886939">
      <w:pPr>
        <w:ind w:left="2160" w:right="1440" w:hanging="720"/>
        <w:rPr>
          <w:rFonts w:eastAsiaTheme="minorHAnsi"/>
          <w:sz w:val="26"/>
        </w:rPr>
      </w:pPr>
      <w:r>
        <w:rPr>
          <w:rFonts w:eastAsiaTheme="minorHAnsi"/>
          <w:sz w:val="26"/>
        </w:rPr>
        <w:t>14.</w:t>
      </w:r>
      <w:r>
        <w:rPr>
          <w:rFonts w:eastAsiaTheme="minorHAnsi"/>
          <w:sz w:val="26"/>
        </w:rPr>
        <w:tab/>
        <w:t xml:space="preserve">Consolidate Cost </w:t>
      </w:r>
      <w:r w:rsidR="00D50E29">
        <w:rPr>
          <w:rFonts w:eastAsiaTheme="minorHAnsi"/>
          <w:sz w:val="26"/>
        </w:rPr>
        <w:t>Ca</w:t>
      </w:r>
      <w:r>
        <w:rPr>
          <w:rFonts w:eastAsiaTheme="minorHAnsi"/>
          <w:sz w:val="26"/>
        </w:rPr>
        <w:t>tegories in EE&amp;C Plan.</w:t>
      </w:r>
    </w:p>
    <w:p w:rsidR="00886939" w:rsidRDefault="00886939" w:rsidP="00886939">
      <w:pPr>
        <w:ind w:left="2160" w:right="1440" w:hanging="720"/>
        <w:rPr>
          <w:rFonts w:eastAsiaTheme="minorHAnsi"/>
          <w:sz w:val="26"/>
        </w:rPr>
      </w:pPr>
    </w:p>
    <w:p w:rsidR="00886939" w:rsidRPr="00886939" w:rsidRDefault="00886939" w:rsidP="00886939">
      <w:pPr>
        <w:ind w:left="2160" w:right="1440" w:hanging="720"/>
        <w:rPr>
          <w:rFonts w:eastAsiaTheme="minorHAnsi"/>
          <w:b/>
          <w:bCs/>
          <w:sz w:val="26"/>
        </w:rPr>
      </w:pPr>
      <w:r w:rsidRPr="00886939">
        <w:rPr>
          <w:rFonts w:eastAsiaTheme="minorHAnsi"/>
          <w:sz w:val="26"/>
        </w:rPr>
        <w:t xml:space="preserve">16.  </w:t>
      </w:r>
      <w:r w:rsidRPr="00886939">
        <w:rPr>
          <w:rFonts w:eastAsiaTheme="minorHAnsi"/>
          <w:sz w:val="26"/>
        </w:rPr>
        <w:tab/>
      </w:r>
      <w:r w:rsidRPr="00886939">
        <w:rPr>
          <w:rFonts w:eastAsiaTheme="minorHAnsi"/>
          <w:bCs/>
          <w:sz w:val="26"/>
        </w:rPr>
        <w:t xml:space="preserve">Transfer Funds from the Small C&amp;I Portion of the C&amp;I Custom Incentive Program to the Small C&amp;I Portion of the Efficient Equipment Incentive Program.  </w:t>
      </w:r>
    </w:p>
    <w:p w:rsidR="005D54BD" w:rsidRPr="005D54BD" w:rsidRDefault="005D54BD" w:rsidP="005D54BD">
      <w:pPr>
        <w:rPr>
          <w:rFonts w:eastAsiaTheme="minorHAnsi" w:cs="Mangal"/>
          <w:sz w:val="26"/>
          <w:szCs w:val="26"/>
        </w:rPr>
      </w:pPr>
    </w:p>
    <w:p w:rsidR="00886939" w:rsidRDefault="005D54BD" w:rsidP="00886939">
      <w:pPr>
        <w:ind w:left="2160" w:right="1440" w:hanging="720"/>
        <w:rPr>
          <w:rFonts w:eastAsiaTheme="minorHAnsi"/>
          <w:bCs/>
          <w:sz w:val="26"/>
        </w:rPr>
      </w:pPr>
      <w:r w:rsidRPr="005D54BD">
        <w:rPr>
          <w:rFonts w:eastAsiaTheme="minorHAnsi"/>
          <w:bCs/>
          <w:sz w:val="26"/>
        </w:rPr>
        <w:t xml:space="preserve">18.  </w:t>
      </w:r>
      <w:r w:rsidR="00886939">
        <w:rPr>
          <w:rFonts w:eastAsiaTheme="minorHAnsi"/>
          <w:bCs/>
          <w:sz w:val="26"/>
        </w:rPr>
        <w:tab/>
      </w:r>
      <w:r w:rsidRPr="005D54BD">
        <w:rPr>
          <w:rFonts w:eastAsiaTheme="minorHAnsi"/>
          <w:bCs/>
          <w:sz w:val="26"/>
        </w:rPr>
        <w:t xml:space="preserve">Reduce the Projected Costs of the Large </w:t>
      </w:r>
      <w:proofErr w:type="gramStart"/>
      <w:r w:rsidRPr="005D54BD">
        <w:rPr>
          <w:rFonts w:eastAsiaTheme="minorHAnsi"/>
          <w:bCs/>
          <w:sz w:val="26"/>
        </w:rPr>
        <w:t>C&amp;I</w:t>
      </w:r>
      <w:proofErr w:type="gramEnd"/>
      <w:r w:rsidRPr="005D54BD">
        <w:rPr>
          <w:rFonts w:eastAsiaTheme="minorHAnsi"/>
          <w:bCs/>
          <w:sz w:val="26"/>
        </w:rPr>
        <w:t xml:space="preserve"> Load Curtailment Program.</w:t>
      </w:r>
    </w:p>
    <w:p w:rsidR="005D54BD" w:rsidRPr="005D54BD" w:rsidRDefault="005D54BD" w:rsidP="00886939">
      <w:pPr>
        <w:ind w:left="2160" w:right="1440" w:hanging="720"/>
        <w:rPr>
          <w:rFonts w:eastAsiaTheme="minorHAnsi" w:cs="Mangal"/>
          <w:sz w:val="26"/>
          <w:szCs w:val="26"/>
        </w:rPr>
      </w:pPr>
      <w:r w:rsidRPr="005D54BD">
        <w:rPr>
          <w:rFonts w:eastAsiaTheme="minorHAnsi"/>
          <w:bCs/>
          <w:sz w:val="26"/>
        </w:rPr>
        <w:t xml:space="preserve"> </w:t>
      </w:r>
    </w:p>
    <w:p w:rsidR="005D54BD" w:rsidRPr="005D54BD" w:rsidRDefault="00886939" w:rsidP="00886939">
      <w:pPr>
        <w:keepNext/>
        <w:ind w:left="2160" w:right="1440" w:hanging="720"/>
        <w:rPr>
          <w:rFonts w:eastAsiaTheme="minorHAnsi" w:cs="Mangal"/>
          <w:sz w:val="26"/>
          <w:szCs w:val="26"/>
        </w:rPr>
      </w:pPr>
      <w:r w:rsidRPr="00886939">
        <w:rPr>
          <w:rFonts w:eastAsiaTheme="minorHAnsi" w:cs="Mangal"/>
          <w:sz w:val="26"/>
          <w:szCs w:val="26"/>
        </w:rPr>
        <w:t>1</w:t>
      </w:r>
      <w:r w:rsidR="005D54BD" w:rsidRPr="005D54BD">
        <w:rPr>
          <w:rFonts w:eastAsiaTheme="minorHAnsi" w:cs="Mangal"/>
          <w:sz w:val="26"/>
          <w:szCs w:val="26"/>
        </w:rPr>
        <w:t xml:space="preserve">9.  </w:t>
      </w:r>
      <w:r w:rsidRPr="00886939">
        <w:rPr>
          <w:rFonts w:eastAsiaTheme="minorHAnsi" w:cs="Mangal"/>
          <w:sz w:val="26"/>
          <w:szCs w:val="26"/>
        </w:rPr>
        <w:tab/>
      </w:r>
      <w:r w:rsidR="005D54BD" w:rsidRPr="005D54BD">
        <w:rPr>
          <w:rFonts w:eastAsiaTheme="minorHAnsi" w:cs="Mangal"/>
          <w:sz w:val="26"/>
          <w:szCs w:val="26"/>
        </w:rPr>
        <w:t xml:space="preserve">Re-forecast HVAC Tune-up and Revise Incentives.   </w:t>
      </w:r>
    </w:p>
    <w:p w:rsidR="005D54BD" w:rsidRPr="005D54BD" w:rsidRDefault="005D54BD" w:rsidP="00886939">
      <w:pPr>
        <w:ind w:left="2160" w:right="1440" w:hanging="720"/>
        <w:rPr>
          <w:rFonts w:eastAsiaTheme="minorHAnsi" w:cs="Mangal"/>
          <w:sz w:val="26"/>
          <w:szCs w:val="26"/>
        </w:rPr>
      </w:pPr>
    </w:p>
    <w:p w:rsidR="005D54BD" w:rsidRPr="005D54BD" w:rsidRDefault="005D54BD" w:rsidP="00886939">
      <w:pPr>
        <w:ind w:left="2160" w:right="1440" w:hanging="720"/>
        <w:rPr>
          <w:rFonts w:eastAsiaTheme="minorHAnsi" w:cs="Mangal"/>
          <w:sz w:val="26"/>
          <w:szCs w:val="26"/>
        </w:rPr>
      </w:pPr>
      <w:r w:rsidRPr="005D54BD">
        <w:rPr>
          <w:rFonts w:eastAsiaTheme="minorHAnsi" w:cs="Mangal"/>
          <w:sz w:val="26"/>
          <w:szCs w:val="26"/>
        </w:rPr>
        <w:t xml:space="preserve"> 35.  </w:t>
      </w:r>
      <w:r w:rsidR="00886939" w:rsidRPr="00886939">
        <w:rPr>
          <w:rFonts w:eastAsiaTheme="minorHAnsi" w:cs="Mangal"/>
          <w:sz w:val="26"/>
          <w:szCs w:val="26"/>
        </w:rPr>
        <w:tab/>
      </w:r>
      <w:r w:rsidR="0059739E">
        <w:rPr>
          <w:rFonts w:eastAsiaTheme="minorHAnsi" w:cs="Mangal"/>
          <w:sz w:val="26"/>
          <w:szCs w:val="26"/>
        </w:rPr>
        <w:t>Change P</w:t>
      </w:r>
      <w:r w:rsidRPr="005D54BD">
        <w:rPr>
          <w:rFonts w:eastAsiaTheme="minorHAnsi" w:cs="Mangal"/>
          <w:sz w:val="26"/>
          <w:szCs w:val="26"/>
        </w:rPr>
        <w:t xml:space="preserve">rojected Participation for Heat Pump Water Heaters.  </w:t>
      </w:r>
    </w:p>
    <w:p w:rsidR="005D54BD" w:rsidRPr="005D54BD" w:rsidRDefault="005D54BD" w:rsidP="00886939">
      <w:pPr>
        <w:ind w:left="2160" w:right="1440" w:hanging="720"/>
        <w:rPr>
          <w:rFonts w:eastAsiaTheme="minorHAnsi" w:cs="Mangal"/>
          <w:sz w:val="26"/>
          <w:szCs w:val="26"/>
        </w:rPr>
      </w:pPr>
    </w:p>
    <w:p w:rsidR="00886939" w:rsidRPr="00886939" w:rsidRDefault="005D54BD" w:rsidP="00886939">
      <w:pPr>
        <w:ind w:left="2160" w:right="1440" w:hanging="720"/>
        <w:rPr>
          <w:rFonts w:eastAsiaTheme="minorHAnsi" w:cs="Mangal"/>
          <w:sz w:val="26"/>
          <w:szCs w:val="26"/>
        </w:rPr>
      </w:pPr>
      <w:r w:rsidRPr="005D54BD">
        <w:rPr>
          <w:rFonts w:eastAsiaTheme="minorHAnsi" w:cs="Mangal"/>
          <w:sz w:val="26"/>
          <w:szCs w:val="26"/>
        </w:rPr>
        <w:lastRenderedPageBreak/>
        <w:t xml:space="preserve">36.  </w:t>
      </w:r>
      <w:r w:rsidR="00886939" w:rsidRPr="00886939">
        <w:rPr>
          <w:rFonts w:eastAsiaTheme="minorHAnsi" w:cs="Mangal"/>
          <w:sz w:val="26"/>
          <w:szCs w:val="26"/>
        </w:rPr>
        <w:tab/>
      </w:r>
      <w:r w:rsidRPr="005D54BD">
        <w:rPr>
          <w:rFonts w:eastAsiaTheme="minorHAnsi" w:cs="Mangal"/>
          <w:sz w:val="26"/>
          <w:szCs w:val="26"/>
        </w:rPr>
        <w:t xml:space="preserve">Change Rebate for </w:t>
      </w:r>
      <w:r w:rsidR="0059739E">
        <w:rPr>
          <w:rFonts w:eastAsiaTheme="minorHAnsi" w:cs="Mangal"/>
          <w:sz w:val="26"/>
          <w:szCs w:val="26"/>
        </w:rPr>
        <w:t xml:space="preserve">C&amp;I </w:t>
      </w:r>
      <w:r w:rsidRPr="005D54BD">
        <w:rPr>
          <w:rFonts w:eastAsiaTheme="minorHAnsi" w:cs="Mangal"/>
          <w:sz w:val="26"/>
          <w:szCs w:val="26"/>
        </w:rPr>
        <w:t xml:space="preserve">Custom Incentive </w:t>
      </w:r>
      <w:r w:rsidR="0059739E">
        <w:rPr>
          <w:rFonts w:eastAsiaTheme="minorHAnsi" w:cs="Mangal"/>
          <w:sz w:val="26"/>
          <w:szCs w:val="26"/>
        </w:rPr>
        <w:t xml:space="preserve">Program Technical Studies and Add Expiration Dates to Ensure Customers Can Implement the Project by May 2013. </w:t>
      </w:r>
      <w:r w:rsidRPr="005D54BD">
        <w:rPr>
          <w:rFonts w:eastAsiaTheme="minorHAnsi" w:cs="Mangal"/>
          <w:sz w:val="26"/>
          <w:szCs w:val="26"/>
        </w:rPr>
        <w:t xml:space="preserve"> </w:t>
      </w:r>
      <w:r w:rsidRPr="005D54BD">
        <w:rPr>
          <w:rFonts w:eastAsiaTheme="minorHAnsi" w:cs="Mangal"/>
          <w:sz w:val="26"/>
          <w:szCs w:val="26"/>
        </w:rPr>
        <w:br/>
      </w:r>
    </w:p>
    <w:p w:rsidR="005D54BD" w:rsidRPr="005D54BD" w:rsidRDefault="005D54BD" w:rsidP="00886939">
      <w:pPr>
        <w:ind w:left="2160" w:right="1440" w:hanging="720"/>
        <w:rPr>
          <w:rFonts w:eastAsiaTheme="minorHAnsi" w:cs="Mangal"/>
          <w:sz w:val="26"/>
          <w:szCs w:val="26"/>
        </w:rPr>
      </w:pPr>
      <w:r w:rsidRPr="005D54BD">
        <w:rPr>
          <w:rFonts w:eastAsiaTheme="minorHAnsi" w:cs="Mangal"/>
          <w:sz w:val="26"/>
          <w:szCs w:val="26"/>
        </w:rPr>
        <w:t xml:space="preserve">55.  </w:t>
      </w:r>
      <w:r w:rsidR="00886939" w:rsidRPr="00886939">
        <w:rPr>
          <w:rFonts w:eastAsiaTheme="minorHAnsi" w:cs="Mangal"/>
          <w:sz w:val="26"/>
          <w:szCs w:val="26"/>
        </w:rPr>
        <w:tab/>
      </w:r>
      <w:r w:rsidRPr="005D54BD">
        <w:rPr>
          <w:rFonts w:eastAsiaTheme="minorHAnsi" w:cs="Mangal"/>
          <w:sz w:val="26"/>
          <w:szCs w:val="26"/>
        </w:rPr>
        <w:t xml:space="preserve">Add a Small C&amp;I Direct Install Option to the Efficient Equipment Incentive Program.  </w:t>
      </w:r>
    </w:p>
    <w:p w:rsidR="005D54BD" w:rsidRPr="005D54BD" w:rsidRDefault="005D54BD" w:rsidP="005D54BD">
      <w:pPr>
        <w:keepNext/>
        <w:rPr>
          <w:rFonts w:eastAsiaTheme="minorHAnsi" w:cs="Mangal"/>
          <w:sz w:val="26"/>
          <w:szCs w:val="26"/>
        </w:rPr>
      </w:pPr>
    </w:p>
    <w:p w:rsidR="00104AC6" w:rsidRDefault="00104AC6" w:rsidP="00886939">
      <w:pPr>
        <w:jc w:val="center"/>
        <w:rPr>
          <w:rFonts w:eastAsiaTheme="minorHAnsi" w:cs="Mangal"/>
          <w:b/>
          <w:sz w:val="26"/>
          <w:szCs w:val="26"/>
          <w:u w:val="single"/>
        </w:rPr>
      </w:pPr>
    </w:p>
    <w:p w:rsidR="005D54BD" w:rsidRPr="005D54BD" w:rsidRDefault="005D54BD" w:rsidP="00886939">
      <w:pPr>
        <w:jc w:val="center"/>
        <w:rPr>
          <w:rFonts w:eastAsiaTheme="minorHAnsi" w:cs="Mangal"/>
          <w:b/>
          <w:sz w:val="26"/>
          <w:szCs w:val="26"/>
          <w:u w:val="single"/>
        </w:rPr>
      </w:pPr>
      <w:r w:rsidRPr="005D54BD">
        <w:rPr>
          <w:rFonts w:eastAsiaTheme="minorHAnsi" w:cs="Mangal"/>
          <w:b/>
          <w:sz w:val="26"/>
          <w:szCs w:val="26"/>
          <w:u w:val="single"/>
        </w:rPr>
        <w:t xml:space="preserve">Non-Minor </w:t>
      </w:r>
      <w:r w:rsidR="00492E25">
        <w:rPr>
          <w:rFonts w:eastAsiaTheme="minorHAnsi" w:cs="Mangal"/>
          <w:b/>
          <w:sz w:val="26"/>
          <w:szCs w:val="26"/>
          <w:u w:val="single"/>
        </w:rPr>
        <w:t>Modification</w:t>
      </w:r>
      <w:r w:rsidRPr="005D54BD">
        <w:rPr>
          <w:rFonts w:eastAsiaTheme="minorHAnsi" w:cs="Mangal"/>
          <w:b/>
          <w:sz w:val="26"/>
          <w:szCs w:val="26"/>
          <w:u w:val="single"/>
        </w:rPr>
        <w:t>s</w:t>
      </w:r>
    </w:p>
    <w:p w:rsidR="00360086" w:rsidRPr="005D54BD" w:rsidRDefault="00360086" w:rsidP="005D54BD">
      <w:pPr>
        <w:rPr>
          <w:rFonts w:eastAsiaTheme="minorHAnsi" w:cs="Mangal"/>
          <w:b/>
          <w:sz w:val="28"/>
          <w:szCs w:val="28"/>
        </w:rPr>
      </w:pPr>
    </w:p>
    <w:p w:rsidR="005D54BD" w:rsidRPr="005D54BD" w:rsidRDefault="005D54BD" w:rsidP="00360086">
      <w:pPr>
        <w:ind w:left="2160" w:right="1440" w:hanging="720"/>
        <w:rPr>
          <w:rFonts w:eastAsiaTheme="minorHAnsi" w:cs="Mangal"/>
          <w:sz w:val="26"/>
          <w:szCs w:val="26"/>
        </w:rPr>
      </w:pPr>
      <w:r w:rsidRPr="005D54BD">
        <w:rPr>
          <w:rFonts w:eastAsiaTheme="minorHAnsi" w:cs="Mangal"/>
          <w:sz w:val="26"/>
          <w:szCs w:val="26"/>
        </w:rPr>
        <w:t xml:space="preserve">2. </w:t>
      </w:r>
      <w:r w:rsidR="00360086">
        <w:rPr>
          <w:rFonts w:eastAsiaTheme="minorHAnsi" w:cs="Mangal"/>
          <w:sz w:val="26"/>
          <w:szCs w:val="26"/>
        </w:rPr>
        <w:tab/>
      </w:r>
      <w:r w:rsidRPr="005D54BD">
        <w:rPr>
          <w:rFonts w:eastAsiaTheme="minorHAnsi" w:cs="Mangal"/>
          <w:sz w:val="26"/>
          <w:szCs w:val="26"/>
        </w:rPr>
        <w:t xml:space="preserve">Elimination of </w:t>
      </w:r>
      <w:r w:rsidR="00360086">
        <w:rPr>
          <w:rFonts w:eastAsiaTheme="minorHAnsi" w:cs="Mangal"/>
          <w:sz w:val="26"/>
          <w:szCs w:val="26"/>
        </w:rPr>
        <w:t xml:space="preserve">the </w:t>
      </w:r>
      <w:r w:rsidRPr="005D54BD">
        <w:rPr>
          <w:rFonts w:eastAsiaTheme="minorHAnsi" w:cs="Mangal"/>
          <w:sz w:val="26"/>
          <w:szCs w:val="26"/>
        </w:rPr>
        <w:t xml:space="preserve">New Home Program.  </w:t>
      </w:r>
    </w:p>
    <w:p w:rsidR="005D54BD" w:rsidRPr="005D54BD" w:rsidRDefault="005D54BD" w:rsidP="00360086">
      <w:pPr>
        <w:ind w:left="2160" w:right="1440" w:hanging="720"/>
        <w:rPr>
          <w:rFonts w:eastAsiaTheme="minorHAnsi" w:cs="Mangal"/>
          <w:sz w:val="26"/>
          <w:szCs w:val="26"/>
        </w:rPr>
      </w:pPr>
    </w:p>
    <w:p w:rsidR="00360086" w:rsidRDefault="005D54BD" w:rsidP="00360086">
      <w:pPr>
        <w:keepNext/>
        <w:ind w:left="2160" w:right="1440" w:hanging="720"/>
        <w:rPr>
          <w:rFonts w:eastAsiaTheme="minorHAnsi" w:cs="Mangal"/>
          <w:sz w:val="26"/>
          <w:szCs w:val="26"/>
        </w:rPr>
      </w:pPr>
      <w:r w:rsidRPr="005D54BD">
        <w:rPr>
          <w:rFonts w:eastAsiaTheme="minorHAnsi" w:cs="Mangal"/>
          <w:sz w:val="26"/>
          <w:szCs w:val="26"/>
        </w:rPr>
        <w:t xml:space="preserve">3.  </w:t>
      </w:r>
      <w:r w:rsidR="00360086">
        <w:rPr>
          <w:rFonts w:eastAsiaTheme="minorHAnsi" w:cs="Mangal"/>
          <w:sz w:val="26"/>
          <w:szCs w:val="26"/>
        </w:rPr>
        <w:tab/>
      </w:r>
      <w:r w:rsidRPr="005D54BD">
        <w:rPr>
          <w:rFonts w:eastAsiaTheme="minorHAnsi" w:cs="Mangal"/>
          <w:sz w:val="26"/>
          <w:szCs w:val="26"/>
        </w:rPr>
        <w:t>The Addition of a CSP for the C&amp;I and Institutional Portion of Efficient Equipment Incentive and Custom Incentive Program</w:t>
      </w:r>
      <w:r w:rsidR="00360086">
        <w:rPr>
          <w:rFonts w:eastAsiaTheme="minorHAnsi" w:cs="Mangal"/>
          <w:sz w:val="26"/>
          <w:szCs w:val="26"/>
        </w:rPr>
        <w:t>s</w:t>
      </w:r>
      <w:r w:rsidRPr="005D54BD">
        <w:rPr>
          <w:rFonts w:eastAsiaTheme="minorHAnsi" w:cs="Mangal"/>
          <w:sz w:val="26"/>
          <w:szCs w:val="26"/>
        </w:rPr>
        <w:t xml:space="preserve">. </w:t>
      </w:r>
    </w:p>
    <w:p w:rsidR="005D54BD" w:rsidRPr="005D54BD" w:rsidRDefault="005D54BD" w:rsidP="00360086">
      <w:pPr>
        <w:keepNext/>
        <w:ind w:left="2160" w:right="1440" w:hanging="720"/>
        <w:rPr>
          <w:rFonts w:eastAsiaTheme="minorHAnsi" w:cs="Mangal"/>
          <w:sz w:val="26"/>
          <w:szCs w:val="26"/>
        </w:rPr>
      </w:pPr>
      <w:r w:rsidRPr="005D54BD">
        <w:rPr>
          <w:rFonts w:eastAsiaTheme="minorHAnsi" w:cs="Mangal"/>
          <w:sz w:val="26"/>
          <w:szCs w:val="26"/>
        </w:rPr>
        <w:t xml:space="preserve"> </w:t>
      </w:r>
    </w:p>
    <w:p w:rsidR="005D54BD" w:rsidRDefault="005D54BD" w:rsidP="00360086">
      <w:pPr>
        <w:ind w:left="2160" w:right="1440" w:hanging="720"/>
        <w:rPr>
          <w:rFonts w:eastAsiaTheme="minorHAnsi" w:cs="Mangal"/>
          <w:sz w:val="26"/>
          <w:szCs w:val="26"/>
        </w:rPr>
      </w:pPr>
      <w:r w:rsidRPr="005D54BD">
        <w:rPr>
          <w:rFonts w:eastAsiaTheme="minorHAnsi" w:cs="Mangal"/>
          <w:sz w:val="26"/>
          <w:szCs w:val="26"/>
        </w:rPr>
        <w:t xml:space="preserve">4. </w:t>
      </w:r>
      <w:r w:rsidR="00360086">
        <w:rPr>
          <w:rFonts w:eastAsiaTheme="minorHAnsi" w:cs="Mangal"/>
          <w:sz w:val="26"/>
          <w:szCs w:val="26"/>
        </w:rPr>
        <w:tab/>
      </w:r>
      <w:r w:rsidRPr="005D54BD">
        <w:rPr>
          <w:rFonts w:eastAsiaTheme="minorHAnsi" w:cs="Mangal"/>
          <w:sz w:val="26"/>
          <w:szCs w:val="26"/>
        </w:rPr>
        <w:t xml:space="preserve">Adjustments to the Estimated Common Costs.  </w:t>
      </w:r>
    </w:p>
    <w:p w:rsidR="00360086" w:rsidRPr="005D54BD" w:rsidRDefault="00360086" w:rsidP="00360086">
      <w:pPr>
        <w:ind w:left="2160" w:right="1440" w:hanging="720"/>
        <w:rPr>
          <w:rFonts w:eastAsiaTheme="minorHAnsi" w:cs="Mangal"/>
          <w:sz w:val="26"/>
          <w:szCs w:val="26"/>
        </w:rPr>
      </w:pPr>
    </w:p>
    <w:p w:rsidR="005D54BD" w:rsidRPr="005D54BD" w:rsidRDefault="005D54BD" w:rsidP="00360086">
      <w:pPr>
        <w:ind w:left="2160" w:right="1440" w:hanging="720"/>
        <w:rPr>
          <w:rFonts w:eastAsiaTheme="minorHAnsi" w:cs="Mangal"/>
          <w:sz w:val="26"/>
          <w:szCs w:val="26"/>
        </w:rPr>
      </w:pPr>
      <w:r w:rsidRPr="005D54BD">
        <w:rPr>
          <w:rFonts w:eastAsiaTheme="minorHAnsi" w:cs="Mangal"/>
          <w:sz w:val="26"/>
          <w:szCs w:val="26"/>
        </w:rPr>
        <w:t xml:space="preserve">5. </w:t>
      </w:r>
      <w:r w:rsidR="00360086">
        <w:rPr>
          <w:rFonts w:eastAsiaTheme="minorHAnsi" w:cs="Mangal"/>
          <w:sz w:val="26"/>
          <w:szCs w:val="26"/>
        </w:rPr>
        <w:tab/>
      </w:r>
      <w:r w:rsidRPr="005D54BD">
        <w:rPr>
          <w:rFonts w:eastAsiaTheme="minorHAnsi" w:cs="Mangal"/>
          <w:sz w:val="26"/>
          <w:szCs w:val="26"/>
        </w:rPr>
        <w:t xml:space="preserve">Increase in the Projected Cost of the Direct Load Control Program.  </w:t>
      </w:r>
      <w:r w:rsidRPr="005D54BD">
        <w:rPr>
          <w:rFonts w:eastAsiaTheme="minorHAnsi" w:cs="Mangal"/>
          <w:sz w:val="26"/>
          <w:szCs w:val="26"/>
        </w:rPr>
        <w:br/>
      </w:r>
    </w:p>
    <w:p w:rsidR="005D54BD" w:rsidRPr="005D54BD" w:rsidRDefault="001E42D6" w:rsidP="00360086">
      <w:pPr>
        <w:ind w:firstLine="1440"/>
        <w:rPr>
          <w:rFonts w:eastAsiaTheme="minorHAnsi" w:cs="Mangal"/>
          <w:sz w:val="26"/>
          <w:szCs w:val="26"/>
        </w:rPr>
      </w:pPr>
      <w:r>
        <w:rPr>
          <w:rFonts w:eastAsiaTheme="minorHAnsi" w:cs="Mangal"/>
          <w:sz w:val="26"/>
          <w:szCs w:val="26"/>
        </w:rPr>
        <w:t xml:space="preserve">Second, the proceedings shall </w:t>
      </w:r>
      <w:r w:rsidR="00360086">
        <w:rPr>
          <w:rFonts w:eastAsiaTheme="minorHAnsi" w:cs="Mangal"/>
          <w:sz w:val="26"/>
          <w:szCs w:val="26"/>
        </w:rPr>
        <w:t xml:space="preserve">address SEF’s proposal to add an “on-bill financing program” for </w:t>
      </w:r>
      <w:r w:rsidR="00402651">
        <w:rPr>
          <w:rFonts w:eastAsiaTheme="minorHAnsi" w:cs="Mangal"/>
          <w:sz w:val="26"/>
          <w:szCs w:val="26"/>
        </w:rPr>
        <w:t xml:space="preserve">small commercial and industrial customers, </w:t>
      </w:r>
      <w:r w:rsidR="00360086">
        <w:rPr>
          <w:rFonts w:eastAsiaTheme="minorHAnsi" w:cs="Mangal"/>
          <w:sz w:val="26"/>
          <w:szCs w:val="26"/>
        </w:rPr>
        <w:t xml:space="preserve">as described in </w:t>
      </w:r>
      <w:r w:rsidR="00402651">
        <w:rPr>
          <w:rFonts w:eastAsiaTheme="minorHAnsi" w:cs="Mangal"/>
          <w:sz w:val="26"/>
          <w:szCs w:val="26"/>
        </w:rPr>
        <w:t>SEF’s</w:t>
      </w:r>
      <w:r w:rsidR="00360086">
        <w:rPr>
          <w:rFonts w:eastAsiaTheme="minorHAnsi" w:cs="Mangal"/>
          <w:sz w:val="26"/>
          <w:szCs w:val="26"/>
        </w:rPr>
        <w:t xml:space="preserve"> Comments at 15-16.   </w:t>
      </w:r>
    </w:p>
    <w:p w:rsidR="00707F3E" w:rsidRDefault="00707F3E" w:rsidP="001C7DFE">
      <w:pPr>
        <w:ind w:firstLine="1440"/>
        <w:rPr>
          <w:sz w:val="24"/>
          <w:szCs w:val="24"/>
        </w:rPr>
      </w:pPr>
    </w:p>
    <w:p w:rsidR="007C3A75" w:rsidRPr="00402651" w:rsidRDefault="00166AC1" w:rsidP="001C7DFE">
      <w:pPr>
        <w:ind w:firstLine="1440"/>
        <w:rPr>
          <w:sz w:val="26"/>
          <w:szCs w:val="26"/>
        </w:rPr>
      </w:pPr>
      <w:r w:rsidRPr="00402651">
        <w:rPr>
          <w:sz w:val="26"/>
          <w:szCs w:val="26"/>
        </w:rPr>
        <w:t>Any Party</w:t>
      </w:r>
      <w:r w:rsidR="00707F3E" w:rsidRPr="00402651">
        <w:rPr>
          <w:sz w:val="26"/>
          <w:szCs w:val="26"/>
        </w:rPr>
        <w:t xml:space="preserve"> having </w:t>
      </w:r>
      <w:r w:rsidRPr="00402651">
        <w:rPr>
          <w:sz w:val="26"/>
          <w:szCs w:val="26"/>
        </w:rPr>
        <w:t xml:space="preserve">questions </w:t>
      </w:r>
      <w:r w:rsidR="00707F3E" w:rsidRPr="00402651">
        <w:rPr>
          <w:sz w:val="26"/>
          <w:szCs w:val="26"/>
        </w:rPr>
        <w:t xml:space="preserve">about this matter </w:t>
      </w:r>
      <w:r w:rsidRPr="00402651">
        <w:rPr>
          <w:sz w:val="26"/>
          <w:szCs w:val="26"/>
        </w:rPr>
        <w:t xml:space="preserve">may contact Jonathan Nase in the Office of Special Assistants at (717) 787-3490 or </w:t>
      </w:r>
      <w:hyperlink r:id="rId13" w:history="1">
        <w:r w:rsidR="009B31FF" w:rsidRPr="009B31FF">
          <w:rPr>
            <w:rStyle w:val="Hyperlink"/>
            <w:sz w:val="26"/>
            <w:szCs w:val="26"/>
          </w:rPr>
          <w:t>jnase@</w:t>
        </w:r>
      </w:hyperlink>
      <w:r w:rsidR="009B31FF">
        <w:rPr>
          <w:rStyle w:val="Hyperlink"/>
          <w:sz w:val="26"/>
          <w:szCs w:val="26"/>
        </w:rPr>
        <w:t>pa.gov</w:t>
      </w:r>
      <w:r w:rsidRPr="00402651">
        <w:rPr>
          <w:sz w:val="26"/>
          <w:szCs w:val="26"/>
        </w:rPr>
        <w:t>.</w:t>
      </w:r>
      <w:r w:rsidR="00707F3E" w:rsidRPr="00402651">
        <w:rPr>
          <w:sz w:val="26"/>
          <w:szCs w:val="26"/>
        </w:rPr>
        <w:t xml:space="preserve">  </w:t>
      </w:r>
      <w:r w:rsidR="005B4696" w:rsidRPr="00402651">
        <w:rPr>
          <w:sz w:val="26"/>
          <w:szCs w:val="26"/>
        </w:rPr>
        <w:t xml:space="preserve"> </w:t>
      </w:r>
      <w:r w:rsidR="00C77DCA" w:rsidRPr="00402651">
        <w:rPr>
          <w:sz w:val="26"/>
          <w:szCs w:val="26"/>
        </w:rPr>
        <w:t xml:space="preserve"> </w:t>
      </w:r>
      <w:r w:rsidR="001C7DFE" w:rsidRPr="00402651">
        <w:rPr>
          <w:sz w:val="26"/>
          <w:szCs w:val="26"/>
        </w:rPr>
        <w:t xml:space="preserve">  </w:t>
      </w:r>
    </w:p>
    <w:p w:rsidR="004D2698" w:rsidRPr="00402651" w:rsidRDefault="00C77F29" w:rsidP="00BE4A72">
      <w:pPr>
        <w:rPr>
          <w:sz w:val="26"/>
          <w:szCs w:val="26"/>
        </w:rPr>
      </w:pPr>
      <w:r w:rsidRPr="00402651">
        <w:rPr>
          <w:sz w:val="26"/>
          <w:szCs w:val="26"/>
        </w:rPr>
        <w:t xml:space="preserve">  </w:t>
      </w:r>
    </w:p>
    <w:p w:rsidR="009011B1" w:rsidRDefault="00CC610C" w:rsidP="00BE4A72">
      <w:pPr>
        <w:ind w:left="3600"/>
        <w:rPr>
          <w:sz w:val="26"/>
          <w:szCs w:val="26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60A7A59D" wp14:editId="1A895F84">
            <wp:simplePos x="0" y="0"/>
            <wp:positionH relativeFrom="column">
              <wp:posOffset>2320290</wp:posOffset>
            </wp:positionH>
            <wp:positionV relativeFrom="paragraph">
              <wp:posOffset>132715</wp:posOffset>
            </wp:positionV>
            <wp:extent cx="2200275" cy="838200"/>
            <wp:effectExtent l="0" t="0" r="9525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BE4A72" w:rsidRPr="00402651">
        <w:rPr>
          <w:sz w:val="26"/>
          <w:szCs w:val="26"/>
        </w:rPr>
        <w:tab/>
      </w:r>
    </w:p>
    <w:p w:rsidR="00BE4A72" w:rsidRPr="00402651" w:rsidRDefault="00BE4A72" w:rsidP="009011B1">
      <w:pPr>
        <w:ind w:left="3600" w:firstLine="720"/>
        <w:rPr>
          <w:sz w:val="26"/>
          <w:szCs w:val="26"/>
        </w:rPr>
      </w:pPr>
      <w:r w:rsidRPr="00402651">
        <w:rPr>
          <w:sz w:val="26"/>
          <w:szCs w:val="26"/>
        </w:rPr>
        <w:t>Sincerely,</w:t>
      </w:r>
    </w:p>
    <w:p w:rsidR="00BE4A72" w:rsidRPr="00402651" w:rsidRDefault="00BE4A72" w:rsidP="00BE4A72">
      <w:pPr>
        <w:ind w:left="3600"/>
        <w:rPr>
          <w:sz w:val="26"/>
          <w:szCs w:val="26"/>
        </w:rPr>
      </w:pPr>
    </w:p>
    <w:p w:rsidR="00BE4A72" w:rsidRPr="00402651" w:rsidRDefault="00BE4A72" w:rsidP="00BE4A72">
      <w:pPr>
        <w:ind w:left="3600"/>
        <w:rPr>
          <w:sz w:val="26"/>
          <w:szCs w:val="26"/>
        </w:rPr>
      </w:pPr>
    </w:p>
    <w:p w:rsidR="005C6561" w:rsidRPr="00402651" w:rsidRDefault="00C77F29" w:rsidP="00707F3E">
      <w:pPr>
        <w:ind w:left="3600"/>
        <w:jc w:val="both"/>
        <w:rPr>
          <w:sz w:val="26"/>
          <w:szCs w:val="26"/>
        </w:rPr>
      </w:pPr>
      <w:r w:rsidRPr="00402651">
        <w:rPr>
          <w:sz w:val="26"/>
          <w:szCs w:val="26"/>
        </w:rPr>
        <w:tab/>
      </w:r>
      <w:r w:rsidR="005C6561" w:rsidRPr="00402651">
        <w:rPr>
          <w:color w:val="000000"/>
          <w:sz w:val="26"/>
          <w:szCs w:val="26"/>
        </w:rPr>
        <w:t xml:space="preserve">Rosemary Chiavetta </w:t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  <w:t>Secretary</w:t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</w:r>
      <w:r w:rsidR="005C6561" w:rsidRPr="00402651">
        <w:rPr>
          <w:sz w:val="26"/>
          <w:szCs w:val="26"/>
        </w:rPr>
        <w:tab/>
      </w:r>
    </w:p>
    <w:sectPr w:rsidR="005C6561" w:rsidRPr="00402651" w:rsidSect="004422C9">
      <w:footerReference w:type="even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D3" w:rsidRDefault="00CB6ED3">
      <w:r>
        <w:separator/>
      </w:r>
    </w:p>
  </w:endnote>
  <w:endnote w:type="continuationSeparator" w:id="0">
    <w:p w:rsidR="00CB6ED3" w:rsidRDefault="00CB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EC" w:rsidRDefault="00E51A2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EC" w:rsidRDefault="00E51A2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0EC" w:rsidRDefault="00E51A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332085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B31FF" w:rsidRPr="00FD6E23" w:rsidRDefault="009B31FF">
        <w:pPr>
          <w:pStyle w:val="Footer"/>
          <w:jc w:val="center"/>
          <w:rPr>
            <w:sz w:val="26"/>
            <w:szCs w:val="26"/>
          </w:rPr>
        </w:pPr>
        <w:r w:rsidRPr="00FD6E23">
          <w:rPr>
            <w:sz w:val="26"/>
            <w:szCs w:val="26"/>
          </w:rPr>
          <w:fldChar w:fldCharType="begin"/>
        </w:r>
        <w:r w:rsidRPr="00FD6E23">
          <w:rPr>
            <w:sz w:val="26"/>
            <w:szCs w:val="26"/>
          </w:rPr>
          <w:instrText xml:space="preserve"> PAGE   \* MERGEFORMAT </w:instrText>
        </w:r>
        <w:r w:rsidRPr="00FD6E23">
          <w:rPr>
            <w:sz w:val="26"/>
            <w:szCs w:val="26"/>
          </w:rPr>
          <w:fldChar w:fldCharType="separate"/>
        </w:r>
        <w:r w:rsidR="00CC610C">
          <w:rPr>
            <w:noProof/>
            <w:sz w:val="26"/>
            <w:szCs w:val="26"/>
          </w:rPr>
          <w:t>3</w:t>
        </w:r>
        <w:r w:rsidRPr="00FD6E23">
          <w:rPr>
            <w:noProof/>
            <w:sz w:val="26"/>
            <w:szCs w:val="26"/>
          </w:rPr>
          <w:fldChar w:fldCharType="end"/>
        </w:r>
      </w:p>
    </w:sdtContent>
  </w:sdt>
  <w:p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D3" w:rsidRDefault="00CB6ED3">
      <w:r>
        <w:separator/>
      </w:r>
    </w:p>
  </w:footnote>
  <w:footnote w:type="continuationSeparator" w:id="0">
    <w:p w:rsidR="00CB6ED3" w:rsidRDefault="00CB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1611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B31FF" w:rsidRDefault="009B31F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31FF" w:rsidRDefault="009B31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3A4E"/>
    <w:rsid w:val="0002706C"/>
    <w:rsid w:val="0007052C"/>
    <w:rsid w:val="000B2B00"/>
    <w:rsid w:val="000C0C7F"/>
    <w:rsid w:val="000C7F7A"/>
    <w:rsid w:val="000E3B78"/>
    <w:rsid w:val="00104AC6"/>
    <w:rsid w:val="001055DD"/>
    <w:rsid w:val="00107F5F"/>
    <w:rsid w:val="001176C2"/>
    <w:rsid w:val="001209F1"/>
    <w:rsid w:val="00131C40"/>
    <w:rsid w:val="00133C0F"/>
    <w:rsid w:val="00142AF6"/>
    <w:rsid w:val="0015371B"/>
    <w:rsid w:val="001540BA"/>
    <w:rsid w:val="00166AC1"/>
    <w:rsid w:val="00167664"/>
    <w:rsid w:val="00171E64"/>
    <w:rsid w:val="00180BAA"/>
    <w:rsid w:val="00190837"/>
    <w:rsid w:val="001A0CA5"/>
    <w:rsid w:val="001B4E50"/>
    <w:rsid w:val="001B758F"/>
    <w:rsid w:val="001C7DFE"/>
    <w:rsid w:val="001E1BF3"/>
    <w:rsid w:val="001E42D6"/>
    <w:rsid w:val="001E7047"/>
    <w:rsid w:val="001F22DF"/>
    <w:rsid w:val="00204B82"/>
    <w:rsid w:val="002229C3"/>
    <w:rsid w:val="0023689D"/>
    <w:rsid w:val="0025139E"/>
    <w:rsid w:val="002755CB"/>
    <w:rsid w:val="00282731"/>
    <w:rsid w:val="0029471C"/>
    <w:rsid w:val="002F0138"/>
    <w:rsid w:val="002F443E"/>
    <w:rsid w:val="0030651D"/>
    <w:rsid w:val="00331E7F"/>
    <w:rsid w:val="0034289A"/>
    <w:rsid w:val="003558C3"/>
    <w:rsid w:val="003569E8"/>
    <w:rsid w:val="00356C5D"/>
    <w:rsid w:val="00360086"/>
    <w:rsid w:val="003626F3"/>
    <w:rsid w:val="00363CC5"/>
    <w:rsid w:val="003872E4"/>
    <w:rsid w:val="00392790"/>
    <w:rsid w:val="003D01E6"/>
    <w:rsid w:val="003D1D38"/>
    <w:rsid w:val="0040171A"/>
    <w:rsid w:val="00402651"/>
    <w:rsid w:val="004422C9"/>
    <w:rsid w:val="0044773F"/>
    <w:rsid w:val="00451C0E"/>
    <w:rsid w:val="0045381E"/>
    <w:rsid w:val="00453B8B"/>
    <w:rsid w:val="00482676"/>
    <w:rsid w:val="00492E25"/>
    <w:rsid w:val="0049706D"/>
    <w:rsid w:val="004A609C"/>
    <w:rsid w:val="004C084A"/>
    <w:rsid w:val="004D2698"/>
    <w:rsid w:val="004E0E80"/>
    <w:rsid w:val="00504873"/>
    <w:rsid w:val="0051639C"/>
    <w:rsid w:val="00525681"/>
    <w:rsid w:val="00527A2A"/>
    <w:rsid w:val="005372E4"/>
    <w:rsid w:val="005748D5"/>
    <w:rsid w:val="00574A9E"/>
    <w:rsid w:val="005939D2"/>
    <w:rsid w:val="00595468"/>
    <w:rsid w:val="0059739E"/>
    <w:rsid w:val="005B4696"/>
    <w:rsid w:val="005C6561"/>
    <w:rsid w:val="005D54BD"/>
    <w:rsid w:val="005E25C5"/>
    <w:rsid w:val="00633A08"/>
    <w:rsid w:val="00643C76"/>
    <w:rsid w:val="0067110D"/>
    <w:rsid w:val="006755C0"/>
    <w:rsid w:val="006B4577"/>
    <w:rsid w:val="006D0154"/>
    <w:rsid w:val="006D3697"/>
    <w:rsid w:val="00704308"/>
    <w:rsid w:val="00707F3E"/>
    <w:rsid w:val="00712678"/>
    <w:rsid w:val="007521F0"/>
    <w:rsid w:val="007617B1"/>
    <w:rsid w:val="007724AE"/>
    <w:rsid w:val="00782052"/>
    <w:rsid w:val="007A786D"/>
    <w:rsid w:val="007C3A75"/>
    <w:rsid w:val="007C497E"/>
    <w:rsid w:val="007D4E28"/>
    <w:rsid w:val="007E248C"/>
    <w:rsid w:val="007E6D1C"/>
    <w:rsid w:val="00843AB6"/>
    <w:rsid w:val="00874EC2"/>
    <w:rsid w:val="00886939"/>
    <w:rsid w:val="0089350A"/>
    <w:rsid w:val="00894FF9"/>
    <w:rsid w:val="00897E1C"/>
    <w:rsid w:val="008E7595"/>
    <w:rsid w:val="009011B1"/>
    <w:rsid w:val="009147F8"/>
    <w:rsid w:val="00914A4A"/>
    <w:rsid w:val="00961BCA"/>
    <w:rsid w:val="009B23D8"/>
    <w:rsid w:val="009B31FF"/>
    <w:rsid w:val="009B51EB"/>
    <w:rsid w:val="009E40EC"/>
    <w:rsid w:val="009E5D90"/>
    <w:rsid w:val="009E7520"/>
    <w:rsid w:val="009F5F66"/>
    <w:rsid w:val="00A205AF"/>
    <w:rsid w:val="00A25085"/>
    <w:rsid w:val="00A31B01"/>
    <w:rsid w:val="00A50D88"/>
    <w:rsid w:val="00A95CEA"/>
    <w:rsid w:val="00AA200F"/>
    <w:rsid w:val="00B2209E"/>
    <w:rsid w:val="00B644AB"/>
    <w:rsid w:val="00B92745"/>
    <w:rsid w:val="00BA3CDC"/>
    <w:rsid w:val="00BA444D"/>
    <w:rsid w:val="00BD1405"/>
    <w:rsid w:val="00BE13FF"/>
    <w:rsid w:val="00BE4A72"/>
    <w:rsid w:val="00BE5119"/>
    <w:rsid w:val="00BF4868"/>
    <w:rsid w:val="00BF52B0"/>
    <w:rsid w:val="00C11607"/>
    <w:rsid w:val="00C30B4E"/>
    <w:rsid w:val="00C37DB9"/>
    <w:rsid w:val="00C74A51"/>
    <w:rsid w:val="00C77DCA"/>
    <w:rsid w:val="00C77F29"/>
    <w:rsid w:val="00C82E7B"/>
    <w:rsid w:val="00C90506"/>
    <w:rsid w:val="00CB476A"/>
    <w:rsid w:val="00CB5738"/>
    <w:rsid w:val="00CB6ED3"/>
    <w:rsid w:val="00CC1A5A"/>
    <w:rsid w:val="00CC610C"/>
    <w:rsid w:val="00CF047C"/>
    <w:rsid w:val="00D50E29"/>
    <w:rsid w:val="00D65C94"/>
    <w:rsid w:val="00D76315"/>
    <w:rsid w:val="00D878A9"/>
    <w:rsid w:val="00D92E06"/>
    <w:rsid w:val="00D97295"/>
    <w:rsid w:val="00DE7F43"/>
    <w:rsid w:val="00E07C84"/>
    <w:rsid w:val="00E349DA"/>
    <w:rsid w:val="00E51A2C"/>
    <w:rsid w:val="00E96C23"/>
    <w:rsid w:val="00EA1721"/>
    <w:rsid w:val="00EA6E61"/>
    <w:rsid w:val="00EF623C"/>
    <w:rsid w:val="00F032F0"/>
    <w:rsid w:val="00F04214"/>
    <w:rsid w:val="00F119E7"/>
    <w:rsid w:val="00F3213C"/>
    <w:rsid w:val="00F531C5"/>
    <w:rsid w:val="00F6767A"/>
    <w:rsid w:val="00F7094C"/>
    <w:rsid w:val="00FA0E37"/>
    <w:rsid w:val="00FB5B27"/>
    <w:rsid w:val="00FC0647"/>
    <w:rsid w:val="00FC50BC"/>
    <w:rsid w:val="00FD167D"/>
    <w:rsid w:val="00FD6E23"/>
    <w:rsid w:val="00FE78D0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54BD"/>
    <w:pPr>
      <w:ind w:firstLine="14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9B31FF"/>
  </w:style>
  <w:style w:type="character" w:customStyle="1" w:styleId="FooterChar">
    <w:name w:val="Footer Char"/>
    <w:basedOn w:val="DefaultParagraphFont"/>
    <w:link w:val="Footer"/>
    <w:uiPriority w:val="99"/>
    <w:rsid w:val="009B3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54BD"/>
    <w:pPr>
      <w:ind w:firstLine="14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9B31FF"/>
  </w:style>
  <w:style w:type="character" w:customStyle="1" w:styleId="FooterChar">
    <w:name w:val="Footer Char"/>
    <w:basedOn w:val="DefaultParagraphFont"/>
    <w:link w:val="Footer"/>
    <w:uiPriority w:val="99"/>
    <w:rsid w:val="009B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nase@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2180-6FA9-42FA-B97E-AEE2FD51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5</cp:revision>
  <cp:lastPrinted>2012-04-10T16:23:00Z</cp:lastPrinted>
  <dcterms:created xsi:type="dcterms:W3CDTF">2012-04-10T15:42:00Z</dcterms:created>
  <dcterms:modified xsi:type="dcterms:W3CDTF">2012-04-10T16:23:00Z</dcterms:modified>
</cp:coreProperties>
</file>