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345548" w:rsidRDefault="005E1066" w:rsidP="00345548">
      <w:pPr>
        <w:jc w:val="center"/>
        <w:rPr>
          <w:b/>
        </w:rPr>
      </w:pPr>
      <w:r w:rsidRPr="00345548">
        <w:rPr>
          <w:b/>
        </w:rPr>
        <w:t>BEFORE THE</w:t>
      </w:r>
    </w:p>
    <w:p w:rsidR="005E1066" w:rsidRPr="00345548" w:rsidRDefault="005E1066" w:rsidP="00345548">
      <w:pPr>
        <w:jc w:val="center"/>
        <w:rPr>
          <w:b/>
        </w:rPr>
      </w:pPr>
      <w:r w:rsidRPr="00345548">
        <w:rPr>
          <w:b/>
        </w:rPr>
        <w:t>PENNSYLVANIA PUBLIC UTILITY COMMISSION</w:t>
      </w:r>
    </w:p>
    <w:p w:rsidR="005E1066" w:rsidRPr="00345548" w:rsidRDefault="005E1066" w:rsidP="00345548">
      <w:pPr>
        <w:jc w:val="center"/>
        <w:rPr>
          <w:b/>
        </w:rPr>
      </w:pPr>
    </w:p>
    <w:p w:rsidR="005E1066" w:rsidRPr="00345548" w:rsidRDefault="005E1066" w:rsidP="00345548">
      <w:pPr>
        <w:jc w:val="center"/>
        <w:rPr>
          <w:b/>
        </w:rPr>
      </w:pPr>
    </w:p>
    <w:p w:rsidR="003770A4" w:rsidRPr="00345548" w:rsidRDefault="003770A4" w:rsidP="00345548"/>
    <w:p w:rsidR="005E1066" w:rsidRPr="00345548" w:rsidRDefault="008C6AB7" w:rsidP="00345548">
      <w:r w:rsidRPr="00345548">
        <w:t>Avelino Herrera</w:t>
      </w:r>
      <w:r w:rsidRPr="00345548">
        <w:tab/>
      </w:r>
      <w:r w:rsidR="008546E7" w:rsidRPr="00345548">
        <w:tab/>
      </w:r>
      <w:r w:rsidR="00B136F5" w:rsidRPr="00345548">
        <w:tab/>
      </w:r>
      <w:r w:rsidR="00BD624C" w:rsidRPr="00345548">
        <w:tab/>
      </w:r>
      <w:r w:rsidR="00E30359" w:rsidRPr="00345548">
        <w:tab/>
      </w:r>
      <w:r w:rsidR="005E1066" w:rsidRPr="00345548">
        <w:t>:</w:t>
      </w:r>
    </w:p>
    <w:p w:rsidR="005E1066" w:rsidRPr="00345548" w:rsidRDefault="005E1066" w:rsidP="00345548">
      <w:r w:rsidRPr="00345548">
        <w:tab/>
      </w:r>
      <w:r w:rsidRPr="00345548">
        <w:tab/>
      </w:r>
      <w:r w:rsidRPr="00345548">
        <w:tab/>
      </w:r>
      <w:r w:rsidRPr="00345548">
        <w:tab/>
      </w:r>
      <w:r w:rsidRPr="00345548">
        <w:tab/>
      </w:r>
      <w:r w:rsidRPr="00345548">
        <w:tab/>
      </w:r>
      <w:r w:rsidRPr="00345548">
        <w:tab/>
        <w:t>:</w:t>
      </w:r>
    </w:p>
    <w:p w:rsidR="005E1066" w:rsidRPr="00345548" w:rsidRDefault="005E1066" w:rsidP="00345548">
      <w:r w:rsidRPr="00345548">
        <w:tab/>
        <w:t>v.</w:t>
      </w:r>
      <w:r w:rsidRPr="00345548">
        <w:tab/>
      </w:r>
      <w:r w:rsidRPr="00345548">
        <w:tab/>
      </w:r>
      <w:r w:rsidRPr="00345548">
        <w:tab/>
      </w:r>
      <w:r w:rsidRPr="00345548">
        <w:tab/>
      </w:r>
      <w:r w:rsidRPr="00345548">
        <w:tab/>
      </w:r>
      <w:r w:rsidRPr="00345548">
        <w:tab/>
        <w:t>:</w:t>
      </w:r>
      <w:r w:rsidRPr="00345548">
        <w:tab/>
      </w:r>
      <w:r w:rsidRPr="00345548">
        <w:tab/>
      </w:r>
      <w:r w:rsidR="008C6AB7" w:rsidRPr="00345548">
        <w:t>F</w:t>
      </w:r>
      <w:r w:rsidR="002C0C39" w:rsidRPr="00345548">
        <w:t>-2011-</w:t>
      </w:r>
      <w:r w:rsidR="008C6AB7" w:rsidRPr="00345548">
        <w:t>2276555</w:t>
      </w:r>
    </w:p>
    <w:p w:rsidR="005E1066" w:rsidRPr="00345548" w:rsidRDefault="005E1066" w:rsidP="00345548">
      <w:r w:rsidRPr="00345548">
        <w:tab/>
      </w:r>
      <w:r w:rsidRPr="00345548">
        <w:tab/>
      </w:r>
      <w:r w:rsidRPr="00345548">
        <w:tab/>
      </w:r>
      <w:r w:rsidRPr="00345548">
        <w:tab/>
      </w:r>
      <w:r w:rsidRPr="00345548">
        <w:tab/>
      </w:r>
      <w:r w:rsidRPr="00345548">
        <w:tab/>
      </w:r>
      <w:r w:rsidRPr="00345548">
        <w:tab/>
        <w:t>:</w:t>
      </w:r>
    </w:p>
    <w:p w:rsidR="005E1066" w:rsidRPr="00345548" w:rsidRDefault="008C6AB7" w:rsidP="00345548">
      <w:r w:rsidRPr="00345548">
        <w:t>PPL Electric Utilities Corporation</w:t>
      </w:r>
      <w:r w:rsidRPr="00345548">
        <w:tab/>
      </w:r>
      <w:r w:rsidR="00E30359" w:rsidRPr="00345548">
        <w:tab/>
      </w:r>
      <w:r w:rsidR="00E30359" w:rsidRPr="00345548">
        <w:tab/>
      </w:r>
      <w:r w:rsidR="005E1066" w:rsidRPr="00345548">
        <w:t>:</w:t>
      </w:r>
    </w:p>
    <w:p w:rsidR="005E1066" w:rsidRPr="00345548" w:rsidRDefault="005E1066" w:rsidP="00345548">
      <w:r w:rsidRPr="00345548">
        <w:tab/>
      </w:r>
      <w:r w:rsidRPr="00345548">
        <w:tab/>
      </w:r>
      <w:r w:rsidRPr="00345548">
        <w:tab/>
      </w:r>
      <w:r w:rsidRPr="00345548">
        <w:tab/>
      </w:r>
      <w:r w:rsidRPr="00345548">
        <w:tab/>
      </w:r>
      <w:r w:rsidRPr="00345548">
        <w:tab/>
      </w:r>
      <w:r w:rsidRPr="00345548">
        <w:tab/>
      </w:r>
    </w:p>
    <w:p w:rsidR="005E1066" w:rsidRPr="00345548" w:rsidRDefault="005E1066" w:rsidP="00345548"/>
    <w:p w:rsidR="00E235E3" w:rsidRPr="00345548" w:rsidRDefault="00E235E3" w:rsidP="00345548">
      <w:pPr>
        <w:jc w:val="center"/>
        <w:rPr>
          <w:b/>
          <w:u w:val="single"/>
        </w:rPr>
      </w:pPr>
    </w:p>
    <w:p w:rsidR="005E1066" w:rsidRPr="00345548" w:rsidRDefault="005E1066" w:rsidP="00345548">
      <w:pPr>
        <w:jc w:val="center"/>
        <w:rPr>
          <w:b/>
          <w:u w:val="single"/>
        </w:rPr>
      </w:pPr>
      <w:r w:rsidRPr="00345548">
        <w:rPr>
          <w:b/>
          <w:u w:val="single"/>
        </w:rPr>
        <w:t>INITIAL DECISION</w:t>
      </w:r>
    </w:p>
    <w:p w:rsidR="005E1066" w:rsidRPr="00345548" w:rsidRDefault="005E1066" w:rsidP="00345548">
      <w:pPr>
        <w:jc w:val="center"/>
      </w:pPr>
    </w:p>
    <w:p w:rsidR="005E1066" w:rsidRPr="00345548" w:rsidRDefault="005E1066" w:rsidP="00345548">
      <w:pPr>
        <w:jc w:val="center"/>
      </w:pPr>
    </w:p>
    <w:p w:rsidR="005E1066" w:rsidRPr="00345548" w:rsidRDefault="005E1066" w:rsidP="00345548">
      <w:pPr>
        <w:jc w:val="center"/>
      </w:pPr>
      <w:r w:rsidRPr="00345548">
        <w:t>Before</w:t>
      </w:r>
    </w:p>
    <w:p w:rsidR="005E1066" w:rsidRPr="00345548" w:rsidRDefault="005E1066" w:rsidP="00345548">
      <w:pPr>
        <w:jc w:val="center"/>
      </w:pPr>
      <w:r w:rsidRPr="00345548">
        <w:t>Tiffany A. Hunt</w:t>
      </w:r>
    </w:p>
    <w:p w:rsidR="005E1066" w:rsidRPr="00345548" w:rsidRDefault="005E1066" w:rsidP="00345548">
      <w:pPr>
        <w:jc w:val="center"/>
      </w:pPr>
      <w:r w:rsidRPr="00345548">
        <w:t>Special Agent</w:t>
      </w:r>
    </w:p>
    <w:p w:rsidR="005E1066" w:rsidRPr="00345548" w:rsidRDefault="005E1066" w:rsidP="00345548">
      <w:pPr>
        <w:jc w:val="center"/>
      </w:pPr>
    </w:p>
    <w:p w:rsidR="005E1066" w:rsidRPr="00345548" w:rsidRDefault="005E1066" w:rsidP="00345548">
      <w:pPr>
        <w:jc w:val="center"/>
      </w:pPr>
    </w:p>
    <w:p w:rsidR="005E1066" w:rsidRPr="00345548" w:rsidRDefault="005E1066" w:rsidP="00345548">
      <w:pPr>
        <w:jc w:val="center"/>
      </w:pPr>
      <w:r w:rsidRPr="00345548">
        <w:rPr>
          <w:u w:val="single"/>
        </w:rPr>
        <w:t>HISTORY OF THE PROCEEDING</w:t>
      </w:r>
    </w:p>
    <w:p w:rsidR="005E1066" w:rsidRPr="00345548" w:rsidRDefault="005E1066" w:rsidP="00345548">
      <w:pPr>
        <w:jc w:val="center"/>
      </w:pPr>
    </w:p>
    <w:p w:rsidR="005E1066" w:rsidRPr="00345548" w:rsidRDefault="005E1066" w:rsidP="00345548"/>
    <w:p w:rsidR="005E1066" w:rsidRPr="00345548" w:rsidRDefault="005E1066" w:rsidP="00345548">
      <w:pPr>
        <w:tabs>
          <w:tab w:val="left" w:pos="-1440"/>
          <w:tab w:val="left" w:pos="-720"/>
        </w:tabs>
        <w:suppressAutoHyphens/>
        <w:spacing w:line="360" w:lineRule="auto"/>
        <w:ind w:firstLine="1440"/>
      </w:pPr>
      <w:r w:rsidRPr="00345548">
        <w:t xml:space="preserve">On </w:t>
      </w:r>
      <w:r w:rsidR="00591DD4" w:rsidRPr="00345548">
        <w:t xml:space="preserve">November </w:t>
      </w:r>
      <w:r w:rsidR="008C6AB7" w:rsidRPr="00345548">
        <w:t>21</w:t>
      </w:r>
      <w:r w:rsidR="00AE4EDF" w:rsidRPr="00345548">
        <w:t>, 2011</w:t>
      </w:r>
      <w:r w:rsidRPr="00345548">
        <w:t xml:space="preserve">, </w:t>
      </w:r>
      <w:r w:rsidR="008C6AB7" w:rsidRPr="00345548">
        <w:t>Avelino Herrera</w:t>
      </w:r>
      <w:r w:rsidRPr="00345548">
        <w:t xml:space="preserve"> (</w:t>
      </w:r>
      <w:r w:rsidR="008C6AB7" w:rsidRPr="00345548">
        <w:t>Mr. Herrera</w:t>
      </w:r>
      <w:r w:rsidRPr="00345548">
        <w:t xml:space="preserve"> or Complainant) filed a formal Complaint (Complaint) </w:t>
      </w:r>
      <w:r w:rsidR="002E7D02" w:rsidRPr="00345548">
        <w:t xml:space="preserve">with the Pennsylvania Public Utility Commission (Commission) </w:t>
      </w:r>
      <w:r w:rsidRPr="00345548">
        <w:t xml:space="preserve">against </w:t>
      </w:r>
      <w:r w:rsidR="008C6AB7" w:rsidRPr="00345548">
        <w:t>PPL Electric Utilities Corporation</w:t>
      </w:r>
      <w:r w:rsidRPr="00345548">
        <w:t xml:space="preserve"> (</w:t>
      </w:r>
      <w:r w:rsidR="008C6AB7" w:rsidRPr="00345548">
        <w:t>PPL</w:t>
      </w:r>
      <w:r w:rsidRPr="00345548">
        <w:t xml:space="preserve"> or Respondent)</w:t>
      </w:r>
      <w:r w:rsidR="00BD624C" w:rsidRPr="00345548">
        <w:t>.</w:t>
      </w:r>
      <w:r w:rsidR="006A24CA" w:rsidRPr="00345548">
        <w:t xml:space="preserve">  </w:t>
      </w:r>
      <w:r w:rsidR="00BD624C" w:rsidRPr="00345548">
        <w:t xml:space="preserve">In the Complaint, </w:t>
      </w:r>
      <w:r w:rsidR="002C0C39" w:rsidRPr="00345548">
        <w:t>M</w:t>
      </w:r>
      <w:r w:rsidR="008C6AB7" w:rsidRPr="00345548">
        <w:t>r</w:t>
      </w:r>
      <w:r w:rsidR="002C0C39" w:rsidRPr="00345548">
        <w:t xml:space="preserve">. </w:t>
      </w:r>
      <w:r w:rsidR="008C6AB7" w:rsidRPr="00345548">
        <w:t>Herrera</w:t>
      </w:r>
      <w:r w:rsidR="008546E7" w:rsidRPr="00345548">
        <w:t xml:space="preserve"> alleged</w:t>
      </w:r>
      <w:r w:rsidR="002E7D02" w:rsidRPr="00345548">
        <w:t xml:space="preserve"> </w:t>
      </w:r>
      <w:r w:rsidR="00671F5B" w:rsidRPr="00345548">
        <w:t xml:space="preserve">that </w:t>
      </w:r>
      <w:r w:rsidR="008C6AB7" w:rsidRPr="00345548">
        <w:t>PPL was overcharging him and “not being reasonably fair with their bills</w:t>
      </w:r>
      <w:r w:rsidR="00CD52D6" w:rsidRPr="00345548">
        <w:t>.</w:t>
      </w:r>
      <w:r w:rsidR="008C6AB7" w:rsidRPr="00345548">
        <w:t xml:space="preserve">”  </w:t>
      </w:r>
      <w:proofErr w:type="gramStart"/>
      <w:r w:rsidR="008C6AB7" w:rsidRPr="00345548">
        <w:rPr>
          <w:bCs/>
        </w:rPr>
        <w:t>Complaint ¶ 4.</w:t>
      </w:r>
      <w:proofErr w:type="gramEnd"/>
      <w:r w:rsidR="008C6AB7" w:rsidRPr="00345548">
        <w:rPr>
          <w:bCs/>
        </w:rPr>
        <w:t xml:space="preserve"> </w:t>
      </w:r>
      <w:r w:rsidR="008C6AB7" w:rsidRPr="00345548">
        <w:t xml:space="preserve">    As relief, </w:t>
      </w:r>
      <w:r w:rsidR="00CD52D6" w:rsidRPr="00345548">
        <w:t xml:space="preserve">he requested </w:t>
      </w:r>
      <w:r w:rsidR="002E7D02" w:rsidRPr="00345548">
        <w:t xml:space="preserve">a payment </w:t>
      </w:r>
      <w:r w:rsidR="008C6AB7" w:rsidRPr="00345548">
        <w:t xml:space="preserve">agreement.  The Complaint was a timely appeal of the decision </w:t>
      </w:r>
      <w:r w:rsidR="00AB37AC" w:rsidRPr="00345548">
        <w:t>made</w:t>
      </w:r>
      <w:r w:rsidR="008C6AB7" w:rsidRPr="00345548">
        <w:t xml:space="preserve">, on </w:t>
      </w:r>
      <w:r w:rsidR="00AB37AC" w:rsidRPr="00345548">
        <w:t>October 18, 2011</w:t>
      </w:r>
      <w:r w:rsidR="008C6AB7" w:rsidRPr="00345548">
        <w:t>, by the Commission’s Bureau of Consumer Services (BCS) at BCS Case No. 2841817.</w:t>
      </w:r>
    </w:p>
    <w:p w:rsidR="002E7D02" w:rsidRPr="00345548" w:rsidRDefault="002E7D02" w:rsidP="00345548">
      <w:pPr>
        <w:tabs>
          <w:tab w:val="left" w:pos="-1440"/>
          <w:tab w:val="left" w:pos="-720"/>
        </w:tabs>
        <w:suppressAutoHyphens/>
        <w:spacing w:line="360" w:lineRule="auto"/>
        <w:rPr>
          <w:bCs/>
        </w:rPr>
      </w:pPr>
    </w:p>
    <w:p w:rsidR="00D947D9" w:rsidRPr="00345548" w:rsidRDefault="00C7625E" w:rsidP="00345548">
      <w:pPr>
        <w:tabs>
          <w:tab w:val="left" w:pos="-1440"/>
          <w:tab w:val="left" w:pos="-720"/>
        </w:tabs>
        <w:suppressAutoHyphens/>
        <w:spacing w:line="360" w:lineRule="auto"/>
        <w:rPr>
          <w:bCs/>
        </w:rPr>
      </w:pPr>
      <w:r w:rsidRPr="00345548">
        <w:tab/>
      </w:r>
      <w:r w:rsidRPr="00345548">
        <w:tab/>
      </w:r>
      <w:r w:rsidR="005E1066" w:rsidRPr="00345548">
        <w:t xml:space="preserve">On </w:t>
      </w:r>
      <w:r w:rsidR="00AB37AC" w:rsidRPr="00345548">
        <w:t>December 19</w:t>
      </w:r>
      <w:r w:rsidR="00B136F5" w:rsidRPr="00345548">
        <w:t>, 2011</w:t>
      </w:r>
      <w:r w:rsidR="005E1066" w:rsidRPr="00345548">
        <w:t xml:space="preserve">, </w:t>
      </w:r>
      <w:r w:rsidR="00AB37AC" w:rsidRPr="00345548">
        <w:t>PPL</w:t>
      </w:r>
      <w:r w:rsidR="00162D97" w:rsidRPr="00345548">
        <w:t xml:space="preserve"> </w:t>
      </w:r>
      <w:r w:rsidR="005E1066" w:rsidRPr="00345548">
        <w:t xml:space="preserve">filed an </w:t>
      </w:r>
      <w:r w:rsidR="005E1066" w:rsidRPr="00345548">
        <w:rPr>
          <w:spacing w:val="-3"/>
        </w:rPr>
        <w:t>Answer (Answer) to the Complaint</w:t>
      </w:r>
      <w:r w:rsidR="00C04C68" w:rsidRPr="00345548">
        <w:rPr>
          <w:bCs/>
        </w:rPr>
        <w:t>.</w:t>
      </w:r>
      <w:r w:rsidR="005D28A1" w:rsidRPr="00345548">
        <w:rPr>
          <w:bCs/>
        </w:rPr>
        <w:t xml:space="preserve">  </w:t>
      </w:r>
      <w:r w:rsidR="00D947D9" w:rsidRPr="00345548">
        <w:rPr>
          <w:bCs/>
        </w:rPr>
        <w:t xml:space="preserve">In the Answer, </w:t>
      </w:r>
      <w:r w:rsidR="00E9593C" w:rsidRPr="00345548">
        <w:rPr>
          <w:bCs/>
        </w:rPr>
        <w:t xml:space="preserve">PPL denied that it was improperly billing Complainant.  PPL also stated that it was in agreement with the BCS decision issued, on </w:t>
      </w:r>
      <w:r w:rsidR="00687784" w:rsidRPr="00345548">
        <w:rPr>
          <w:bCs/>
        </w:rPr>
        <w:t>March 29, 2010</w:t>
      </w:r>
      <w:r w:rsidR="00E9593C" w:rsidRPr="00345548">
        <w:rPr>
          <w:bCs/>
        </w:rPr>
        <w:t>, at BCS Case No. 2658059.  That decision directed Complainant to pay his regular monthly budget bill of $155.00 plus $62.00/month towards arrearages.  Answer ¶ 4b</w:t>
      </w:r>
      <w:r w:rsidR="00E76FBA" w:rsidRPr="00345548">
        <w:rPr>
          <w:bCs/>
        </w:rPr>
        <w:t>.</w:t>
      </w:r>
      <w:r w:rsidR="007005F3" w:rsidRPr="00345548">
        <w:rPr>
          <w:bCs/>
        </w:rPr>
        <w:t xml:space="preserve"> </w:t>
      </w:r>
    </w:p>
    <w:p w:rsidR="00D947D9" w:rsidRPr="00345548" w:rsidRDefault="00D947D9" w:rsidP="00345548">
      <w:pPr>
        <w:tabs>
          <w:tab w:val="left" w:pos="-1440"/>
          <w:tab w:val="left" w:pos="-720"/>
        </w:tabs>
        <w:suppressAutoHyphens/>
        <w:spacing w:line="360" w:lineRule="auto"/>
        <w:rPr>
          <w:bCs/>
        </w:rPr>
      </w:pPr>
    </w:p>
    <w:p w:rsidR="00687784" w:rsidRPr="00345548" w:rsidRDefault="000440B1" w:rsidP="00345548">
      <w:pPr>
        <w:spacing w:line="360" w:lineRule="auto"/>
        <w:ind w:firstLine="1440"/>
        <w:rPr>
          <w:bCs/>
        </w:rPr>
      </w:pPr>
      <w:r w:rsidRPr="00345548">
        <w:rPr>
          <w:bCs/>
        </w:rPr>
        <w:lastRenderedPageBreak/>
        <w:t xml:space="preserve">By Telephone Hearing Notice dated December 19, 2011, and a Prehearing Order dated December 22, 2011, the parties were notified that an Initial Telephonic Hearing in this case was scheduled for the morning of Wednesday, March 7, 2012, at 10:00 a.m.  The Prehearing Order advised </w:t>
      </w:r>
      <w:r w:rsidR="00BE4531" w:rsidRPr="00345548">
        <w:rPr>
          <w:bCs/>
        </w:rPr>
        <w:t xml:space="preserve">the parties </w:t>
      </w:r>
      <w:r w:rsidRPr="00345548">
        <w:rPr>
          <w:bCs/>
        </w:rPr>
        <w:t xml:space="preserve">that the case would be dismissed if they did not participate in the hearing and present evidence on the issues </w:t>
      </w:r>
      <w:proofErr w:type="gramStart"/>
      <w:r w:rsidRPr="00345548">
        <w:rPr>
          <w:bCs/>
        </w:rPr>
        <w:t>raised</w:t>
      </w:r>
      <w:proofErr w:type="gramEnd"/>
      <w:r w:rsidRPr="00345548">
        <w:rPr>
          <w:bCs/>
        </w:rPr>
        <w:t xml:space="preserve">.  The Prehearing Order also advised the parties of applicable procedural rules.  </w:t>
      </w:r>
    </w:p>
    <w:p w:rsidR="005E1066" w:rsidRPr="00345548" w:rsidRDefault="005E1066" w:rsidP="00345548">
      <w:pPr>
        <w:tabs>
          <w:tab w:val="left" w:pos="2160"/>
        </w:tabs>
        <w:spacing w:line="360" w:lineRule="auto"/>
        <w:ind w:firstLine="1440"/>
      </w:pPr>
    </w:p>
    <w:p w:rsidR="005E1066" w:rsidRPr="00345548" w:rsidRDefault="005E1066" w:rsidP="00345548">
      <w:pPr>
        <w:tabs>
          <w:tab w:val="left" w:pos="2160"/>
        </w:tabs>
        <w:spacing w:line="360" w:lineRule="auto"/>
        <w:ind w:firstLine="1440"/>
      </w:pPr>
      <w:r w:rsidRPr="00345548">
        <w:t>This case was assigned to me pursuant to 52 Pa. Code § 56.174.</w:t>
      </w:r>
    </w:p>
    <w:p w:rsidR="00476F82" w:rsidRPr="00345548" w:rsidRDefault="00476F82" w:rsidP="00345548">
      <w:pPr>
        <w:tabs>
          <w:tab w:val="left" w:pos="2160"/>
        </w:tabs>
        <w:spacing w:line="360" w:lineRule="auto"/>
        <w:ind w:firstLine="1440"/>
      </w:pPr>
    </w:p>
    <w:p w:rsidR="00476F82" w:rsidRPr="00345548" w:rsidRDefault="00476F82" w:rsidP="00345548">
      <w:pPr>
        <w:tabs>
          <w:tab w:val="left" w:pos="2160"/>
        </w:tabs>
        <w:spacing w:line="360" w:lineRule="auto"/>
        <w:ind w:firstLine="1440"/>
      </w:pPr>
      <w:r w:rsidRPr="00345548">
        <w:t>On February 28, 2012, PPL filed a Praecipe for Appearance, entering the appearance of Graig M. Schultz, Esquire.</w:t>
      </w:r>
      <w:r w:rsidR="000244AB" w:rsidRPr="00345548">
        <w:t xml:space="preserve">  </w:t>
      </w:r>
      <w:r w:rsidRPr="00345548">
        <w:t>In accordance with the provisions of the Prehearing Order, Respondent submitted three (3) copies of six (6) proposed exhibits for possible use at the hearing.</w:t>
      </w:r>
    </w:p>
    <w:p w:rsidR="00FA1D72" w:rsidRPr="00345548" w:rsidRDefault="00FA1D72" w:rsidP="00345548">
      <w:pPr>
        <w:tabs>
          <w:tab w:val="left" w:pos="2160"/>
        </w:tabs>
        <w:spacing w:line="360" w:lineRule="auto"/>
        <w:ind w:firstLine="1440"/>
      </w:pPr>
    </w:p>
    <w:p w:rsidR="00687784" w:rsidRPr="00345548" w:rsidRDefault="0013584F" w:rsidP="00345548">
      <w:pPr>
        <w:tabs>
          <w:tab w:val="left" w:pos="2160"/>
        </w:tabs>
        <w:spacing w:line="360" w:lineRule="auto"/>
        <w:ind w:firstLine="1440"/>
      </w:pPr>
      <w:r w:rsidRPr="00345548">
        <w:t xml:space="preserve">The telephonic </w:t>
      </w:r>
      <w:r w:rsidR="00687784" w:rsidRPr="00345548">
        <w:t xml:space="preserve">hearing was held as scheduled.  </w:t>
      </w:r>
      <w:r w:rsidR="00476F82" w:rsidRPr="00345548">
        <w:t xml:space="preserve">Mr. Herrera appeared </w:t>
      </w:r>
      <w:r w:rsidR="00476F82" w:rsidRPr="00345548">
        <w:rPr>
          <w:i/>
        </w:rPr>
        <w:t>pro se</w:t>
      </w:r>
      <w:r w:rsidR="00476F82" w:rsidRPr="00345548">
        <w:t>.  Graig M. Schultz, Esq., represented the Respondent and was pre</w:t>
      </w:r>
      <w:r w:rsidR="000440B1" w:rsidRPr="00345548">
        <w:t>pared to offer the testimony of Ms. Gonzalez,</w:t>
      </w:r>
      <w:r w:rsidR="00476F82" w:rsidRPr="00345548">
        <w:t xml:space="preserve"> </w:t>
      </w:r>
      <w:r w:rsidR="000440B1" w:rsidRPr="00345548">
        <w:t xml:space="preserve">a </w:t>
      </w:r>
      <w:r w:rsidR="00476F82" w:rsidRPr="00345548">
        <w:t xml:space="preserve">Customer Service Representative for Respondent.  </w:t>
      </w:r>
      <w:r w:rsidR="00687784" w:rsidRPr="00345548">
        <w:t xml:space="preserve">Prior to going on the record, </w:t>
      </w:r>
      <w:r w:rsidR="00476F82" w:rsidRPr="00345548">
        <w:t>the parties engaged in settlement discussions.  Respondent’s counsel and witness attempted to make arrangements with Complainant to conduct a high bill investigation</w:t>
      </w:r>
      <w:r w:rsidR="007E0B1E" w:rsidRPr="00345548">
        <w:t>, as Mr. Herrera repeatedly stated that his bills were too high</w:t>
      </w:r>
      <w:r w:rsidR="00476F82" w:rsidRPr="00345548">
        <w:t xml:space="preserve">.  </w:t>
      </w:r>
      <w:r w:rsidR="002D2720" w:rsidRPr="00345548">
        <w:t>At the conclusion of the settlement discussions</w:t>
      </w:r>
      <w:r w:rsidR="00476F82" w:rsidRPr="00345548">
        <w:t xml:space="preserve">, Mr. Herrera stated that he would only </w:t>
      </w:r>
      <w:r w:rsidR="0012237B" w:rsidRPr="00345548">
        <w:t>participate in</w:t>
      </w:r>
      <w:r w:rsidR="00476F82" w:rsidRPr="00345548">
        <w:t xml:space="preserve"> a high bill investigation </w:t>
      </w:r>
      <w:r w:rsidR="002D2720" w:rsidRPr="00345548">
        <w:t xml:space="preserve">with PPL </w:t>
      </w:r>
      <w:r w:rsidR="00476F82" w:rsidRPr="00345548">
        <w:t xml:space="preserve">if </w:t>
      </w:r>
      <w:r w:rsidR="0012237B" w:rsidRPr="00345548">
        <w:t>I</w:t>
      </w:r>
      <w:r w:rsidR="00476F82" w:rsidRPr="00345548">
        <w:t xml:space="preserve"> </w:t>
      </w:r>
      <w:r w:rsidR="0012237B" w:rsidRPr="00345548">
        <w:t xml:space="preserve">directed the parties to do so in a court order.  I explained to Mr. Herrera that the matter could be continued to allow PPL to conduct a high bill investigation, but a court order </w:t>
      </w:r>
      <w:r w:rsidR="007E0B1E" w:rsidRPr="00345548">
        <w:t>w</w:t>
      </w:r>
      <w:r w:rsidR="0012237B" w:rsidRPr="00345548">
        <w:t>ould not be issued.  Mr. Herrera</w:t>
      </w:r>
      <w:r w:rsidR="007E0B1E" w:rsidRPr="00345548">
        <w:t xml:space="preserve"> expressed distrust of PPL and</w:t>
      </w:r>
      <w:r w:rsidR="0012237B" w:rsidRPr="00345548">
        <w:t xml:space="preserve"> indicated that a continuance was not acceptable</w:t>
      </w:r>
      <w:r w:rsidR="005859B6" w:rsidRPr="00345548">
        <w:t>; only a court order</w:t>
      </w:r>
      <w:r w:rsidR="0012237B" w:rsidRPr="00345548">
        <w:t xml:space="preserve">.  Mr. Herrera then indicated that he did not wish to pursue his Complaint unless directed to do so by a court </w:t>
      </w:r>
      <w:r w:rsidR="00817BB7" w:rsidRPr="00345548">
        <w:t xml:space="preserve">order.  I </w:t>
      </w:r>
      <w:r w:rsidR="00DB1669" w:rsidRPr="00345548">
        <w:t xml:space="preserve">again explained that a court order </w:t>
      </w:r>
      <w:r w:rsidR="007E0B1E" w:rsidRPr="00345548">
        <w:t>w</w:t>
      </w:r>
      <w:r w:rsidR="00DB1669" w:rsidRPr="00345548">
        <w:t>ould not be issued and cautioned</w:t>
      </w:r>
      <w:r w:rsidR="00817BB7" w:rsidRPr="00345548">
        <w:t xml:space="preserve"> Mr. Herrera that the hearing would </w:t>
      </w:r>
      <w:r w:rsidR="00F65969" w:rsidRPr="00345548">
        <w:t>be held, even in his absence</w:t>
      </w:r>
      <w:r w:rsidR="00817BB7" w:rsidRPr="00345548">
        <w:t xml:space="preserve">.  </w:t>
      </w:r>
      <w:r w:rsidR="007E0B1E" w:rsidRPr="00345548">
        <w:t>The undersigned, Respondent’s counsel and Respondent’s witness made several attempts to clarify the nature of the proceedings</w:t>
      </w:r>
      <w:r w:rsidR="00AB2E36" w:rsidRPr="00345548">
        <w:t xml:space="preserve"> before the Commission</w:t>
      </w:r>
      <w:r w:rsidR="007E0B1E" w:rsidRPr="00345548">
        <w:t xml:space="preserve">, referring back to the statements made in the Complaint.  Mr. Herrera’s tone became increasingly hostile and intemperate.  </w:t>
      </w:r>
      <w:r w:rsidR="0012237B" w:rsidRPr="00345548">
        <w:t xml:space="preserve">Mr. Herrera declined to further participate in the hearing, stating that he did not want to spend any </w:t>
      </w:r>
      <w:r w:rsidR="0012237B" w:rsidRPr="00345548">
        <w:lastRenderedPageBreak/>
        <w:t>more time on the matter</w:t>
      </w:r>
      <w:r w:rsidR="005859B6" w:rsidRPr="00345548">
        <w:t xml:space="preserve"> and the matter would have to be resolved </w:t>
      </w:r>
      <w:r w:rsidR="00DB1669" w:rsidRPr="00345548">
        <w:t>by PPL and the Commission</w:t>
      </w:r>
      <w:r w:rsidR="0012237B" w:rsidRPr="00345548">
        <w:t>.  Mr. Herrera then disconnected himsel</w:t>
      </w:r>
      <w:r w:rsidR="006B605D" w:rsidRPr="00345548">
        <w:t>f from the telephone call.</w:t>
      </w:r>
    </w:p>
    <w:p w:rsidR="005859B6" w:rsidRPr="00345548" w:rsidRDefault="005859B6" w:rsidP="00345548">
      <w:pPr>
        <w:tabs>
          <w:tab w:val="left" w:pos="2160"/>
        </w:tabs>
        <w:spacing w:line="360" w:lineRule="auto"/>
        <w:ind w:firstLine="1440"/>
      </w:pPr>
    </w:p>
    <w:p w:rsidR="005859B6" w:rsidRPr="00345548" w:rsidRDefault="00DB1669" w:rsidP="00345548">
      <w:pPr>
        <w:tabs>
          <w:tab w:val="left" w:pos="2160"/>
        </w:tabs>
        <w:spacing w:line="360" w:lineRule="auto"/>
        <w:ind w:firstLine="1440"/>
      </w:pPr>
      <w:r w:rsidRPr="00345548">
        <w:t>After Mr. Herrera hung up the telephone, the hearing was held in his absence.  Mr. Schultz did not present any witnesses or introduce any exhibits.  M</w:t>
      </w:r>
      <w:r w:rsidR="00EE4B33" w:rsidRPr="00345548">
        <w:t>r</w:t>
      </w:r>
      <w:r w:rsidRPr="00345548">
        <w:t xml:space="preserve">. Schultz orally moved for dismissal of this case on the grounds that Complainant failed to prosecute.  The motion regarding dismissal of the Complaint will be granted in the Ordering Paragraphs below.  The record closed on </w:t>
      </w:r>
      <w:r w:rsidRPr="00345548">
        <w:rPr>
          <w:bCs/>
        </w:rPr>
        <w:t>March 7</w:t>
      </w:r>
      <w:r w:rsidR="00C46A21" w:rsidRPr="00345548">
        <w:rPr>
          <w:bCs/>
        </w:rPr>
        <w:t>,</w:t>
      </w:r>
      <w:r w:rsidRPr="00345548">
        <w:rPr>
          <w:bCs/>
        </w:rPr>
        <w:t> 2012.</w:t>
      </w:r>
    </w:p>
    <w:p w:rsidR="007C5134" w:rsidRPr="00345548" w:rsidRDefault="007C5134" w:rsidP="00345548">
      <w:pPr>
        <w:spacing w:line="360" w:lineRule="auto"/>
        <w:rPr>
          <w:bCs/>
        </w:rPr>
      </w:pPr>
    </w:p>
    <w:p w:rsidR="005E1066" w:rsidRPr="00345548" w:rsidRDefault="005E1066" w:rsidP="00345548">
      <w:pPr>
        <w:spacing w:line="276" w:lineRule="auto"/>
        <w:jc w:val="center"/>
        <w:rPr>
          <w:u w:val="single"/>
        </w:rPr>
      </w:pPr>
      <w:r w:rsidRPr="00345548">
        <w:rPr>
          <w:u w:val="single"/>
        </w:rPr>
        <w:t>FINDINGS OF FACT</w:t>
      </w:r>
    </w:p>
    <w:p w:rsidR="005E1066" w:rsidRPr="00345548" w:rsidRDefault="005E1066" w:rsidP="00345548">
      <w:pPr>
        <w:tabs>
          <w:tab w:val="left" w:pos="2160"/>
        </w:tabs>
        <w:spacing w:line="360" w:lineRule="auto"/>
        <w:rPr>
          <w:u w:val="single"/>
        </w:rPr>
      </w:pPr>
    </w:p>
    <w:p w:rsidR="005E1066" w:rsidRPr="00345548" w:rsidRDefault="005E1066" w:rsidP="00345548">
      <w:pPr>
        <w:tabs>
          <w:tab w:val="left" w:pos="2160"/>
        </w:tabs>
        <w:spacing w:line="360" w:lineRule="auto"/>
        <w:ind w:firstLine="1440"/>
      </w:pPr>
      <w:r w:rsidRPr="00345548">
        <w:t>1.</w:t>
      </w:r>
      <w:r w:rsidRPr="00345548">
        <w:tab/>
        <w:t xml:space="preserve">The Complainant, </w:t>
      </w:r>
      <w:r w:rsidR="00DB1669" w:rsidRPr="00345548">
        <w:t>Avelino Herrera</w:t>
      </w:r>
      <w:r w:rsidRPr="00345548">
        <w:t xml:space="preserve">, </w:t>
      </w:r>
      <w:r w:rsidR="00CE2B08" w:rsidRPr="00345548">
        <w:t>receive</w:t>
      </w:r>
      <w:r w:rsidR="00DB1669" w:rsidRPr="00345548">
        <w:t>s</w:t>
      </w:r>
      <w:r w:rsidR="006712F3" w:rsidRPr="00345548">
        <w:t xml:space="preserve"> </w:t>
      </w:r>
      <w:r w:rsidR="00963EBA" w:rsidRPr="00345548">
        <w:t>electric</w:t>
      </w:r>
      <w:r w:rsidRPr="00345548">
        <w:t xml:space="preserve"> util</w:t>
      </w:r>
      <w:r w:rsidR="00F05205" w:rsidRPr="00345548">
        <w:t>ity service from the Respondent</w:t>
      </w:r>
      <w:r w:rsidR="006712F3" w:rsidRPr="00345548">
        <w:t xml:space="preserve"> at </w:t>
      </w:r>
      <w:r w:rsidR="00DB1669" w:rsidRPr="00345548">
        <w:t>1700 Saint Phillips Drive, Lancaster</w:t>
      </w:r>
      <w:r w:rsidR="006712F3" w:rsidRPr="00345548">
        <w:t xml:space="preserve">, PA </w:t>
      </w:r>
      <w:r w:rsidR="00DB1669" w:rsidRPr="00345548">
        <w:t>17603</w:t>
      </w:r>
      <w:r w:rsidR="006712F3" w:rsidRPr="00345548">
        <w:t xml:space="preserve"> (Service Address)</w:t>
      </w:r>
      <w:r w:rsidRPr="00345548">
        <w:t>.</w:t>
      </w:r>
      <w:r w:rsidR="00A2154A" w:rsidRPr="00345548">
        <w:rPr>
          <w:b/>
          <w:bCs/>
        </w:rPr>
        <w:t xml:space="preserve"> </w:t>
      </w:r>
    </w:p>
    <w:p w:rsidR="005E1066" w:rsidRPr="00345548" w:rsidRDefault="005E1066" w:rsidP="00345548">
      <w:pPr>
        <w:tabs>
          <w:tab w:val="left" w:pos="2160"/>
        </w:tabs>
        <w:spacing w:line="360" w:lineRule="auto"/>
        <w:ind w:firstLine="1440"/>
      </w:pPr>
    </w:p>
    <w:p w:rsidR="005E1066" w:rsidRPr="00345548" w:rsidRDefault="005E1066" w:rsidP="00345548">
      <w:pPr>
        <w:spacing w:line="360" w:lineRule="auto"/>
        <w:ind w:firstLine="1440"/>
      </w:pPr>
      <w:r w:rsidRPr="00345548">
        <w:t>2.</w:t>
      </w:r>
      <w:r w:rsidRPr="00345548">
        <w:tab/>
        <w:t xml:space="preserve">The Respondent is </w:t>
      </w:r>
      <w:r w:rsidR="00DB1669" w:rsidRPr="00345548">
        <w:t>PPL Electric Utilities Corporation</w:t>
      </w:r>
      <w:r w:rsidR="00CE2B08" w:rsidRPr="00345548">
        <w:t xml:space="preserve">, </w:t>
      </w:r>
      <w:r w:rsidRPr="00345548">
        <w:t>a jurisdic</w:t>
      </w:r>
      <w:r w:rsidR="00AA343F" w:rsidRPr="00345548">
        <w:t xml:space="preserve">tional public utility providing </w:t>
      </w:r>
      <w:r w:rsidR="00DB1669" w:rsidRPr="00345548">
        <w:t>electric</w:t>
      </w:r>
      <w:r w:rsidRPr="00345548">
        <w:t xml:space="preserve"> utility services in the Commonwealth of Pennsylvania.</w:t>
      </w:r>
    </w:p>
    <w:p w:rsidR="005E1066" w:rsidRPr="00345548" w:rsidRDefault="005E1066" w:rsidP="00345548">
      <w:pPr>
        <w:spacing w:line="360" w:lineRule="auto"/>
        <w:ind w:firstLine="1440"/>
      </w:pPr>
    </w:p>
    <w:p w:rsidR="005E1066" w:rsidRPr="00345548" w:rsidRDefault="005E1066" w:rsidP="00345548">
      <w:pPr>
        <w:tabs>
          <w:tab w:val="left" w:pos="-1440"/>
          <w:tab w:val="left" w:pos="-720"/>
        </w:tabs>
        <w:suppressAutoHyphens/>
        <w:spacing w:line="360" w:lineRule="auto"/>
        <w:ind w:firstLine="1440"/>
      </w:pPr>
      <w:r w:rsidRPr="00345548">
        <w:t>3.</w:t>
      </w:r>
      <w:r w:rsidRPr="00345548">
        <w:tab/>
        <w:t xml:space="preserve">On </w:t>
      </w:r>
      <w:r w:rsidR="00CE2B08" w:rsidRPr="00345548">
        <w:t xml:space="preserve">November </w:t>
      </w:r>
      <w:r w:rsidR="00DB1669" w:rsidRPr="00345548">
        <w:t>21</w:t>
      </w:r>
      <w:r w:rsidR="00C80B93" w:rsidRPr="00345548">
        <w:t>, 2011</w:t>
      </w:r>
      <w:r w:rsidRPr="00345548">
        <w:t xml:space="preserve">, Complainant filed a formal Complaint with the Commission which alleged </w:t>
      </w:r>
      <w:r w:rsidR="00CE2B08" w:rsidRPr="00345548">
        <w:t xml:space="preserve">that </w:t>
      </w:r>
      <w:r w:rsidR="00DB1669" w:rsidRPr="00345548">
        <w:t xml:space="preserve">PPL was overcharging him and “not being reasonably fair with their bills.”  </w:t>
      </w:r>
      <w:proofErr w:type="gramStart"/>
      <w:r w:rsidR="00DB1669" w:rsidRPr="00345548">
        <w:rPr>
          <w:bCs/>
        </w:rPr>
        <w:t>Complaint ¶ 4.</w:t>
      </w:r>
      <w:proofErr w:type="gramEnd"/>
      <w:r w:rsidR="00DB1669" w:rsidRPr="00345548">
        <w:rPr>
          <w:bCs/>
        </w:rPr>
        <w:t xml:space="preserve">  </w:t>
      </w:r>
      <w:r w:rsidR="00DB1669" w:rsidRPr="00345548">
        <w:t>As relief, he requested a payment agreement.</w:t>
      </w:r>
    </w:p>
    <w:p w:rsidR="001E797F" w:rsidRPr="00345548" w:rsidRDefault="001E797F" w:rsidP="00345548">
      <w:pPr>
        <w:spacing w:line="360" w:lineRule="auto"/>
        <w:ind w:firstLine="1440"/>
      </w:pPr>
    </w:p>
    <w:p w:rsidR="0011143C" w:rsidRPr="00345548" w:rsidRDefault="005E1066" w:rsidP="00345548">
      <w:pPr>
        <w:spacing w:line="360" w:lineRule="auto"/>
        <w:ind w:firstLine="1440"/>
      </w:pPr>
      <w:r w:rsidRPr="00345548">
        <w:t>4.</w:t>
      </w:r>
      <w:r w:rsidRPr="00345548">
        <w:tab/>
        <w:t xml:space="preserve">On </w:t>
      </w:r>
      <w:r w:rsidR="00DB1669" w:rsidRPr="00345548">
        <w:t>December 19, 2011</w:t>
      </w:r>
      <w:r w:rsidRPr="00345548">
        <w:t>, Respondent filed an Answer to the Complaint.</w:t>
      </w:r>
    </w:p>
    <w:p w:rsidR="00EC2F98" w:rsidRPr="00345548" w:rsidRDefault="00EC2F98" w:rsidP="00345548">
      <w:pPr>
        <w:spacing w:line="360" w:lineRule="auto"/>
        <w:ind w:firstLine="1440"/>
      </w:pPr>
    </w:p>
    <w:p w:rsidR="0071014B" w:rsidRPr="00345548" w:rsidRDefault="005E1066" w:rsidP="00345548">
      <w:pPr>
        <w:spacing w:line="360" w:lineRule="auto"/>
        <w:ind w:firstLine="1440"/>
      </w:pPr>
      <w:r w:rsidRPr="00345548">
        <w:t>5.</w:t>
      </w:r>
      <w:r w:rsidRPr="00345548">
        <w:tab/>
        <w:t>An Initial Telephonic Hearing in this case w</w:t>
      </w:r>
      <w:r w:rsidR="00DB4771" w:rsidRPr="00345548">
        <w:t xml:space="preserve">as scheduled for the </w:t>
      </w:r>
      <w:r w:rsidR="006C1061" w:rsidRPr="00345548">
        <w:t>morning</w:t>
      </w:r>
      <w:r w:rsidR="00C80B93" w:rsidRPr="00345548">
        <w:t xml:space="preserve"> of </w:t>
      </w:r>
      <w:r w:rsidR="0071014B" w:rsidRPr="00345548">
        <w:t>Wednesday</w:t>
      </w:r>
      <w:r w:rsidR="00C80B93" w:rsidRPr="00345548">
        <w:t xml:space="preserve">, </w:t>
      </w:r>
      <w:r w:rsidR="006C1061" w:rsidRPr="00345548">
        <w:t xml:space="preserve">March </w:t>
      </w:r>
      <w:r w:rsidR="0071014B" w:rsidRPr="00345548">
        <w:t>7</w:t>
      </w:r>
      <w:r w:rsidR="0011143C" w:rsidRPr="00345548">
        <w:t>, 2012, at 1</w:t>
      </w:r>
      <w:r w:rsidR="006C1061" w:rsidRPr="00345548">
        <w:t>0</w:t>
      </w:r>
      <w:r w:rsidR="0011143C" w:rsidRPr="00345548">
        <w:t>:</w:t>
      </w:r>
      <w:r w:rsidR="006C1061" w:rsidRPr="00345548">
        <w:t>0</w:t>
      </w:r>
      <w:r w:rsidR="0011143C" w:rsidRPr="00345548">
        <w:t xml:space="preserve">0 </w:t>
      </w:r>
      <w:r w:rsidR="006C1061" w:rsidRPr="00345548">
        <w:t>a</w:t>
      </w:r>
      <w:r w:rsidR="00C80B93" w:rsidRPr="00345548">
        <w:t>.m.</w:t>
      </w:r>
    </w:p>
    <w:p w:rsidR="005E1066" w:rsidRPr="00345548" w:rsidRDefault="005E1066" w:rsidP="00345548">
      <w:pPr>
        <w:spacing w:line="360" w:lineRule="auto"/>
        <w:ind w:firstLine="1440"/>
      </w:pPr>
    </w:p>
    <w:p w:rsidR="0071014B" w:rsidRPr="00345548" w:rsidRDefault="005E1066" w:rsidP="00345548">
      <w:pPr>
        <w:spacing w:line="360" w:lineRule="auto"/>
        <w:ind w:firstLine="1440"/>
      </w:pPr>
      <w:r w:rsidRPr="00345548">
        <w:t>6.</w:t>
      </w:r>
      <w:r w:rsidRPr="00345548">
        <w:tab/>
        <w:t xml:space="preserve">By Telephone Hearing Notice dated </w:t>
      </w:r>
      <w:r w:rsidR="0071014B" w:rsidRPr="00345548">
        <w:t>December 19, 2011</w:t>
      </w:r>
      <w:r w:rsidRPr="00345548">
        <w:t xml:space="preserve">, and by a Prehearing </w:t>
      </w:r>
      <w:r w:rsidR="0046299B" w:rsidRPr="00345548">
        <w:t>Order</w:t>
      </w:r>
      <w:r w:rsidRPr="00345548">
        <w:t xml:space="preserve"> dated </w:t>
      </w:r>
      <w:r w:rsidR="0071014B" w:rsidRPr="00345548">
        <w:t>December 22, 2011</w:t>
      </w:r>
      <w:r w:rsidRPr="00345548">
        <w:t xml:space="preserve">, Complainant was notified of the date and time of the initial hearing on </w:t>
      </w:r>
      <w:r w:rsidR="00ED4BA8" w:rsidRPr="00345548">
        <w:t>h</w:t>
      </w:r>
      <w:r w:rsidR="0071014B" w:rsidRPr="00345548">
        <w:t>is</w:t>
      </w:r>
      <w:r w:rsidRPr="00345548">
        <w:t xml:space="preserve"> Complaint. </w:t>
      </w:r>
    </w:p>
    <w:p w:rsidR="005E1066" w:rsidRPr="00345548" w:rsidRDefault="005E1066" w:rsidP="00345548">
      <w:pPr>
        <w:spacing w:line="360" w:lineRule="auto"/>
        <w:ind w:firstLine="1440"/>
      </w:pPr>
    </w:p>
    <w:p w:rsidR="005E1066" w:rsidRPr="00345548" w:rsidRDefault="005E1066" w:rsidP="00345548">
      <w:pPr>
        <w:spacing w:line="360" w:lineRule="auto"/>
        <w:ind w:firstLine="1440"/>
      </w:pPr>
      <w:r w:rsidRPr="00345548">
        <w:lastRenderedPageBreak/>
        <w:t>7.</w:t>
      </w:r>
      <w:r w:rsidRPr="00345548">
        <w:tab/>
        <w:t>The hearing was held as schedul</w:t>
      </w:r>
      <w:r w:rsidR="000B4DF0" w:rsidRPr="00345548">
        <w:t xml:space="preserve">ed.  </w:t>
      </w:r>
      <w:r w:rsidRPr="00345548">
        <w:t xml:space="preserve">Respondent was </w:t>
      </w:r>
      <w:r w:rsidR="0071014B" w:rsidRPr="00345548">
        <w:t>present and prepared to proceed.</w:t>
      </w:r>
    </w:p>
    <w:p w:rsidR="0071014B" w:rsidRPr="00345548" w:rsidRDefault="0071014B" w:rsidP="00345548">
      <w:pPr>
        <w:spacing w:line="360" w:lineRule="auto"/>
        <w:ind w:firstLine="1440"/>
      </w:pPr>
    </w:p>
    <w:p w:rsidR="0071014B" w:rsidRPr="00345548" w:rsidRDefault="0071014B" w:rsidP="00345548">
      <w:pPr>
        <w:spacing w:line="360" w:lineRule="auto"/>
        <w:ind w:firstLine="1440"/>
      </w:pPr>
      <w:r w:rsidRPr="00345548">
        <w:t>8.</w:t>
      </w:r>
      <w:r w:rsidRPr="00345548">
        <w:tab/>
        <w:t>The Complainant terminated his partic</w:t>
      </w:r>
      <w:r w:rsidR="00345548">
        <w:t>ipation in the hearing of March 7, </w:t>
      </w:r>
      <w:r w:rsidR="00E96FBB" w:rsidRPr="00345548">
        <w:t>2012, by hanging up the telephone.</w:t>
      </w:r>
    </w:p>
    <w:p w:rsidR="007C12B8" w:rsidRPr="00345548" w:rsidRDefault="007C12B8" w:rsidP="00345548">
      <w:pPr>
        <w:spacing w:line="360" w:lineRule="auto"/>
        <w:ind w:firstLine="1440"/>
      </w:pPr>
    </w:p>
    <w:p w:rsidR="007C12B8" w:rsidRPr="00345548" w:rsidRDefault="007C12B8" w:rsidP="00345548">
      <w:pPr>
        <w:spacing w:line="360" w:lineRule="auto"/>
        <w:ind w:firstLine="1440"/>
      </w:pPr>
      <w:r w:rsidRPr="00345548">
        <w:t>9.</w:t>
      </w:r>
      <w:r w:rsidRPr="00345548">
        <w:tab/>
        <w:t>The Complainant failed to prosecute his formal Complaint and address issues raised in this proceeding.</w:t>
      </w:r>
    </w:p>
    <w:p w:rsidR="007C12B8" w:rsidRPr="00345548" w:rsidRDefault="007C12B8" w:rsidP="00345548">
      <w:pPr>
        <w:spacing w:line="360" w:lineRule="auto"/>
        <w:ind w:firstLine="1440"/>
      </w:pPr>
    </w:p>
    <w:p w:rsidR="007C12B8" w:rsidRPr="00345548" w:rsidRDefault="007C12B8" w:rsidP="00345548">
      <w:pPr>
        <w:spacing w:line="360" w:lineRule="auto"/>
        <w:ind w:firstLine="1440"/>
      </w:pPr>
      <w:r w:rsidRPr="00345548">
        <w:t>10.</w:t>
      </w:r>
      <w:r w:rsidRPr="00345548">
        <w:tab/>
        <w:t>Respondent made a motion to dismiss the Complainant for failure to prosecute.</w:t>
      </w:r>
    </w:p>
    <w:p w:rsidR="008A432F" w:rsidRPr="00345548" w:rsidRDefault="008A432F" w:rsidP="00345548">
      <w:pPr>
        <w:spacing w:line="276" w:lineRule="auto"/>
        <w:rPr>
          <w:u w:val="single"/>
        </w:rPr>
      </w:pPr>
    </w:p>
    <w:p w:rsidR="005E1066" w:rsidRPr="00345548" w:rsidRDefault="005E1066" w:rsidP="00345548">
      <w:pPr>
        <w:spacing w:line="276" w:lineRule="auto"/>
        <w:jc w:val="center"/>
        <w:rPr>
          <w:u w:val="single"/>
        </w:rPr>
      </w:pPr>
      <w:r w:rsidRPr="00345548">
        <w:rPr>
          <w:u w:val="single"/>
        </w:rPr>
        <w:t>DISCUSSION</w:t>
      </w:r>
    </w:p>
    <w:p w:rsidR="005E1066" w:rsidRPr="00345548" w:rsidRDefault="005E1066" w:rsidP="00345548">
      <w:pPr>
        <w:tabs>
          <w:tab w:val="left" w:pos="2160"/>
        </w:tabs>
        <w:spacing w:line="360" w:lineRule="auto"/>
        <w:jc w:val="center"/>
        <w:rPr>
          <w:u w:val="single"/>
        </w:rPr>
      </w:pPr>
    </w:p>
    <w:p w:rsidR="007C12B8" w:rsidRPr="00345548" w:rsidRDefault="005E1066" w:rsidP="00345548">
      <w:pPr>
        <w:spacing w:line="360" w:lineRule="auto"/>
        <w:ind w:firstLine="1440"/>
      </w:pPr>
      <w:r w:rsidRPr="00345548">
        <w:t xml:space="preserve">In the formal Complaint, Complainant </w:t>
      </w:r>
      <w:r w:rsidR="00380508" w:rsidRPr="00345548">
        <w:t xml:space="preserve">alleged </w:t>
      </w:r>
      <w:r w:rsidR="00AC009E" w:rsidRPr="00345548">
        <w:t xml:space="preserve">that </w:t>
      </w:r>
      <w:r w:rsidR="007C12B8" w:rsidRPr="00345548">
        <w:t xml:space="preserve">PPL was overcharging him and “not being reasonably fair with their bills.”  </w:t>
      </w:r>
      <w:proofErr w:type="gramStart"/>
      <w:r w:rsidR="007C12B8" w:rsidRPr="00345548">
        <w:rPr>
          <w:bCs/>
        </w:rPr>
        <w:t>Complaint ¶ 4.</w:t>
      </w:r>
      <w:proofErr w:type="gramEnd"/>
      <w:r w:rsidR="007C12B8" w:rsidRPr="00345548">
        <w:t xml:space="preserve">  As relief, </w:t>
      </w:r>
      <w:r w:rsidR="00EC2F98" w:rsidRPr="00345548">
        <w:t>he requested a payment agreement.</w:t>
      </w:r>
      <w:r w:rsidR="008246B8" w:rsidRPr="00345548">
        <w:rPr>
          <w:bCs/>
        </w:rPr>
        <w:t xml:space="preserve">  </w:t>
      </w:r>
      <w:r w:rsidRPr="00345548">
        <w:t xml:space="preserve">As the party seeking affirmative relief from the Commission, the Complainant bears the burden of proof.  </w:t>
      </w:r>
      <w:proofErr w:type="gramStart"/>
      <w:r w:rsidRPr="00345548">
        <w:t>66 Pa. C.S. § 332(a).</w:t>
      </w:r>
      <w:proofErr w:type="gramEnd"/>
      <w:r w:rsidRPr="00345548">
        <w:t xml:space="preserve"> </w:t>
      </w:r>
    </w:p>
    <w:p w:rsidR="008246B8" w:rsidRPr="00345548" w:rsidRDefault="008246B8" w:rsidP="00345548">
      <w:pPr>
        <w:tabs>
          <w:tab w:val="left" w:pos="-1440"/>
          <w:tab w:val="left" w:pos="-720"/>
        </w:tabs>
        <w:suppressAutoHyphens/>
        <w:spacing w:line="360" w:lineRule="auto"/>
      </w:pPr>
    </w:p>
    <w:p w:rsidR="005E1066" w:rsidRPr="00345548" w:rsidRDefault="005E1066" w:rsidP="00345548">
      <w:pPr>
        <w:spacing w:line="360" w:lineRule="auto"/>
        <w:ind w:firstLine="1440"/>
      </w:pPr>
      <w:r w:rsidRPr="00345548">
        <w:t xml:space="preserve">The issue in this matter is whether the Complainant sustained </w:t>
      </w:r>
      <w:r w:rsidR="00E55E77" w:rsidRPr="00345548">
        <w:t>h</w:t>
      </w:r>
      <w:r w:rsidR="007C12B8" w:rsidRPr="00345548">
        <w:t>is</w:t>
      </w:r>
      <w:r w:rsidRPr="00345548">
        <w:t xml:space="preserve"> burden of proof.  By failing to participate in the hearing, Complainant was unable to meet </w:t>
      </w:r>
      <w:r w:rsidR="00E55E77" w:rsidRPr="00345548">
        <w:t>h</w:t>
      </w:r>
      <w:r w:rsidR="007C12B8" w:rsidRPr="00345548">
        <w:t>is</w:t>
      </w:r>
      <w:r w:rsidRPr="00345548">
        <w:t xml:space="preserve"> burden.</w:t>
      </w:r>
    </w:p>
    <w:p w:rsidR="005E1066" w:rsidRPr="00345548" w:rsidRDefault="005E1066" w:rsidP="00345548">
      <w:pPr>
        <w:spacing w:line="360" w:lineRule="auto"/>
        <w:ind w:firstLine="1440"/>
        <w:rPr>
          <w:spacing w:val="-3"/>
        </w:rPr>
      </w:pPr>
    </w:p>
    <w:p w:rsidR="005E1066" w:rsidRPr="00345548" w:rsidRDefault="005E1066" w:rsidP="00345548">
      <w:pPr>
        <w:spacing w:line="360" w:lineRule="auto"/>
        <w:ind w:firstLine="1440"/>
        <w:rPr>
          <w:spacing w:val="-3"/>
        </w:rPr>
      </w:pPr>
      <w:r w:rsidRPr="00345548">
        <w:rPr>
          <w:spacing w:val="-3"/>
        </w:rPr>
        <w:t xml:space="preserve">To satisfy this burden, a complainant must show that the named utility is responsible or accountable for the problem described in the Complaint.  </w:t>
      </w:r>
      <w:proofErr w:type="gramStart"/>
      <w:r w:rsidRPr="00345548">
        <w:rPr>
          <w:spacing w:val="-3"/>
          <w:u w:val="single"/>
        </w:rPr>
        <w:t>Patterson v. Bell Telephone Company of Pennsylvania</w:t>
      </w:r>
      <w:r w:rsidRPr="00345548">
        <w:rPr>
          <w:spacing w:val="-3"/>
        </w:rPr>
        <w:t xml:space="preserve">, 72 PA PUC 196 (1990); </w:t>
      </w:r>
      <w:r w:rsidRPr="00345548">
        <w:rPr>
          <w:spacing w:val="-3"/>
          <w:u w:val="single"/>
        </w:rPr>
        <w:t>Feinstein v. Philadelphia Suburban Water Company</w:t>
      </w:r>
      <w:r w:rsidRPr="00345548">
        <w:rPr>
          <w:spacing w:val="-3"/>
        </w:rPr>
        <w:t>, 50 PA PUC 300 (1976).</w:t>
      </w:r>
      <w:proofErr w:type="gramEnd"/>
      <w:r w:rsidRPr="00345548">
        <w:rPr>
          <w:spacing w:val="-3"/>
        </w:rPr>
        <w:t xml:space="preserve">  This must be shown by a preponderance of the evidence.  </w:t>
      </w:r>
      <w:proofErr w:type="gramStart"/>
      <w:r w:rsidRPr="00345548">
        <w:rPr>
          <w:spacing w:val="-3"/>
          <w:u w:val="single"/>
        </w:rPr>
        <w:t xml:space="preserve">Samuel J. Lansberry, Inc. v. PA Public Utility </w:t>
      </w:r>
      <w:proofErr w:type="spellStart"/>
      <w:r w:rsidRPr="00345548">
        <w:rPr>
          <w:spacing w:val="-3"/>
          <w:u w:val="single"/>
        </w:rPr>
        <w:t>Comm’n</w:t>
      </w:r>
      <w:proofErr w:type="spellEnd"/>
      <w:r w:rsidRPr="00345548">
        <w:rPr>
          <w:spacing w:val="-3"/>
        </w:rPr>
        <w:t xml:space="preserve">, 578 A.2d 600 (Pa. </w:t>
      </w:r>
      <w:proofErr w:type="spellStart"/>
      <w:r w:rsidRPr="00345548">
        <w:rPr>
          <w:spacing w:val="-3"/>
        </w:rPr>
        <w:t>Cmwlth</w:t>
      </w:r>
      <w:proofErr w:type="spellEnd"/>
      <w:r w:rsidRPr="00345548">
        <w:rPr>
          <w:spacing w:val="-3"/>
        </w:rPr>
        <w:t xml:space="preserve">. 1990), </w:t>
      </w:r>
      <w:proofErr w:type="spellStart"/>
      <w:r w:rsidRPr="00345548">
        <w:rPr>
          <w:i/>
          <w:spacing w:val="-3"/>
        </w:rPr>
        <w:t>alloc</w:t>
      </w:r>
      <w:proofErr w:type="spellEnd"/>
      <w:r w:rsidRPr="00345548">
        <w:rPr>
          <w:i/>
          <w:spacing w:val="-3"/>
        </w:rPr>
        <w:t>.</w:t>
      </w:r>
      <w:proofErr w:type="gramEnd"/>
      <w:r w:rsidRPr="00345548">
        <w:rPr>
          <w:i/>
          <w:spacing w:val="-3"/>
        </w:rPr>
        <w:t xml:space="preserve"> </w:t>
      </w:r>
      <w:proofErr w:type="gramStart"/>
      <w:r w:rsidRPr="00345548">
        <w:rPr>
          <w:i/>
          <w:spacing w:val="-3"/>
        </w:rPr>
        <w:t>den.</w:t>
      </w:r>
      <w:r w:rsidRPr="00345548">
        <w:rPr>
          <w:spacing w:val="-3"/>
        </w:rPr>
        <w:t>, 602 A.2d 863 (Pa. 1992).</w:t>
      </w:r>
      <w:proofErr w:type="gramEnd"/>
      <w:r w:rsidRPr="00345548">
        <w:rPr>
          <w:spacing w:val="-3"/>
        </w:rPr>
        <w:t xml:space="preserve">  That is, by presenting evidence more convincing, by even the smallest amount, than that presented by the other party.  </w:t>
      </w:r>
      <w:proofErr w:type="gramStart"/>
      <w:r w:rsidRPr="00345548">
        <w:rPr>
          <w:spacing w:val="-3"/>
          <w:u w:val="single"/>
        </w:rPr>
        <w:t>Se-Ling Hosiery v. Mar</w:t>
      </w:r>
      <w:r w:rsidR="008C5DFC" w:rsidRPr="00345548">
        <w:rPr>
          <w:spacing w:val="-3"/>
          <w:u w:val="single"/>
        </w:rPr>
        <w:t>g</w:t>
      </w:r>
      <w:r w:rsidRPr="00345548">
        <w:rPr>
          <w:spacing w:val="-3"/>
          <w:u w:val="single"/>
        </w:rPr>
        <w:t>ulies</w:t>
      </w:r>
      <w:r w:rsidRPr="00345548">
        <w:rPr>
          <w:spacing w:val="-3"/>
        </w:rPr>
        <w:t>, 70 A.2d 854 (Pa.</w:t>
      </w:r>
      <w:proofErr w:type="gramEnd"/>
      <w:r w:rsidRPr="00345548">
        <w:rPr>
          <w:spacing w:val="-3"/>
        </w:rPr>
        <w:t xml:space="preserve">  1950)</w:t>
      </w:r>
      <w:proofErr w:type="gramStart"/>
      <w:r w:rsidRPr="00345548">
        <w:rPr>
          <w:spacing w:val="-3"/>
        </w:rPr>
        <w:t>.  Additionally</w:t>
      </w:r>
      <w:proofErr w:type="gramEnd"/>
      <w:r w:rsidRPr="00345548">
        <w:rPr>
          <w:spacing w:val="-3"/>
        </w:rPr>
        <w:t xml:space="preserve">, any finding of fact necessary to support the Commission’s adjudication must be based upon substantial evidence.  </w:t>
      </w:r>
      <w:proofErr w:type="gramStart"/>
      <w:r w:rsidRPr="00345548">
        <w:rPr>
          <w:spacing w:val="-3"/>
          <w:u w:val="single"/>
        </w:rPr>
        <w:t xml:space="preserve">Mill v. </w:t>
      </w:r>
      <w:proofErr w:type="spellStart"/>
      <w:r w:rsidRPr="00345548">
        <w:rPr>
          <w:spacing w:val="-3"/>
          <w:u w:val="single"/>
        </w:rPr>
        <w:t>Comm’w</w:t>
      </w:r>
      <w:proofErr w:type="spellEnd"/>
      <w:r w:rsidRPr="00345548">
        <w:rPr>
          <w:spacing w:val="-3"/>
          <w:u w:val="single"/>
        </w:rPr>
        <w:t>., PA Pub.</w:t>
      </w:r>
      <w:proofErr w:type="gramEnd"/>
      <w:r w:rsidRPr="00345548">
        <w:rPr>
          <w:spacing w:val="-3"/>
          <w:u w:val="single"/>
        </w:rPr>
        <w:t xml:space="preserve"> </w:t>
      </w:r>
      <w:proofErr w:type="gramStart"/>
      <w:r w:rsidRPr="00345548">
        <w:rPr>
          <w:spacing w:val="-3"/>
          <w:u w:val="single"/>
        </w:rPr>
        <w:t xml:space="preserve">Util. </w:t>
      </w:r>
      <w:proofErr w:type="spellStart"/>
      <w:r w:rsidRPr="00345548">
        <w:rPr>
          <w:spacing w:val="-3"/>
          <w:u w:val="single"/>
        </w:rPr>
        <w:t>Comm’n</w:t>
      </w:r>
      <w:proofErr w:type="spellEnd"/>
      <w:r w:rsidRPr="00345548">
        <w:rPr>
          <w:spacing w:val="-3"/>
        </w:rPr>
        <w:t xml:space="preserve">, 447 A.2d 1100 (Pa. </w:t>
      </w:r>
      <w:proofErr w:type="spellStart"/>
      <w:r w:rsidRPr="00345548">
        <w:rPr>
          <w:spacing w:val="-3"/>
        </w:rPr>
        <w:t>Cmwlth</w:t>
      </w:r>
      <w:proofErr w:type="spellEnd"/>
      <w:r w:rsidRPr="00345548">
        <w:rPr>
          <w:spacing w:val="-3"/>
        </w:rPr>
        <w:t xml:space="preserve">. 1982); </w:t>
      </w:r>
      <w:proofErr w:type="spellStart"/>
      <w:r w:rsidRPr="00345548">
        <w:rPr>
          <w:spacing w:val="-3"/>
          <w:u w:val="single"/>
        </w:rPr>
        <w:t>Edan</w:t>
      </w:r>
      <w:proofErr w:type="spellEnd"/>
      <w:r w:rsidRPr="00345548">
        <w:rPr>
          <w:spacing w:val="-3"/>
          <w:u w:val="single"/>
        </w:rPr>
        <w:t xml:space="preserve"> Transportation Corp. v. PA Pub.</w:t>
      </w:r>
      <w:proofErr w:type="gramEnd"/>
      <w:r w:rsidRPr="00345548">
        <w:rPr>
          <w:spacing w:val="-3"/>
          <w:u w:val="single"/>
        </w:rPr>
        <w:t xml:space="preserve"> </w:t>
      </w:r>
      <w:proofErr w:type="gramStart"/>
      <w:r w:rsidRPr="00345548">
        <w:rPr>
          <w:spacing w:val="-3"/>
          <w:u w:val="single"/>
        </w:rPr>
        <w:t xml:space="preserve">Util. </w:t>
      </w:r>
      <w:proofErr w:type="spellStart"/>
      <w:r w:rsidRPr="00345548">
        <w:rPr>
          <w:spacing w:val="-3"/>
          <w:u w:val="single"/>
        </w:rPr>
        <w:t>Comm’n</w:t>
      </w:r>
      <w:proofErr w:type="spellEnd"/>
      <w:r w:rsidRPr="00345548">
        <w:rPr>
          <w:spacing w:val="-3"/>
        </w:rPr>
        <w:t xml:space="preserve">, 623 A.2d 6 (Pa. </w:t>
      </w:r>
      <w:proofErr w:type="spellStart"/>
      <w:r w:rsidRPr="00345548">
        <w:rPr>
          <w:spacing w:val="-3"/>
        </w:rPr>
        <w:t>Cmwlth</w:t>
      </w:r>
      <w:proofErr w:type="spellEnd"/>
      <w:r w:rsidRPr="00345548">
        <w:rPr>
          <w:spacing w:val="-3"/>
        </w:rPr>
        <w:t xml:space="preserve">. </w:t>
      </w:r>
      <w:r w:rsidRPr="00345548">
        <w:rPr>
          <w:spacing w:val="-3"/>
        </w:rPr>
        <w:lastRenderedPageBreak/>
        <w:t xml:space="preserve">1993), 2 </w:t>
      </w:r>
      <w:proofErr w:type="spellStart"/>
      <w:r w:rsidRPr="00345548">
        <w:rPr>
          <w:spacing w:val="-3"/>
        </w:rPr>
        <w:t>Pa.C.S</w:t>
      </w:r>
      <w:proofErr w:type="spellEnd"/>
      <w:r w:rsidRPr="00345548">
        <w:rPr>
          <w:spacing w:val="-3"/>
        </w:rPr>
        <w:t>.</w:t>
      </w:r>
      <w:proofErr w:type="gramEnd"/>
      <w:r w:rsidRPr="00345548">
        <w:rPr>
          <w:spacing w:val="-3"/>
        </w:rPr>
        <w:t xml:space="preserve"> §704.  More is required than a mere trace of evidence or a suspicion of the existence of a fact sought to be established.  </w:t>
      </w:r>
      <w:proofErr w:type="gramStart"/>
      <w:r w:rsidRPr="00345548">
        <w:rPr>
          <w:spacing w:val="-3"/>
          <w:u w:val="single"/>
        </w:rPr>
        <w:t>Norfolk and Western Ry. v. PA Pub.</w:t>
      </w:r>
      <w:proofErr w:type="gramEnd"/>
      <w:r w:rsidRPr="00345548">
        <w:rPr>
          <w:spacing w:val="-3"/>
          <w:u w:val="single"/>
        </w:rPr>
        <w:t xml:space="preserve"> </w:t>
      </w:r>
      <w:proofErr w:type="gramStart"/>
      <w:r w:rsidRPr="00345548">
        <w:rPr>
          <w:spacing w:val="-3"/>
          <w:u w:val="single"/>
        </w:rPr>
        <w:t xml:space="preserve">Util. </w:t>
      </w:r>
      <w:proofErr w:type="spellStart"/>
      <w:r w:rsidRPr="00345548">
        <w:rPr>
          <w:spacing w:val="-3"/>
          <w:u w:val="single"/>
        </w:rPr>
        <w:t>Comm’n</w:t>
      </w:r>
      <w:proofErr w:type="spellEnd"/>
      <w:r w:rsidRPr="00345548">
        <w:rPr>
          <w:spacing w:val="-3"/>
        </w:rPr>
        <w:t xml:space="preserve">, 413 A.2d 1037 (Pa. 1980); </w:t>
      </w:r>
      <w:r w:rsidRPr="00345548">
        <w:rPr>
          <w:spacing w:val="-3"/>
          <w:u w:val="single"/>
        </w:rPr>
        <w:t>Erie Resistor Corp. v. Unemployment Compensation Bd. of Review</w:t>
      </w:r>
      <w:r w:rsidRPr="00345548">
        <w:rPr>
          <w:spacing w:val="-3"/>
        </w:rPr>
        <w:t xml:space="preserve">, 166 A.2d 96 (Pa. Super. 1960); </w:t>
      </w:r>
      <w:r w:rsidRPr="00345548">
        <w:rPr>
          <w:spacing w:val="-3"/>
          <w:u w:val="single"/>
        </w:rPr>
        <w:t>Murphy v. Commonwealth, Dep’t.</w:t>
      </w:r>
      <w:proofErr w:type="gramEnd"/>
      <w:r w:rsidRPr="00345548">
        <w:rPr>
          <w:spacing w:val="-3"/>
          <w:u w:val="single"/>
        </w:rPr>
        <w:t xml:space="preserve"> </w:t>
      </w:r>
      <w:proofErr w:type="gramStart"/>
      <w:r w:rsidRPr="00345548">
        <w:rPr>
          <w:spacing w:val="-3"/>
          <w:u w:val="single"/>
        </w:rPr>
        <w:t>of</w:t>
      </w:r>
      <w:proofErr w:type="gramEnd"/>
      <w:r w:rsidRPr="00345548">
        <w:rPr>
          <w:spacing w:val="-3"/>
          <w:u w:val="single"/>
        </w:rPr>
        <w:t xml:space="preserve"> Public Welfare, White Haven Center</w:t>
      </w:r>
      <w:r w:rsidRPr="00345548">
        <w:rPr>
          <w:spacing w:val="-3"/>
        </w:rPr>
        <w:t xml:space="preserve">, 480 A.2d 382 (Pa. </w:t>
      </w:r>
      <w:proofErr w:type="spellStart"/>
      <w:r w:rsidRPr="00345548">
        <w:rPr>
          <w:spacing w:val="-3"/>
        </w:rPr>
        <w:t>Cmwlth</w:t>
      </w:r>
      <w:proofErr w:type="spellEnd"/>
      <w:r w:rsidRPr="00345548">
        <w:rPr>
          <w:spacing w:val="-3"/>
        </w:rPr>
        <w:t>. 1984).</w:t>
      </w:r>
    </w:p>
    <w:p w:rsidR="005E1066" w:rsidRPr="00345548" w:rsidRDefault="005E1066" w:rsidP="00345548">
      <w:pPr>
        <w:spacing w:line="360" w:lineRule="auto"/>
        <w:ind w:firstLine="1440"/>
        <w:rPr>
          <w:spacing w:val="-3"/>
        </w:rPr>
      </w:pPr>
    </w:p>
    <w:p w:rsidR="005E1066" w:rsidRPr="00345548" w:rsidRDefault="005E1066" w:rsidP="00345548">
      <w:pPr>
        <w:spacing w:line="360" w:lineRule="auto"/>
        <w:ind w:firstLine="1440"/>
      </w:pPr>
      <w:r w:rsidRPr="0034554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345548">
        <w:rPr>
          <w:u w:val="single"/>
        </w:rPr>
        <w:t>Schneider v. Pa. PUC</w:t>
      </w:r>
      <w:r w:rsidRPr="00345548">
        <w:t xml:space="preserve">, 479 A.2d 10 (Pa. </w:t>
      </w:r>
      <w:proofErr w:type="spellStart"/>
      <w:r w:rsidRPr="00345548">
        <w:t>Cmwlth</w:t>
      </w:r>
      <w:proofErr w:type="spellEnd"/>
      <w:r w:rsidRPr="00345548">
        <w:t>. 1984).</w:t>
      </w:r>
      <w:proofErr w:type="gramEnd"/>
      <w:r w:rsidRPr="00345548">
        <w:t xml:space="preserve">  </w:t>
      </w:r>
    </w:p>
    <w:p w:rsidR="005E1066" w:rsidRPr="00345548" w:rsidRDefault="005E1066" w:rsidP="00345548">
      <w:pPr>
        <w:spacing w:line="360" w:lineRule="auto"/>
        <w:ind w:firstLine="1440"/>
      </w:pPr>
    </w:p>
    <w:p w:rsidR="007C12B8" w:rsidRPr="00345548" w:rsidRDefault="002C0E5E" w:rsidP="00345548">
      <w:pPr>
        <w:tabs>
          <w:tab w:val="left" w:pos="2160"/>
        </w:tabs>
        <w:spacing w:line="360" w:lineRule="auto"/>
        <w:ind w:firstLine="1440"/>
      </w:pPr>
      <w:r w:rsidRPr="00345548">
        <w:t xml:space="preserve">On the day of the hearing, </w:t>
      </w:r>
      <w:r w:rsidR="007C12B8" w:rsidRPr="00345548">
        <w:t xml:space="preserve">the parties engaged in settlement discussions prior to going on the record.  </w:t>
      </w:r>
      <w:r w:rsidR="007A6516" w:rsidRPr="00345548">
        <w:t>Respondent’s counsel and witness attempted to make arrangements with Complainant to conduct a high bill investigation, as Mr. Herrera repeatedly stated that his bills were too high.  At the conclusion of the settlement discussions, Mr. Herrera stated that he would only participate in a high bill investigation with PPL if I directed the parties to do so in a court order.  I explained to Mr. Herrera that the matter could be continued to allow PPL to conduct a high bill investigation, but a court order would not be issued.  Mr. Herrera expressed distrust of PPL and indicated that a continuance was not acceptable; only a court order.  Mr. Herrera then indicated that he did not wish to pursue his Complaint unless directed to do so by a court order.  I again explained that a court order would not be issued and cautioned Mr. Herrera that the hearing would be held, even in his absence.  The undersigned, Respondent’s counsel and Respondent’s witness made several attempts to clarify the nature of the proceedings</w:t>
      </w:r>
      <w:r w:rsidR="00AB2E36" w:rsidRPr="00345548">
        <w:t xml:space="preserve"> before the Commission</w:t>
      </w:r>
      <w:r w:rsidR="007A6516" w:rsidRPr="00345548">
        <w:t>, referring back to the statements made in the Complaint.  Mr. Herrera’s tone became increasingly hostile and intemperate.  Mr. Herrera declined to further participate in the hearing, stating that he did not want to spend any more time on the matter and the matter would have to be resolved by PPL and the Commission.  Mr. Herrera then disconnected himself from the telephone call.</w:t>
      </w:r>
    </w:p>
    <w:p w:rsidR="00421338" w:rsidRPr="00345548" w:rsidRDefault="00421338" w:rsidP="00345548">
      <w:pPr>
        <w:tabs>
          <w:tab w:val="left" w:pos="2160"/>
        </w:tabs>
        <w:spacing w:line="360" w:lineRule="auto"/>
        <w:ind w:firstLine="1440"/>
      </w:pPr>
    </w:p>
    <w:p w:rsidR="007C12B8" w:rsidRPr="00345548" w:rsidRDefault="007C12B8" w:rsidP="00345548">
      <w:pPr>
        <w:tabs>
          <w:tab w:val="left" w:pos="2160"/>
        </w:tabs>
        <w:spacing w:line="360" w:lineRule="auto"/>
        <w:ind w:firstLine="1440"/>
      </w:pPr>
      <w:r w:rsidRPr="00345548">
        <w:t xml:space="preserve">In disconnecting from the hearing, Mr. Herrera terminated his participation in the hearing and the prosecution of his Complaint.  As the Commission stated in </w:t>
      </w:r>
      <w:r w:rsidRPr="00345548">
        <w:rPr>
          <w:u w:val="single"/>
        </w:rPr>
        <w:t>Mumma v. PPL Electric Utilities Corp.</w:t>
      </w:r>
      <w:r w:rsidRPr="00345548">
        <w:t xml:space="preserve">, Docket No. C-00014869 (Order entered January 24, 2002), “It is </w:t>
      </w:r>
      <w:r w:rsidRPr="00345548">
        <w:lastRenderedPageBreak/>
        <w:t>well</w:t>
      </w:r>
      <w:r w:rsidR="004E02F7">
        <w:noBreakHyphen/>
      </w:r>
      <w:bookmarkStart w:id="0" w:name="_GoBack"/>
      <w:bookmarkEnd w:id="0"/>
      <w:r w:rsidRPr="00345548">
        <w:t xml:space="preserve">established law that once timely </w:t>
      </w:r>
      <w:proofErr w:type="gramStart"/>
      <w:r w:rsidRPr="00345548">
        <w:t>notice of a hearing and the opportunity to be heard have</w:t>
      </w:r>
      <w:proofErr w:type="gramEnd"/>
      <w:r w:rsidRPr="00345548">
        <w:t xml:space="preserve"> been provided, it is the responsibility of the parties to be present a</w:t>
      </w:r>
      <w:r w:rsidR="002D17F1" w:rsidRPr="00345548">
        <w:t xml:space="preserve">nd participate in the hearing.  See also </w:t>
      </w:r>
      <w:r w:rsidR="005E1066" w:rsidRPr="00345548">
        <w:rPr>
          <w:u w:val="single"/>
        </w:rPr>
        <w:t>Setner v. Bell Telephone Co. of Pennsylvania</w:t>
      </w:r>
      <w:r w:rsidR="005E1066" w:rsidRPr="00345548">
        <w:t xml:space="preserve">, Docket No. </w:t>
      </w:r>
      <w:proofErr w:type="gramStart"/>
      <w:r w:rsidR="005E1066" w:rsidRPr="00345548">
        <w:t>F-00161106 (Opinion and Order entered October 25, 1993).</w:t>
      </w:r>
      <w:proofErr w:type="gramEnd"/>
      <w:r w:rsidR="005E1066" w:rsidRPr="00345548">
        <w:t xml:space="preserve">  Complainant waived the opportunity to participate in the hearing by </w:t>
      </w:r>
      <w:r w:rsidRPr="00345548">
        <w:t>terminating his participation.</w:t>
      </w:r>
    </w:p>
    <w:p w:rsidR="007C12B8" w:rsidRPr="00345548" w:rsidRDefault="007C12B8" w:rsidP="00345548">
      <w:pPr>
        <w:tabs>
          <w:tab w:val="left" w:pos="2160"/>
        </w:tabs>
        <w:spacing w:line="360" w:lineRule="auto"/>
        <w:ind w:firstLine="1440"/>
      </w:pPr>
    </w:p>
    <w:p w:rsidR="005E1066" w:rsidRPr="00345548" w:rsidRDefault="007C12B8" w:rsidP="00345548">
      <w:pPr>
        <w:tabs>
          <w:tab w:val="left" w:pos="2160"/>
        </w:tabs>
        <w:spacing w:line="360" w:lineRule="auto"/>
        <w:ind w:firstLine="1440"/>
      </w:pPr>
      <w:r w:rsidRPr="00345548">
        <w:t xml:space="preserve">Due to Complainant’s willful failure to prosecute his case at a hearing of which he had notice, </w:t>
      </w:r>
      <w:r w:rsidR="00CA7243" w:rsidRPr="00345548">
        <w:t xml:space="preserve">I will grant the Respondent’s motion and </w:t>
      </w:r>
      <w:r w:rsidR="00F73DA9" w:rsidRPr="00345548">
        <w:t>dismiss the Complaint with prejudice</w:t>
      </w:r>
      <w:r w:rsidRPr="00345548">
        <w:t xml:space="preserve"> in accordance with well-established Commission precedent.  </w:t>
      </w:r>
      <w:r w:rsidR="005E1066" w:rsidRPr="00345548">
        <w:rPr>
          <w:u w:val="single"/>
        </w:rPr>
        <w:t>Jefferson v. UGI Utilities, Inc.</w:t>
      </w:r>
      <w:r w:rsidR="005E1066" w:rsidRPr="00345548">
        <w:t xml:space="preserve">, Docket No. </w:t>
      </w:r>
      <w:proofErr w:type="gramStart"/>
      <w:r w:rsidR="005E1066" w:rsidRPr="00345548">
        <w:t>Z-00269892 (O</w:t>
      </w:r>
      <w:r w:rsidRPr="00345548">
        <w:t xml:space="preserve">rder entered December 26, 1995); </w:t>
      </w:r>
      <w:r w:rsidRPr="00345548">
        <w:rPr>
          <w:u w:val="single"/>
        </w:rPr>
        <w:t>Kenny v. PPL Electric Utilities Corporation</w:t>
      </w:r>
      <w:r w:rsidRPr="00345548">
        <w:t>, Docket No.</w:t>
      </w:r>
      <w:proofErr w:type="gramEnd"/>
      <w:r w:rsidRPr="00345548">
        <w:t xml:space="preserve"> C-22042399 (Order entered October 13, 2004); </w:t>
      </w:r>
      <w:r w:rsidRPr="00345548">
        <w:rPr>
          <w:u w:val="single"/>
        </w:rPr>
        <w:t>Jones v. The Peoples Natural Gas Company d/b/a Dominion Peoples</w:t>
      </w:r>
      <w:r w:rsidRPr="00345548">
        <w:t>, Docket No. C-20054885 (Order entered February 14, 2006).</w:t>
      </w:r>
    </w:p>
    <w:p w:rsidR="005E1066" w:rsidRPr="00345548" w:rsidRDefault="005E1066" w:rsidP="00345548">
      <w:pPr>
        <w:spacing w:line="360" w:lineRule="auto"/>
        <w:rPr>
          <w:spacing w:val="-3"/>
        </w:rPr>
      </w:pPr>
    </w:p>
    <w:p w:rsidR="005E1066" w:rsidRPr="00345548" w:rsidRDefault="003770A4" w:rsidP="00345548">
      <w:pPr>
        <w:spacing w:line="360" w:lineRule="auto"/>
        <w:jc w:val="center"/>
        <w:rPr>
          <w:u w:val="single"/>
        </w:rPr>
      </w:pPr>
      <w:r w:rsidRPr="00345548">
        <w:rPr>
          <w:u w:val="single"/>
        </w:rPr>
        <w:t>C</w:t>
      </w:r>
      <w:r w:rsidR="005E1066" w:rsidRPr="00345548">
        <w:rPr>
          <w:u w:val="single"/>
        </w:rPr>
        <w:t>ONCLUSIONS OF LAW</w:t>
      </w:r>
    </w:p>
    <w:p w:rsidR="005E1066" w:rsidRPr="00345548" w:rsidRDefault="005E1066" w:rsidP="00345548">
      <w:pPr>
        <w:spacing w:line="360" w:lineRule="auto"/>
        <w:ind w:firstLine="1440"/>
      </w:pPr>
    </w:p>
    <w:p w:rsidR="005E1066" w:rsidRPr="00345548" w:rsidRDefault="005E1066" w:rsidP="00345548">
      <w:pPr>
        <w:numPr>
          <w:ilvl w:val="0"/>
          <w:numId w:val="1"/>
        </w:numPr>
        <w:tabs>
          <w:tab w:val="clear" w:pos="900"/>
          <w:tab w:val="num" w:pos="2160"/>
        </w:tabs>
        <w:spacing w:line="360" w:lineRule="auto"/>
        <w:ind w:left="0" w:firstLine="1440"/>
      </w:pPr>
      <w:r w:rsidRPr="00345548">
        <w:t>The Commission has jurisdiction over the parties and the subject matter of this proceeding.  66 Pa. C.S. § 701.</w:t>
      </w:r>
    </w:p>
    <w:p w:rsidR="005E1066" w:rsidRPr="00345548" w:rsidRDefault="005E1066" w:rsidP="00345548">
      <w:pPr>
        <w:spacing w:line="360" w:lineRule="auto"/>
      </w:pPr>
    </w:p>
    <w:p w:rsidR="00706349" w:rsidRPr="00345548" w:rsidRDefault="00706349" w:rsidP="00345548">
      <w:pPr>
        <w:numPr>
          <w:ilvl w:val="0"/>
          <w:numId w:val="1"/>
        </w:numPr>
        <w:tabs>
          <w:tab w:val="clear" w:pos="900"/>
          <w:tab w:val="num" w:pos="2160"/>
        </w:tabs>
        <w:spacing w:line="360" w:lineRule="auto"/>
        <w:ind w:left="0" w:firstLine="1440"/>
      </w:pPr>
      <w:r w:rsidRPr="00345548">
        <w:t>The due process rights of Complainant have been ful</w:t>
      </w:r>
      <w:r w:rsidR="00174A4D" w:rsidRPr="00345548">
        <w:t>ly protected in this proceeding</w:t>
      </w:r>
      <w:r w:rsidRPr="00345548">
        <w:t xml:space="preserve">.  </w:t>
      </w:r>
      <w:r w:rsidRPr="00345548">
        <w:rPr>
          <w:u w:val="single"/>
        </w:rPr>
        <w:t>Setner v. Bell Telephone Co. of Pennsylvania</w:t>
      </w:r>
      <w:r w:rsidRPr="00345548">
        <w:t>, Docket No. F-00161106 (Opinion and Order entered October 25, 1993); 52 Pa. Code § 5.245(a).</w:t>
      </w:r>
    </w:p>
    <w:p w:rsidR="00706349" w:rsidRPr="00345548" w:rsidRDefault="00706349" w:rsidP="00345548">
      <w:pPr>
        <w:pStyle w:val="ListParagraph"/>
        <w:ind w:left="0"/>
      </w:pPr>
    </w:p>
    <w:p w:rsidR="005E1066" w:rsidRPr="00345548" w:rsidRDefault="00706349" w:rsidP="00345548">
      <w:pPr>
        <w:numPr>
          <w:ilvl w:val="0"/>
          <w:numId w:val="1"/>
        </w:numPr>
        <w:tabs>
          <w:tab w:val="clear" w:pos="900"/>
          <w:tab w:val="num" w:pos="2160"/>
        </w:tabs>
        <w:spacing w:line="360" w:lineRule="auto"/>
        <w:ind w:left="0" w:firstLine="1440"/>
      </w:pPr>
      <w:r w:rsidRPr="00345548">
        <w:t>The burden of proof in this proceeding is upon the Complainant</w:t>
      </w:r>
      <w:r w:rsidR="005E1066" w:rsidRPr="00345548">
        <w:t>.  66 Pa. C.S. § 332(a)</w:t>
      </w:r>
    </w:p>
    <w:p w:rsidR="005E1066" w:rsidRPr="00345548" w:rsidRDefault="005E1066" w:rsidP="00345548">
      <w:pPr>
        <w:pStyle w:val="ListParagraph"/>
        <w:ind w:left="0"/>
      </w:pPr>
    </w:p>
    <w:p w:rsidR="005E1066" w:rsidRPr="00345548" w:rsidRDefault="005E1066" w:rsidP="00345548">
      <w:pPr>
        <w:numPr>
          <w:ilvl w:val="0"/>
          <w:numId w:val="2"/>
        </w:numPr>
        <w:tabs>
          <w:tab w:val="clear" w:pos="1800"/>
          <w:tab w:val="num" w:pos="2160"/>
        </w:tabs>
        <w:spacing w:line="360" w:lineRule="auto"/>
        <w:ind w:left="0" w:firstLine="1440"/>
      </w:pPr>
      <w:r w:rsidRPr="00345548">
        <w:t xml:space="preserve">By failing to </w:t>
      </w:r>
      <w:r w:rsidR="00706349" w:rsidRPr="00345548">
        <w:t>present any evidence, the Complainant has failed to satisfy the burden of proof.  66 Pa. C.S. § 332(a)</w:t>
      </w:r>
    </w:p>
    <w:p w:rsidR="005C6A76" w:rsidRPr="00345548" w:rsidRDefault="005C6A76" w:rsidP="00345548">
      <w:pPr>
        <w:pStyle w:val="ListParagraph"/>
        <w:ind w:left="0"/>
      </w:pPr>
    </w:p>
    <w:p w:rsidR="005E1066" w:rsidRPr="00345548" w:rsidRDefault="005E1066" w:rsidP="00345548">
      <w:pPr>
        <w:numPr>
          <w:ilvl w:val="0"/>
          <w:numId w:val="2"/>
        </w:numPr>
        <w:tabs>
          <w:tab w:val="clear" w:pos="1800"/>
          <w:tab w:val="num" w:pos="0"/>
        </w:tabs>
        <w:spacing w:line="360" w:lineRule="auto"/>
        <w:ind w:left="0" w:firstLine="1440"/>
      </w:pPr>
      <w:r w:rsidRPr="00345548">
        <w:t>Complainant’s Complaint is dismi</w:t>
      </w:r>
      <w:r w:rsidR="00131DD2" w:rsidRPr="00345548">
        <w:t xml:space="preserve">ssed with prejudice for lack of </w:t>
      </w:r>
      <w:r w:rsidRPr="00345548">
        <w:t xml:space="preserve">prosecution.  </w:t>
      </w:r>
      <w:r w:rsidRPr="00345548">
        <w:rPr>
          <w:u w:val="single"/>
        </w:rPr>
        <w:t>Jefferson v. UGI Utilities, Inc.</w:t>
      </w:r>
      <w:r w:rsidRPr="00345548">
        <w:t xml:space="preserve"> Docke</w:t>
      </w:r>
      <w:r w:rsidR="00131DD2" w:rsidRPr="00345548">
        <w:t xml:space="preserve">t No. Z-00269892 (Order entered </w:t>
      </w:r>
      <w:r w:rsidRPr="00345548">
        <w:t>December 26, 1995).</w:t>
      </w:r>
    </w:p>
    <w:p w:rsidR="005E1066" w:rsidRPr="00345548" w:rsidRDefault="005E1066" w:rsidP="00345548">
      <w:pPr>
        <w:tabs>
          <w:tab w:val="num" w:pos="1440"/>
        </w:tabs>
        <w:spacing w:line="360" w:lineRule="auto"/>
        <w:jc w:val="center"/>
        <w:rPr>
          <w:u w:val="single"/>
        </w:rPr>
      </w:pPr>
      <w:r w:rsidRPr="00345548">
        <w:rPr>
          <w:u w:val="single"/>
        </w:rPr>
        <w:lastRenderedPageBreak/>
        <w:t>ORDER</w:t>
      </w:r>
    </w:p>
    <w:p w:rsidR="00C11328" w:rsidRPr="00345548" w:rsidRDefault="00C11328" w:rsidP="00345548">
      <w:pPr>
        <w:tabs>
          <w:tab w:val="num" w:pos="1440"/>
        </w:tabs>
        <w:spacing w:line="360" w:lineRule="auto"/>
        <w:jc w:val="center"/>
        <w:rPr>
          <w:u w:val="single"/>
        </w:rPr>
      </w:pPr>
    </w:p>
    <w:p w:rsidR="003770A4" w:rsidRPr="00345548" w:rsidRDefault="003770A4" w:rsidP="00345548">
      <w:pPr>
        <w:spacing w:line="360" w:lineRule="auto"/>
      </w:pPr>
    </w:p>
    <w:p w:rsidR="005E1066" w:rsidRPr="00345548" w:rsidRDefault="005E1066" w:rsidP="00345548">
      <w:pPr>
        <w:spacing w:line="360" w:lineRule="auto"/>
        <w:ind w:firstLine="1440"/>
      </w:pPr>
      <w:r w:rsidRPr="00345548">
        <w:t xml:space="preserve">THEREFORE, </w:t>
      </w:r>
    </w:p>
    <w:p w:rsidR="005E1066" w:rsidRPr="00345548" w:rsidRDefault="005E1066" w:rsidP="00345548">
      <w:pPr>
        <w:tabs>
          <w:tab w:val="num" w:pos="2160"/>
        </w:tabs>
        <w:spacing w:line="360" w:lineRule="auto"/>
      </w:pPr>
    </w:p>
    <w:p w:rsidR="005E1066" w:rsidRPr="00345548" w:rsidRDefault="005E1066" w:rsidP="00345548">
      <w:pPr>
        <w:tabs>
          <w:tab w:val="num" w:pos="2160"/>
        </w:tabs>
        <w:spacing w:line="360" w:lineRule="auto"/>
        <w:ind w:firstLine="1440"/>
      </w:pPr>
      <w:r w:rsidRPr="00345548">
        <w:t>IT IS ORDERED:</w:t>
      </w:r>
    </w:p>
    <w:p w:rsidR="005E1066" w:rsidRPr="00345548" w:rsidRDefault="005E1066" w:rsidP="00345548">
      <w:pPr>
        <w:tabs>
          <w:tab w:val="num" w:pos="2160"/>
        </w:tabs>
        <w:spacing w:line="360" w:lineRule="auto"/>
        <w:rPr>
          <w:b/>
        </w:rPr>
      </w:pPr>
    </w:p>
    <w:p w:rsidR="005E1066" w:rsidRPr="00345548" w:rsidRDefault="005E1066" w:rsidP="00345548">
      <w:pPr>
        <w:spacing w:line="360" w:lineRule="auto"/>
        <w:ind w:firstLine="1440"/>
      </w:pPr>
      <w:r w:rsidRPr="00345548">
        <w:t>1.</w:t>
      </w:r>
      <w:r w:rsidRPr="00345548">
        <w:tab/>
        <w:t xml:space="preserve">That the motion of </w:t>
      </w:r>
      <w:r w:rsidR="00706349" w:rsidRPr="00345548">
        <w:t>PPL Electric Utilities Corporation</w:t>
      </w:r>
      <w:r w:rsidRPr="00345548">
        <w:t xml:space="preserve"> to dismiss the Complaint of </w:t>
      </w:r>
      <w:r w:rsidR="00706349" w:rsidRPr="00345548">
        <w:t>Avelino Herrera</w:t>
      </w:r>
      <w:r w:rsidR="009E707D" w:rsidRPr="00345548">
        <w:t xml:space="preserve"> </w:t>
      </w:r>
      <w:r w:rsidRPr="00345548">
        <w:t xml:space="preserve">at Docket No. </w:t>
      </w:r>
      <w:r w:rsidR="00706349" w:rsidRPr="00345548">
        <w:t>F-2011-2276555</w:t>
      </w:r>
      <w:r w:rsidRPr="00345548">
        <w:t xml:space="preserve"> is granted.</w:t>
      </w:r>
    </w:p>
    <w:p w:rsidR="005E1066" w:rsidRPr="00345548" w:rsidRDefault="005E1066" w:rsidP="00345548">
      <w:pPr>
        <w:tabs>
          <w:tab w:val="num" w:pos="2160"/>
        </w:tabs>
        <w:spacing w:line="360" w:lineRule="auto"/>
      </w:pPr>
    </w:p>
    <w:p w:rsidR="005E1066" w:rsidRPr="00345548" w:rsidRDefault="005E1066" w:rsidP="00345548">
      <w:pPr>
        <w:tabs>
          <w:tab w:val="num" w:pos="2160"/>
        </w:tabs>
        <w:spacing w:line="360" w:lineRule="auto"/>
        <w:ind w:firstLine="1440"/>
      </w:pPr>
      <w:r w:rsidRPr="00345548">
        <w:t>2.</w:t>
      </w:r>
      <w:r w:rsidRPr="00345548">
        <w:tab/>
        <w:t xml:space="preserve">That the Formal Complaint filed by </w:t>
      </w:r>
      <w:r w:rsidR="00706349" w:rsidRPr="00345548">
        <w:t>Avelino Herrera</w:t>
      </w:r>
      <w:r w:rsidRPr="00345548">
        <w:t xml:space="preserve"> against </w:t>
      </w:r>
      <w:r w:rsidR="00706349" w:rsidRPr="00345548">
        <w:t>PPL Electric Utilities Co</w:t>
      </w:r>
      <w:r w:rsidR="001A2F9F" w:rsidRPr="00345548">
        <w:t>r</w:t>
      </w:r>
      <w:r w:rsidR="00706349" w:rsidRPr="00345548">
        <w:t>poration</w:t>
      </w:r>
      <w:r w:rsidRPr="00345548">
        <w:t xml:space="preserve"> at Docket No. </w:t>
      </w:r>
      <w:r w:rsidR="00706349" w:rsidRPr="00345548">
        <w:t>F-2011-2276555</w:t>
      </w:r>
      <w:r w:rsidRPr="00345548">
        <w:t xml:space="preserve"> is dismissed with prejudice.</w:t>
      </w:r>
    </w:p>
    <w:p w:rsidR="005E1066" w:rsidRPr="00345548" w:rsidRDefault="005E1066" w:rsidP="00345548">
      <w:pPr>
        <w:tabs>
          <w:tab w:val="num" w:pos="2160"/>
        </w:tabs>
        <w:spacing w:line="360" w:lineRule="auto"/>
        <w:ind w:firstLine="1440"/>
      </w:pPr>
    </w:p>
    <w:p w:rsidR="005E1066" w:rsidRPr="00345548" w:rsidRDefault="005E1066" w:rsidP="00345548">
      <w:pPr>
        <w:tabs>
          <w:tab w:val="num" w:pos="2160"/>
        </w:tabs>
        <w:spacing w:line="360" w:lineRule="auto"/>
        <w:ind w:firstLine="1440"/>
      </w:pPr>
      <w:r w:rsidRPr="00345548">
        <w:t>3.</w:t>
      </w:r>
      <w:r w:rsidRPr="00345548">
        <w:tab/>
        <w:t xml:space="preserve">That the record at Docket No. </w:t>
      </w:r>
      <w:r w:rsidR="00706349" w:rsidRPr="00345548">
        <w:t>F-2011-2276555</w:t>
      </w:r>
      <w:r w:rsidRPr="00345548">
        <w:t xml:space="preserve"> is marked closed.</w:t>
      </w:r>
    </w:p>
    <w:p w:rsidR="003770A4" w:rsidRPr="00345548" w:rsidRDefault="003770A4" w:rsidP="00345548">
      <w:pPr>
        <w:tabs>
          <w:tab w:val="num" w:pos="2160"/>
          <w:tab w:val="left" w:pos="5048"/>
        </w:tabs>
      </w:pPr>
    </w:p>
    <w:p w:rsidR="003770A4" w:rsidRPr="00345548" w:rsidRDefault="003770A4" w:rsidP="00345548">
      <w:pPr>
        <w:tabs>
          <w:tab w:val="num" w:pos="2160"/>
          <w:tab w:val="left" w:pos="5048"/>
        </w:tabs>
      </w:pPr>
    </w:p>
    <w:p w:rsidR="005E1066" w:rsidRPr="00345548" w:rsidRDefault="005E1066" w:rsidP="00345548">
      <w:pPr>
        <w:tabs>
          <w:tab w:val="num" w:pos="2160"/>
          <w:tab w:val="left" w:pos="5048"/>
        </w:tabs>
      </w:pPr>
      <w:r w:rsidRPr="00345548">
        <w:t xml:space="preserve">Dated: </w:t>
      </w:r>
      <w:r w:rsidR="00EC2F98" w:rsidRPr="00345548">
        <w:rPr>
          <w:u w:val="single"/>
        </w:rPr>
        <w:t xml:space="preserve">March </w:t>
      </w:r>
      <w:r w:rsidR="00706349" w:rsidRPr="00345548">
        <w:rPr>
          <w:u w:val="single"/>
        </w:rPr>
        <w:t>19</w:t>
      </w:r>
      <w:r w:rsidR="00B87678" w:rsidRPr="00345548">
        <w:rPr>
          <w:u w:val="single"/>
        </w:rPr>
        <w:t>, 2012</w:t>
      </w:r>
      <w:r w:rsidR="003770A4" w:rsidRPr="00345548">
        <w:tab/>
      </w:r>
      <w:r w:rsidRPr="00345548">
        <w:t>_________________________________</w:t>
      </w:r>
    </w:p>
    <w:p w:rsidR="005E1066" w:rsidRPr="00345548" w:rsidRDefault="005E1066" w:rsidP="00345548">
      <w:pPr>
        <w:tabs>
          <w:tab w:val="num" w:pos="2160"/>
        </w:tabs>
      </w:pPr>
      <w:r w:rsidRPr="00345548">
        <w:tab/>
      </w:r>
      <w:r w:rsidRPr="00345548">
        <w:tab/>
      </w:r>
      <w:r w:rsidRPr="00345548">
        <w:tab/>
      </w:r>
      <w:r w:rsidRPr="00345548">
        <w:tab/>
      </w:r>
      <w:r w:rsidRPr="00345548">
        <w:tab/>
        <w:t>Tiffany A. Hunt</w:t>
      </w:r>
    </w:p>
    <w:p w:rsidR="00E847A6" w:rsidRPr="00345548" w:rsidRDefault="005E1066" w:rsidP="00345548">
      <w:pPr>
        <w:tabs>
          <w:tab w:val="num" w:pos="2160"/>
        </w:tabs>
      </w:pPr>
      <w:r w:rsidRPr="00345548">
        <w:tab/>
      </w:r>
      <w:r w:rsidRPr="00345548">
        <w:tab/>
      </w:r>
      <w:r w:rsidRPr="00345548">
        <w:tab/>
      </w:r>
      <w:r w:rsidRPr="00345548">
        <w:tab/>
      </w:r>
      <w:r w:rsidRPr="00345548">
        <w:tab/>
        <w:t>Special Agent</w:t>
      </w:r>
    </w:p>
    <w:p w:rsidR="00E30359" w:rsidRPr="00345548" w:rsidRDefault="00E30359" w:rsidP="00345548">
      <w:pPr>
        <w:tabs>
          <w:tab w:val="num" w:pos="2160"/>
        </w:tabs>
      </w:pPr>
    </w:p>
    <w:sectPr w:rsidR="00E30359" w:rsidRPr="00345548"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B5" w:rsidRDefault="003E31B5" w:rsidP="002D00BA">
      <w:r>
        <w:separator/>
      </w:r>
    </w:p>
  </w:endnote>
  <w:endnote w:type="continuationSeparator" w:id="0">
    <w:p w:rsidR="003E31B5" w:rsidRDefault="003E31B5"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3E3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4E02F7">
      <w:rPr>
        <w:rStyle w:val="PageNumber"/>
        <w:noProof/>
        <w:sz w:val="20"/>
        <w:szCs w:val="20"/>
      </w:rPr>
      <w:t>6</w:t>
    </w:r>
    <w:r w:rsidRPr="0014242F">
      <w:rPr>
        <w:rStyle w:val="PageNumber"/>
        <w:sz w:val="20"/>
        <w:szCs w:val="20"/>
      </w:rPr>
      <w:fldChar w:fldCharType="end"/>
    </w:r>
  </w:p>
  <w:p w:rsidR="00B56A97" w:rsidRDefault="003E3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B5" w:rsidRDefault="003E31B5" w:rsidP="002D00BA">
      <w:r>
        <w:separator/>
      </w:r>
    </w:p>
  </w:footnote>
  <w:footnote w:type="continuationSeparator" w:id="0">
    <w:p w:rsidR="003E31B5" w:rsidRDefault="003E31B5"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44AB"/>
    <w:rsid w:val="00025102"/>
    <w:rsid w:val="00032D69"/>
    <w:rsid w:val="000440B1"/>
    <w:rsid w:val="00045B61"/>
    <w:rsid w:val="00054349"/>
    <w:rsid w:val="000648A8"/>
    <w:rsid w:val="00081ACA"/>
    <w:rsid w:val="0008408B"/>
    <w:rsid w:val="00085801"/>
    <w:rsid w:val="0009673F"/>
    <w:rsid w:val="000A2686"/>
    <w:rsid w:val="000A7E29"/>
    <w:rsid w:val="000B4DF0"/>
    <w:rsid w:val="000C6EE3"/>
    <w:rsid w:val="000E5E94"/>
    <w:rsid w:val="001053C9"/>
    <w:rsid w:val="001054D6"/>
    <w:rsid w:val="001062BE"/>
    <w:rsid w:val="00106ABB"/>
    <w:rsid w:val="0011030B"/>
    <w:rsid w:val="0011143C"/>
    <w:rsid w:val="001137DF"/>
    <w:rsid w:val="0011583F"/>
    <w:rsid w:val="0012237B"/>
    <w:rsid w:val="001266C9"/>
    <w:rsid w:val="00131DD2"/>
    <w:rsid w:val="0013584F"/>
    <w:rsid w:val="0013642C"/>
    <w:rsid w:val="0013749C"/>
    <w:rsid w:val="00142A9A"/>
    <w:rsid w:val="00144FE0"/>
    <w:rsid w:val="00150379"/>
    <w:rsid w:val="0015091B"/>
    <w:rsid w:val="00162D97"/>
    <w:rsid w:val="001642A5"/>
    <w:rsid w:val="00170CC6"/>
    <w:rsid w:val="001710BE"/>
    <w:rsid w:val="00174A4D"/>
    <w:rsid w:val="0017506C"/>
    <w:rsid w:val="00176182"/>
    <w:rsid w:val="00181793"/>
    <w:rsid w:val="001840AC"/>
    <w:rsid w:val="0018768E"/>
    <w:rsid w:val="001A2F9F"/>
    <w:rsid w:val="001B6BD7"/>
    <w:rsid w:val="001C3D0D"/>
    <w:rsid w:val="001C4D3C"/>
    <w:rsid w:val="001D201E"/>
    <w:rsid w:val="001E0230"/>
    <w:rsid w:val="001E0779"/>
    <w:rsid w:val="001E6050"/>
    <w:rsid w:val="001E797F"/>
    <w:rsid w:val="001F3C5C"/>
    <w:rsid w:val="00212EAB"/>
    <w:rsid w:val="0021441E"/>
    <w:rsid w:val="00226244"/>
    <w:rsid w:val="00227BF7"/>
    <w:rsid w:val="00247E4B"/>
    <w:rsid w:val="00250449"/>
    <w:rsid w:val="0025314B"/>
    <w:rsid w:val="0025658E"/>
    <w:rsid w:val="00260DB6"/>
    <w:rsid w:val="00261F6F"/>
    <w:rsid w:val="0027102C"/>
    <w:rsid w:val="0028300F"/>
    <w:rsid w:val="00284E30"/>
    <w:rsid w:val="00285F9A"/>
    <w:rsid w:val="002A1E8C"/>
    <w:rsid w:val="002A357C"/>
    <w:rsid w:val="002B0EF5"/>
    <w:rsid w:val="002B4B21"/>
    <w:rsid w:val="002C0C39"/>
    <w:rsid w:val="002C0E5E"/>
    <w:rsid w:val="002C76F4"/>
    <w:rsid w:val="002C7ABF"/>
    <w:rsid w:val="002D00BA"/>
    <w:rsid w:val="002D17F1"/>
    <w:rsid w:val="002D2720"/>
    <w:rsid w:val="002E6FEC"/>
    <w:rsid w:val="002E7D02"/>
    <w:rsid w:val="002F2664"/>
    <w:rsid w:val="002F62C1"/>
    <w:rsid w:val="00310331"/>
    <w:rsid w:val="00312A73"/>
    <w:rsid w:val="00322E4C"/>
    <w:rsid w:val="00340157"/>
    <w:rsid w:val="00345548"/>
    <w:rsid w:val="00353518"/>
    <w:rsid w:val="00361F7A"/>
    <w:rsid w:val="00363B7F"/>
    <w:rsid w:val="00363F94"/>
    <w:rsid w:val="00371682"/>
    <w:rsid w:val="003770A4"/>
    <w:rsid w:val="003775BD"/>
    <w:rsid w:val="00380508"/>
    <w:rsid w:val="00383461"/>
    <w:rsid w:val="00395DAD"/>
    <w:rsid w:val="003A1351"/>
    <w:rsid w:val="003B3997"/>
    <w:rsid w:val="003D0E3E"/>
    <w:rsid w:val="003E31B5"/>
    <w:rsid w:val="003F0F32"/>
    <w:rsid w:val="003F73CE"/>
    <w:rsid w:val="003F73F9"/>
    <w:rsid w:val="00402381"/>
    <w:rsid w:val="004046C3"/>
    <w:rsid w:val="0040577D"/>
    <w:rsid w:val="00421338"/>
    <w:rsid w:val="0042719D"/>
    <w:rsid w:val="00430A42"/>
    <w:rsid w:val="00431FCD"/>
    <w:rsid w:val="004365DC"/>
    <w:rsid w:val="004477E2"/>
    <w:rsid w:val="0045649C"/>
    <w:rsid w:val="0046111E"/>
    <w:rsid w:val="0046299B"/>
    <w:rsid w:val="004676D1"/>
    <w:rsid w:val="00470CC3"/>
    <w:rsid w:val="00476F82"/>
    <w:rsid w:val="00477734"/>
    <w:rsid w:val="00496BEF"/>
    <w:rsid w:val="004B6F9F"/>
    <w:rsid w:val="004B754C"/>
    <w:rsid w:val="004C12FB"/>
    <w:rsid w:val="004D24D7"/>
    <w:rsid w:val="004D5B82"/>
    <w:rsid w:val="004D71F2"/>
    <w:rsid w:val="004E02F7"/>
    <w:rsid w:val="004E29F2"/>
    <w:rsid w:val="004E3A63"/>
    <w:rsid w:val="004F00A0"/>
    <w:rsid w:val="004F2CB2"/>
    <w:rsid w:val="004F715B"/>
    <w:rsid w:val="00503D3D"/>
    <w:rsid w:val="0050543A"/>
    <w:rsid w:val="0050595D"/>
    <w:rsid w:val="005204B9"/>
    <w:rsid w:val="00562785"/>
    <w:rsid w:val="0056426E"/>
    <w:rsid w:val="00584C48"/>
    <w:rsid w:val="005859B6"/>
    <w:rsid w:val="00591DD4"/>
    <w:rsid w:val="005A5AAC"/>
    <w:rsid w:val="005B233E"/>
    <w:rsid w:val="005B5B2C"/>
    <w:rsid w:val="005C1156"/>
    <w:rsid w:val="005C612A"/>
    <w:rsid w:val="005C6A76"/>
    <w:rsid w:val="005D1204"/>
    <w:rsid w:val="005D28A1"/>
    <w:rsid w:val="005D2BFC"/>
    <w:rsid w:val="005D3415"/>
    <w:rsid w:val="005E1066"/>
    <w:rsid w:val="005E741C"/>
    <w:rsid w:val="00600548"/>
    <w:rsid w:val="00602184"/>
    <w:rsid w:val="00605C25"/>
    <w:rsid w:val="006108D1"/>
    <w:rsid w:val="0061512C"/>
    <w:rsid w:val="00623760"/>
    <w:rsid w:val="00624F8E"/>
    <w:rsid w:val="00630410"/>
    <w:rsid w:val="006336FF"/>
    <w:rsid w:val="006370EF"/>
    <w:rsid w:val="006408A3"/>
    <w:rsid w:val="0064469E"/>
    <w:rsid w:val="00646E3D"/>
    <w:rsid w:val="006556B0"/>
    <w:rsid w:val="00663A87"/>
    <w:rsid w:val="006712F3"/>
    <w:rsid w:val="00671F5B"/>
    <w:rsid w:val="00676E82"/>
    <w:rsid w:val="00683C3F"/>
    <w:rsid w:val="00687784"/>
    <w:rsid w:val="006919C9"/>
    <w:rsid w:val="006A03A9"/>
    <w:rsid w:val="006A24CA"/>
    <w:rsid w:val="006B1224"/>
    <w:rsid w:val="006B605D"/>
    <w:rsid w:val="006C026A"/>
    <w:rsid w:val="006C0F3C"/>
    <w:rsid w:val="006C0F5C"/>
    <w:rsid w:val="006C1061"/>
    <w:rsid w:val="006D1BA9"/>
    <w:rsid w:val="006D7417"/>
    <w:rsid w:val="006E3649"/>
    <w:rsid w:val="006E3B8D"/>
    <w:rsid w:val="007005F3"/>
    <w:rsid w:val="00702622"/>
    <w:rsid w:val="00706349"/>
    <w:rsid w:val="0071014B"/>
    <w:rsid w:val="0072018F"/>
    <w:rsid w:val="0072133B"/>
    <w:rsid w:val="00725B2D"/>
    <w:rsid w:val="0072739A"/>
    <w:rsid w:val="007429D3"/>
    <w:rsid w:val="00743085"/>
    <w:rsid w:val="00771557"/>
    <w:rsid w:val="007759FC"/>
    <w:rsid w:val="00785F44"/>
    <w:rsid w:val="00786AAA"/>
    <w:rsid w:val="007A2D2E"/>
    <w:rsid w:val="007A6516"/>
    <w:rsid w:val="007B1254"/>
    <w:rsid w:val="007C0FEF"/>
    <w:rsid w:val="007C12B8"/>
    <w:rsid w:val="007C5134"/>
    <w:rsid w:val="007D1987"/>
    <w:rsid w:val="007E0B1E"/>
    <w:rsid w:val="007E29B4"/>
    <w:rsid w:val="007E3EC1"/>
    <w:rsid w:val="007E417A"/>
    <w:rsid w:val="007E6907"/>
    <w:rsid w:val="00800666"/>
    <w:rsid w:val="00817BB7"/>
    <w:rsid w:val="008227D5"/>
    <w:rsid w:val="00822DCE"/>
    <w:rsid w:val="008246B8"/>
    <w:rsid w:val="008411BB"/>
    <w:rsid w:val="008546E7"/>
    <w:rsid w:val="00867AA7"/>
    <w:rsid w:val="00871D23"/>
    <w:rsid w:val="0088431A"/>
    <w:rsid w:val="00884DD3"/>
    <w:rsid w:val="00890778"/>
    <w:rsid w:val="008A432F"/>
    <w:rsid w:val="008B3DCA"/>
    <w:rsid w:val="008C0812"/>
    <w:rsid w:val="008C53A7"/>
    <w:rsid w:val="008C5DFC"/>
    <w:rsid w:val="008C6AB7"/>
    <w:rsid w:val="008C7F18"/>
    <w:rsid w:val="008D4DBC"/>
    <w:rsid w:val="008E70AB"/>
    <w:rsid w:val="00901EA9"/>
    <w:rsid w:val="0090243D"/>
    <w:rsid w:val="00904BB8"/>
    <w:rsid w:val="00904C75"/>
    <w:rsid w:val="00912C27"/>
    <w:rsid w:val="00920D7C"/>
    <w:rsid w:val="009227AF"/>
    <w:rsid w:val="00926642"/>
    <w:rsid w:val="0095799D"/>
    <w:rsid w:val="00961973"/>
    <w:rsid w:val="00962DB7"/>
    <w:rsid w:val="00963EBA"/>
    <w:rsid w:val="00975DBC"/>
    <w:rsid w:val="00977564"/>
    <w:rsid w:val="009A2913"/>
    <w:rsid w:val="009A55CB"/>
    <w:rsid w:val="009B0BBB"/>
    <w:rsid w:val="009B61D0"/>
    <w:rsid w:val="009C334B"/>
    <w:rsid w:val="009D0590"/>
    <w:rsid w:val="009D7C61"/>
    <w:rsid w:val="009E66EF"/>
    <w:rsid w:val="009E707D"/>
    <w:rsid w:val="009F22EE"/>
    <w:rsid w:val="009F37D7"/>
    <w:rsid w:val="00A010CD"/>
    <w:rsid w:val="00A030D4"/>
    <w:rsid w:val="00A05024"/>
    <w:rsid w:val="00A14D00"/>
    <w:rsid w:val="00A2154A"/>
    <w:rsid w:val="00A42438"/>
    <w:rsid w:val="00A60B4F"/>
    <w:rsid w:val="00A630E5"/>
    <w:rsid w:val="00A64085"/>
    <w:rsid w:val="00A64F62"/>
    <w:rsid w:val="00A663F4"/>
    <w:rsid w:val="00A75A04"/>
    <w:rsid w:val="00A76896"/>
    <w:rsid w:val="00AA343F"/>
    <w:rsid w:val="00AB2E36"/>
    <w:rsid w:val="00AB37AC"/>
    <w:rsid w:val="00AB530B"/>
    <w:rsid w:val="00AC009E"/>
    <w:rsid w:val="00AC7A46"/>
    <w:rsid w:val="00AD0172"/>
    <w:rsid w:val="00AE4D0A"/>
    <w:rsid w:val="00AE4EDF"/>
    <w:rsid w:val="00AF5E6A"/>
    <w:rsid w:val="00AF7827"/>
    <w:rsid w:val="00B05992"/>
    <w:rsid w:val="00B136F5"/>
    <w:rsid w:val="00B15FC8"/>
    <w:rsid w:val="00B17C7E"/>
    <w:rsid w:val="00B21262"/>
    <w:rsid w:val="00B2418B"/>
    <w:rsid w:val="00B30166"/>
    <w:rsid w:val="00B330DC"/>
    <w:rsid w:val="00B42E7A"/>
    <w:rsid w:val="00B42EEC"/>
    <w:rsid w:val="00B50AA4"/>
    <w:rsid w:val="00B50E55"/>
    <w:rsid w:val="00B50F8C"/>
    <w:rsid w:val="00B51160"/>
    <w:rsid w:val="00B519C0"/>
    <w:rsid w:val="00B724FC"/>
    <w:rsid w:val="00B74017"/>
    <w:rsid w:val="00B87678"/>
    <w:rsid w:val="00B87A43"/>
    <w:rsid w:val="00B90DF0"/>
    <w:rsid w:val="00B954CA"/>
    <w:rsid w:val="00B964C1"/>
    <w:rsid w:val="00B97622"/>
    <w:rsid w:val="00BA52BF"/>
    <w:rsid w:val="00BA6E06"/>
    <w:rsid w:val="00BA7B1C"/>
    <w:rsid w:val="00BB5F6F"/>
    <w:rsid w:val="00BC0BFD"/>
    <w:rsid w:val="00BC61AC"/>
    <w:rsid w:val="00BC6CA6"/>
    <w:rsid w:val="00BC7CCB"/>
    <w:rsid w:val="00BD28FF"/>
    <w:rsid w:val="00BD2B57"/>
    <w:rsid w:val="00BD61F5"/>
    <w:rsid w:val="00BD624C"/>
    <w:rsid w:val="00BE4531"/>
    <w:rsid w:val="00BE4CA8"/>
    <w:rsid w:val="00BE51C0"/>
    <w:rsid w:val="00BF61B5"/>
    <w:rsid w:val="00C04C68"/>
    <w:rsid w:val="00C04F07"/>
    <w:rsid w:val="00C05CC0"/>
    <w:rsid w:val="00C11328"/>
    <w:rsid w:val="00C13374"/>
    <w:rsid w:val="00C14778"/>
    <w:rsid w:val="00C27005"/>
    <w:rsid w:val="00C321BB"/>
    <w:rsid w:val="00C32F21"/>
    <w:rsid w:val="00C3359D"/>
    <w:rsid w:val="00C36324"/>
    <w:rsid w:val="00C457D3"/>
    <w:rsid w:val="00C46A21"/>
    <w:rsid w:val="00C51076"/>
    <w:rsid w:val="00C55638"/>
    <w:rsid w:val="00C7625E"/>
    <w:rsid w:val="00C80B93"/>
    <w:rsid w:val="00C821D6"/>
    <w:rsid w:val="00C90D2B"/>
    <w:rsid w:val="00C91F0B"/>
    <w:rsid w:val="00C9260C"/>
    <w:rsid w:val="00CA05AC"/>
    <w:rsid w:val="00CA07C3"/>
    <w:rsid w:val="00CA6BF8"/>
    <w:rsid w:val="00CA7243"/>
    <w:rsid w:val="00CB4D06"/>
    <w:rsid w:val="00CC04D0"/>
    <w:rsid w:val="00CC38A7"/>
    <w:rsid w:val="00CD1CFC"/>
    <w:rsid w:val="00CD52D6"/>
    <w:rsid w:val="00CD6EC0"/>
    <w:rsid w:val="00CE0CE2"/>
    <w:rsid w:val="00CE2B08"/>
    <w:rsid w:val="00CE5AAD"/>
    <w:rsid w:val="00CF654A"/>
    <w:rsid w:val="00D0325C"/>
    <w:rsid w:val="00D03977"/>
    <w:rsid w:val="00D0400C"/>
    <w:rsid w:val="00D0790C"/>
    <w:rsid w:val="00D10652"/>
    <w:rsid w:val="00D15AD9"/>
    <w:rsid w:val="00D2511F"/>
    <w:rsid w:val="00D34CF9"/>
    <w:rsid w:val="00D411BD"/>
    <w:rsid w:val="00D47B58"/>
    <w:rsid w:val="00D50321"/>
    <w:rsid w:val="00D52D6B"/>
    <w:rsid w:val="00D60C67"/>
    <w:rsid w:val="00D61455"/>
    <w:rsid w:val="00D6161D"/>
    <w:rsid w:val="00D64621"/>
    <w:rsid w:val="00D65FA7"/>
    <w:rsid w:val="00D752F7"/>
    <w:rsid w:val="00D947D9"/>
    <w:rsid w:val="00DB1669"/>
    <w:rsid w:val="00DB2E85"/>
    <w:rsid w:val="00DB4771"/>
    <w:rsid w:val="00DB6BB9"/>
    <w:rsid w:val="00DC6024"/>
    <w:rsid w:val="00DD3040"/>
    <w:rsid w:val="00DD47D1"/>
    <w:rsid w:val="00DD497A"/>
    <w:rsid w:val="00DE169A"/>
    <w:rsid w:val="00DF0D00"/>
    <w:rsid w:val="00E02572"/>
    <w:rsid w:val="00E164E7"/>
    <w:rsid w:val="00E235E3"/>
    <w:rsid w:val="00E30359"/>
    <w:rsid w:val="00E31A88"/>
    <w:rsid w:val="00E37310"/>
    <w:rsid w:val="00E55E77"/>
    <w:rsid w:val="00E674ED"/>
    <w:rsid w:val="00E76FBA"/>
    <w:rsid w:val="00E84019"/>
    <w:rsid w:val="00E847A6"/>
    <w:rsid w:val="00E9593C"/>
    <w:rsid w:val="00E96FBB"/>
    <w:rsid w:val="00EA2BEF"/>
    <w:rsid w:val="00EA66CC"/>
    <w:rsid w:val="00EB57E1"/>
    <w:rsid w:val="00EB7FB5"/>
    <w:rsid w:val="00EC2F98"/>
    <w:rsid w:val="00ED4BA8"/>
    <w:rsid w:val="00EE0420"/>
    <w:rsid w:val="00EE4B33"/>
    <w:rsid w:val="00EE7F80"/>
    <w:rsid w:val="00EF42B9"/>
    <w:rsid w:val="00EF64C0"/>
    <w:rsid w:val="00F05205"/>
    <w:rsid w:val="00F13889"/>
    <w:rsid w:val="00F2123E"/>
    <w:rsid w:val="00F26132"/>
    <w:rsid w:val="00F27D5A"/>
    <w:rsid w:val="00F46335"/>
    <w:rsid w:val="00F517A5"/>
    <w:rsid w:val="00F60A37"/>
    <w:rsid w:val="00F65969"/>
    <w:rsid w:val="00F73DA9"/>
    <w:rsid w:val="00F75BFF"/>
    <w:rsid w:val="00F8368B"/>
    <w:rsid w:val="00F937B1"/>
    <w:rsid w:val="00FA1D72"/>
    <w:rsid w:val="00FA57A6"/>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character" w:customStyle="1" w:styleId="st1">
    <w:name w:val="st1"/>
    <w:basedOn w:val="DefaultParagraphFont"/>
    <w:rsid w:val="007005F3"/>
  </w:style>
  <w:style w:type="paragraph" w:styleId="FootnoteText">
    <w:name w:val="footnote text"/>
    <w:basedOn w:val="Normal"/>
    <w:link w:val="FootnoteTextChar"/>
    <w:rsid w:val="00687784"/>
    <w:rPr>
      <w:sz w:val="20"/>
      <w:szCs w:val="20"/>
    </w:rPr>
  </w:style>
  <w:style w:type="character" w:customStyle="1" w:styleId="FootnoteTextChar">
    <w:name w:val="Footnote Text Char"/>
    <w:basedOn w:val="DefaultParagraphFont"/>
    <w:link w:val="FootnoteText"/>
    <w:rsid w:val="0068778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877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character" w:customStyle="1" w:styleId="st1">
    <w:name w:val="st1"/>
    <w:basedOn w:val="DefaultParagraphFont"/>
    <w:rsid w:val="007005F3"/>
  </w:style>
  <w:style w:type="paragraph" w:styleId="FootnoteText">
    <w:name w:val="footnote text"/>
    <w:basedOn w:val="Normal"/>
    <w:link w:val="FootnoteTextChar"/>
    <w:rsid w:val="00687784"/>
    <w:rPr>
      <w:sz w:val="20"/>
      <w:szCs w:val="20"/>
    </w:rPr>
  </w:style>
  <w:style w:type="character" w:customStyle="1" w:styleId="FootnoteTextChar">
    <w:name w:val="Footnote Text Char"/>
    <w:basedOn w:val="DefaultParagraphFont"/>
    <w:link w:val="FootnoteText"/>
    <w:rsid w:val="0068778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87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A130A-9A46-4ED1-A4F3-B1C2A599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4</cp:revision>
  <cp:lastPrinted>2012-03-21T17:32:00Z</cp:lastPrinted>
  <dcterms:created xsi:type="dcterms:W3CDTF">2012-03-21T17:29:00Z</dcterms:created>
  <dcterms:modified xsi:type="dcterms:W3CDTF">2012-03-21T17:33:00Z</dcterms:modified>
</cp:coreProperties>
</file>