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C19" w:rsidRPr="00BB354A" w:rsidRDefault="00B52C19" w:rsidP="00453329">
      <w:pPr>
        <w:pStyle w:val="Title"/>
      </w:pPr>
      <w:r w:rsidRPr="00BB354A">
        <w:t>PENNSYLVANIA</w:t>
      </w:r>
    </w:p>
    <w:p w:rsidR="00B52C19" w:rsidRPr="00BB354A" w:rsidRDefault="00B52C19" w:rsidP="00453329">
      <w:pPr>
        <w:widowControl/>
        <w:jc w:val="center"/>
        <w:rPr>
          <w:b/>
        </w:rPr>
      </w:pPr>
      <w:r w:rsidRPr="00BB354A">
        <w:rPr>
          <w:b/>
        </w:rPr>
        <w:t>PUBLIC UTILITY COMMISSION</w:t>
      </w:r>
    </w:p>
    <w:p w:rsidR="00B52C19" w:rsidRPr="00BB354A" w:rsidRDefault="00B52C19" w:rsidP="00453329">
      <w:pPr>
        <w:widowControl/>
        <w:jc w:val="center"/>
      </w:pPr>
      <w:r w:rsidRPr="00BB354A">
        <w:rPr>
          <w:b/>
        </w:rPr>
        <w:t>Harrisburg, PA 17105-3265</w:t>
      </w:r>
    </w:p>
    <w:p w:rsidR="00B52C19" w:rsidRPr="00BB354A" w:rsidRDefault="00B52C19" w:rsidP="00453329">
      <w:pPr>
        <w:widowControl/>
        <w:jc w:val="center"/>
      </w:pPr>
    </w:p>
    <w:p w:rsidR="00AD2AE0" w:rsidRPr="00BB354A" w:rsidRDefault="00AD2AE0" w:rsidP="00453329">
      <w:pPr>
        <w:widowControl/>
        <w:jc w:val="center"/>
      </w:pPr>
    </w:p>
    <w:p w:rsidR="00B52C19" w:rsidRPr="00BB354A" w:rsidRDefault="00B52C19" w:rsidP="00453329">
      <w:pPr>
        <w:pStyle w:val="Heading5"/>
      </w:pPr>
      <w:r w:rsidRPr="00BB354A">
        <w:t xml:space="preserve">Public Meeting held </w:t>
      </w:r>
      <w:r w:rsidR="00A33354">
        <w:t>April 12</w:t>
      </w:r>
      <w:r w:rsidR="000438A2" w:rsidRPr="00BB354A">
        <w:t>, 201</w:t>
      </w:r>
      <w:r w:rsidR="00575C2D">
        <w:t>2</w:t>
      </w:r>
    </w:p>
    <w:p w:rsidR="00B52C19" w:rsidRPr="00BB354A" w:rsidRDefault="00B52C19" w:rsidP="00453329">
      <w:pPr>
        <w:widowControl/>
      </w:pPr>
    </w:p>
    <w:p w:rsidR="00AD2AE0" w:rsidRPr="00BB354A" w:rsidRDefault="00AD2AE0" w:rsidP="00453329">
      <w:pPr>
        <w:widowControl/>
      </w:pPr>
    </w:p>
    <w:p w:rsidR="00AD2AE0" w:rsidRPr="00BB354A" w:rsidRDefault="00AD2AE0" w:rsidP="00453329">
      <w:pPr>
        <w:widowControl/>
      </w:pPr>
    </w:p>
    <w:p w:rsidR="00B52C19" w:rsidRPr="00BB354A" w:rsidRDefault="00B52C19" w:rsidP="00453329">
      <w:pPr>
        <w:widowControl/>
      </w:pPr>
      <w:r w:rsidRPr="00BB354A">
        <w:t>Commissioners Present:</w:t>
      </w:r>
    </w:p>
    <w:p w:rsidR="00B52C19" w:rsidRPr="00BB354A" w:rsidRDefault="00B52C19" w:rsidP="00453329">
      <w:pPr>
        <w:widowControl/>
      </w:pPr>
    </w:p>
    <w:p w:rsidR="002177AD" w:rsidRPr="002A5D4B" w:rsidRDefault="00B52C19" w:rsidP="002177AD">
      <w:r w:rsidRPr="00BB354A">
        <w:tab/>
      </w:r>
      <w:r w:rsidR="002177AD">
        <w:t>Robert F. Powelson</w:t>
      </w:r>
      <w:r w:rsidR="002177AD" w:rsidRPr="002A5D4B">
        <w:t>, Chairman</w:t>
      </w:r>
    </w:p>
    <w:p w:rsidR="002177AD" w:rsidRDefault="002177AD" w:rsidP="002177AD">
      <w:r>
        <w:tab/>
        <w:t>John F. Coleman, Jr.</w:t>
      </w:r>
      <w:r w:rsidRPr="002A5D4B">
        <w:t>, Vice Chairman</w:t>
      </w:r>
    </w:p>
    <w:p w:rsidR="002177AD" w:rsidRPr="002A5D4B" w:rsidRDefault="002177AD" w:rsidP="002177AD">
      <w:r>
        <w:tab/>
        <w:t>Wayne E. Gardner</w:t>
      </w:r>
    </w:p>
    <w:p w:rsidR="002177AD" w:rsidRDefault="002177AD" w:rsidP="002177AD">
      <w:r w:rsidRPr="002A5D4B">
        <w:tab/>
      </w:r>
      <w:r>
        <w:t xml:space="preserve">James H. Cawley </w:t>
      </w:r>
    </w:p>
    <w:p w:rsidR="002177AD" w:rsidRDefault="002177AD" w:rsidP="002177AD">
      <w:r>
        <w:tab/>
        <w:t>Pamela A. Witmer</w:t>
      </w:r>
    </w:p>
    <w:p w:rsidR="000438A2" w:rsidRPr="00BB354A" w:rsidRDefault="000438A2" w:rsidP="002177AD">
      <w:pPr>
        <w:widowControl/>
        <w:autoSpaceDE w:val="0"/>
        <w:autoSpaceDN w:val="0"/>
        <w:adjustRightInd w:val="0"/>
      </w:pPr>
    </w:p>
    <w:p w:rsidR="000438A2" w:rsidRPr="00BB354A" w:rsidRDefault="000438A2" w:rsidP="00453329">
      <w:pPr>
        <w:widowControl/>
      </w:pPr>
    </w:p>
    <w:p w:rsidR="006E74B1" w:rsidRDefault="006E74B1" w:rsidP="00453329">
      <w:pPr>
        <w:widowControl/>
        <w:jc w:val="both"/>
      </w:pPr>
    </w:p>
    <w:p w:rsidR="00B52C19" w:rsidRPr="00BB354A" w:rsidRDefault="00575C2D" w:rsidP="00453329">
      <w:pPr>
        <w:widowControl/>
        <w:jc w:val="both"/>
      </w:pPr>
      <w:r>
        <w:t>1</w:t>
      </w:r>
      <w:r w:rsidR="006E74B1">
        <w:t>-A</w:t>
      </w:r>
      <w:r>
        <w:t xml:space="preserve"> Realty</w:t>
      </w:r>
      <w:r>
        <w:tab/>
      </w:r>
      <w:r>
        <w:tab/>
      </w:r>
      <w:r>
        <w:tab/>
      </w:r>
      <w:r>
        <w:tab/>
      </w:r>
      <w:r>
        <w:tab/>
      </w:r>
      <w:r>
        <w:tab/>
      </w:r>
      <w:r>
        <w:tab/>
      </w:r>
      <w:r>
        <w:tab/>
      </w:r>
      <w:r>
        <w:tab/>
        <w:t>F</w:t>
      </w:r>
      <w:r w:rsidR="00B52C19" w:rsidRPr="00BB354A">
        <w:t>-</w:t>
      </w:r>
      <w:r w:rsidR="00163D29" w:rsidRPr="00BB354A">
        <w:t>20</w:t>
      </w:r>
      <w:r w:rsidR="002177AD">
        <w:t>10</w:t>
      </w:r>
      <w:r w:rsidR="000438A2" w:rsidRPr="00BB354A">
        <w:t>-</w:t>
      </w:r>
      <w:r>
        <w:t>2166554</w:t>
      </w:r>
    </w:p>
    <w:p w:rsidR="00B52C19" w:rsidRPr="00BB354A" w:rsidRDefault="00575C2D" w:rsidP="00453329">
      <w:pPr>
        <w:widowControl/>
        <w:jc w:val="both"/>
      </w:pPr>
      <w:r>
        <w:tab/>
      </w:r>
      <w:r>
        <w:tab/>
      </w:r>
      <w:r>
        <w:tab/>
      </w:r>
      <w:r>
        <w:tab/>
      </w:r>
      <w:r>
        <w:tab/>
      </w:r>
      <w:r>
        <w:tab/>
      </w:r>
      <w:r>
        <w:tab/>
      </w:r>
      <w:r>
        <w:tab/>
      </w:r>
      <w:r>
        <w:tab/>
      </w:r>
      <w:r>
        <w:tab/>
        <w:t>F-2010-2166976</w:t>
      </w:r>
    </w:p>
    <w:p w:rsidR="00B52C19" w:rsidRPr="00BB354A" w:rsidRDefault="00B52C19" w:rsidP="00453329">
      <w:pPr>
        <w:widowControl/>
        <w:jc w:val="both"/>
      </w:pPr>
      <w:r w:rsidRPr="00BB354A">
        <w:tab/>
        <w:t xml:space="preserve">   v.</w:t>
      </w:r>
    </w:p>
    <w:p w:rsidR="00B52C19" w:rsidRPr="00BB354A" w:rsidRDefault="00B52C19" w:rsidP="00453329">
      <w:pPr>
        <w:widowControl/>
        <w:jc w:val="both"/>
      </w:pPr>
    </w:p>
    <w:p w:rsidR="00575C2D" w:rsidRDefault="00575C2D" w:rsidP="00575C2D">
      <w:pPr>
        <w:widowControl/>
        <w:jc w:val="both"/>
      </w:pPr>
      <w:r>
        <w:t>PPL Electric Utilities Corp.</w:t>
      </w:r>
    </w:p>
    <w:p w:rsidR="00575C2D" w:rsidRDefault="00575C2D" w:rsidP="00575C2D">
      <w:pPr>
        <w:widowControl/>
        <w:jc w:val="both"/>
      </w:pPr>
    </w:p>
    <w:p w:rsidR="00E7015E" w:rsidRPr="00BB354A" w:rsidRDefault="00575C2D" w:rsidP="00575C2D">
      <w:pPr>
        <w:widowControl/>
        <w:jc w:val="both"/>
      </w:pPr>
      <w:r w:rsidRPr="00BB354A">
        <w:t xml:space="preserve"> </w:t>
      </w:r>
    </w:p>
    <w:p w:rsidR="00B52C19" w:rsidRPr="00BB354A" w:rsidRDefault="00B52C19" w:rsidP="00453329">
      <w:pPr>
        <w:widowControl/>
        <w:jc w:val="center"/>
      </w:pPr>
      <w:r w:rsidRPr="00BB354A">
        <w:rPr>
          <w:b/>
        </w:rPr>
        <w:t>OPINION AND ORDER</w:t>
      </w:r>
    </w:p>
    <w:p w:rsidR="00E7015E" w:rsidRPr="00BB354A" w:rsidRDefault="00E7015E" w:rsidP="00453329">
      <w:pPr>
        <w:widowControl/>
        <w:rPr>
          <w:b/>
        </w:rPr>
      </w:pPr>
    </w:p>
    <w:p w:rsidR="00AD2AE0" w:rsidRPr="00BB354A" w:rsidRDefault="00AD2AE0" w:rsidP="00453329">
      <w:pPr>
        <w:widowControl/>
        <w:rPr>
          <w:b/>
        </w:rPr>
      </w:pPr>
    </w:p>
    <w:p w:rsidR="00B52C19" w:rsidRPr="00BB354A" w:rsidRDefault="00B52C19" w:rsidP="00453329">
      <w:pPr>
        <w:widowControl/>
        <w:spacing w:line="360" w:lineRule="auto"/>
        <w:rPr>
          <w:b/>
        </w:rPr>
      </w:pPr>
      <w:r w:rsidRPr="00BB354A">
        <w:rPr>
          <w:b/>
        </w:rPr>
        <w:t>BY THE COMMISSION:</w:t>
      </w:r>
    </w:p>
    <w:p w:rsidR="00B52C19" w:rsidRPr="00BB354A" w:rsidRDefault="00B52C19" w:rsidP="00453329">
      <w:pPr>
        <w:widowControl/>
      </w:pPr>
    </w:p>
    <w:p w:rsidR="00CF5399" w:rsidRDefault="00B52C19" w:rsidP="00CF5399">
      <w:pPr>
        <w:widowControl/>
        <w:spacing w:line="360" w:lineRule="auto"/>
      </w:pPr>
      <w:r w:rsidRPr="00BB354A">
        <w:tab/>
      </w:r>
      <w:r w:rsidRPr="00BB354A">
        <w:tab/>
        <w:t>Before the</w:t>
      </w:r>
      <w:r w:rsidR="00665447" w:rsidRPr="00BB354A">
        <w:t xml:space="preserve"> Pennsylvania Public Utility Commission (</w:t>
      </w:r>
      <w:r w:rsidRPr="00BB354A">
        <w:t>Commission</w:t>
      </w:r>
      <w:r w:rsidR="00665447" w:rsidRPr="00BB354A">
        <w:t>)</w:t>
      </w:r>
      <w:r w:rsidRPr="00BB354A">
        <w:t xml:space="preserve"> for consideration </w:t>
      </w:r>
      <w:r w:rsidR="004F7F3E">
        <w:t xml:space="preserve">and disposition </w:t>
      </w:r>
      <w:r w:rsidRPr="00BB354A">
        <w:t>are the Exceptions</w:t>
      </w:r>
      <w:r w:rsidR="006E74B1">
        <w:t xml:space="preserve"> of 1-A</w:t>
      </w:r>
      <w:r w:rsidR="00575C2D">
        <w:t xml:space="preserve"> Realty</w:t>
      </w:r>
      <w:r w:rsidR="004F7F3E" w:rsidRPr="00BB354A">
        <w:t xml:space="preserve"> (</w:t>
      </w:r>
      <w:r w:rsidR="006E74B1">
        <w:t xml:space="preserve">1-A or </w:t>
      </w:r>
      <w:r w:rsidR="004F7F3E" w:rsidRPr="00BB354A">
        <w:t>Complainant)</w:t>
      </w:r>
      <w:r w:rsidRPr="00BB354A">
        <w:t xml:space="preserve"> filed on </w:t>
      </w:r>
      <w:r w:rsidR="00575C2D">
        <w:t>January 4</w:t>
      </w:r>
      <w:r w:rsidR="000438A2" w:rsidRPr="00BB354A">
        <w:t>, 201</w:t>
      </w:r>
      <w:r w:rsidR="00575C2D">
        <w:t>2</w:t>
      </w:r>
      <w:r w:rsidR="004F7F3E">
        <w:t xml:space="preserve">, </w:t>
      </w:r>
      <w:r w:rsidRPr="00BB354A">
        <w:t xml:space="preserve">to the Initial Decision </w:t>
      </w:r>
      <w:r w:rsidR="007F0E1B">
        <w:t xml:space="preserve">(I.D.) </w:t>
      </w:r>
      <w:r w:rsidRPr="00BB354A">
        <w:t xml:space="preserve">of Administrative Law Judge (ALJ) </w:t>
      </w:r>
      <w:r w:rsidR="00575C2D">
        <w:t>Dennis J. Buckley</w:t>
      </w:r>
      <w:r w:rsidR="006642F4" w:rsidRPr="00BB354A">
        <w:t>,</w:t>
      </w:r>
      <w:r w:rsidRPr="00BB354A">
        <w:t xml:space="preserve"> </w:t>
      </w:r>
      <w:r w:rsidR="00941544" w:rsidRPr="00BB354A">
        <w:t xml:space="preserve">which was </w:t>
      </w:r>
      <w:r w:rsidRPr="00BB354A">
        <w:t xml:space="preserve">issued on </w:t>
      </w:r>
      <w:r w:rsidR="007D598F">
        <w:t>December 20</w:t>
      </w:r>
      <w:r w:rsidRPr="00BB354A">
        <w:t>, 20</w:t>
      </w:r>
      <w:r w:rsidR="00A3278E" w:rsidRPr="00BB354A">
        <w:t>1</w:t>
      </w:r>
      <w:r w:rsidR="00734C48">
        <w:t>1</w:t>
      </w:r>
      <w:r w:rsidR="004F7F3E">
        <w:t xml:space="preserve">, in the above-captioned </w:t>
      </w:r>
      <w:r w:rsidR="0094785D">
        <w:t xml:space="preserve">consolidated </w:t>
      </w:r>
      <w:r w:rsidR="004F7F3E">
        <w:t>proceeding</w:t>
      </w:r>
      <w:r w:rsidR="0094785D">
        <w:t>s</w:t>
      </w:r>
      <w:r w:rsidR="00E7015E" w:rsidRPr="00BB354A">
        <w:t>.</w:t>
      </w:r>
      <w:r w:rsidR="0094785D">
        <w:rPr>
          <w:rStyle w:val="FootnoteReference"/>
        </w:rPr>
        <w:footnoteReference w:id="1"/>
      </w:r>
      <w:r w:rsidR="00E7015E" w:rsidRPr="00BB354A">
        <w:t xml:space="preserve">  </w:t>
      </w:r>
      <w:r w:rsidRPr="00BB354A">
        <w:t>Reply Exceptions</w:t>
      </w:r>
      <w:r w:rsidR="00E7015E" w:rsidRPr="00BB354A">
        <w:t xml:space="preserve"> were filed </w:t>
      </w:r>
      <w:r w:rsidRPr="00BB354A">
        <w:t xml:space="preserve">by </w:t>
      </w:r>
      <w:r w:rsidR="00575C2D">
        <w:t xml:space="preserve">PPL Electric Utilities </w:t>
      </w:r>
      <w:r w:rsidR="00575C2D">
        <w:lastRenderedPageBreak/>
        <w:t>Corporation</w:t>
      </w:r>
      <w:r w:rsidR="008B146C" w:rsidRPr="00BB354A">
        <w:t xml:space="preserve"> (</w:t>
      </w:r>
      <w:r w:rsidR="00575C2D">
        <w:t>PPL</w:t>
      </w:r>
      <w:r w:rsidR="00B24F68">
        <w:t xml:space="preserve"> or Respondent</w:t>
      </w:r>
      <w:r w:rsidR="00B946F4" w:rsidRPr="00BB354A">
        <w:t xml:space="preserve">) </w:t>
      </w:r>
      <w:r w:rsidR="000D0704" w:rsidRPr="00BB354A">
        <w:t xml:space="preserve">on </w:t>
      </w:r>
      <w:r w:rsidR="00575C2D">
        <w:t>January 17</w:t>
      </w:r>
      <w:r w:rsidR="000D0704" w:rsidRPr="00BB354A">
        <w:t>, 201</w:t>
      </w:r>
      <w:r w:rsidR="00575C2D">
        <w:t>2</w:t>
      </w:r>
      <w:r w:rsidR="00A05380" w:rsidRPr="00BB354A">
        <w:t>.</w:t>
      </w:r>
      <w:r w:rsidR="004F7F3E">
        <w:t xml:space="preserve">  For the reasons stated below, we </w:t>
      </w:r>
      <w:r w:rsidR="00CF5399">
        <w:t xml:space="preserve">will deny the Complainant’s Exceptions, </w:t>
      </w:r>
      <w:r w:rsidR="00177A72">
        <w:t>adopt the ALJ’s Initi</w:t>
      </w:r>
      <w:r w:rsidR="00CF5399">
        <w:t>al Decision, and dismiss the Complaint</w:t>
      </w:r>
      <w:r w:rsidR="00681D1F">
        <w:t>s</w:t>
      </w:r>
      <w:r w:rsidR="004F7F3E">
        <w:t>.</w:t>
      </w:r>
      <w:r w:rsidR="0057545B">
        <w:t xml:space="preserve">  We shall, however, direct PPL to work with the Complainant in an effort to devise a mutually satisfactory solution to the foreign load problem at the mobile home park operated by the Complainant.</w:t>
      </w:r>
    </w:p>
    <w:p w:rsidR="00CF5399" w:rsidRDefault="00CF5399" w:rsidP="00CF5399">
      <w:pPr>
        <w:widowControl/>
        <w:spacing w:line="360" w:lineRule="auto"/>
      </w:pPr>
    </w:p>
    <w:p w:rsidR="00CF5399" w:rsidRDefault="00B52C19" w:rsidP="00CF5399">
      <w:pPr>
        <w:widowControl/>
        <w:spacing w:line="360" w:lineRule="auto"/>
        <w:jc w:val="center"/>
      </w:pPr>
      <w:r w:rsidRPr="00BB354A">
        <w:rPr>
          <w:b/>
        </w:rPr>
        <w:t>History of the Proceeding</w:t>
      </w:r>
    </w:p>
    <w:p w:rsidR="00CF5399" w:rsidRDefault="00CF5399" w:rsidP="00CF5399">
      <w:pPr>
        <w:widowControl/>
        <w:spacing w:line="360" w:lineRule="auto"/>
        <w:jc w:val="center"/>
      </w:pPr>
    </w:p>
    <w:p w:rsidR="009D466B" w:rsidRDefault="00CF5399" w:rsidP="00CF5399">
      <w:pPr>
        <w:widowControl/>
        <w:spacing w:line="360" w:lineRule="auto"/>
        <w:ind w:firstLine="720"/>
      </w:pPr>
      <w:r>
        <w:t xml:space="preserve"> </w:t>
      </w:r>
      <w:r>
        <w:tab/>
      </w:r>
      <w:r w:rsidR="00B52C19" w:rsidRPr="00BB354A">
        <w:t xml:space="preserve">On </w:t>
      </w:r>
      <w:r w:rsidR="00F0392A">
        <w:t>March 24</w:t>
      </w:r>
      <w:r w:rsidR="00B52C19" w:rsidRPr="00BB354A">
        <w:t>, 20</w:t>
      </w:r>
      <w:r w:rsidR="0048548D">
        <w:t>10</w:t>
      </w:r>
      <w:r w:rsidR="00B52C19" w:rsidRPr="00BB354A">
        <w:t xml:space="preserve">, </w:t>
      </w:r>
      <w:r w:rsidR="009C0E0C" w:rsidRPr="00BB354A">
        <w:t>the Complainant</w:t>
      </w:r>
      <w:r w:rsidR="00F0392A">
        <w:t xml:space="preserve"> filed two</w:t>
      </w:r>
      <w:r w:rsidR="00B52C19" w:rsidRPr="00BB354A">
        <w:t xml:space="preserve"> Formal Complaint</w:t>
      </w:r>
      <w:r w:rsidR="00F0392A">
        <w:t>s</w:t>
      </w:r>
      <w:r w:rsidR="00F0392A">
        <w:rPr>
          <w:rStyle w:val="FootnoteReference"/>
        </w:rPr>
        <w:footnoteReference w:id="2"/>
      </w:r>
      <w:r w:rsidR="00B52C19" w:rsidRPr="00BB354A">
        <w:t xml:space="preserve"> </w:t>
      </w:r>
      <w:r w:rsidR="0052626E">
        <w:t>(Complaint</w:t>
      </w:r>
      <w:r w:rsidR="006E74B1">
        <w:t>s</w:t>
      </w:r>
      <w:r w:rsidR="0052626E">
        <w:t xml:space="preserve">) </w:t>
      </w:r>
      <w:r w:rsidR="00F0392A">
        <w:t>against PPL</w:t>
      </w:r>
      <w:r w:rsidR="00F04AC8">
        <w:t>, both of which pe</w:t>
      </w:r>
      <w:r w:rsidR="00087228">
        <w:t xml:space="preserve">rtain </w:t>
      </w:r>
      <w:r w:rsidR="00E3469C">
        <w:t xml:space="preserve">to </w:t>
      </w:r>
      <w:r w:rsidR="00087228">
        <w:t>the wiring for the street</w:t>
      </w:r>
      <w:r w:rsidR="00F04AC8">
        <w:t>lights at Red Maple Acres Mobile Home Park (</w:t>
      </w:r>
      <w:r w:rsidR="00981FCB">
        <w:t xml:space="preserve">Red Maple Acres or </w:t>
      </w:r>
      <w:r w:rsidR="00F04AC8">
        <w:t xml:space="preserve">Park), which is operated by the Complainant.  </w:t>
      </w:r>
      <w:r w:rsidR="00177A72">
        <w:t xml:space="preserve">The Complaint docketed at No. </w:t>
      </w:r>
      <w:r w:rsidR="0094785D">
        <w:t>F</w:t>
      </w:r>
      <w:r w:rsidR="002B713A">
        <w:t xml:space="preserve">-2010-2166554 </w:t>
      </w:r>
      <w:r w:rsidR="006E74B1">
        <w:t>pertains</w:t>
      </w:r>
      <w:r w:rsidR="002B713A">
        <w:t xml:space="preserve"> to an account previously in the name of</w:t>
      </w:r>
      <w:r w:rsidR="00177A72">
        <w:t xml:space="preserve"> Herbert and Phyllis Ruth</w:t>
      </w:r>
      <w:r w:rsidR="001D3E38">
        <w:t xml:space="preserve"> (Ruth Complaint)</w:t>
      </w:r>
      <w:r w:rsidR="002B713A">
        <w:t>.  The Complaint docketed at No. F-2010-2166976 pertains to an ac</w:t>
      </w:r>
      <w:r w:rsidR="001D3E38">
        <w:t xml:space="preserve">count previously in the name </w:t>
      </w:r>
      <w:r w:rsidR="002B713A">
        <w:t>of Karen Thompson</w:t>
      </w:r>
      <w:r w:rsidR="001D3E38">
        <w:t xml:space="preserve"> (Thompson Complaint)</w:t>
      </w:r>
      <w:r w:rsidR="002B713A">
        <w:t xml:space="preserve">.  The Complaints, which are nearly identical in all material respects, </w:t>
      </w:r>
      <w:r w:rsidR="00B52C19" w:rsidRPr="00BB354A">
        <w:t>alleg</w:t>
      </w:r>
      <w:r w:rsidR="00177A72">
        <w:t>ed</w:t>
      </w:r>
      <w:r w:rsidR="004477D4" w:rsidRPr="00BB354A">
        <w:t xml:space="preserve">, </w:t>
      </w:r>
      <w:r w:rsidR="004477D4" w:rsidRPr="00BB354A">
        <w:rPr>
          <w:i/>
        </w:rPr>
        <w:t>inter alia</w:t>
      </w:r>
      <w:r w:rsidR="004477D4" w:rsidRPr="00BB354A">
        <w:t xml:space="preserve">, that </w:t>
      </w:r>
      <w:r w:rsidR="006E74B1">
        <w:t>because the prior underground wiring syst</w:t>
      </w:r>
      <w:r w:rsidR="00764FBD">
        <w:t xml:space="preserve">em </w:t>
      </w:r>
      <w:r w:rsidR="00087228">
        <w:t>servicing the street</w:t>
      </w:r>
      <w:r w:rsidR="00F04AC8">
        <w:t xml:space="preserve">lights </w:t>
      </w:r>
      <w:r w:rsidR="00764FBD">
        <w:t>in the Park was outdated, the Complainant</w:t>
      </w:r>
      <w:r w:rsidR="009D466B">
        <w:t xml:space="preserve"> notified the Park’s tenants</w:t>
      </w:r>
      <w:r w:rsidR="006E74B1">
        <w:t xml:space="preserve"> i</w:t>
      </w:r>
      <w:r w:rsidR="00087228">
        <w:t>n November 2008 that the street</w:t>
      </w:r>
      <w:r w:rsidR="006E74B1">
        <w:t xml:space="preserve">lights in the Park would be connected </w:t>
      </w:r>
      <w:r w:rsidR="00764FBD">
        <w:t xml:space="preserve">to the closest residences, and </w:t>
      </w:r>
      <w:r w:rsidR="006E74B1">
        <w:t xml:space="preserve">the impacted residents </w:t>
      </w:r>
      <w:r w:rsidR="00764FBD">
        <w:t>would receive</w:t>
      </w:r>
      <w:r w:rsidR="006E74B1">
        <w:t xml:space="preserve"> a $10 lot rent discount</w:t>
      </w:r>
      <w:r w:rsidR="00A33354">
        <w:t xml:space="preserve"> in return</w:t>
      </w:r>
      <w:r w:rsidR="006E74B1">
        <w:t>.  According to the Compla</w:t>
      </w:r>
      <w:r w:rsidR="00F04AC8">
        <w:t>int</w:t>
      </w:r>
      <w:r w:rsidR="001D3E38">
        <w:t>s</w:t>
      </w:r>
      <w:r w:rsidR="00F04AC8">
        <w:t>, all residents signed</w:t>
      </w:r>
      <w:r w:rsidR="00B70B5F">
        <w:t xml:space="preserve"> the new street light regulations, after which t</w:t>
      </w:r>
      <w:r w:rsidR="00087228">
        <w:t>he street</w:t>
      </w:r>
      <w:r w:rsidR="006E74B1">
        <w:t>l</w:t>
      </w:r>
      <w:r w:rsidR="00F04AC8">
        <w:t>ights were rewired</w:t>
      </w:r>
      <w:r w:rsidR="006E74B1">
        <w:t xml:space="preserve"> effective July 2009.  On A</w:t>
      </w:r>
      <w:r w:rsidR="00764FBD">
        <w:t xml:space="preserve">ugust 21, 2009, </w:t>
      </w:r>
      <w:r w:rsidR="001D3E38">
        <w:t xml:space="preserve">and August 26, 2009, respectively, </w:t>
      </w:r>
      <w:r w:rsidR="00764FBD">
        <w:t>PPL notified the Complainant</w:t>
      </w:r>
      <w:r w:rsidR="006E74B1">
        <w:t xml:space="preserve"> that it was transferring the Ruth </w:t>
      </w:r>
      <w:r w:rsidR="001D3E38">
        <w:t xml:space="preserve">and Thompson </w:t>
      </w:r>
      <w:r w:rsidR="006E74B1">
        <w:t>account</w:t>
      </w:r>
      <w:r w:rsidR="001D3E38">
        <w:t>s</w:t>
      </w:r>
      <w:r w:rsidR="006E74B1">
        <w:t xml:space="preserve"> to the Complainant</w:t>
      </w:r>
      <w:r w:rsidR="00F04AC8">
        <w:t xml:space="preserve"> due to the existence of foreign load</w:t>
      </w:r>
      <w:r w:rsidR="009D466B">
        <w:t xml:space="preserve">.  </w:t>
      </w:r>
    </w:p>
    <w:p w:rsidR="009D466B" w:rsidRDefault="009D466B" w:rsidP="00CF5399">
      <w:pPr>
        <w:widowControl/>
        <w:spacing w:line="360" w:lineRule="auto"/>
        <w:ind w:firstLine="720"/>
      </w:pPr>
    </w:p>
    <w:p w:rsidR="00B041F2" w:rsidRDefault="009D466B" w:rsidP="00B041F2">
      <w:pPr>
        <w:widowControl/>
        <w:spacing w:line="360" w:lineRule="auto"/>
        <w:ind w:firstLine="720"/>
      </w:pPr>
      <w:r>
        <w:t xml:space="preserve"> </w:t>
      </w:r>
      <w:r>
        <w:tab/>
        <w:t>The Complaint</w:t>
      </w:r>
      <w:r w:rsidR="001D3E38">
        <w:t>s</w:t>
      </w:r>
      <w:r>
        <w:t xml:space="preserve"> alleged </w:t>
      </w:r>
      <w:r w:rsidR="00B70B5F">
        <w:t xml:space="preserve">that the residents of the Park have accepted the load </w:t>
      </w:r>
      <w:r w:rsidR="00087228">
        <w:t>from the street</w:t>
      </w:r>
      <w:r w:rsidR="00764FBD">
        <w:t>lights</w:t>
      </w:r>
      <w:r w:rsidR="00B70B5F">
        <w:t xml:space="preserve">; that </w:t>
      </w:r>
      <w:r w:rsidR="00681D1F">
        <w:t xml:space="preserve">Section 1529.1(b) of the Public Utility Code (Code), </w:t>
      </w:r>
      <w:r w:rsidR="00B70B5F">
        <w:lastRenderedPageBreak/>
        <w:t>66</w:t>
      </w:r>
      <w:r w:rsidR="00480806">
        <w:t> </w:t>
      </w:r>
      <w:r w:rsidR="00B70B5F">
        <w:t>Pa. C.S. § 1529.1(b)</w:t>
      </w:r>
      <w:r w:rsidR="00681D1F">
        <w:t>,</w:t>
      </w:r>
      <w:r w:rsidR="00B70B5F">
        <w:t xml:space="preserve"> permits a tenant to accept foreign load; that the load in question is </w:t>
      </w:r>
      <w:r w:rsidR="00B70B5F" w:rsidRPr="00161F95">
        <w:rPr>
          <w:i/>
        </w:rPr>
        <w:t>de minimus</w:t>
      </w:r>
      <w:r w:rsidR="00B70B5F">
        <w:t xml:space="preserve"> and less than the $10 lot rent credit; that the M</w:t>
      </w:r>
      <w:r w:rsidR="00B40AC6">
        <w:t>anufactured</w:t>
      </w:r>
      <w:r w:rsidR="00B70B5F">
        <w:t xml:space="preserve"> Home </w:t>
      </w:r>
      <w:r w:rsidR="00681D1F">
        <w:t xml:space="preserve">Community </w:t>
      </w:r>
      <w:r w:rsidR="00B70B5F">
        <w:t>Rights Act</w:t>
      </w:r>
      <w:r w:rsidR="00B40AC6">
        <w:t xml:space="preserve">, Act 261 of 1976, as amended by Act 80 of 2010, </w:t>
      </w:r>
      <w:r w:rsidR="00B70B5F">
        <w:t xml:space="preserve"> allows </w:t>
      </w:r>
      <w:r w:rsidR="00F04AC8">
        <w:t xml:space="preserve">an operator of a park to establish </w:t>
      </w:r>
      <w:r w:rsidR="00B70B5F">
        <w:t>reasonable rules and regulations; that conversion back to the prior wiring system would impose a significant expense on the community and its residents</w:t>
      </w:r>
      <w:r w:rsidR="00F04AC8">
        <w:t xml:space="preserve">; that the Park’s tenants include many elderly residents who </w:t>
      </w:r>
      <w:r w:rsidR="00FD13C5">
        <w:t xml:space="preserve">desire to maintain the low rental fees; and that the residents with streetlights wired to their meters </w:t>
      </w:r>
      <w:r>
        <w:t>are being adequately reimbursed.  Attachment to Complaint</w:t>
      </w:r>
      <w:r w:rsidR="001D3E38">
        <w:t>s</w:t>
      </w:r>
      <w:r>
        <w:t xml:space="preserve"> at 1-2.  T</w:t>
      </w:r>
      <w:r w:rsidR="00FD13C5">
        <w:t xml:space="preserve">he Complainant requested that </w:t>
      </w:r>
      <w:r>
        <w:t xml:space="preserve">the </w:t>
      </w:r>
      <w:r w:rsidR="00FD13C5">
        <w:t>Commission require PPL to return the account</w:t>
      </w:r>
      <w:r w:rsidR="001D3E38">
        <w:t>s</w:t>
      </w:r>
      <w:r w:rsidR="00FD13C5">
        <w:t xml:space="preserve"> to the proper customer</w:t>
      </w:r>
      <w:r w:rsidR="001D3E38">
        <w:t>s</w:t>
      </w:r>
      <w:r>
        <w:t xml:space="preserve">.  </w:t>
      </w:r>
      <w:r w:rsidR="00F0392A">
        <w:t>Complaint at</w:t>
      </w:r>
      <w:r w:rsidR="000E64CC">
        <w:t xml:space="preserve"> 5</w:t>
      </w:r>
      <w:r w:rsidR="00A54111">
        <w:t>.</w:t>
      </w:r>
      <w:r w:rsidR="00161F95">
        <w:t xml:space="preserve">  Attached to the </w:t>
      </w:r>
      <w:r w:rsidR="001D3E38">
        <w:t xml:space="preserve">Ruth </w:t>
      </w:r>
      <w:r w:rsidR="00161F95">
        <w:t xml:space="preserve">Complaint was a letter dated October 7, 2009, to PPL from Phyllis Ruth stating, </w:t>
      </w:r>
      <w:r w:rsidR="00161F95" w:rsidRPr="00FD13C5">
        <w:rPr>
          <w:i/>
        </w:rPr>
        <w:t>inter alia</w:t>
      </w:r>
      <w:r w:rsidR="00087228">
        <w:t>, that she wants the street</w:t>
      </w:r>
      <w:r w:rsidR="00161F95">
        <w:t xml:space="preserve">light </w:t>
      </w:r>
      <w:r w:rsidR="00A33354">
        <w:t xml:space="preserve">to be </w:t>
      </w:r>
      <w:r w:rsidR="00161F95">
        <w:t>attached to her meter, and asking PPL to put her account back in her name.</w:t>
      </w:r>
    </w:p>
    <w:p w:rsidR="00B041F2" w:rsidRDefault="00B041F2" w:rsidP="00B041F2">
      <w:pPr>
        <w:widowControl/>
        <w:spacing w:line="360" w:lineRule="auto"/>
        <w:ind w:firstLine="720"/>
      </w:pPr>
    </w:p>
    <w:p w:rsidR="00EA25F8" w:rsidRDefault="009D7918" w:rsidP="0026398D">
      <w:pPr>
        <w:widowControl/>
        <w:spacing w:line="360" w:lineRule="auto"/>
        <w:ind w:firstLine="720"/>
      </w:pPr>
      <w:r>
        <w:tab/>
      </w:r>
      <w:r w:rsidR="00F0392A">
        <w:t>PPL</w:t>
      </w:r>
      <w:r w:rsidR="001A4E14" w:rsidRPr="00BB354A">
        <w:t xml:space="preserve"> </w:t>
      </w:r>
      <w:r w:rsidR="00F9139E">
        <w:t xml:space="preserve">filed </w:t>
      </w:r>
      <w:r>
        <w:t>A</w:t>
      </w:r>
      <w:r w:rsidR="001A4E14" w:rsidRPr="00BB354A">
        <w:t>nswer</w:t>
      </w:r>
      <w:r w:rsidR="00F9139E">
        <w:t>s</w:t>
      </w:r>
      <w:r w:rsidR="001A4E14" w:rsidRPr="00BB354A">
        <w:t xml:space="preserve"> </w:t>
      </w:r>
      <w:r w:rsidR="00F9139E">
        <w:t xml:space="preserve">with </w:t>
      </w:r>
      <w:r w:rsidR="003C7C82">
        <w:t xml:space="preserve">New Matter </w:t>
      </w:r>
      <w:r w:rsidR="00F9139E">
        <w:t xml:space="preserve">to the Ruth Complaint and </w:t>
      </w:r>
      <w:r w:rsidR="00B40AC6">
        <w:t xml:space="preserve">the </w:t>
      </w:r>
      <w:r w:rsidR="00F9139E">
        <w:t xml:space="preserve">Thompson Complaint </w:t>
      </w:r>
      <w:r w:rsidR="001A4E14" w:rsidRPr="00BB354A">
        <w:t xml:space="preserve">on </w:t>
      </w:r>
      <w:r w:rsidR="00853962">
        <w:t>April 16</w:t>
      </w:r>
      <w:r w:rsidR="001A4E14" w:rsidRPr="00BB354A">
        <w:t>, 20</w:t>
      </w:r>
      <w:r w:rsidR="00F11191">
        <w:t>1</w:t>
      </w:r>
      <w:r w:rsidR="00B24F68">
        <w:t>0</w:t>
      </w:r>
      <w:r w:rsidR="00F9139E">
        <w:t>, and April 19, 2010, respectively (Answers)</w:t>
      </w:r>
      <w:r w:rsidR="00F0392A">
        <w:t>.  PPL</w:t>
      </w:r>
      <w:r w:rsidR="00F11191">
        <w:t xml:space="preserve"> denied</w:t>
      </w:r>
      <w:r>
        <w:t xml:space="preserve"> the materi</w:t>
      </w:r>
      <w:r w:rsidR="0052626E">
        <w:t>al allegations of the Complaint</w:t>
      </w:r>
      <w:r w:rsidR="00F9139E">
        <w:t>s</w:t>
      </w:r>
      <w:r w:rsidR="0052626E">
        <w:t>,</w:t>
      </w:r>
      <w:r w:rsidR="0094785D">
        <w:t xml:space="preserve"> and </w:t>
      </w:r>
      <w:r w:rsidR="00F11191">
        <w:t>all</w:t>
      </w:r>
      <w:r w:rsidR="000109C6">
        <w:t xml:space="preserve">eged that </w:t>
      </w:r>
      <w:r w:rsidR="0094785D">
        <w:t xml:space="preserve">that there is no such thing as a </w:t>
      </w:r>
      <w:r w:rsidR="0094785D" w:rsidRPr="00207342">
        <w:rPr>
          <w:i/>
        </w:rPr>
        <w:t>de minimus</w:t>
      </w:r>
      <w:r w:rsidR="0094785D">
        <w:t xml:space="preserve"> foreign load exception under Act 54</w:t>
      </w:r>
      <w:r w:rsidR="00B40AC6">
        <w:t>;</w:t>
      </w:r>
      <w:r w:rsidR="001D3E38">
        <w:rPr>
          <w:rStyle w:val="FootnoteReference"/>
        </w:rPr>
        <w:footnoteReference w:id="3"/>
      </w:r>
      <w:r w:rsidR="0094785D">
        <w:t xml:space="preserve"> that PPL is required to transfer electric bills to a landlord upon discovery of foreign load</w:t>
      </w:r>
      <w:r w:rsidR="00EA25F8">
        <w:t>; and that a tenant can</w:t>
      </w:r>
      <w:r w:rsidR="0094785D">
        <w:t>n</w:t>
      </w:r>
      <w:r w:rsidR="00207342">
        <w:t>ot instruct PPL to the contrary</w:t>
      </w:r>
      <w:r w:rsidR="00F11191">
        <w:t xml:space="preserve">.  </w:t>
      </w:r>
      <w:r w:rsidR="003C7C82">
        <w:t>Answe</w:t>
      </w:r>
      <w:r w:rsidR="00F0392A">
        <w:t>r</w:t>
      </w:r>
      <w:r w:rsidR="00F9139E">
        <w:t>s</w:t>
      </w:r>
      <w:r w:rsidR="00F0392A">
        <w:t xml:space="preserve"> at </w:t>
      </w:r>
      <w:r w:rsidR="0094785D">
        <w:t>2</w:t>
      </w:r>
      <w:r w:rsidR="003C7C82">
        <w:t xml:space="preserve">.  </w:t>
      </w:r>
      <w:r w:rsidR="00F0392A">
        <w:t>PPL</w:t>
      </w:r>
      <w:r w:rsidR="00F11191">
        <w:t xml:space="preserve"> asked the Commission to dismiss the Compla</w:t>
      </w:r>
      <w:r w:rsidR="00F0392A">
        <w:t>int</w:t>
      </w:r>
      <w:r w:rsidR="00B40AC6">
        <w:t>s</w:t>
      </w:r>
      <w:r w:rsidR="00F0392A">
        <w:t xml:space="preserve">.  </w:t>
      </w:r>
    </w:p>
    <w:p w:rsidR="00EA25F8" w:rsidRDefault="00EA25F8" w:rsidP="00F0392A">
      <w:pPr>
        <w:keepNext/>
        <w:widowControl/>
        <w:spacing w:line="360" w:lineRule="auto"/>
        <w:ind w:firstLine="720"/>
      </w:pPr>
    </w:p>
    <w:p w:rsidR="00555D0C" w:rsidRDefault="00EA25F8" w:rsidP="0026398D">
      <w:pPr>
        <w:widowControl/>
        <w:spacing w:line="360" w:lineRule="auto"/>
        <w:ind w:firstLine="720"/>
      </w:pPr>
      <w:r>
        <w:t xml:space="preserve"> </w:t>
      </w:r>
      <w:r>
        <w:tab/>
      </w:r>
      <w:r w:rsidR="00F11191">
        <w:t xml:space="preserve">The </w:t>
      </w:r>
      <w:r w:rsidR="00E7665E">
        <w:t xml:space="preserve">Complainant </w:t>
      </w:r>
      <w:r w:rsidR="00F9139E">
        <w:t>filed Replies</w:t>
      </w:r>
      <w:r w:rsidR="009D7918">
        <w:t xml:space="preserve"> </w:t>
      </w:r>
      <w:r>
        <w:t xml:space="preserve">to PPL’s New Matter </w:t>
      </w:r>
      <w:r w:rsidR="00F11191">
        <w:t xml:space="preserve">on </w:t>
      </w:r>
      <w:r w:rsidR="00F0392A">
        <w:t>April 30</w:t>
      </w:r>
      <w:r w:rsidR="00F11191">
        <w:t xml:space="preserve">, </w:t>
      </w:r>
      <w:r w:rsidR="00B24F68">
        <w:t>2010, denying the material allegations of the Respondent’s New Matter.</w:t>
      </w:r>
      <w:r w:rsidR="008F404D">
        <w:t xml:space="preserve">  More spec</w:t>
      </w:r>
      <w:r w:rsidR="009D466B">
        <w:t>ifically, the Complainant argued</w:t>
      </w:r>
      <w:r w:rsidR="008F404D">
        <w:t xml:space="preserve"> that </w:t>
      </w:r>
      <w:r w:rsidR="008753E4">
        <w:t>the existence of an agreed-upon</w:t>
      </w:r>
      <w:r w:rsidR="008F404D">
        <w:t xml:space="preserve"> </w:t>
      </w:r>
      <w:r w:rsidR="008F404D" w:rsidRPr="008F404D">
        <w:rPr>
          <w:i/>
        </w:rPr>
        <w:t>de minimus</w:t>
      </w:r>
      <w:r w:rsidR="008F404D">
        <w:t xml:space="preserve"> load </w:t>
      </w:r>
      <w:r w:rsidR="009D466B">
        <w:t>does not preclude</w:t>
      </w:r>
      <w:r w:rsidR="008F404D">
        <w:t xml:space="preserve"> a property from being “individually metered” under 66 Pa. C.S. § 1529.1</w:t>
      </w:r>
      <w:r w:rsidR="009D466B">
        <w:t xml:space="preserve">.  The Complainant </w:t>
      </w:r>
      <w:r w:rsidR="008F404D">
        <w:t xml:space="preserve">asserted that a minimal </w:t>
      </w:r>
      <w:r w:rsidR="0062365F">
        <w:t>foreign load is permitted by a Commission</w:t>
      </w:r>
      <w:r w:rsidR="008F404D">
        <w:t xml:space="preserve"> policy</w:t>
      </w:r>
    </w:p>
    <w:p w:rsidR="00246A71" w:rsidRPr="00BB354A" w:rsidRDefault="008F404D" w:rsidP="00D637A7">
      <w:pPr>
        <w:keepNext/>
        <w:widowControl/>
        <w:spacing w:line="360" w:lineRule="auto"/>
      </w:pPr>
      <w:r>
        <w:lastRenderedPageBreak/>
        <w:t>statement</w:t>
      </w:r>
      <w:r w:rsidR="00B40AC6">
        <w:t>,</w:t>
      </w:r>
      <w:r>
        <w:t xml:space="preserve"> 28 </w:t>
      </w:r>
      <w:r w:rsidRPr="00D637A7">
        <w:rPr>
          <w:i/>
        </w:rPr>
        <w:t>Pa.</w:t>
      </w:r>
      <w:r w:rsidR="00B37C32" w:rsidRPr="00D637A7">
        <w:rPr>
          <w:i/>
        </w:rPr>
        <w:t xml:space="preserve"> </w:t>
      </w:r>
      <w:r w:rsidRPr="00D637A7">
        <w:rPr>
          <w:i/>
        </w:rPr>
        <w:t>B</w:t>
      </w:r>
      <w:r>
        <w:t>. 5497</w:t>
      </w:r>
      <w:r w:rsidR="00B37C32">
        <w:t xml:space="preserve"> (October 31, 1998)</w:t>
      </w:r>
      <w:r>
        <w:t>,</w:t>
      </w:r>
      <w:r w:rsidR="009D466B">
        <w:rPr>
          <w:rStyle w:val="FootnoteReference"/>
        </w:rPr>
        <w:footnoteReference w:id="4"/>
      </w:r>
      <w:r>
        <w:t xml:space="preserve"> which provides that a utility is not required to place an account in a landlord’s name where a tenant has notified the</w:t>
      </w:r>
      <w:r w:rsidR="00F9139E">
        <w:t xml:space="preserve"> utility to the contrary.  Replies</w:t>
      </w:r>
      <w:r>
        <w:t xml:space="preserve"> at 1-2, citing </w:t>
      </w:r>
      <w:r w:rsidRPr="008F404D">
        <w:rPr>
          <w:i/>
        </w:rPr>
        <w:t>Blackwell v. Equitable Gas Co</w:t>
      </w:r>
      <w:r>
        <w:t>., 55 Pa. P</w:t>
      </w:r>
      <w:r w:rsidR="00387FD2">
        <w:t>.</w:t>
      </w:r>
      <w:r>
        <w:t>U</w:t>
      </w:r>
      <w:r w:rsidR="00387FD2">
        <w:t>.</w:t>
      </w:r>
      <w:r>
        <w:t>C</w:t>
      </w:r>
      <w:r w:rsidR="00387FD2">
        <w:t>.</w:t>
      </w:r>
      <w:r>
        <w:t xml:space="preserve"> 647 (1982).  The Complainant further asserted that, under the Commission’s policy</w:t>
      </w:r>
      <w:r w:rsidR="00730924">
        <w:t xml:space="preserve"> statement</w:t>
      </w:r>
      <w:r>
        <w:t xml:space="preserve">, wiring does not have to be reconfigured to remove </w:t>
      </w:r>
      <w:r w:rsidRPr="008F404D">
        <w:rPr>
          <w:i/>
        </w:rPr>
        <w:t>de minimus</w:t>
      </w:r>
      <w:r>
        <w:t xml:space="preserve"> foreign load, even if the tenant has not agreed to accept it.  </w:t>
      </w:r>
      <w:r w:rsidRPr="008753E4">
        <w:rPr>
          <w:i/>
        </w:rPr>
        <w:t>Id.</w:t>
      </w:r>
      <w:r>
        <w:t xml:space="preserve"> at 2.</w:t>
      </w:r>
    </w:p>
    <w:p w:rsidR="001A4E14" w:rsidRPr="00BB354A" w:rsidRDefault="001A4E14" w:rsidP="00F11191">
      <w:pPr>
        <w:widowControl/>
        <w:spacing w:line="360" w:lineRule="auto"/>
      </w:pPr>
    </w:p>
    <w:p w:rsidR="00FD61B7" w:rsidRDefault="00F0392A" w:rsidP="00FD61B7">
      <w:pPr>
        <w:widowControl/>
        <w:spacing w:line="360" w:lineRule="auto"/>
        <w:ind w:firstLine="1440"/>
      </w:pPr>
      <w:r>
        <w:t>An init</w:t>
      </w:r>
      <w:r w:rsidR="009D466B">
        <w:t>ial hearing was held on April 26</w:t>
      </w:r>
      <w:r>
        <w:t xml:space="preserve">, 2011, followed by a further hearing on August 23, 2011.  </w:t>
      </w:r>
      <w:r w:rsidR="009B40C2" w:rsidRPr="00BB354A">
        <w:t xml:space="preserve">The </w:t>
      </w:r>
      <w:r w:rsidR="00E717CA" w:rsidRPr="00BB354A">
        <w:t xml:space="preserve">Complainant </w:t>
      </w:r>
      <w:r w:rsidR="00E7665E">
        <w:t xml:space="preserve">and the Respondent were </w:t>
      </w:r>
      <w:r w:rsidR="00E717CA" w:rsidRPr="00BB354A">
        <w:t>represented by counsel</w:t>
      </w:r>
      <w:r>
        <w:t xml:space="preserve"> at both hearings</w:t>
      </w:r>
      <w:r w:rsidR="00E717CA" w:rsidRPr="00BB354A">
        <w:t xml:space="preserve">.  </w:t>
      </w:r>
      <w:r w:rsidR="000C79C2">
        <w:t xml:space="preserve">The Complainant presented one witness and submitted ten exhibits.  PPL presented two witnesses and </w:t>
      </w:r>
      <w:r w:rsidR="00E7665E">
        <w:t>submitted</w:t>
      </w:r>
      <w:r>
        <w:t xml:space="preserve"> seven</w:t>
      </w:r>
      <w:r w:rsidR="000C79C2">
        <w:t xml:space="preserve"> exhibits.  Together, t</w:t>
      </w:r>
      <w:r w:rsidR="00E717CA" w:rsidRPr="00BB354A">
        <w:t xml:space="preserve">he </w:t>
      </w:r>
      <w:r>
        <w:t xml:space="preserve">two </w:t>
      </w:r>
      <w:r w:rsidR="00E717CA" w:rsidRPr="00BB354A">
        <w:t>hearing</w:t>
      </w:r>
      <w:r>
        <w:t>s</w:t>
      </w:r>
      <w:r w:rsidR="00E717CA" w:rsidRPr="00BB354A">
        <w:t xml:space="preserve"> generated 1</w:t>
      </w:r>
      <w:r>
        <w:t>45</w:t>
      </w:r>
      <w:r w:rsidR="001D3D16">
        <w:t xml:space="preserve"> pages of testimony.  </w:t>
      </w:r>
      <w:r w:rsidR="001D3D16" w:rsidRPr="00BB354A">
        <w:t xml:space="preserve">The record closed on </w:t>
      </w:r>
      <w:r w:rsidR="001D3D16">
        <w:t>September 15, 2011</w:t>
      </w:r>
      <w:r w:rsidR="001D3D16" w:rsidRPr="00BB354A">
        <w:t>.</w:t>
      </w:r>
      <w:r w:rsidR="001D3D16">
        <w:t xml:space="preserve">  Main B</w:t>
      </w:r>
      <w:r w:rsidR="00E717CA" w:rsidRPr="00BB354A">
        <w:t>riefs were filed</w:t>
      </w:r>
      <w:r w:rsidR="00084025">
        <w:t xml:space="preserve"> by the Complainant and PPL</w:t>
      </w:r>
      <w:r w:rsidR="001D3D16">
        <w:t xml:space="preserve"> on October 14, </w:t>
      </w:r>
      <w:r w:rsidR="00084025">
        <w:t xml:space="preserve">2011 and October 15, </w:t>
      </w:r>
      <w:r w:rsidR="001D3D16">
        <w:t>2011</w:t>
      </w:r>
      <w:r w:rsidR="00084025">
        <w:t>, respectively</w:t>
      </w:r>
      <w:r w:rsidR="00E717CA" w:rsidRPr="00BB354A">
        <w:t>.</w:t>
      </w:r>
      <w:r w:rsidR="001D3D16">
        <w:t xml:space="preserve">  The Complainant filed a Reply Brief on October 24, 2011.</w:t>
      </w:r>
      <w:r w:rsidR="00E717CA" w:rsidRPr="00BB354A">
        <w:t xml:space="preserve">  </w:t>
      </w:r>
    </w:p>
    <w:p w:rsidR="00FD61B7" w:rsidRDefault="00FD61B7" w:rsidP="00FD61B7">
      <w:pPr>
        <w:widowControl/>
        <w:spacing w:line="360" w:lineRule="auto"/>
        <w:ind w:firstLine="1440"/>
      </w:pPr>
    </w:p>
    <w:p w:rsidR="00B041F2" w:rsidRDefault="0062365F" w:rsidP="00B041F2">
      <w:pPr>
        <w:widowControl/>
        <w:autoSpaceDE w:val="0"/>
        <w:autoSpaceDN w:val="0"/>
        <w:adjustRightInd w:val="0"/>
        <w:spacing w:line="360" w:lineRule="auto"/>
        <w:ind w:firstLine="720"/>
      </w:pPr>
      <w:r>
        <w:t xml:space="preserve"> </w:t>
      </w:r>
      <w:r>
        <w:tab/>
      </w:r>
      <w:r w:rsidR="001D3D16">
        <w:t>ALJ Buckley</w:t>
      </w:r>
      <w:r w:rsidR="00E5417B">
        <w:t>’s Initial Decision</w:t>
      </w:r>
      <w:r w:rsidR="001D3D16">
        <w:t xml:space="preserve"> </w:t>
      </w:r>
      <w:r w:rsidR="000109C6">
        <w:t>dismissed the Complaint based on the ALJ’s conclusion</w:t>
      </w:r>
      <w:r w:rsidR="001D3D16">
        <w:t>s</w:t>
      </w:r>
      <w:r w:rsidR="00FD61B7">
        <w:t xml:space="preserve"> that </w:t>
      </w:r>
      <w:r w:rsidR="001D3D16">
        <w:t xml:space="preserve">(1) Section 1529.1 of the Code, 66 Pa. C.S. § 1529.1, required PPL to place the </w:t>
      </w:r>
      <w:r w:rsidR="00730924">
        <w:t>tenants’</w:t>
      </w:r>
      <w:r w:rsidR="00B041F2">
        <w:t xml:space="preserve"> ac</w:t>
      </w:r>
      <w:r w:rsidR="00730924">
        <w:t xml:space="preserve">counts </w:t>
      </w:r>
      <w:r w:rsidR="00B041F2">
        <w:t>in the name of 1-A</w:t>
      </w:r>
      <w:r w:rsidR="001D3D16">
        <w:t xml:space="preserve"> Realty due to the existence of foreign load, and (2) </w:t>
      </w:r>
      <w:r w:rsidR="00FD61B7">
        <w:t>the Com</w:t>
      </w:r>
      <w:r w:rsidR="001D3D16">
        <w:t>plainant failed to meet its burden of proving that it is entitled to relief as required by Section 332(a) of the Co</w:t>
      </w:r>
      <w:r w:rsidR="003165AE">
        <w:t>de, 66 Pa. C.S. § 332(a).  I.D. </w:t>
      </w:r>
      <w:r w:rsidR="001D3D16">
        <w:t>at</w:t>
      </w:r>
      <w:r w:rsidR="003165AE">
        <w:t> </w:t>
      </w:r>
      <w:r w:rsidR="001D3D16">
        <w:t>11</w:t>
      </w:r>
      <w:r w:rsidR="00FC0BD5">
        <w:t>.</w:t>
      </w:r>
      <w:r w:rsidRPr="0062365F">
        <w:t xml:space="preserve"> </w:t>
      </w:r>
      <w:r>
        <w:t xml:space="preserve">  The ALJ concluded that, because the Complainant failed to demonstrate that PPL had violated its duty under the Code or the Commission’s Regulations or Orders, the Commission does not have the authority to require PPL to take any action in response to 1-A Realty’s Complaint.  </w:t>
      </w:r>
      <w:r w:rsidRPr="0062365F">
        <w:rPr>
          <w:i/>
        </w:rPr>
        <w:t>Id.</w:t>
      </w:r>
      <w:r>
        <w:t xml:space="preserve"> at 7.  The ALJ rejected the Complainant’s argument that it should be permitted to continue wiring its streetlights to the meters of the residents, in exchange for a discount from their lot rents, because the residents have agreed to this </w:t>
      </w:r>
      <w:r>
        <w:lastRenderedPageBreak/>
        <w:t xml:space="preserve">arrangement.  The ALJ reasoned that “[e]ven if the residents would like the present arrangement to continue and see a monetary advantage therefrom, a private arrangement between the Complainant and its residents cannot ‘trump’ the law.”  </w:t>
      </w:r>
      <w:r w:rsidRPr="0062365F">
        <w:rPr>
          <w:i/>
        </w:rPr>
        <w:t>Id.</w:t>
      </w:r>
      <w:r>
        <w:t xml:space="preserve"> at 8.  The ALJ also rejected the Complainant’s argument that its arrangement with its residents is authorized by the Manufactured Home Community Rights Act.  The ALJ concluded that this Act “does not permit individuals to ignore other provisions of Pennsylvania law on the basis of a private agreement, even if the individuals enthusiastically support that agreement.”  </w:t>
      </w:r>
      <w:r w:rsidRPr="008C1302">
        <w:rPr>
          <w:i/>
        </w:rPr>
        <w:t>Id.</w:t>
      </w:r>
      <w:r>
        <w:t xml:space="preserve">  While the ALJ acknowledged that the Complainant took its action in good faith to correct a safety concern, he found that the Complainant’s solution violated the Code, and must be corrected “unless the Complainant wishes to remain responsible for the twenty-one electric accounts.”  </w:t>
      </w:r>
      <w:r w:rsidRPr="008C1302">
        <w:rPr>
          <w:i/>
        </w:rPr>
        <w:t>Id.</w:t>
      </w:r>
      <w:r>
        <w:t xml:space="preserve"> at 10.  </w:t>
      </w:r>
    </w:p>
    <w:p w:rsidR="00B041F2" w:rsidRDefault="00B041F2" w:rsidP="00FD61B7">
      <w:pPr>
        <w:widowControl/>
        <w:spacing w:line="360" w:lineRule="auto"/>
        <w:jc w:val="center"/>
        <w:rPr>
          <w:b/>
        </w:rPr>
      </w:pPr>
    </w:p>
    <w:p w:rsidR="00FD61B7" w:rsidRDefault="00FD61B7" w:rsidP="00FD61B7">
      <w:pPr>
        <w:widowControl/>
        <w:spacing w:line="360" w:lineRule="auto"/>
        <w:jc w:val="center"/>
        <w:rPr>
          <w:b/>
        </w:rPr>
      </w:pPr>
      <w:r w:rsidRPr="00FD61B7">
        <w:rPr>
          <w:b/>
        </w:rPr>
        <w:t>Background</w:t>
      </w:r>
    </w:p>
    <w:p w:rsidR="0033117F" w:rsidRPr="00FD61B7" w:rsidRDefault="0033117F" w:rsidP="00FD61B7">
      <w:pPr>
        <w:widowControl/>
        <w:spacing w:line="360" w:lineRule="auto"/>
        <w:jc w:val="center"/>
        <w:rPr>
          <w:b/>
        </w:rPr>
      </w:pPr>
    </w:p>
    <w:p w:rsidR="007E7710" w:rsidRDefault="00456BE1" w:rsidP="00F03852">
      <w:pPr>
        <w:widowControl/>
        <w:autoSpaceDE w:val="0"/>
        <w:autoSpaceDN w:val="0"/>
        <w:adjustRightInd w:val="0"/>
        <w:spacing w:line="360" w:lineRule="auto"/>
        <w:ind w:firstLine="720"/>
      </w:pPr>
      <w:r>
        <w:t xml:space="preserve"> </w:t>
      </w:r>
      <w:r>
        <w:tab/>
      </w:r>
      <w:r w:rsidR="00B467AA">
        <w:t>T</w:t>
      </w:r>
      <w:r>
        <w:t>he Complainant ope</w:t>
      </w:r>
      <w:r w:rsidR="00DD4316">
        <w:t xml:space="preserve">rates a manufactured </w:t>
      </w:r>
      <w:r w:rsidR="00177A72">
        <w:t>home community called Red Maple</w:t>
      </w:r>
      <w:r w:rsidR="00DD4316">
        <w:t xml:space="preserve"> Acres </w:t>
      </w:r>
      <w:r w:rsidR="00981FCB">
        <w:t xml:space="preserve">Mobile Home Park </w:t>
      </w:r>
      <w:r w:rsidR="00DD4316">
        <w:t>in Lower Macungie Township</w:t>
      </w:r>
      <w:r>
        <w:t xml:space="preserve">, </w:t>
      </w:r>
      <w:r w:rsidR="00A35B38">
        <w:t>Wesco</w:t>
      </w:r>
      <w:r w:rsidR="00837764">
        <w:t>sville</w:t>
      </w:r>
      <w:r w:rsidR="00DD4316">
        <w:t>, with approximately 200 lots that are leased from the Complainant and on which the residents place their</w:t>
      </w:r>
      <w:r w:rsidR="00981FCB">
        <w:t xml:space="preserve"> manufactured homes.  </w:t>
      </w:r>
      <w:r w:rsidR="00981FCB" w:rsidRPr="00E00EFD">
        <w:t xml:space="preserve">N.T. </w:t>
      </w:r>
      <w:r w:rsidR="00A35B38" w:rsidRPr="00E00EFD">
        <w:t>(4/26/11</w:t>
      </w:r>
      <w:r w:rsidR="00981FCB" w:rsidRPr="00E00EFD">
        <w:t>)</w:t>
      </w:r>
      <w:r w:rsidR="00981FCB">
        <w:t xml:space="preserve"> at 25</w:t>
      </w:r>
      <w:r w:rsidR="00A35B38">
        <w:t xml:space="preserve">. </w:t>
      </w:r>
      <w:r w:rsidR="00DD4316">
        <w:t xml:space="preserve">  </w:t>
      </w:r>
      <w:r w:rsidR="00087228">
        <w:t xml:space="preserve">The </w:t>
      </w:r>
      <w:r w:rsidR="00B041F2">
        <w:t xml:space="preserve">original </w:t>
      </w:r>
      <w:r w:rsidR="00087228">
        <w:t>wiring for the street</w:t>
      </w:r>
      <w:r w:rsidR="00981FCB">
        <w:t>lights in Red Maple Acres wa</w:t>
      </w:r>
      <w:r w:rsidR="00DD4316">
        <w:t xml:space="preserve">s located </w:t>
      </w:r>
      <w:r w:rsidR="00981FCB">
        <w:t xml:space="preserve">directly </w:t>
      </w:r>
      <w:r w:rsidR="00DD4316">
        <w:t>underground</w:t>
      </w:r>
      <w:r w:rsidR="00EA18B3">
        <w:t xml:space="preserve"> in unmarked locations</w:t>
      </w:r>
      <w:r w:rsidR="00981FCB">
        <w:t xml:space="preserve">, without any conduit, when the Park was developed in the 1960’s.  The wiring was </w:t>
      </w:r>
      <w:r w:rsidR="00DD4316">
        <w:t>on a single circuit connected to one meter at the park’s central mai</w:t>
      </w:r>
      <w:r w:rsidR="00E00EFD">
        <w:t xml:space="preserve">ntenance garage.  </w:t>
      </w:r>
      <w:r w:rsidR="00E00EFD" w:rsidRPr="00E00EFD">
        <w:rPr>
          <w:i/>
        </w:rPr>
        <w:t>Id.</w:t>
      </w:r>
      <w:r w:rsidR="003165AE">
        <w:t> at 26</w:t>
      </w:r>
      <w:r w:rsidR="003165AE">
        <w:noBreakHyphen/>
      </w:r>
      <w:r w:rsidR="00F03852">
        <w:t xml:space="preserve">28.  However, </w:t>
      </w:r>
      <w:r w:rsidR="00DD4316">
        <w:t xml:space="preserve">after an incident in which a resident inadvertently severed the underground wiring, the Complainant </w:t>
      </w:r>
      <w:r w:rsidR="00EA18B3">
        <w:t xml:space="preserve">determined that, due to recurring problems of a similar nature, the underground wiring presented a safety issue.  </w:t>
      </w:r>
    </w:p>
    <w:p w:rsidR="007E7710" w:rsidRDefault="007E7710" w:rsidP="00F03852">
      <w:pPr>
        <w:widowControl/>
        <w:autoSpaceDE w:val="0"/>
        <w:autoSpaceDN w:val="0"/>
        <w:adjustRightInd w:val="0"/>
        <w:spacing w:line="360" w:lineRule="auto"/>
        <w:ind w:firstLine="720"/>
      </w:pPr>
    </w:p>
    <w:p w:rsidR="00F03852" w:rsidRDefault="007E7710" w:rsidP="00F03852">
      <w:pPr>
        <w:widowControl/>
        <w:autoSpaceDE w:val="0"/>
        <w:autoSpaceDN w:val="0"/>
        <w:adjustRightInd w:val="0"/>
        <w:spacing w:line="360" w:lineRule="auto"/>
        <w:ind w:firstLine="720"/>
      </w:pPr>
      <w:r>
        <w:t xml:space="preserve"> </w:t>
      </w:r>
      <w:r>
        <w:tab/>
      </w:r>
      <w:r w:rsidR="00EA18B3">
        <w:t xml:space="preserve">The Complainant </w:t>
      </w:r>
      <w:r w:rsidR="00185BBB">
        <w:t>considered several options</w:t>
      </w:r>
      <w:r>
        <w:t xml:space="preserve"> to replace the unsafe wiring.  The Complainant </w:t>
      </w:r>
      <w:r w:rsidR="00EA18B3">
        <w:t xml:space="preserve">rejected the option of installing </w:t>
      </w:r>
      <w:r>
        <w:t xml:space="preserve">a new single circuit of </w:t>
      </w:r>
      <w:r w:rsidR="00EA18B3">
        <w:t>underground wiring in conduits throug</w:t>
      </w:r>
      <w:r>
        <w:t xml:space="preserve">hout the Park as too expensive.  This option </w:t>
      </w:r>
      <w:r w:rsidR="00EA18B3">
        <w:t>would have required a contractor to cross and cut streets, and go underneath roads</w:t>
      </w:r>
      <w:r w:rsidR="00DE3843">
        <w:t xml:space="preserve">, the cost of which </w:t>
      </w:r>
      <w:r w:rsidR="00DE3843">
        <w:lastRenderedPageBreak/>
        <w:t>would have been passed through to residents in the form of lot rent increases</w:t>
      </w:r>
      <w:r w:rsidR="00EA18B3">
        <w:t xml:space="preserve">.  </w:t>
      </w:r>
      <w:r w:rsidR="00EA18B3" w:rsidRPr="00EA18B3">
        <w:rPr>
          <w:i/>
        </w:rPr>
        <w:t>Id.</w:t>
      </w:r>
      <w:r w:rsidR="003165AE">
        <w:t> at </w:t>
      </w:r>
      <w:r w:rsidR="00EA18B3">
        <w:t>29</w:t>
      </w:r>
      <w:r w:rsidR="003165AE">
        <w:t>, </w:t>
      </w:r>
      <w:r w:rsidR="00DE3843">
        <w:t>55</w:t>
      </w:r>
      <w:r w:rsidR="00EA18B3">
        <w:t xml:space="preserve">.  </w:t>
      </w:r>
      <w:r w:rsidR="00514CDF">
        <w:t>The Complainant considered and rejected the o</w:t>
      </w:r>
      <w:r w:rsidR="00087228">
        <w:t>ption of eliminating the street</w:t>
      </w:r>
      <w:r w:rsidR="00514CDF">
        <w:t xml:space="preserve">lights altogether because it “didn’t make sense either.”  </w:t>
      </w:r>
      <w:r w:rsidR="00514CDF" w:rsidRPr="00514CDF">
        <w:rPr>
          <w:i/>
        </w:rPr>
        <w:t>Id.</w:t>
      </w:r>
      <w:r w:rsidR="00514CDF">
        <w:t xml:space="preserve"> at 30.  </w:t>
      </w:r>
      <w:r w:rsidR="00185BBB">
        <w:t>In lieu of these options, in 2008</w:t>
      </w:r>
      <w:r w:rsidR="00B40AC6">
        <w:t>,</w:t>
      </w:r>
      <w:r w:rsidR="00185BBB">
        <w:t xml:space="preserve"> the </w:t>
      </w:r>
      <w:r>
        <w:t xml:space="preserve">Complainant decided to wire </w:t>
      </w:r>
      <w:r w:rsidR="00E00EFD">
        <w:t xml:space="preserve">the Park’s </w:t>
      </w:r>
      <w:r>
        <w:t xml:space="preserve">twenty-one </w:t>
      </w:r>
      <w:r w:rsidR="00087228">
        <w:t>street</w:t>
      </w:r>
      <w:r w:rsidR="00185BBB">
        <w:t xml:space="preserve">lights to the electric meters of the closest residents.  </w:t>
      </w:r>
      <w:r w:rsidR="00185BBB" w:rsidRPr="00514CDF">
        <w:rPr>
          <w:i/>
        </w:rPr>
        <w:t>Id.</w:t>
      </w:r>
      <w:r>
        <w:t xml:space="preserve"> at 35, 63.  T</w:t>
      </w:r>
      <w:r w:rsidR="00087228">
        <w:t xml:space="preserve">he </w:t>
      </w:r>
      <w:r w:rsidR="00514CDF">
        <w:t>Complainant also notified the Park’s residents that</w:t>
      </w:r>
      <w:r>
        <w:t>,</w:t>
      </w:r>
      <w:r w:rsidR="00514CDF">
        <w:t xml:space="preserve"> </w:t>
      </w:r>
      <w:r>
        <w:t xml:space="preserve">depending on the outcome of the instant proceeding, </w:t>
      </w:r>
      <w:r w:rsidR="00514CDF">
        <w:t xml:space="preserve">they may be required to install individual lights on their lots, </w:t>
      </w:r>
      <w:r>
        <w:t>as is sometimes required in other manufactured home communities</w:t>
      </w:r>
      <w:r w:rsidR="00F03852">
        <w:t xml:space="preserve">.   However, this </w:t>
      </w:r>
      <w:r>
        <w:t xml:space="preserve">also </w:t>
      </w:r>
      <w:r w:rsidR="00F03852">
        <w:t>would</w:t>
      </w:r>
      <w:r w:rsidR="00514CDF">
        <w:t xml:space="preserve"> not </w:t>
      </w:r>
      <w:r w:rsidR="00F03852">
        <w:t xml:space="preserve">be </w:t>
      </w:r>
      <w:r w:rsidR="00514CDF">
        <w:t>the Complainant’s preferred solution, because the Park’s residents would incur the expense of buying an individual pole light and hiring an electrician</w:t>
      </w:r>
      <w:r>
        <w:t xml:space="preserve"> to put wiring and conduit underground</w:t>
      </w:r>
      <w:r w:rsidR="00514CDF">
        <w:t xml:space="preserve">.  </w:t>
      </w:r>
      <w:r w:rsidR="00514CDF" w:rsidRPr="00514CDF">
        <w:rPr>
          <w:i/>
        </w:rPr>
        <w:t>Id.</w:t>
      </w:r>
      <w:r w:rsidR="003165AE">
        <w:t> </w:t>
      </w:r>
      <w:r w:rsidR="00514CDF">
        <w:t xml:space="preserve">at 31-32.  </w:t>
      </w:r>
      <w:r w:rsidR="00DD4316">
        <w:t xml:space="preserve">  </w:t>
      </w:r>
    </w:p>
    <w:p w:rsidR="00F03852" w:rsidRDefault="00F03852" w:rsidP="00F03852">
      <w:pPr>
        <w:widowControl/>
        <w:autoSpaceDE w:val="0"/>
        <w:autoSpaceDN w:val="0"/>
        <w:adjustRightInd w:val="0"/>
        <w:spacing w:line="360" w:lineRule="auto"/>
        <w:ind w:firstLine="720"/>
      </w:pPr>
    </w:p>
    <w:p w:rsidR="00F20BDC" w:rsidRDefault="00F03852" w:rsidP="00F03852">
      <w:pPr>
        <w:widowControl/>
        <w:autoSpaceDE w:val="0"/>
        <w:autoSpaceDN w:val="0"/>
        <w:adjustRightInd w:val="0"/>
        <w:spacing w:line="360" w:lineRule="auto"/>
        <w:ind w:firstLine="720"/>
      </w:pPr>
      <w:r>
        <w:t xml:space="preserve"> </w:t>
      </w:r>
      <w:r>
        <w:tab/>
        <w:t xml:space="preserve">Following notification to the Park’s residents </w:t>
      </w:r>
      <w:r w:rsidR="00087228">
        <w:t>of the street</w:t>
      </w:r>
      <w:r w:rsidR="003A68C4">
        <w:t xml:space="preserve">light rewiring </w:t>
      </w:r>
      <w:r>
        <w:t xml:space="preserve">and </w:t>
      </w:r>
      <w:r w:rsidR="003A68C4">
        <w:t xml:space="preserve">the </w:t>
      </w:r>
      <w:r>
        <w:t xml:space="preserve">receipt of signed acknowledgements </w:t>
      </w:r>
      <w:r w:rsidR="001A0895">
        <w:t xml:space="preserve">at the end of 2008 from the residents </w:t>
      </w:r>
      <w:r w:rsidR="00DE3843">
        <w:t>in the form o</w:t>
      </w:r>
      <w:r w:rsidR="001A0895">
        <w:t>f registration updates for 2009</w:t>
      </w:r>
      <w:r>
        <w:t>, the Complainant rewired the streetlights</w:t>
      </w:r>
      <w:r w:rsidR="008E2A86">
        <w:t xml:space="preserve"> by installing a </w:t>
      </w:r>
      <w:r w:rsidR="001A0895">
        <w:t xml:space="preserve">new </w:t>
      </w:r>
      <w:r w:rsidR="008E2A86">
        <w:t>breaker box outsid</w:t>
      </w:r>
      <w:r w:rsidR="00B041F2">
        <w:t>e each affected residence, with</w:t>
      </w:r>
      <w:r w:rsidR="001A0895">
        <w:t xml:space="preserve"> </w:t>
      </w:r>
      <w:r w:rsidR="008E2A86">
        <w:t>a</w:t>
      </w:r>
      <w:r w:rsidR="00890E73">
        <w:t xml:space="preserve"> new underground</w:t>
      </w:r>
      <w:r w:rsidR="008E2A86">
        <w:t xml:space="preserve"> line</w:t>
      </w:r>
      <w:r w:rsidR="00FA4B3F">
        <w:t>,</w:t>
      </w:r>
      <w:r w:rsidR="008E2A86">
        <w:t xml:space="preserve"> </w:t>
      </w:r>
      <w:r w:rsidR="00890E73">
        <w:t>enclosed in conduit</w:t>
      </w:r>
      <w:r w:rsidR="00FA4B3F">
        <w:t>,</w:t>
      </w:r>
      <w:r w:rsidR="00890E73">
        <w:t xml:space="preserve"> </w:t>
      </w:r>
      <w:r w:rsidR="008E2A86">
        <w:t xml:space="preserve">from </w:t>
      </w:r>
      <w:r w:rsidR="00FA4B3F">
        <w:t>the breaker box</w:t>
      </w:r>
      <w:r w:rsidR="00B041F2">
        <w:t>es</w:t>
      </w:r>
      <w:r w:rsidR="00FA4B3F">
        <w:t xml:space="preserve"> </w:t>
      </w:r>
      <w:r w:rsidR="001A0895">
        <w:t xml:space="preserve">to the </w:t>
      </w:r>
      <w:r w:rsidR="008E2A86">
        <w:t>streetlight</w:t>
      </w:r>
      <w:r w:rsidR="001A0895">
        <w:t>s</w:t>
      </w:r>
      <w:r>
        <w:t xml:space="preserve">.  </w:t>
      </w:r>
      <w:r w:rsidR="00514CDF">
        <w:t>Accordingly, t</w:t>
      </w:r>
      <w:r w:rsidR="00E00EFD">
        <w:t>wenty</w:t>
      </w:r>
      <w:r w:rsidR="00163E9D">
        <w:t xml:space="preserve"> of the appro</w:t>
      </w:r>
      <w:r w:rsidR="00087228">
        <w:t>ximately 200 lots have a street</w:t>
      </w:r>
      <w:r w:rsidR="00163E9D">
        <w:t>light connected to their meters.</w:t>
      </w:r>
      <w:r w:rsidR="00E00EFD">
        <w:rPr>
          <w:rStyle w:val="FootnoteReference"/>
        </w:rPr>
        <w:footnoteReference w:id="5"/>
      </w:r>
      <w:r w:rsidR="00163E9D">
        <w:t xml:space="preserve">  </w:t>
      </w:r>
      <w:r w:rsidR="00E00EFD">
        <w:t xml:space="preserve">PPL Exh. 3.  </w:t>
      </w:r>
      <w:r w:rsidR="00DD4316">
        <w:t xml:space="preserve">Based </w:t>
      </w:r>
      <w:r w:rsidR="003A68C4">
        <w:t xml:space="preserve">initially on the usage of all of the streetlights metered at the Park’s maintenance building, and subsequently </w:t>
      </w:r>
      <w:r w:rsidR="00DD4316">
        <w:t>on</w:t>
      </w:r>
      <w:r w:rsidR="00163E9D">
        <w:t xml:space="preserve"> the usage of </w:t>
      </w:r>
      <w:r w:rsidR="003A68C4">
        <w:t xml:space="preserve">two </w:t>
      </w:r>
      <w:r w:rsidR="00163E9D">
        <w:t>lights that a</w:t>
      </w:r>
      <w:r w:rsidR="00DD4316">
        <w:t xml:space="preserve">re metered at two unoccupied lots, </w:t>
      </w:r>
      <w:r>
        <w:t xml:space="preserve">in July 2009 </w:t>
      </w:r>
      <w:r w:rsidR="00DD4316">
        <w:t>the Complainant</w:t>
      </w:r>
      <w:r>
        <w:t xml:space="preserve"> began providing </w:t>
      </w:r>
      <w:r w:rsidR="00B041F2">
        <w:t xml:space="preserve">a lot rent discount of $10 to </w:t>
      </w:r>
      <w:r w:rsidR="00087228">
        <w:t>each resident with a street</w:t>
      </w:r>
      <w:r w:rsidR="00163E9D">
        <w:t>light connecte</w:t>
      </w:r>
      <w:r>
        <w:t>d to his or her meter.</w:t>
      </w:r>
      <w:r w:rsidR="00FA4B3F">
        <w:rPr>
          <w:rStyle w:val="FootnoteReference"/>
        </w:rPr>
        <w:footnoteReference w:id="6"/>
      </w:r>
      <w:r w:rsidR="003A68C4">
        <w:t xml:space="preserve">  </w:t>
      </w:r>
      <w:r w:rsidR="00C72FEE">
        <w:t xml:space="preserve">  </w:t>
      </w:r>
    </w:p>
    <w:p w:rsidR="00F20BDC" w:rsidRDefault="00F20BDC" w:rsidP="00456BE1">
      <w:pPr>
        <w:widowControl/>
        <w:autoSpaceDE w:val="0"/>
        <w:autoSpaceDN w:val="0"/>
        <w:adjustRightInd w:val="0"/>
        <w:spacing w:line="360" w:lineRule="auto"/>
        <w:ind w:firstLine="720"/>
      </w:pPr>
    </w:p>
    <w:p w:rsidR="00E00EFD" w:rsidRDefault="00F20BDC" w:rsidP="00CC72B1">
      <w:pPr>
        <w:widowControl/>
        <w:autoSpaceDE w:val="0"/>
        <w:autoSpaceDN w:val="0"/>
        <w:adjustRightInd w:val="0"/>
        <w:spacing w:line="360" w:lineRule="auto"/>
        <w:ind w:firstLine="720"/>
      </w:pPr>
      <w:r>
        <w:lastRenderedPageBreak/>
        <w:t xml:space="preserve"> </w:t>
      </w:r>
      <w:r>
        <w:tab/>
      </w:r>
      <w:r w:rsidR="00163E9D">
        <w:t>In August 2009, Phyllis Ruth, a resident of Red Maple Acres, contacted PPL to ascertain whether the $10 credit was sufficient compensation for the electricity used by t</w:t>
      </w:r>
      <w:r w:rsidR="00087228">
        <w:t>he street</w:t>
      </w:r>
      <w:r w:rsidR="00163E9D">
        <w:t xml:space="preserve">light connected to her meter and billed to her account.  </w:t>
      </w:r>
      <w:r w:rsidR="003165AE">
        <w:t>N.T. (8/23/11) at </w:t>
      </w:r>
      <w:r w:rsidR="0088799C">
        <w:t xml:space="preserve">30.  </w:t>
      </w:r>
      <w:r w:rsidR="00163E9D">
        <w:t>A second resident</w:t>
      </w:r>
      <w:r w:rsidR="00CC72B1">
        <w:t>, Karen Thompson,</w:t>
      </w:r>
      <w:r w:rsidR="00163E9D">
        <w:t xml:space="preserve"> called PPL in August 2009 with a foreign load complaint.  On August 21, 2009, PPL sent the Complainant a letter advising it that</w:t>
      </w:r>
      <w:r w:rsidR="00CC72B1">
        <w:t>, based on the foreign load situation,</w:t>
      </w:r>
      <w:r w:rsidR="00163E9D">
        <w:t xml:space="preserve"> the </w:t>
      </w:r>
      <w:r w:rsidR="00DE3843">
        <w:t xml:space="preserve">Ruth account </w:t>
      </w:r>
      <w:r w:rsidR="00163E9D">
        <w:t xml:space="preserve">would be transferred to </w:t>
      </w:r>
      <w:r w:rsidR="00552355">
        <w:t>1-A</w:t>
      </w:r>
      <w:r w:rsidR="00CC72B1">
        <w:t>, along with a</w:t>
      </w:r>
      <w:r w:rsidR="00185BBB">
        <w:t xml:space="preserve">n </w:t>
      </w:r>
      <w:r w:rsidR="009672AC">
        <w:t>outstanding</w:t>
      </w:r>
      <w:r w:rsidR="00185BBB">
        <w:t xml:space="preserve"> balance of $140.51.  </w:t>
      </w:r>
      <w:r w:rsidR="00DE3843">
        <w:t xml:space="preserve">Exh. C-6.  PPL sent a similar </w:t>
      </w:r>
      <w:r w:rsidR="00D50735">
        <w:t xml:space="preserve">letter </w:t>
      </w:r>
      <w:r w:rsidR="00DE3843">
        <w:t>to 1-A concerning the Thompson a</w:t>
      </w:r>
      <w:r w:rsidR="00E00EFD">
        <w:t>ccount on August 26, 2009.  Exh.</w:t>
      </w:r>
      <w:r w:rsidR="00DE3843">
        <w:t xml:space="preserve"> C-7.  </w:t>
      </w:r>
      <w:r w:rsidR="00185BBB">
        <w:t>After receipt of the letters from PPL</w:t>
      </w:r>
      <w:r w:rsidR="00CC72B1">
        <w:t>, the Comp</w:t>
      </w:r>
      <w:r w:rsidR="008E2A86">
        <w:t>lainant turned off the breakers that control the streetlights at the units owned by</w:t>
      </w:r>
      <w:r w:rsidR="00CC72B1">
        <w:t xml:space="preserve"> Ms. Ruth and Ms. Thompson, but the remaining streetlights are still </w:t>
      </w:r>
      <w:r w:rsidR="009672AC">
        <w:t xml:space="preserve">attached to residential meters and are still </w:t>
      </w:r>
      <w:r w:rsidR="00CC72B1">
        <w:t xml:space="preserve">functioning.  </w:t>
      </w:r>
      <w:r w:rsidR="00185BBB">
        <w:t>N.T. (4/26/11) at 44</w:t>
      </w:r>
      <w:r w:rsidR="008E2A86">
        <w:t>-46</w:t>
      </w:r>
      <w:r w:rsidR="00DE3843">
        <w:t>, 50-52</w:t>
      </w:r>
      <w:r w:rsidR="00D92060">
        <w:t>, 57-60</w:t>
      </w:r>
      <w:r w:rsidR="00837764">
        <w:t>, 65-66</w:t>
      </w:r>
      <w:r w:rsidR="000C79C2">
        <w:t>; N.T. (8/23/11) at 53.</w:t>
      </w:r>
      <w:r w:rsidR="008E2A86">
        <w:t xml:space="preserve">  </w:t>
      </w:r>
    </w:p>
    <w:p w:rsidR="00E00EFD" w:rsidRDefault="00E00EFD" w:rsidP="00CC72B1">
      <w:pPr>
        <w:widowControl/>
        <w:autoSpaceDE w:val="0"/>
        <w:autoSpaceDN w:val="0"/>
        <w:adjustRightInd w:val="0"/>
        <w:spacing w:line="360" w:lineRule="auto"/>
        <w:ind w:firstLine="720"/>
      </w:pPr>
    </w:p>
    <w:p w:rsidR="004258A0" w:rsidRDefault="00E00EFD" w:rsidP="007E0534">
      <w:pPr>
        <w:widowControl/>
        <w:autoSpaceDE w:val="0"/>
        <w:autoSpaceDN w:val="0"/>
        <w:adjustRightInd w:val="0"/>
        <w:spacing w:line="360" w:lineRule="auto"/>
        <w:ind w:firstLine="720"/>
      </w:pPr>
      <w:r>
        <w:t xml:space="preserve"> </w:t>
      </w:r>
      <w:r>
        <w:tab/>
        <w:t xml:space="preserve">On September 17 and 18, 2009, PPL sent </w:t>
      </w:r>
      <w:r w:rsidR="003165AE">
        <w:t>letters to Ms. Thompson and Ms. </w:t>
      </w:r>
      <w:r>
        <w:t>Ruth, respectively, informing them that their electric accou</w:t>
      </w:r>
      <w:r w:rsidR="0088799C">
        <w:t xml:space="preserve">nts had been transferred to the Complainant </w:t>
      </w:r>
      <w:r>
        <w:t xml:space="preserve">due to the presence of foreign wiring.  </w:t>
      </w:r>
      <w:r w:rsidR="0088799C">
        <w:t xml:space="preserve">After PPL sent these letters, Ms. Ruth contacted PPL and stated that she did not want to go through with the investigation, and wanted the matter dropped.  N.T. (8/23/11) at 22.  </w:t>
      </w:r>
      <w:r w:rsidR="00CC72B1">
        <w:t xml:space="preserve">PPL has refused </w:t>
      </w:r>
      <w:r w:rsidR="005A6179">
        <w:t xml:space="preserve">written </w:t>
      </w:r>
      <w:r w:rsidR="00CC72B1">
        <w:t>requests from Ms. Ruth and Ms. Thompson to have their electric accounts placed back in their names.</w:t>
      </w:r>
      <w:r w:rsidR="005A6179" w:rsidRPr="005A6179">
        <w:t xml:space="preserve"> </w:t>
      </w:r>
      <w:r w:rsidR="005A6179">
        <w:t xml:space="preserve"> N.T. (8/23/11) at 56</w:t>
      </w:r>
      <w:r w:rsidR="007E0534">
        <w:t>.</w:t>
      </w:r>
    </w:p>
    <w:p w:rsidR="0062365F" w:rsidRDefault="0062365F" w:rsidP="004E005D">
      <w:pPr>
        <w:widowControl/>
        <w:autoSpaceDE w:val="0"/>
        <w:autoSpaceDN w:val="0"/>
        <w:adjustRightInd w:val="0"/>
        <w:spacing w:line="360" w:lineRule="auto"/>
      </w:pPr>
    </w:p>
    <w:p w:rsidR="00B467AA" w:rsidRDefault="009F4977" w:rsidP="00B467AA">
      <w:pPr>
        <w:widowControl/>
        <w:autoSpaceDE w:val="0"/>
        <w:autoSpaceDN w:val="0"/>
        <w:adjustRightInd w:val="0"/>
        <w:spacing w:line="360" w:lineRule="auto"/>
        <w:jc w:val="center"/>
      </w:pPr>
      <w:r w:rsidRPr="00BB354A">
        <w:rPr>
          <w:b/>
        </w:rPr>
        <w:t>Discussion</w:t>
      </w:r>
    </w:p>
    <w:p w:rsidR="00B467AA" w:rsidRDefault="00B467AA" w:rsidP="00B467AA">
      <w:pPr>
        <w:widowControl/>
        <w:autoSpaceDE w:val="0"/>
        <w:autoSpaceDN w:val="0"/>
        <w:adjustRightInd w:val="0"/>
        <w:spacing w:line="360" w:lineRule="auto"/>
      </w:pPr>
    </w:p>
    <w:p w:rsidR="004255C9" w:rsidRDefault="00B467AA" w:rsidP="004255C9">
      <w:pPr>
        <w:widowControl/>
        <w:autoSpaceDE w:val="0"/>
        <w:autoSpaceDN w:val="0"/>
        <w:adjustRightInd w:val="0"/>
        <w:spacing w:line="360" w:lineRule="auto"/>
        <w:ind w:firstLine="720"/>
      </w:pPr>
      <w:r>
        <w:t xml:space="preserve"> </w:t>
      </w:r>
      <w:r>
        <w:tab/>
      </w:r>
      <w:r w:rsidR="004F7F3E">
        <w:t xml:space="preserve">As the proponent of a rule or order, the Complainant in this proceeding bears the burden of proof pursuant to Section 332(a) of the Code, 66 Pa. C.S. § 332(a).  To establish a sufficient case and satisfy the burden of proof, the Complainant must show that the Respondent is responsible or accountable for the problem described in the Complaint.  </w:t>
      </w:r>
      <w:r w:rsidR="004F7F3E" w:rsidRPr="004F7F3E">
        <w:rPr>
          <w:i/>
        </w:rPr>
        <w:t>Pa</w:t>
      </w:r>
      <w:r>
        <w:rPr>
          <w:i/>
        </w:rPr>
        <w:t>tterson v. Bell Telephone Co.</w:t>
      </w:r>
      <w:r w:rsidR="004F7F3E" w:rsidRPr="004F7F3E">
        <w:rPr>
          <w:i/>
        </w:rPr>
        <w:t xml:space="preserve"> of P</w:t>
      </w:r>
      <w:r>
        <w:rPr>
          <w:i/>
        </w:rPr>
        <w:t>a.</w:t>
      </w:r>
      <w:r w:rsidR="004F7F3E">
        <w:t xml:space="preserve">, 72 Pa. P.U.C. 196 (1990).  Such a showing must be by a preponderance of the evidence.  </w:t>
      </w:r>
      <w:r w:rsidR="004F7F3E" w:rsidRPr="004F7F3E">
        <w:rPr>
          <w:i/>
        </w:rPr>
        <w:t>Samuel L. Lansberry, Inc. v. Pa.</w:t>
      </w:r>
      <w:r w:rsidR="00CB6E2F">
        <w:rPr>
          <w:i/>
        </w:rPr>
        <w:t xml:space="preserve"> </w:t>
      </w:r>
      <w:r w:rsidR="00CB6E2F">
        <w:rPr>
          <w:i/>
        </w:rPr>
        <w:lastRenderedPageBreak/>
        <w:t>PUC,</w:t>
      </w:r>
      <w:r w:rsidR="004F7F3E">
        <w:t xml:space="preserve"> 578 A.2d 600 (Pa. </w:t>
      </w:r>
      <w:r w:rsidR="006C079C">
        <w:t>Cmwlth.</w:t>
      </w:r>
      <w:r w:rsidR="004F7F3E">
        <w:t xml:space="preserve"> 1990), </w:t>
      </w:r>
      <w:r w:rsidR="004F7F3E" w:rsidRPr="00CB6E2F">
        <w:rPr>
          <w:i/>
        </w:rPr>
        <w:t>alloc. denied</w:t>
      </w:r>
      <w:r w:rsidR="004F7F3E">
        <w:t>, 529 Pa. 654, 602 A.2d 863 (1992).</w:t>
      </w:r>
      <w:r w:rsidR="00CB6E2F">
        <w:t xml:space="preserve">  That is, the Complainant’s evidence must be more convincing, by even the smallest amount, th</w:t>
      </w:r>
      <w:r w:rsidR="008217DE">
        <w:t>an</w:t>
      </w:r>
      <w:r w:rsidR="00CB6E2F">
        <w:t xml:space="preserve"> that presented by the Respondent.  </w:t>
      </w:r>
      <w:r w:rsidR="00CB6E2F" w:rsidRPr="00CB6E2F">
        <w:rPr>
          <w:i/>
        </w:rPr>
        <w:t>Se-Ling Hosiery v. Margulies</w:t>
      </w:r>
      <w:r w:rsidR="00CB6E2F">
        <w:t xml:space="preserve">, 364 Pa. 45, 70 A.2d 854 (1950).  Additionally, the Commission’s decision must be supported by substantial evidence on the record.  More is required than a mere trace of evidence or a suspicion of the existence of a fact sought to be established.  </w:t>
      </w:r>
      <w:r w:rsidR="00CB6E2F" w:rsidRPr="00CB6E2F">
        <w:rPr>
          <w:i/>
        </w:rPr>
        <w:t>Norfolk and Western Ry. Co. v. Pa. PUC</w:t>
      </w:r>
      <w:r w:rsidR="00CB6E2F">
        <w:t>, 489 Pa. 109, 413 A.2d 1037 (1980).</w:t>
      </w:r>
    </w:p>
    <w:p w:rsidR="004255C9" w:rsidRDefault="004255C9" w:rsidP="004255C9">
      <w:pPr>
        <w:widowControl/>
        <w:autoSpaceDE w:val="0"/>
        <w:autoSpaceDN w:val="0"/>
        <w:adjustRightInd w:val="0"/>
        <w:spacing w:line="360" w:lineRule="auto"/>
        <w:ind w:firstLine="720"/>
      </w:pPr>
    </w:p>
    <w:p w:rsidR="00DD3CA3" w:rsidRPr="004F7F3E" w:rsidRDefault="004255C9" w:rsidP="004255C9">
      <w:pPr>
        <w:widowControl/>
        <w:autoSpaceDE w:val="0"/>
        <w:autoSpaceDN w:val="0"/>
        <w:adjustRightInd w:val="0"/>
        <w:spacing w:line="360" w:lineRule="auto"/>
        <w:ind w:firstLine="720"/>
      </w:pPr>
      <w:r>
        <w:tab/>
        <w:t>U</w:t>
      </w:r>
      <w:r w:rsidR="00CB6E2F">
        <w:t xml:space="preserve">pon the presentation by the Complainant of evidence sufficient to initially satisfy the burden of proof, the burden of going forward with the evidence shifts to the Respondent.  If the evidence presented by the Respondent is of co-equal weight, the Complainant has not satisfied </w:t>
      </w:r>
      <w:r w:rsidR="00D50735">
        <w:t>its</w:t>
      </w:r>
      <w:r w:rsidR="00CB6E2F">
        <w:t xml:space="preserve"> burden of proof.  The Complainant now has to provide some additional evidence to rebut that of the Respondent.  </w:t>
      </w:r>
      <w:r w:rsidR="00CB6E2F" w:rsidRPr="00CB6E2F">
        <w:rPr>
          <w:i/>
        </w:rPr>
        <w:t>Burleson v. Pa. PUC</w:t>
      </w:r>
      <w:r w:rsidR="00CB6E2F">
        <w:t xml:space="preserve">, 443 A.2d 1373 (Pa. Cmwlth. 1982), </w:t>
      </w:r>
      <w:r w:rsidR="00CB6E2F" w:rsidRPr="00CB6E2F">
        <w:rPr>
          <w:i/>
        </w:rPr>
        <w:t>aff’d</w:t>
      </w:r>
      <w:r w:rsidR="00B467AA">
        <w:t>, 50</w:t>
      </w:r>
      <w:r w:rsidR="00CB6E2F">
        <w:t>1 Pa. 433, 461 A.2d 1234 (1983).</w:t>
      </w:r>
      <w:r w:rsidR="00DD3CA3">
        <w:t xml:space="preserve">  While the burden of </w:t>
      </w:r>
      <w:r w:rsidR="00D50735">
        <w:t>going forward with the evidence m</w:t>
      </w:r>
      <w:r w:rsidR="00DD3CA3">
        <w:t xml:space="preserve">ay shift back and forth during a proceeding, the burden of proof never shifts.  The burden of proof always remains on the party seeking affirmative relief from the Commission.  </w:t>
      </w:r>
      <w:r w:rsidR="00DD3CA3" w:rsidRPr="00DD3CA3">
        <w:rPr>
          <w:i/>
        </w:rPr>
        <w:t>Milkie v. Pa.</w:t>
      </w:r>
      <w:r w:rsidR="00DD3CA3">
        <w:rPr>
          <w:i/>
        </w:rPr>
        <w:t xml:space="preserve"> </w:t>
      </w:r>
      <w:r w:rsidR="00DD3CA3" w:rsidRPr="00DD3CA3">
        <w:rPr>
          <w:i/>
        </w:rPr>
        <w:t>PUC</w:t>
      </w:r>
      <w:r w:rsidR="00DD3CA3">
        <w:t>, 768 A.2d 1217 (Pa. Cmwlth. 2001).</w:t>
      </w:r>
    </w:p>
    <w:p w:rsidR="004F7F3E" w:rsidRDefault="00DB0FB9" w:rsidP="00DD3CA3">
      <w:pPr>
        <w:widowControl/>
        <w:autoSpaceDE w:val="0"/>
        <w:autoSpaceDN w:val="0"/>
        <w:adjustRightInd w:val="0"/>
        <w:spacing w:line="360" w:lineRule="auto"/>
        <w:ind w:firstLine="720"/>
      </w:pPr>
      <w:r>
        <w:t xml:space="preserve"> </w:t>
      </w:r>
      <w:r>
        <w:tab/>
      </w:r>
    </w:p>
    <w:p w:rsidR="00B467AA" w:rsidRDefault="004F7F3E" w:rsidP="004F7F3E">
      <w:pPr>
        <w:widowControl/>
        <w:autoSpaceDE w:val="0"/>
        <w:autoSpaceDN w:val="0"/>
        <w:adjustRightInd w:val="0"/>
        <w:spacing w:line="360" w:lineRule="auto"/>
        <w:ind w:firstLine="720"/>
      </w:pPr>
      <w:r>
        <w:t xml:space="preserve"> </w:t>
      </w:r>
      <w:r>
        <w:tab/>
      </w:r>
      <w:r w:rsidR="00DD3CA3" w:rsidRPr="00BB354A">
        <w:t xml:space="preserve">The ALJ made </w:t>
      </w:r>
      <w:r w:rsidR="004E005D">
        <w:t>twenty</w:t>
      </w:r>
      <w:r w:rsidR="00DD3CA3" w:rsidRPr="00BB354A">
        <w:t xml:space="preserve"> Findings of Fact and reached </w:t>
      </w:r>
      <w:r w:rsidR="004E005D">
        <w:t>four</w:t>
      </w:r>
      <w:r w:rsidR="00DD3CA3" w:rsidRPr="00BB354A">
        <w:t xml:space="preserve"> Conclusions of Law.  The Findings of Fact and Conclusions of Law are incorporated herein by reference and are adopted without comment unless they are either expressly or by necessary implication rejected or modified by this Opinion and Order.</w:t>
      </w:r>
      <w:r w:rsidR="00DD3CA3">
        <w:t xml:space="preserve">  </w:t>
      </w:r>
    </w:p>
    <w:p w:rsidR="00B467AA" w:rsidRDefault="00B467AA" w:rsidP="004F7F3E">
      <w:pPr>
        <w:widowControl/>
        <w:autoSpaceDE w:val="0"/>
        <w:autoSpaceDN w:val="0"/>
        <w:adjustRightInd w:val="0"/>
        <w:spacing w:line="360" w:lineRule="auto"/>
        <w:ind w:firstLine="720"/>
      </w:pPr>
    </w:p>
    <w:p w:rsidR="00DB0FB9" w:rsidRDefault="00B467AA" w:rsidP="004F7F3E">
      <w:pPr>
        <w:widowControl/>
        <w:autoSpaceDE w:val="0"/>
        <w:autoSpaceDN w:val="0"/>
        <w:adjustRightInd w:val="0"/>
        <w:spacing w:line="360" w:lineRule="auto"/>
        <w:ind w:firstLine="720"/>
      </w:pPr>
      <w:r>
        <w:t xml:space="preserve"> </w:t>
      </w:r>
      <w:r>
        <w:tab/>
      </w:r>
      <w:r w:rsidR="00DD3CA3">
        <w:t>Before addressing the Exceptions, w</w:t>
      </w:r>
      <w:r w:rsidR="009F4977" w:rsidRPr="00BB354A">
        <w:t>e note tha</w:t>
      </w:r>
      <w:r w:rsidR="00DD3CA3">
        <w:t xml:space="preserve">t any issue or Exception that </w:t>
      </w:r>
      <w:r w:rsidR="009F4977" w:rsidRPr="00BB354A">
        <w:t>we do not s</w:t>
      </w:r>
      <w:r w:rsidR="00DD3CA3">
        <w:t xml:space="preserve">pecifically address shall be deemed to have </w:t>
      </w:r>
      <w:r w:rsidR="009F4977" w:rsidRPr="00BB354A">
        <w:t>b</w:t>
      </w:r>
      <w:r w:rsidR="00DD3CA3">
        <w:t xml:space="preserve">een duly considered and </w:t>
      </w:r>
      <w:r w:rsidR="009F4977" w:rsidRPr="00BB354A">
        <w:t>denied without further discussion.</w:t>
      </w:r>
      <w:r w:rsidR="00DD3CA3">
        <w:t xml:space="preserve">  The Commission is</w:t>
      </w:r>
      <w:r w:rsidR="009F4977" w:rsidRPr="00BB354A">
        <w:t xml:space="preserve"> not required to consider expressly or at length each contention or argument raised by the parties.</w:t>
      </w:r>
      <w:r w:rsidR="00DD3CA3">
        <w:t xml:space="preserve"> </w:t>
      </w:r>
      <w:r w:rsidR="00DD3CA3" w:rsidRPr="00BB354A">
        <w:rPr>
          <w:i/>
        </w:rPr>
        <w:t>Wheeling &amp; Lake Erie Railway Co. v. Pa. PUC</w:t>
      </w:r>
      <w:r w:rsidR="00DD3CA3" w:rsidRPr="00BB354A">
        <w:t>, 778 A</w:t>
      </w:r>
      <w:r w:rsidR="00DD3CA3">
        <w:t xml:space="preserve">.2d 785, 794 (Pa. Cmwlth. 2001); </w:t>
      </w:r>
      <w:r w:rsidR="00DD3CA3" w:rsidRPr="00DD3CA3">
        <w:rPr>
          <w:i/>
        </w:rPr>
        <w:t xml:space="preserve">Consolidated Rail Corporation </w:t>
      </w:r>
      <w:r w:rsidR="00DD3CA3" w:rsidRPr="00DD3CA3">
        <w:rPr>
          <w:i/>
        </w:rPr>
        <w:lastRenderedPageBreak/>
        <w:t>v. Pa. PUC</w:t>
      </w:r>
      <w:r w:rsidR="00DD3CA3">
        <w:t>, 625 A.2d 741 (Pa. Cmwlth. 1993); s</w:t>
      </w:r>
      <w:r w:rsidR="00DB0FB9">
        <w:rPr>
          <w:i/>
        </w:rPr>
        <w:t xml:space="preserve">ee, </w:t>
      </w:r>
      <w:r w:rsidR="009F4977" w:rsidRPr="00BB354A">
        <w:rPr>
          <w:i/>
        </w:rPr>
        <w:t>generally, University of Pennsylvania v. Pa. PUC</w:t>
      </w:r>
      <w:r w:rsidR="009F4977" w:rsidRPr="00BB354A">
        <w:t>, 485 A.2d 1217 (Pa. Cmwlth. 1984).</w:t>
      </w:r>
    </w:p>
    <w:p w:rsidR="003165AE" w:rsidRDefault="003165AE" w:rsidP="0062365F">
      <w:pPr>
        <w:widowControl/>
        <w:autoSpaceDE w:val="0"/>
        <w:autoSpaceDN w:val="0"/>
        <w:adjustRightInd w:val="0"/>
        <w:spacing w:line="360" w:lineRule="auto"/>
        <w:rPr>
          <w:b/>
        </w:rPr>
      </w:pPr>
    </w:p>
    <w:p w:rsidR="0062365F" w:rsidRPr="0062365F" w:rsidRDefault="0062365F" w:rsidP="0062365F">
      <w:pPr>
        <w:widowControl/>
        <w:autoSpaceDE w:val="0"/>
        <w:autoSpaceDN w:val="0"/>
        <w:adjustRightInd w:val="0"/>
        <w:spacing w:line="360" w:lineRule="auto"/>
        <w:rPr>
          <w:b/>
        </w:rPr>
      </w:pPr>
      <w:r w:rsidRPr="0062365F">
        <w:rPr>
          <w:b/>
        </w:rPr>
        <w:t>Legal Standards</w:t>
      </w:r>
    </w:p>
    <w:p w:rsidR="0062365F" w:rsidRDefault="0062365F" w:rsidP="0062365F">
      <w:pPr>
        <w:widowControl/>
        <w:autoSpaceDE w:val="0"/>
        <w:autoSpaceDN w:val="0"/>
        <w:adjustRightInd w:val="0"/>
        <w:spacing w:line="360" w:lineRule="auto"/>
      </w:pPr>
    </w:p>
    <w:p w:rsidR="0062365F" w:rsidRDefault="0062365F" w:rsidP="0062365F">
      <w:pPr>
        <w:widowControl/>
        <w:autoSpaceDE w:val="0"/>
        <w:autoSpaceDN w:val="0"/>
        <w:adjustRightInd w:val="0"/>
        <w:spacing w:line="360" w:lineRule="auto"/>
        <w:ind w:firstLine="720"/>
      </w:pPr>
      <w:r>
        <w:t xml:space="preserve"> </w:t>
      </w:r>
      <w:r>
        <w:tab/>
        <w:t>Section 1529.1 of the Code</w:t>
      </w:r>
      <w:r w:rsidR="007D0E80">
        <w:t>, which was added to the Code by Act 54 of 1993, P.L. 379,</w:t>
      </w:r>
      <w:r>
        <w:t xml:space="preserve"> governs foreign load cases and provides as follows:</w:t>
      </w:r>
    </w:p>
    <w:p w:rsidR="0062365F" w:rsidRPr="004D7DDA" w:rsidRDefault="0062365F" w:rsidP="0062365F">
      <w:pPr>
        <w:pStyle w:val="NoSpacing"/>
        <w:spacing w:line="360" w:lineRule="auto"/>
        <w:rPr>
          <w:rFonts w:ascii="Times New Roman" w:hAnsi="Times New Roman" w:cs="Times New Roman"/>
          <w:sz w:val="26"/>
          <w:szCs w:val="26"/>
        </w:rPr>
      </w:pPr>
    </w:p>
    <w:p w:rsidR="0062365F" w:rsidRPr="004D7DDA" w:rsidRDefault="0062365F" w:rsidP="0026398D">
      <w:pPr>
        <w:pStyle w:val="NoSpacing"/>
        <w:ind w:firstLine="1440"/>
        <w:rPr>
          <w:rFonts w:ascii="Times New Roman" w:hAnsi="Times New Roman" w:cs="Times New Roman"/>
          <w:b/>
          <w:sz w:val="26"/>
          <w:szCs w:val="26"/>
        </w:rPr>
      </w:pPr>
      <w:r w:rsidRPr="004D7DDA">
        <w:rPr>
          <w:rFonts w:ascii="Times New Roman" w:hAnsi="Times New Roman" w:cs="Times New Roman"/>
          <w:b/>
          <w:sz w:val="26"/>
          <w:szCs w:val="26"/>
        </w:rPr>
        <w:t>§ 1529.1. Duty of owners of rental property</w:t>
      </w:r>
    </w:p>
    <w:p w:rsidR="0062365F" w:rsidRPr="004D7DDA" w:rsidRDefault="0062365F" w:rsidP="0062365F">
      <w:pPr>
        <w:pStyle w:val="NoSpacing"/>
        <w:rPr>
          <w:rFonts w:ascii="Times New Roman" w:hAnsi="Times New Roman" w:cs="Times New Roman"/>
          <w:sz w:val="26"/>
          <w:szCs w:val="26"/>
        </w:rPr>
      </w:pPr>
    </w:p>
    <w:p w:rsidR="0062365F" w:rsidRPr="004D7DDA" w:rsidRDefault="0062365F" w:rsidP="0062365F">
      <w:pPr>
        <w:pStyle w:val="NoSpacing"/>
        <w:ind w:left="1440" w:right="1440"/>
        <w:rPr>
          <w:rFonts w:ascii="Times New Roman" w:hAnsi="Times New Roman" w:cs="Times New Roman"/>
          <w:sz w:val="26"/>
          <w:szCs w:val="26"/>
        </w:rPr>
      </w:pPr>
      <w:r w:rsidRPr="004D7DDA">
        <w:rPr>
          <w:rFonts w:ascii="Times New Roman" w:hAnsi="Times New Roman" w:cs="Times New Roman"/>
          <w:sz w:val="26"/>
          <w:szCs w:val="26"/>
        </w:rPr>
        <w:t xml:space="preserve">(a) Notice to public utility.-- It is the duty of every owner of a residential building </w:t>
      </w:r>
      <w:r w:rsidRPr="004D7DDA">
        <w:rPr>
          <w:rFonts w:ascii="Times New Roman" w:hAnsi="Times New Roman" w:cs="Times New Roman"/>
          <w:i/>
          <w:sz w:val="26"/>
          <w:szCs w:val="26"/>
        </w:rPr>
        <w:t>or mobile home park</w:t>
      </w:r>
      <w:r w:rsidRPr="004D7DDA">
        <w:rPr>
          <w:rFonts w:ascii="Times New Roman" w:hAnsi="Times New Roman" w:cs="Times New Roman"/>
          <w:sz w:val="26"/>
          <w:szCs w:val="26"/>
        </w:rPr>
        <w:t xml:space="preserve">, which contains one or more dwelling units, not individually metered, to notify each public utility from whom utility service is received of their ownership and the fact that the premises </w:t>
      </w:r>
      <w:r w:rsidR="00132D45" w:rsidRPr="004D7DDA">
        <w:rPr>
          <w:rFonts w:ascii="Times New Roman" w:hAnsi="Times New Roman" w:cs="Times New Roman"/>
          <w:sz w:val="26"/>
          <w:szCs w:val="26"/>
        </w:rPr>
        <w:t>served are</w:t>
      </w:r>
      <w:r w:rsidRPr="004D7DDA">
        <w:rPr>
          <w:rFonts w:ascii="Times New Roman" w:hAnsi="Times New Roman" w:cs="Times New Roman"/>
          <w:sz w:val="26"/>
          <w:szCs w:val="26"/>
        </w:rPr>
        <w:t xml:space="preserve"> used for rental purposes.</w:t>
      </w:r>
    </w:p>
    <w:p w:rsidR="0062365F" w:rsidRPr="004D7DDA" w:rsidRDefault="0062365F" w:rsidP="0062365F">
      <w:pPr>
        <w:pStyle w:val="NoSpacing"/>
        <w:tabs>
          <w:tab w:val="left" w:pos="2715"/>
        </w:tabs>
        <w:ind w:left="1440" w:right="1440"/>
        <w:rPr>
          <w:rFonts w:ascii="Times New Roman" w:hAnsi="Times New Roman" w:cs="Times New Roman"/>
          <w:sz w:val="26"/>
          <w:szCs w:val="26"/>
        </w:rPr>
      </w:pPr>
      <w:r w:rsidRPr="004D7DDA">
        <w:rPr>
          <w:rFonts w:ascii="Times New Roman" w:hAnsi="Times New Roman" w:cs="Times New Roman"/>
          <w:sz w:val="26"/>
          <w:szCs w:val="26"/>
        </w:rPr>
        <w:tab/>
      </w:r>
    </w:p>
    <w:p w:rsidR="0062365F" w:rsidRPr="004D7DDA" w:rsidRDefault="0062365F" w:rsidP="0062365F">
      <w:pPr>
        <w:pStyle w:val="NoSpacing"/>
        <w:ind w:left="1440" w:right="1440"/>
        <w:rPr>
          <w:rFonts w:ascii="Times New Roman" w:hAnsi="Times New Roman" w:cs="Times New Roman"/>
          <w:sz w:val="26"/>
          <w:szCs w:val="26"/>
        </w:rPr>
      </w:pPr>
      <w:r w:rsidRPr="004D7DDA">
        <w:rPr>
          <w:rFonts w:ascii="Times New Roman" w:hAnsi="Times New Roman" w:cs="Times New Roman"/>
          <w:sz w:val="26"/>
          <w:szCs w:val="26"/>
        </w:rPr>
        <w:t xml:space="preserve">(b) History of account.-- Upon receipt of the notice provided in this section, if the </w:t>
      </w:r>
      <w:r w:rsidRPr="004D7DDA">
        <w:rPr>
          <w:rFonts w:ascii="Times New Roman" w:hAnsi="Times New Roman" w:cs="Times New Roman"/>
          <w:i/>
          <w:sz w:val="26"/>
          <w:szCs w:val="26"/>
        </w:rPr>
        <w:t>mobile home park</w:t>
      </w:r>
      <w:r w:rsidRPr="004D7DDA">
        <w:rPr>
          <w:rFonts w:ascii="Times New Roman" w:hAnsi="Times New Roman" w:cs="Times New Roman"/>
          <w:sz w:val="26"/>
          <w:szCs w:val="26"/>
        </w:rPr>
        <w:t xml:space="preserve"> or residential building contains one or more dwelling units not individually metered, an affected public utility shall forthwith list the account for the premises in question in the name of the owner, and the owner shall thereafter be responsible for the payment for the utility services rendered thereunto. In the case of individually metered dwelling units, unless notified to the contrary by the tenant or an authorized representative, an affected public utility shall list the account for the premises in question in the name of the owner, and the owner shall be responsible for the payment for utility services to the premises.</w:t>
      </w:r>
    </w:p>
    <w:p w:rsidR="0062365F" w:rsidRPr="004D7DDA" w:rsidRDefault="0062365F" w:rsidP="0062365F">
      <w:pPr>
        <w:pStyle w:val="NoSpacing"/>
        <w:ind w:left="1440" w:right="1440"/>
        <w:rPr>
          <w:rFonts w:ascii="Times New Roman" w:hAnsi="Times New Roman" w:cs="Times New Roman"/>
          <w:sz w:val="26"/>
          <w:szCs w:val="26"/>
        </w:rPr>
      </w:pPr>
    </w:p>
    <w:p w:rsidR="0062365F" w:rsidRPr="004D7DDA" w:rsidRDefault="0062365F" w:rsidP="0062365F">
      <w:pPr>
        <w:pStyle w:val="NoSpacing"/>
        <w:ind w:left="1440" w:right="1440"/>
        <w:rPr>
          <w:rFonts w:ascii="Times New Roman" w:hAnsi="Times New Roman" w:cs="Times New Roman"/>
          <w:sz w:val="26"/>
          <w:szCs w:val="26"/>
        </w:rPr>
      </w:pPr>
      <w:r w:rsidRPr="004D7DDA">
        <w:rPr>
          <w:rFonts w:ascii="Times New Roman" w:hAnsi="Times New Roman" w:cs="Times New Roman"/>
          <w:sz w:val="26"/>
          <w:szCs w:val="26"/>
        </w:rPr>
        <w:t xml:space="preserve">(c) Failure to give notice.-- Any owner of a residential building or </w:t>
      </w:r>
      <w:r w:rsidRPr="004D7DDA">
        <w:rPr>
          <w:rFonts w:ascii="Times New Roman" w:hAnsi="Times New Roman" w:cs="Times New Roman"/>
          <w:i/>
          <w:sz w:val="26"/>
          <w:szCs w:val="26"/>
        </w:rPr>
        <w:t>mobile home park</w:t>
      </w:r>
      <w:r w:rsidRPr="004D7DDA">
        <w:rPr>
          <w:rFonts w:ascii="Times New Roman" w:hAnsi="Times New Roman" w:cs="Times New Roman"/>
          <w:sz w:val="26"/>
          <w:szCs w:val="26"/>
        </w:rPr>
        <w:t xml:space="preserve"> failing to notify affected public utilities as required by this section shall nonetheless be responsible for payment of the utility services as if the required notice had been given.</w:t>
      </w:r>
    </w:p>
    <w:p w:rsidR="0062365F" w:rsidRPr="004D7DDA" w:rsidRDefault="0062365F" w:rsidP="0062365F">
      <w:pPr>
        <w:pStyle w:val="NoSpacing"/>
        <w:spacing w:line="360" w:lineRule="auto"/>
        <w:ind w:left="1440" w:right="1440"/>
        <w:rPr>
          <w:rFonts w:ascii="Times New Roman" w:hAnsi="Times New Roman" w:cs="Times New Roman"/>
          <w:sz w:val="26"/>
          <w:szCs w:val="26"/>
        </w:rPr>
      </w:pPr>
    </w:p>
    <w:p w:rsidR="0062365F" w:rsidRDefault="0062365F" w:rsidP="0062365F">
      <w:pPr>
        <w:widowControl/>
        <w:autoSpaceDE w:val="0"/>
        <w:autoSpaceDN w:val="0"/>
        <w:adjustRightInd w:val="0"/>
        <w:spacing w:line="360" w:lineRule="auto"/>
      </w:pPr>
      <w:r w:rsidRPr="004D7DDA">
        <w:t>66 P</w:t>
      </w:r>
      <w:r>
        <w:t>a. C.S. § 1529.1 (emphasis supplied</w:t>
      </w:r>
      <w:r w:rsidRPr="004D7DDA">
        <w:t>)</w:t>
      </w:r>
      <w:r>
        <w:t>.</w:t>
      </w:r>
    </w:p>
    <w:p w:rsidR="00572277" w:rsidRDefault="00572277" w:rsidP="00572277">
      <w:pPr>
        <w:widowControl/>
        <w:autoSpaceDE w:val="0"/>
        <w:autoSpaceDN w:val="0"/>
        <w:adjustRightInd w:val="0"/>
        <w:spacing w:line="360" w:lineRule="auto"/>
      </w:pPr>
    </w:p>
    <w:p w:rsidR="00572277" w:rsidRPr="00572277" w:rsidRDefault="00572277" w:rsidP="0026398D">
      <w:pPr>
        <w:keepNext/>
        <w:widowControl/>
        <w:autoSpaceDE w:val="0"/>
        <w:autoSpaceDN w:val="0"/>
        <w:adjustRightInd w:val="0"/>
        <w:spacing w:line="360" w:lineRule="auto"/>
        <w:rPr>
          <w:b/>
        </w:rPr>
      </w:pPr>
      <w:r w:rsidRPr="00572277">
        <w:rPr>
          <w:b/>
        </w:rPr>
        <w:lastRenderedPageBreak/>
        <w:t>Positions of the Parties</w:t>
      </w:r>
    </w:p>
    <w:p w:rsidR="00DB0FB9" w:rsidRDefault="00DB0FB9" w:rsidP="0026398D">
      <w:pPr>
        <w:keepNext/>
        <w:widowControl/>
        <w:autoSpaceDE w:val="0"/>
        <w:autoSpaceDN w:val="0"/>
        <w:adjustRightInd w:val="0"/>
        <w:spacing w:line="360" w:lineRule="auto"/>
        <w:ind w:firstLine="720"/>
      </w:pPr>
    </w:p>
    <w:p w:rsidR="00211C63" w:rsidRDefault="008C1302" w:rsidP="00023314">
      <w:pPr>
        <w:widowControl/>
        <w:autoSpaceDE w:val="0"/>
        <w:autoSpaceDN w:val="0"/>
        <w:adjustRightInd w:val="0"/>
        <w:spacing w:line="360" w:lineRule="auto"/>
        <w:ind w:firstLine="720"/>
      </w:pPr>
      <w:r>
        <w:t xml:space="preserve"> </w:t>
      </w:r>
      <w:r>
        <w:tab/>
      </w:r>
      <w:r w:rsidR="00D96888">
        <w:t>The Complainant has filed twenty Exceptions to the ALJ’s Initial Decision.</w:t>
      </w:r>
      <w:r w:rsidR="00D075DE">
        <w:t xml:space="preserve">  Exception No. 1 states that the ALJ “erred in his History, admitting C-8 letter of August</w:t>
      </w:r>
      <w:r w:rsidR="003165AE">
        <w:t> </w:t>
      </w:r>
      <w:r w:rsidR="00D075DE">
        <w:t xml:space="preserve">28, 2009 only for the limited purpose of reflecting </w:t>
      </w:r>
      <w:r w:rsidR="00023314">
        <w:t>[</w:t>
      </w:r>
      <w:r w:rsidR="00D075DE" w:rsidRPr="0026398D">
        <w:rPr>
          <w:i/>
        </w:rPr>
        <w:t>sic</w:t>
      </w:r>
      <w:r w:rsidR="00023314">
        <w:t>]</w:t>
      </w:r>
      <w:r w:rsidR="00D075DE">
        <w:t xml:space="preserve"> the recollection of Complainant’s witness.”  </w:t>
      </w:r>
      <w:r w:rsidR="00611D9A">
        <w:t xml:space="preserve">Exc. at 1.  </w:t>
      </w:r>
      <w:r w:rsidR="00D075DE">
        <w:t>The Complainant argues that Exhibit C-8, a letter from the Complainant’s attorney to PPL, was substantive evidence of the Complainant’s notification to PPL that the for</w:t>
      </w:r>
      <w:r w:rsidR="00611D9A">
        <w:t xml:space="preserve">eign load had been removed.  </w:t>
      </w:r>
      <w:r w:rsidR="00611D9A" w:rsidRPr="00611D9A">
        <w:rPr>
          <w:i/>
        </w:rPr>
        <w:t>Id.</w:t>
      </w:r>
      <w:r w:rsidR="00611D9A">
        <w:t xml:space="preserve">  In response, PPL states</w:t>
      </w:r>
      <w:r w:rsidR="00D075DE">
        <w:t xml:space="preserve"> in its Reply Exceptions that this letter was an out-of-court statement by a declarant that </w:t>
      </w:r>
      <w:r w:rsidR="00611D9A">
        <w:t xml:space="preserve">the Complainant sought to introduce at hearing as substantive evidence through PPL’s witness.  PPL argues that the letter </w:t>
      </w:r>
      <w:r w:rsidR="00D075DE">
        <w:t xml:space="preserve">was properly excluded </w:t>
      </w:r>
      <w:r w:rsidR="00611D9A">
        <w:t>as hearsay under Pa.</w:t>
      </w:r>
      <w:r w:rsidR="00D075DE">
        <w:t>R.E. 801</w:t>
      </w:r>
      <w:r w:rsidR="00611D9A">
        <w:t xml:space="preserve"> and 802, and that the Complainant has offered no rule of evidence that would except Exhibit C-8 from exclusion under the hearsay rule.  PPL states that admitting the letter for the limited purpose of refreshing the recollection of PPL’s witness was appropriate.  R.Exc. at 1-2.</w:t>
      </w:r>
    </w:p>
    <w:p w:rsidR="00611D9A" w:rsidRDefault="00611D9A" w:rsidP="008C1302">
      <w:pPr>
        <w:widowControl/>
        <w:autoSpaceDE w:val="0"/>
        <w:autoSpaceDN w:val="0"/>
        <w:adjustRightInd w:val="0"/>
        <w:spacing w:line="360" w:lineRule="auto"/>
        <w:ind w:firstLine="720"/>
      </w:pPr>
    </w:p>
    <w:p w:rsidR="00611D9A" w:rsidRDefault="00611D9A" w:rsidP="008C1302">
      <w:pPr>
        <w:widowControl/>
        <w:autoSpaceDE w:val="0"/>
        <w:autoSpaceDN w:val="0"/>
        <w:adjustRightInd w:val="0"/>
        <w:spacing w:line="360" w:lineRule="auto"/>
        <w:ind w:firstLine="720"/>
      </w:pPr>
      <w:r>
        <w:tab/>
        <w:t>The Complainant’s Exception No. 2 objects to Finding of Fact No. 13, which states that Phyllis Ruth contacted PPL in August 2009 with a foreign load complaint.  The Complainant states that Ms. Ruth contacted PPL only to determine if she was receiving a sufficient rent credit for the electricity used by the streetlight that was registered on her meter.  The Complainant</w:t>
      </w:r>
      <w:r w:rsidR="00982785">
        <w:t xml:space="preserve"> argues that PPL’s witness acknowledged this fact, and that Ms. Ruth testified in her deposition</w:t>
      </w:r>
      <w:r w:rsidR="00982785">
        <w:rPr>
          <w:rStyle w:val="FootnoteReference"/>
        </w:rPr>
        <w:footnoteReference w:id="7"/>
      </w:r>
      <w:r w:rsidR="00982785">
        <w:t xml:space="preserve"> that she did not lodge a complaint but merely asked a question about Act 54.  Exc. at 2.  In response, PPL argues that Finding of Fact No. 13 is correct because </w:t>
      </w:r>
      <w:r w:rsidR="003E7226">
        <w:t>Ms. Ruth testified that she did not want the streetlight to be connected to</w:t>
      </w:r>
      <w:r w:rsidR="00982785">
        <w:t xml:space="preserve"> her meter, and that she </w:t>
      </w:r>
      <w:r w:rsidR="003E7226">
        <w:t>believed</w:t>
      </w:r>
      <w:r w:rsidR="00982785">
        <w:t xml:space="preserve"> that the charges for the elect</w:t>
      </w:r>
      <w:r w:rsidR="003E7226">
        <w:t>ricity used by the streetlight were higher</w:t>
      </w:r>
      <w:r w:rsidR="00982785">
        <w:t xml:space="preserve"> than the $10 credit that she was receiving from the Complainant.  PPL argues that Ms. Ruth</w:t>
      </w:r>
      <w:r w:rsidR="003E7226">
        <w:t>’s testimony shows that she</w:t>
      </w:r>
      <w:r w:rsidR="00982785">
        <w:t xml:space="preserve"> did, in fact, </w:t>
      </w:r>
      <w:r w:rsidR="003E7226">
        <w:t xml:space="preserve">lodge a </w:t>
      </w:r>
      <w:r w:rsidR="003E7226">
        <w:lastRenderedPageBreak/>
        <w:t>foreign load complaint with PPL when she called to ask a question about Act 54.  R.Exc. at 2-3.</w:t>
      </w:r>
    </w:p>
    <w:p w:rsidR="003E7226" w:rsidRDefault="003E7226" w:rsidP="008C1302">
      <w:pPr>
        <w:widowControl/>
        <w:autoSpaceDE w:val="0"/>
        <w:autoSpaceDN w:val="0"/>
        <w:adjustRightInd w:val="0"/>
        <w:spacing w:line="360" w:lineRule="auto"/>
        <w:ind w:firstLine="720"/>
      </w:pPr>
    </w:p>
    <w:p w:rsidR="003E7226" w:rsidRDefault="003E7226" w:rsidP="008C1302">
      <w:pPr>
        <w:widowControl/>
        <w:autoSpaceDE w:val="0"/>
        <w:autoSpaceDN w:val="0"/>
        <w:adjustRightInd w:val="0"/>
        <w:spacing w:line="360" w:lineRule="auto"/>
        <w:ind w:firstLine="720"/>
      </w:pPr>
      <w:r>
        <w:tab/>
        <w:t>The Complainant’s Exception No. 3 objects to Finding of Fact No. 15, which states that Karen Thompson contacted PPL in August 2009 with a foreign load complaint.  The Complainant submits that Ms. Thompson testified that she contacted PPL only to determine if the $10 credit that she was receiving from the Complainant was sufficient.  Exc. at 2.  In response, PPL argues that Finding of Fact No. 15 is supported by Ms. Thompson’s testimony</w:t>
      </w:r>
      <w:r w:rsidR="009C178A">
        <w:t xml:space="preserve"> that she does not want the streetlight connected to her meter.  R.Exc. at 3-5.</w:t>
      </w:r>
    </w:p>
    <w:p w:rsidR="009C178A" w:rsidRDefault="009C178A" w:rsidP="008C1302">
      <w:pPr>
        <w:widowControl/>
        <w:autoSpaceDE w:val="0"/>
        <w:autoSpaceDN w:val="0"/>
        <w:adjustRightInd w:val="0"/>
        <w:spacing w:line="360" w:lineRule="auto"/>
        <w:ind w:firstLine="720"/>
      </w:pPr>
    </w:p>
    <w:p w:rsidR="009C178A" w:rsidRDefault="009C178A" w:rsidP="008C1302">
      <w:pPr>
        <w:widowControl/>
        <w:autoSpaceDE w:val="0"/>
        <w:autoSpaceDN w:val="0"/>
        <w:adjustRightInd w:val="0"/>
        <w:spacing w:line="360" w:lineRule="auto"/>
        <w:ind w:firstLine="720"/>
      </w:pPr>
      <w:r>
        <w:tab/>
        <w:t>The Complainant’s Exception No. 4 objects to Finding of Fact No. 19, which states that “[a]t some point proximate to January, 2011” the Complainant disconnected the streetlights at the breaker boxes for Ms. Ruth and Ms. Thompson, but the remaining streetlights are still functioning.  I.D. at 6.  The Complainant argues that the evidence of record shows that these two streetlights</w:t>
      </w:r>
      <w:r w:rsidR="00A15489">
        <w:t xml:space="preserve"> were disconnected as of August </w:t>
      </w:r>
      <w:r>
        <w:t>28, 2009.  Exc. at 2-3.  In response, PPL argues that, because the word “proximate” describes an order of time, a correct interpretation of Finding of Fac</w:t>
      </w:r>
      <w:r w:rsidR="00087228">
        <w:t>t No. 19 is that the two street</w:t>
      </w:r>
      <w:r>
        <w:t>lights were switched off “prior to” January 2011.  PPL states that, although this fact is not contested by either Party, the date that the streetlights were switched off at the Ruth and Thompson breaker boxes is irrelevant.  R.Exc. at 5.</w:t>
      </w:r>
    </w:p>
    <w:p w:rsidR="007D0E80" w:rsidRDefault="007D0E80" w:rsidP="008C1302">
      <w:pPr>
        <w:widowControl/>
        <w:autoSpaceDE w:val="0"/>
        <w:autoSpaceDN w:val="0"/>
        <w:adjustRightInd w:val="0"/>
        <w:spacing w:line="360" w:lineRule="auto"/>
        <w:ind w:firstLine="720"/>
      </w:pPr>
    </w:p>
    <w:p w:rsidR="001C03CC" w:rsidRDefault="001C03CC" w:rsidP="008C1302">
      <w:pPr>
        <w:widowControl/>
        <w:autoSpaceDE w:val="0"/>
        <w:autoSpaceDN w:val="0"/>
        <w:adjustRightInd w:val="0"/>
        <w:spacing w:line="360" w:lineRule="auto"/>
        <w:ind w:firstLine="720"/>
      </w:pPr>
      <w:r>
        <w:tab/>
        <w:t>The Complainant’s Exception No. 5 objects to Finding of Fact No. 20, whi</w:t>
      </w:r>
      <w:r w:rsidR="00AE2590">
        <w:t xml:space="preserve">ch states that PPL </w:t>
      </w:r>
      <w:r>
        <w:t xml:space="preserve">refused requests from Ms. Ruth and Ms. Thompson to have their electric accounts placed back in their names.  The Complainant argues that this Finding of Fact is erroneous because “neither resident ever requested that the accounts be taken out of their individual names in the first instance.”  Exc. at 3.  In response, PPL argues that the Complainant’s reasoning is faulty because the residents could have requested that their accounts be placed back in their names even if they previously had requested that </w:t>
      </w:r>
      <w:r>
        <w:lastRenderedPageBreak/>
        <w:t>the accounts be taken out of their names.  In addition, PPL argues that the record supports a conclusion that Ms. Ruth and Ms. Thompson requested that their accounts be placed back in their names only because the Complainant threatened to evict them for having complained to PPL.  R.Exc. at 5-6.</w:t>
      </w:r>
    </w:p>
    <w:p w:rsidR="00AE2590" w:rsidRDefault="00AE2590" w:rsidP="008C1302">
      <w:pPr>
        <w:widowControl/>
        <w:autoSpaceDE w:val="0"/>
        <w:autoSpaceDN w:val="0"/>
        <w:adjustRightInd w:val="0"/>
        <w:spacing w:line="360" w:lineRule="auto"/>
        <w:ind w:firstLine="720"/>
      </w:pPr>
    </w:p>
    <w:p w:rsidR="00AE2590" w:rsidRDefault="00AE2590" w:rsidP="008C1302">
      <w:pPr>
        <w:widowControl/>
        <w:autoSpaceDE w:val="0"/>
        <w:autoSpaceDN w:val="0"/>
        <w:adjustRightInd w:val="0"/>
        <w:spacing w:line="360" w:lineRule="auto"/>
        <w:ind w:firstLine="720"/>
      </w:pPr>
      <w:r>
        <w:tab/>
        <w:t>The Complainant’s Exceptions Nos. 6 and 7</w:t>
      </w:r>
      <w:r w:rsidR="008E7216">
        <w:t xml:space="preserve"> </w:t>
      </w:r>
      <w:r>
        <w:t xml:space="preserve">object to the ALJ’s interpretation of the phrase “not individually metered” as used in Section 1529.1 as meaning that an electric meter is registering foreign wiring.  The Complainant argues that the phrase should be interpreted “as a matter of physical fact” and that the ALJ erred by relying on a “changing PUC interpretation of the statute rendering the express language of the statute meaningless.”  Exc. at 3.  In response, PPL submitted that the ALJ correctly relied upon the Commission’s decision in </w:t>
      </w:r>
      <w:r w:rsidRPr="00AE2590">
        <w:rPr>
          <w:i/>
        </w:rPr>
        <w:t xml:space="preserve">Shank v. PPL Electric Utilities </w:t>
      </w:r>
      <w:r w:rsidR="00BF762D">
        <w:rPr>
          <w:i/>
        </w:rPr>
        <w:t>Inc</w:t>
      </w:r>
      <w:r w:rsidRPr="00AE2590">
        <w:rPr>
          <w:i/>
        </w:rPr>
        <w:t>.</w:t>
      </w:r>
      <w:r>
        <w:t xml:space="preserve">, Docket No. C-2009-2087300 (Order entered August 31, 2009) in determining that the twenty-one meters in Red Maples Acres are not “individually metered.”   </w:t>
      </w:r>
      <w:r w:rsidR="00CD2E71">
        <w:t>PPL states that, i</w:t>
      </w:r>
      <w:r>
        <w:t xml:space="preserve">n </w:t>
      </w:r>
      <w:r w:rsidRPr="00526AB3">
        <w:rPr>
          <w:i/>
        </w:rPr>
        <w:t>Shank</w:t>
      </w:r>
      <w:r>
        <w:t>, the Commission held that the phrase “not individually metered</w:t>
      </w:r>
      <w:r w:rsidR="00526AB3">
        <w:t xml:space="preserve">” as used in Section 1529.1 means that the electric meter for the unit is registering foreign wiring.  PPL submits that the Commission did not err in the interpretation of the statute in </w:t>
      </w:r>
      <w:r w:rsidR="00526AB3" w:rsidRPr="000F4987">
        <w:rPr>
          <w:i/>
        </w:rPr>
        <w:t>Shank</w:t>
      </w:r>
      <w:r w:rsidR="00526AB3">
        <w:t>, and that the ALJ did not err in following binding Commission precedent.  PPL further argues that the Complainant has not explained what it believes to be the correct interpretation of the phrase, or provided any support for its statement that the Commission’s interpretation of the phrase has changed.  Instead,</w:t>
      </w:r>
      <w:r w:rsidR="00E3469C">
        <w:t xml:space="preserve"> the Complainant “merely criticizes</w:t>
      </w:r>
      <w:r w:rsidR="00526AB3">
        <w:t xml:space="preserve"> Judge Buckley, and the Commission generally, for having always interpreted the phrase ‘not individually metered’ in a way contrary to what Complainant wishes that phrase would mean.”  R.Exc. at 7-8.</w:t>
      </w:r>
    </w:p>
    <w:p w:rsidR="00526AB3" w:rsidRDefault="00526AB3" w:rsidP="008C1302">
      <w:pPr>
        <w:widowControl/>
        <w:autoSpaceDE w:val="0"/>
        <w:autoSpaceDN w:val="0"/>
        <w:adjustRightInd w:val="0"/>
        <w:spacing w:line="360" w:lineRule="auto"/>
        <w:ind w:firstLine="720"/>
      </w:pPr>
    </w:p>
    <w:p w:rsidR="00526AB3" w:rsidRDefault="00526AB3" w:rsidP="008C1302">
      <w:pPr>
        <w:widowControl/>
        <w:autoSpaceDE w:val="0"/>
        <w:autoSpaceDN w:val="0"/>
        <w:adjustRightInd w:val="0"/>
        <w:spacing w:line="360" w:lineRule="auto"/>
        <w:ind w:firstLine="720"/>
      </w:pPr>
      <w:r>
        <w:tab/>
        <w:t>The Complainant’s Exception No. 8 argues that the ALJ erred by failing to follow Commission precedent</w:t>
      </w:r>
      <w:r w:rsidR="007A5FB3">
        <w:t>, specifically a policy statement at Docket No. L-</w:t>
      </w:r>
      <w:r w:rsidR="00CD2E71">
        <w:t>00</w:t>
      </w:r>
      <w:r w:rsidR="007A5FB3">
        <w:t xml:space="preserve">980137 recognizing that minimal foreign loads are not contrary to the intent of Section 1529.1, and past Commission decisions allowing tenants to accept responsibility for minimal </w:t>
      </w:r>
      <w:r w:rsidR="007A5FB3">
        <w:lastRenderedPageBreak/>
        <w:t>foreign load.  Exc. at 3.  In response, PPL argues that the policy statement relied upon by the Complainant has been discontinued; moreover, even if the policy statement remained in effect</w:t>
      </w:r>
      <w:r w:rsidR="00CD2E71">
        <w:t>,</w:t>
      </w:r>
      <w:r w:rsidR="007A5FB3">
        <w:t xml:space="preserve"> it does not support the Complainant’s case because the record is clear that neither Ms. Ruth nor Ms. Thompson want to accept responsibility for foreign load on their meters.  In addition, PPL refers to Section 1530 of the Code, 66 </w:t>
      </w:r>
      <w:r w:rsidR="00A33354">
        <w:t>Pa. C.S</w:t>
      </w:r>
      <w:r w:rsidR="007A5FB3">
        <w:t>. § 1530, which provides that “[a]ny waiver of a tenant’s rights under this subchapter shall be void and unenforceable.”  R.Exc. at 8.</w:t>
      </w:r>
    </w:p>
    <w:p w:rsidR="0059150D" w:rsidRDefault="0059150D" w:rsidP="008C1302">
      <w:pPr>
        <w:widowControl/>
        <w:autoSpaceDE w:val="0"/>
        <w:autoSpaceDN w:val="0"/>
        <w:adjustRightInd w:val="0"/>
        <w:spacing w:line="360" w:lineRule="auto"/>
        <w:ind w:firstLine="720"/>
      </w:pPr>
    </w:p>
    <w:p w:rsidR="0059150D" w:rsidRDefault="0059150D" w:rsidP="008C1302">
      <w:pPr>
        <w:widowControl/>
        <w:autoSpaceDE w:val="0"/>
        <w:autoSpaceDN w:val="0"/>
        <w:adjustRightInd w:val="0"/>
        <w:spacing w:line="360" w:lineRule="auto"/>
        <w:ind w:firstLine="720"/>
      </w:pPr>
      <w:r>
        <w:tab/>
        <w:t>The Complainant’s Exception No. 9 argues that the ALJ erred in failing to follow the Commission’s policy statement at Docket No. L-</w:t>
      </w:r>
      <w:r w:rsidR="00CD2E71">
        <w:t>00</w:t>
      </w:r>
      <w:r>
        <w:t>980137, which holds that a utility is not required to place a tenant’s account in the name of the landlord where the tenant has notified the utility to the contrary, “the Commission expressly recognizing and interpreting that 1529.1(b) is superseded by the tenants notifying the utility of the willingness to accept financial responsibility for a utility account.”  Exc. at 4.  In response, PPL argues that the policy statement at Docket No. L-</w:t>
      </w:r>
      <w:r w:rsidR="00CD2E71">
        <w:t>00</w:t>
      </w:r>
      <w:r>
        <w:t>980137 does not apply because it deals with a tenant accepting responsibility for an “individually metered unit.” PPL argues that in this case none of the twenty-one units in the Park were “individu</w:t>
      </w:r>
      <w:r w:rsidR="00087228">
        <w:t>ally metered” due to the street</w:t>
      </w:r>
      <w:r>
        <w:t>lights having been placed on their meters by the Complainant.  R.Exc. at 8-9.</w:t>
      </w:r>
    </w:p>
    <w:p w:rsidR="006F306E" w:rsidRDefault="006F306E" w:rsidP="008C1302">
      <w:pPr>
        <w:widowControl/>
        <w:autoSpaceDE w:val="0"/>
        <w:autoSpaceDN w:val="0"/>
        <w:adjustRightInd w:val="0"/>
        <w:spacing w:line="360" w:lineRule="auto"/>
        <w:ind w:firstLine="720"/>
      </w:pPr>
    </w:p>
    <w:p w:rsidR="006F306E" w:rsidRDefault="006F306E" w:rsidP="008C1302">
      <w:pPr>
        <w:widowControl/>
        <w:autoSpaceDE w:val="0"/>
        <w:autoSpaceDN w:val="0"/>
        <w:adjustRightInd w:val="0"/>
        <w:spacing w:line="360" w:lineRule="auto"/>
        <w:ind w:firstLine="720"/>
      </w:pPr>
      <w:r>
        <w:tab/>
        <w:t>The Complainant’s Exception No. 10 argues that the ALJ erred in not following a Commission Order entered on August 1</w:t>
      </w:r>
      <w:r w:rsidR="0046321D">
        <w:t>3</w:t>
      </w:r>
      <w:r>
        <w:t>, 199</w:t>
      </w:r>
      <w:r w:rsidR="00883384">
        <w:t>9</w:t>
      </w:r>
      <w:r>
        <w:t>, at Docket No. L-00990142, “adopting a new rule making for foreign loads” and withdrawing the proposed policy statement at Docket No. L-00980137.  The Complainant submits that “the proposed new rule making permits under certain circumstances a de minim</w:t>
      </w:r>
      <w:r w:rsidR="00883384">
        <w:t>u</w:t>
      </w:r>
      <w:r>
        <w:t>s foreign load, most notably where there is some prior disclosure and consent of the Tenant.”  Exc. at 4.  In response, PPL</w:t>
      </w:r>
      <w:r w:rsidR="008E15FD">
        <w:t xml:space="preserve"> argues that the Commission determined in 2004 that there is no </w:t>
      </w:r>
      <w:r w:rsidR="008E15FD" w:rsidRPr="008E15FD">
        <w:rPr>
          <w:i/>
        </w:rPr>
        <w:t>de minim</w:t>
      </w:r>
      <w:r w:rsidR="008E15FD">
        <w:rPr>
          <w:i/>
        </w:rPr>
        <w:t>u</w:t>
      </w:r>
      <w:r w:rsidR="008E15FD" w:rsidRPr="008E15FD">
        <w:rPr>
          <w:i/>
        </w:rPr>
        <w:t>s</w:t>
      </w:r>
      <w:r w:rsidR="008E15FD">
        <w:t xml:space="preserve"> exception to Act 54; that the policy statement relied upon by the Complainant required that accounts be placed in the name of </w:t>
      </w:r>
      <w:r w:rsidR="00883384">
        <w:t xml:space="preserve">the </w:t>
      </w:r>
      <w:r w:rsidR="008E15FD">
        <w:t xml:space="preserve">landlord even where the foreign load was </w:t>
      </w:r>
      <w:r w:rsidR="008E15FD">
        <w:lastRenderedPageBreak/>
        <w:t xml:space="preserve">characterized as </w:t>
      </w:r>
      <w:r w:rsidR="008E15FD" w:rsidRPr="008E15FD">
        <w:rPr>
          <w:i/>
        </w:rPr>
        <w:t>de minimus</w:t>
      </w:r>
      <w:r w:rsidR="008E15FD">
        <w:t>; and that there was no evidence offered in this pro</w:t>
      </w:r>
      <w:r w:rsidR="00087228">
        <w:t xml:space="preserve">ceeding that common area </w:t>
      </w:r>
      <w:r w:rsidR="00A33354">
        <w:t>street lighting</w:t>
      </w:r>
      <w:r w:rsidR="008E15FD">
        <w:t xml:space="preserve"> would be classified as </w:t>
      </w:r>
      <w:r w:rsidR="008E15FD" w:rsidRPr="008E15FD">
        <w:rPr>
          <w:i/>
        </w:rPr>
        <w:t>de minimus</w:t>
      </w:r>
      <w:r w:rsidR="008E15FD">
        <w:t xml:space="preserve"> foreign load.  R.Exc.</w:t>
      </w:r>
      <w:r w:rsidR="00A15489">
        <w:t> </w:t>
      </w:r>
      <w:r w:rsidR="008E15FD">
        <w:t>at 9.</w:t>
      </w:r>
    </w:p>
    <w:p w:rsidR="00004C46" w:rsidRDefault="00004C46" w:rsidP="008C1302">
      <w:pPr>
        <w:widowControl/>
        <w:autoSpaceDE w:val="0"/>
        <w:autoSpaceDN w:val="0"/>
        <w:adjustRightInd w:val="0"/>
        <w:spacing w:line="360" w:lineRule="auto"/>
        <w:ind w:firstLine="720"/>
      </w:pPr>
    </w:p>
    <w:p w:rsidR="00004C46" w:rsidRDefault="00004C46" w:rsidP="008C1302">
      <w:pPr>
        <w:widowControl/>
        <w:autoSpaceDE w:val="0"/>
        <w:autoSpaceDN w:val="0"/>
        <w:adjustRightInd w:val="0"/>
        <w:spacing w:line="360" w:lineRule="auto"/>
        <w:ind w:firstLine="720"/>
      </w:pPr>
      <w:r>
        <w:tab/>
        <w:t xml:space="preserve">The Complainant’s Exception No. 11 </w:t>
      </w:r>
      <w:r w:rsidR="00607B19">
        <w:t xml:space="preserve">argues that the ALJ </w:t>
      </w:r>
      <w:r>
        <w:t>erred in finding that the Complainant and the residents of the Park established a private agreement to trump the law, since the agreement is expressly permitted by Section 1529.1 and by “historical interpretations” of the Commission</w:t>
      </w:r>
      <w:r w:rsidR="004E6743">
        <w:t>.  Because the arrangement is permitted by Act 54, the arrangement does not and was not intended to evade the law.  Exc. at 4.  In response, PPL argues that Section 1530 does not allow a landlord to cure a foreign load problem by having the tenant accept the foreign load.  PPL submits that any private agreement between the Complainant and its tenants is void as a matter of public policy under Section 1530.</w:t>
      </w:r>
      <w:r w:rsidR="00607B19">
        <w:t xml:space="preserve">  PPL also argues that the evidence demonstrates that the Complainant’s tenants did not accept the foreign load that the Complainant put on their meters, and that the Complainant attempted to have the tenants “accept” the foreign load under apparent threat of eviction and boilerplate in the tenants’ lease agreements.  R.Exc. at 9-10.</w:t>
      </w:r>
    </w:p>
    <w:p w:rsidR="00607B19" w:rsidRDefault="00607B19" w:rsidP="008C1302">
      <w:pPr>
        <w:widowControl/>
        <w:autoSpaceDE w:val="0"/>
        <w:autoSpaceDN w:val="0"/>
        <w:adjustRightInd w:val="0"/>
        <w:spacing w:line="360" w:lineRule="auto"/>
        <w:ind w:firstLine="720"/>
      </w:pPr>
    </w:p>
    <w:p w:rsidR="00607B19" w:rsidRDefault="00607B19" w:rsidP="008C1302">
      <w:pPr>
        <w:widowControl/>
        <w:autoSpaceDE w:val="0"/>
        <w:autoSpaceDN w:val="0"/>
        <w:adjustRightInd w:val="0"/>
        <w:spacing w:line="360" w:lineRule="auto"/>
        <w:ind w:firstLine="720"/>
      </w:pPr>
      <w:r>
        <w:tab/>
        <w:t xml:space="preserve">The Complainant’s Exception No. 12 argues that there was no evidence to support the ALJ’s conclusion that “in wiring individual residential meters to a common use facility, the Complainant created a foreign load situation comprising </w:t>
      </w:r>
      <w:r w:rsidR="00FF40E7">
        <w:t>[</w:t>
      </w:r>
      <w:r w:rsidR="00B108A3" w:rsidRPr="00D637A7">
        <w:rPr>
          <w:i/>
        </w:rPr>
        <w:t>sic</w:t>
      </w:r>
      <w:r w:rsidR="00FF40E7">
        <w:t>]</w:t>
      </w:r>
      <w:r w:rsidR="00B108A3">
        <w:t xml:space="preserve"> </w:t>
      </w:r>
      <w:r>
        <w:t>the individually metered status of the resident.”  Exc. at 4.  In response, PPL argues that the record evidence established</w:t>
      </w:r>
      <w:r w:rsidR="00B108A3">
        <w:t xml:space="preserve"> that the Complainant placed foreign loads on the meters of the Park’s residents, and as a result, none of these units were “individually metered.”  </w:t>
      </w:r>
      <w:r w:rsidR="00A33354">
        <w:t>R.Exc</w:t>
      </w:r>
      <w:r w:rsidR="00B108A3">
        <w:t xml:space="preserve">. at 10.  </w:t>
      </w:r>
    </w:p>
    <w:p w:rsidR="00B108A3" w:rsidRDefault="00B108A3" w:rsidP="008C1302">
      <w:pPr>
        <w:widowControl/>
        <w:autoSpaceDE w:val="0"/>
        <w:autoSpaceDN w:val="0"/>
        <w:adjustRightInd w:val="0"/>
        <w:spacing w:line="360" w:lineRule="auto"/>
        <w:ind w:firstLine="720"/>
      </w:pPr>
    </w:p>
    <w:p w:rsidR="00B108A3" w:rsidRDefault="00B108A3" w:rsidP="008C1302">
      <w:pPr>
        <w:widowControl/>
        <w:autoSpaceDE w:val="0"/>
        <w:autoSpaceDN w:val="0"/>
        <w:adjustRightInd w:val="0"/>
        <w:spacing w:line="360" w:lineRule="auto"/>
        <w:ind w:firstLine="720"/>
      </w:pPr>
      <w:r>
        <w:tab/>
        <w:t>The Complainant’s Exception No. 13 argues that the ALJ erred in holding that disconnecting a streetlight at a resident’s breaker box does not remove the foreign load, where PPL stipulated that upon disconnect</w:t>
      </w:r>
      <w:r w:rsidR="00FF40E7">
        <w:t>ion</w:t>
      </w:r>
      <w:r>
        <w:t xml:space="preserve"> of the circuit at the breaker no </w:t>
      </w:r>
      <w:r>
        <w:lastRenderedPageBreak/>
        <w:t xml:space="preserve">electricity is going to the resident’s meter.  Exc. at 4-5.  In response, PPL argues that the act of simply </w:t>
      </w:r>
      <w:r w:rsidR="00087228">
        <w:t>switching off two of the street</w:t>
      </w:r>
      <w:r>
        <w:t>lights on the Ruth and Thompson breaker boxes does not resolve the foreign load problem.  First, the Ruth and Thompson breaker boxes still have foreign wiring, and at the hearing the Complainant refused to agree that, upon resolution of this case, it</w:t>
      </w:r>
      <w:r w:rsidR="00087228">
        <w:t xml:space="preserve"> would not switch on the street</w:t>
      </w:r>
      <w:r>
        <w:t>lights.  Second, the nineteen other tenants in the Park still have foreign loads on their meters.  R.Exc. at 10-11.</w:t>
      </w:r>
    </w:p>
    <w:p w:rsidR="00B108A3" w:rsidRDefault="00B108A3" w:rsidP="008C1302">
      <w:pPr>
        <w:widowControl/>
        <w:autoSpaceDE w:val="0"/>
        <w:autoSpaceDN w:val="0"/>
        <w:adjustRightInd w:val="0"/>
        <w:spacing w:line="360" w:lineRule="auto"/>
        <w:ind w:firstLine="720"/>
      </w:pPr>
    </w:p>
    <w:p w:rsidR="00B108A3" w:rsidRDefault="00B108A3" w:rsidP="008C1302">
      <w:pPr>
        <w:widowControl/>
        <w:autoSpaceDE w:val="0"/>
        <w:autoSpaceDN w:val="0"/>
        <w:adjustRightInd w:val="0"/>
        <w:spacing w:line="360" w:lineRule="auto"/>
        <w:ind w:firstLine="720"/>
      </w:pPr>
      <w:r>
        <w:tab/>
        <w:t>The Complainant’s Exception No. 14 argues that</w:t>
      </w:r>
      <w:r w:rsidR="007004AC">
        <w:t xml:space="preserve"> the ALJ erred by holding that the wiring for the streetlights must be removed completely from the residents’ meters, since the issue before the Commission is the existence of claimed foreign load, not the existence of claimed foreign wiring.  Exc. at 5.  In response, PPL argues that the Complainant does not acknowledge the full scope of the case before the Commission, which involves all twenty-one affected meters at the Park, nineteen of which continue to register foreign load.  Because the Complainant refused to agree that it will not switch on the circuit</w:t>
      </w:r>
      <w:r w:rsidR="00EE196D">
        <w:t>s</w:t>
      </w:r>
      <w:r w:rsidR="007004AC">
        <w:t xml:space="preserve"> at the Ruth and</w:t>
      </w:r>
      <w:r w:rsidR="00EE196D">
        <w:t xml:space="preserve"> Thompson breaker boxes when this case </w:t>
      </w:r>
      <w:r w:rsidR="007004AC">
        <w:t>is concluded, PPL argues that the ALJ did not err in deciding that the Complainant must r</w:t>
      </w:r>
      <w:r w:rsidR="00087228">
        <w:t>emove the wiring for the street</w:t>
      </w:r>
      <w:r w:rsidR="007004AC">
        <w:t>lights from all twenty-one meters if it wants PPL to return the accounts to the tenants’ names.  PPL submits that, if the Complainant does not wish to rem</w:t>
      </w:r>
      <w:r w:rsidR="00EE196D">
        <w:t xml:space="preserve">ove the wiring, it is not required to do so; however, in that case, </w:t>
      </w:r>
      <w:r w:rsidR="007004AC">
        <w:t>all twenty-one of the affected accounts will remain in the Complainant’s name.</w:t>
      </w:r>
      <w:r w:rsidR="00EE196D">
        <w:t xml:space="preserve">  R.Exc. at 11.</w:t>
      </w:r>
    </w:p>
    <w:p w:rsidR="00EE196D" w:rsidRDefault="00EE196D" w:rsidP="008C1302">
      <w:pPr>
        <w:widowControl/>
        <w:autoSpaceDE w:val="0"/>
        <w:autoSpaceDN w:val="0"/>
        <w:adjustRightInd w:val="0"/>
        <w:spacing w:line="360" w:lineRule="auto"/>
        <w:ind w:firstLine="720"/>
      </w:pPr>
    </w:p>
    <w:p w:rsidR="00EE196D" w:rsidRDefault="00EE196D" w:rsidP="008C1302">
      <w:pPr>
        <w:widowControl/>
        <w:autoSpaceDE w:val="0"/>
        <w:autoSpaceDN w:val="0"/>
        <w:adjustRightInd w:val="0"/>
        <w:spacing w:line="360" w:lineRule="auto"/>
        <w:ind w:firstLine="720"/>
      </w:pPr>
      <w:r>
        <w:tab/>
        <w:t xml:space="preserve">The Complainant’s Exception No. 15 argues that the ALJ erred in holding that a utility must place a tenant’s account in the landlord’s name in all cases where foreign load is discovered.  Citing </w:t>
      </w:r>
      <w:r w:rsidRPr="00EE196D">
        <w:rPr>
          <w:i/>
        </w:rPr>
        <w:t>Burton v. PECO Energy</w:t>
      </w:r>
      <w:r w:rsidR="00BF762D">
        <w:rPr>
          <w:i/>
        </w:rPr>
        <w:t xml:space="preserve"> Co.</w:t>
      </w:r>
      <w:r>
        <w:t>, Docket No. F-00339578</w:t>
      </w:r>
      <w:r w:rsidR="00B37C32">
        <w:t xml:space="preserve"> (Order entered September 23, 1998)</w:t>
      </w:r>
      <w:r>
        <w:t xml:space="preserve">, the Complainant argues that the Commission has held that only where a foreign load “dispute” occurs may the utility pursue collection of unpaid amounts from a landlord, and that no “dispute” is present in this case.  Exc. at 5.  In response, PPL </w:t>
      </w:r>
      <w:r w:rsidR="00DF0462">
        <w:t xml:space="preserve">first </w:t>
      </w:r>
      <w:r>
        <w:t xml:space="preserve">argues that a foreign load dispute has occurred in the case, referring to its responses to Exceptions Nos. 2, 3, 5, 8 and 11, </w:t>
      </w:r>
      <w:r w:rsidRPr="0046321D">
        <w:rPr>
          <w:i/>
        </w:rPr>
        <w:t>supra</w:t>
      </w:r>
      <w:r>
        <w:t xml:space="preserve">.  Second, PPL cites </w:t>
      </w:r>
      <w:r>
        <w:lastRenderedPageBreak/>
        <w:t>three decision</w:t>
      </w:r>
      <w:r w:rsidR="00DF0462">
        <w:t>s</w:t>
      </w:r>
      <w:r>
        <w:t xml:space="preserve"> issued by the Commission holding that a utility is required by Section 1529.1 to place an account in the landlord’s name upon the discovery of foreign load.  </w:t>
      </w:r>
      <w:r w:rsidR="007214B6">
        <w:rPr>
          <w:i/>
        </w:rPr>
        <w:t>Harma</w:t>
      </w:r>
      <w:r w:rsidR="00DF0462" w:rsidRPr="00DF0462">
        <w:rPr>
          <w:i/>
        </w:rPr>
        <w:t>n v. PPL Electric Utilities Corp.</w:t>
      </w:r>
      <w:r w:rsidR="00DF0462">
        <w:t>, Docket No. C-20031793 (</w:t>
      </w:r>
      <w:r w:rsidR="00555D0C">
        <w:t xml:space="preserve">Commission </w:t>
      </w:r>
      <w:r w:rsidR="00387FD2">
        <w:t xml:space="preserve">Final Order entered September 8, </w:t>
      </w:r>
      <w:r w:rsidR="00DF0462">
        <w:t xml:space="preserve">2004); </w:t>
      </w:r>
      <w:r w:rsidR="00DF0462" w:rsidRPr="00DF0462">
        <w:rPr>
          <w:i/>
        </w:rPr>
        <w:t xml:space="preserve">Ward v. PPL </w:t>
      </w:r>
      <w:r w:rsidR="00C07031">
        <w:rPr>
          <w:i/>
        </w:rPr>
        <w:t xml:space="preserve">Utilities, </w:t>
      </w:r>
      <w:r w:rsidR="00FF40E7">
        <w:rPr>
          <w:i/>
        </w:rPr>
        <w:t>Inc</w:t>
      </w:r>
      <w:r w:rsidR="00DF0462" w:rsidRPr="00DF0462">
        <w:rPr>
          <w:i/>
        </w:rPr>
        <w:t>.</w:t>
      </w:r>
      <w:r w:rsidR="00DF0462">
        <w:t>, Docket No. C-00992784 (</w:t>
      </w:r>
      <w:r w:rsidR="00C07031">
        <w:t xml:space="preserve">Commission </w:t>
      </w:r>
      <w:r w:rsidR="00555D0C">
        <w:t xml:space="preserve">Order entered </w:t>
      </w:r>
      <w:r w:rsidR="00C07031">
        <w:t>September 1</w:t>
      </w:r>
      <w:r w:rsidR="00555D0C">
        <w:t xml:space="preserve">, </w:t>
      </w:r>
      <w:r w:rsidR="00DF0462">
        <w:t xml:space="preserve">2000); </w:t>
      </w:r>
      <w:r w:rsidR="00DF0462" w:rsidRPr="00DF0462">
        <w:rPr>
          <w:i/>
        </w:rPr>
        <w:t>Santos v. Metropolitan Edison Company</w:t>
      </w:r>
      <w:r w:rsidR="00DF0462">
        <w:t>, Docket No. C-00967757 (</w:t>
      </w:r>
      <w:r w:rsidR="00B37C32">
        <w:t xml:space="preserve">Order entered August 7, </w:t>
      </w:r>
      <w:r w:rsidR="00DF0462">
        <w:t xml:space="preserve">1997).  </w:t>
      </w:r>
      <w:r>
        <w:t>R.Exc. at 12.</w:t>
      </w:r>
    </w:p>
    <w:p w:rsidR="00DF0462" w:rsidRDefault="00DF0462" w:rsidP="008C1302">
      <w:pPr>
        <w:widowControl/>
        <w:autoSpaceDE w:val="0"/>
        <w:autoSpaceDN w:val="0"/>
        <w:adjustRightInd w:val="0"/>
        <w:spacing w:line="360" w:lineRule="auto"/>
        <w:ind w:firstLine="720"/>
      </w:pPr>
    </w:p>
    <w:p w:rsidR="00DF0462" w:rsidRDefault="00DF0462" w:rsidP="008C1302">
      <w:pPr>
        <w:widowControl/>
        <w:autoSpaceDE w:val="0"/>
        <w:autoSpaceDN w:val="0"/>
        <w:adjustRightInd w:val="0"/>
        <w:spacing w:line="360" w:lineRule="auto"/>
        <w:ind w:firstLine="720"/>
      </w:pPr>
      <w:r>
        <w:tab/>
        <w:t>The Complainant’s Exception No. 16 argues that the ALJ erred in directing PPL to transfer the accounts of tenants no</w:t>
      </w:r>
      <w:r w:rsidR="003C013D">
        <w:t>t</w:t>
      </w:r>
      <w:r>
        <w:t xml:space="preserve"> involved in this proceeding to the name of the Complainant.  The Complainant asserts that the ALJ has exceeded the scope of the issues raised in the appeals [from the decisions of the Bureau of Consumer Services].  Exc. at 5.  In</w:t>
      </w:r>
      <w:r w:rsidR="001427E6">
        <w:t xml:space="preserve"> response, PPL asserts that </w:t>
      </w:r>
      <w:r>
        <w:t>nineteen other instances of foreign load in the Park are involved in this case, which is not limited to the Ruth and Thompson meters.</w:t>
      </w:r>
      <w:r w:rsidR="00A31509">
        <w:t xml:space="preserve">  PPL argues that it raised the issue of the foreign load on multiple meters in its New Matter.  In addition, at the hearing, PPL’s witnesses testified that PPL knew of nineteen additional foreign load situations in the Park that had to be resolved because PPL has an obligation under Act 54 to transfer those accounts to the Complainant in addition to the Ruth and Thompson accounts.  PPL argues that the scope of this proceeding includes all twenty-one cases of foreign wiring in the Complainant’s Park.  R. Exc. at 12-13.</w:t>
      </w:r>
    </w:p>
    <w:p w:rsidR="00A31509" w:rsidRDefault="00A31509" w:rsidP="008C1302">
      <w:pPr>
        <w:widowControl/>
        <w:autoSpaceDE w:val="0"/>
        <w:autoSpaceDN w:val="0"/>
        <w:adjustRightInd w:val="0"/>
        <w:spacing w:line="360" w:lineRule="auto"/>
        <w:ind w:firstLine="720"/>
      </w:pPr>
    </w:p>
    <w:p w:rsidR="00C32F18" w:rsidRDefault="00A31509" w:rsidP="001427E6">
      <w:pPr>
        <w:widowControl/>
        <w:autoSpaceDE w:val="0"/>
        <w:autoSpaceDN w:val="0"/>
        <w:adjustRightInd w:val="0"/>
        <w:spacing w:line="360" w:lineRule="auto"/>
        <w:ind w:firstLine="720"/>
      </w:pPr>
      <w:r>
        <w:tab/>
        <w:t>The Complainant</w:t>
      </w:r>
      <w:r w:rsidR="00C32F18">
        <w:t>’s Exception No. 17 argues that the ALJ’s ruling that the Complainant has to correct all foreign loads “permanently, completely and safely” is “ultra vires and further, incapable of objective compliance” since the judgment as to whether foreign load has been removed as directed lies with PPL as the “sole and final arbiter.”  Exc. at 5-6.  In response, PPL argues that the Complainant is not being forced to remove foreign loads because it has the option to keep the twenty-one accounts in its name.  In addition, PPL argues that the Complainant’s argument that it is incapable of “objectively complying” with the alternative directive is absu</w:t>
      </w:r>
      <w:r w:rsidR="00087228">
        <w:t>rd, since previously the street</w:t>
      </w:r>
      <w:r w:rsidR="00C32F18">
        <w:t>lights were wired on a separate circuit.</w:t>
      </w:r>
    </w:p>
    <w:p w:rsidR="00C32F18" w:rsidRDefault="00C32F18" w:rsidP="008C1302">
      <w:pPr>
        <w:widowControl/>
        <w:autoSpaceDE w:val="0"/>
        <w:autoSpaceDN w:val="0"/>
        <w:adjustRightInd w:val="0"/>
        <w:spacing w:line="360" w:lineRule="auto"/>
        <w:ind w:firstLine="720"/>
      </w:pPr>
      <w:r>
        <w:lastRenderedPageBreak/>
        <w:tab/>
        <w:t xml:space="preserve">The Complainant’s Exception No. 18 </w:t>
      </w:r>
      <w:r w:rsidR="0058153A">
        <w:t>simply states that the ALJ erred in failing to order PPL to place the R</w:t>
      </w:r>
      <w:r w:rsidR="00023314">
        <w:t>uth</w:t>
      </w:r>
      <w:r w:rsidR="0058153A">
        <w:t xml:space="preserve"> and Thompson accounts back in the names of the affected tenants.  Exc. at 6.  In response, PPL incorporates its Replies to previous Exceptions.  R.Exc. at 14.</w:t>
      </w:r>
    </w:p>
    <w:p w:rsidR="0058153A" w:rsidRDefault="0058153A" w:rsidP="008C1302">
      <w:pPr>
        <w:widowControl/>
        <w:autoSpaceDE w:val="0"/>
        <w:autoSpaceDN w:val="0"/>
        <w:adjustRightInd w:val="0"/>
        <w:spacing w:line="360" w:lineRule="auto"/>
        <w:ind w:firstLine="720"/>
      </w:pPr>
    </w:p>
    <w:p w:rsidR="0058153A" w:rsidRDefault="0058153A" w:rsidP="008C1302">
      <w:pPr>
        <w:widowControl/>
        <w:autoSpaceDE w:val="0"/>
        <w:autoSpaceDN w:val="0"/>
        <w:adjustRightInd w:val="0"/>
        <w:spacing w:line="360" w:lineRule="auto"/>
        <w:ind w:firstLine="720"/>
      </w:pPr>
      <w:r>
        <w:tab/>
        <w:t xml:space="preserve">The Complainant’s Exception No. 19 states that the ALJ erred “in failing to recognize a de minimis </w:t>
      </w:r>
      <w:r w:rsidR="00023314">
        <w:t>[</w:t>
      </w:r>
      <w:r w:rsidRPr="0046321D">
        <w:rPr>
          <w:i/>
        </w:rPr>
        <w:t>sic</w:t>
      </w:r>
      <w:r w:rsidR="00023314">
        <w:t>]</w:t>
      </w:r>
      <w:r>
        <w:t xml:space="preserve"> exception.”  Exc. at 6.  In response, PPL incorporates its Replies to previous Exceptions.  R.Exc. at 14.</w:t>
      </w:r>
    </w:p>
    <w:p w:rsidR="0058153A" w:rsidRDefault="0058153A" w:rsidP="008C1302">
      <w:pPr>
        <w:widowControl/>
        <w:autoSpaceDE w:val="0"/>
        <w:autoSpaceDN w:val="0"/>
        <w:adjustRightInd w:val="0"/>
        <w:spacing w:line="360" w:lineRule="auto"/>
        <w:ind w:firstLine="720"/>
      </w:pPr>
    </w:p>
    <w:p w:rsidR="0058153A" w:rsidRDefault="0058153A" w:rsidP="008C1302">
      <w:pPr>
        <w:widowControl/>
        <w:autoSpaceDE w:val="0"/>
        <w:autoSpaceDN w:val="0"/>
        <w:adjustRightInd w:val="0"/>
        <w:spacing w:line="360" w:lineRule="auto"/>
        <w:ind w:firstLine="720"/>
      </w:pPr>
      <w:r>
        <w:tab/>
        <w:t xml:space="preserve">The Complainant’s Exception No. 20 states that the ALJ failed to recognize the written agreement of the affected residents to </w:t>
      </w:r>
      <w:r w:rsidR="00087228">
        <w:t>accept the load from the street</w:t>
      </w:r>
      <w:r>
        <w:t>lights and their reimbursement for the load.</w:t>
      </w:r>
      <w:r w:rsidRPr="0058153A">
        <w:t xml:space="preserve"> </w:t>
      </w:r>
      <w:r>
        <w:t xml:space="preserve">  Exc. at 6.  In response, PPL incorporates its Replies to previous Exceptions.  R.Exc. at 14.</w:t>
      </w:r>
    </w:p>
    <w:p w:rsidR="00572277" w:rsidRDefault="00572277" w:rsidP="008C1302">
      <w:pPr>
        <w:widowControl/>
        <w:autoSpaceDE w:val="0"/>
        <w:autoSpaceDN w:val="0"/>
        <w:adjustRightInd w:val="0"/>
        <w:spacing w:line="360" w:lineRule="auto"/>
        <w:ind w:firstLine="720"/>
      </w:pPr>
    </w:p>
    <w:p w:rsidR="00572277" w:rsidRPr="00572277" w:rsidRDefault="00572277" w:rsidP="00572277">
      <w:pPr>
        <w:widowControl/>
        <w:autoSpaceDE w:val="0"/>
        <w:autoSpaceDN w:val="0"/>
        <w:adjustRightInd w:val="0"/>
        <w:spacing w:line="360" w:lineRule="auto"/>
        <w:rPr>
          <w:b/>
        </w:rPr>
      </w:pPr>
      <w:r w:rsidRPr="00572277">
        <w:rPr>
          <w:b/>
        </w:rPr>
        <w:t>Disposition</w:t>
      </w:r>
    </w:p>
    <w:p w:rsidR="00572277" w:rsidRDefault="00572277" w:rsidP="00572277">
      <w:pPr>
        <w:widowControl/>
        <w:autoSpaceDE w:val="0"/>
        <w:autoSpaceDN w:val="0"/>
        <w:adjustRightInd w:val="0"/>
        <w:spacing w:line="360" w:lineRule="auto"/>
      </w:pPr>
    </w:p>
    <w:p w:rsidR="00572277" w:rsidRDefault="00572277" w:rsidP="00572277">
      <w:pPr>
        <w:widowControl/>
        <w:autoSpaceDE w:val="0"/>
        <w:autoSpaceDN w:val="0"/>
        <w:adjustRightInd w:val="0"/>
        <w:spacing w:line="360" w:lineRule="auto"/>
      </w:pPr>
      <w:r>
        <w:tab/>
      </w:r>
      <w:r>
        <w:tab/>
        <w:t xml:space="preserve">The resolution of this proceeding turns primarily on issues of law rather than fact.  Specifically, the questions presented are (1) whether </w:t>
      </w:r>
      <w:r w:rsidR="00730924">
        <w:t>there is an exception to the requirements of Act 54 where a</w:t>
      </w:r>
      <w:r w:rsidR="008A6AE3">
        <w:t xml:space="preserve"> </w:t>
      </w:r>
      <w:r>
        <w:t xml:space="preserve">tenant has agreed to accept </w:t>
      </w:r>
      <w:r w:rsidR="00552355">
        <w:t xml:space="preserve">foreign load; and </w:t>
      </w:r>
      <w:r w:rsidR="00EF69EF">
        <w:br/>
      </w:r>
      <w:r>
        <w:t xml:space="preserve">(2) whether there is a </w:t>
      </w:r>
      <w:r w:rsidRPr="00572277">
        <w:rPr>
          <w:i/>
        </w:rPr>
        <w:t>de minimus</w:t>
      </w:r>
      <w:r>
        <w:t xml:space="preserve"> exception to the </w:t>
      </w:r>
      <w:r w:rsidR="00DB5283">
        <w:t>requirements of Act 54</w:t>
      </w:r>
      <w:r w:rsidR="009672AC">
        <w:t xml:space="preserve">.  </w:t>
      </w:r>
      <w:r w:rsidR="00730924">
        <w:t>For the reasons discussed below, we determine that there are no such exceptions, and that PPL was required by Act 54 to transfer the tenants’ accounts to 1-A</w:t>
      </w:r>
      <w:r w:rsidR="001033D9">
        <w:t xml:space="preserve"> upon the discovery of foreign load</w:t>
      </w:r>
      <w:r w:rsidR="00730924">
        <w:t xml:space="preserve">.  </w:t>
      </w:r>
      <w:r w:rsidR="009672AC">
        <w:t xml:space="preserve">Given our </w:t>
      </w:r>
      <w:r w:rsidR="00730924">
        <w:t xml:space="preserve">disposition of these issues, </w:t>
      </w:r>
      <w:r w:rsidR="00A95E19">
        <w:t xml:space="preserve">a </w:t>
      </w:r>
      <w:r w:rsidR="00552355">
        <w:t>third issue that must be addressed is whether turning off the breakers for the streetlights is sufficient to remove the foreign load, or whether the new electric wiring for the streetlights also must be removed</w:t>
      </w:r>
      <w:r>
        <w:t xml:space="preserve">.  </w:t>
      </w:r>
      <w:r w:rsidR="00730924">
        <w:t>B</w:t>
      </w:r>
      <w:r>
        <w:t xml:space="preserve">efore addressing the </w:t>
      </w:r>
      <w:r w:rsidR="002A524F">
        <w:t xml:space="preserve">detailed </w:t>
      </w:r>
      <w:r>
        <w:t>Exceptions and Reply Exceptions fi</w:t>
      </w:r>
      <w:r w:rsidR="002A524F">
        <w:t xml:space="preserve">led by the Parties, </w:t>
      </w:r>
      <w:r w:rsidR="00552355">
        <w:t>we first will address these issues.</w:t>
      </w:r>
    </w:p>
    <w:p w:rsidR="00DB5283" w:rsidRDefault="00DB5283" w:rsidP="00572277">
      <w:pPr>
        <w:widowControl/>
        <w:autoSpaceDE w:val="0"/>
        <w:autoSpaceDN w:val="0"/>
        <w:adjustRightInd w:val="0"/>
        <w:spacing w:line="360" w:lineRule="auto"/>
      </w:pPr>
    </w:p>
    <w:p w:rsidR="00EF69EF" w:rsidRDefault="00DB5283" w:rsidP="00572277">
      <w:pPr>
        <w:widowControl/>
        <w:autoSpaceDE w:val="0"/>
        <w:autoSpaceDN w:val="0"/>
        <w:adjustRightInd w:val="0"/>
        <w:spacing w:line="360" w:lineRule="auto"/>
      </w:pPr>
      <w:r>
        <w:lastRenderedPageBreak/>
        <w:tab/>
      </w:r>
      <w:r w:rsidR="002E2365">
        <w:tab/>
      </w:r>
      <w:r>
        <w:t>The first question presented is whether a private agreement between a landlord and a tenant can “tru</w:t>
      </w:r>
      <w:r w:rsidR="008A6AE3">
        <w:t>mp” the requirements of Act 54.  The ALJ held that</w:t>
      </w:r>
      <w:r w:rsidR="00EF69EF">
        <w:t>:</w:t>
      </w:r>
    </w:p>
    <w:p w:rsidR="00EF69EF" w:rsidRDefault="00EF69EF" w:rsidP="00572277">
      <w:pPr>
        <w:widowControl/>
        <w:autoSpaceDE w:val="0"/>
        <w:autoSpaceDN w:val="0"/>
        <w:adjustRightInd w:val="0"/>
        <w:spacing w:line="360" w:lineRule="auto"/>
      </w:pPr>
    </w:p>
    <w:p w:rsidR="00EF69EF" w:rsidRDefault="008A6AE3" w:rsidP="0046321D">
      <w:pPr>
        <w:widowControl/>
        <w:autoSpaceDE w:val="0"/>
        <w:autoSpaceDN w:val="0"/>
        <w:adjustRightInd w:val="0"/>
        <w:ind w:left="1440" w:right="1440"/>
      </w:pPr>
      <w:r>
        <w:t xml:space="preserve">“[e]ven if the residents would like the present arrangements to continue and see a monetary advantage therefrom, a private agreement between the Complainant and its residents cannot ‘trump’ the law. . . </w:t>
      </w:r>
      <w:r w:rsidR="00555D0C">
        <w:t>.</w:t>
      </w:r>
      <w:r>
        <w:t xml:space="preserve">  The willingness of the residents to agree to foreign wiring on their electric meters cannot supersede the requirements of [Act 54].”</w:t>
      </w:r>
    </w:p>
    <w:p w:rsidR="00EF69EF" w:rsidRDefault="00EF69EF" w:rsidP="00572277">
      <w:pPr>
        <w:widowControl/>
        <w:autoSpaceDE w:val="0"/>
        <w:autoSpaceDN w:val="0"/>
        <w:adjustRightInd w:val="0"/>
        <w:spacing w:line="360" w:lineRule="auto"/>
      </w:pPr>
    </w:p>
    <w:p w:rsidR="002A524F" w:rsidRDefault="008A6AE3" w:rsidP="00572277">
      <w:pPr>
        <w:widowControl/>
        <w:autoSpaceDE w:val="0"/>
        <w:autoSpaceDN w:val="0"/>
        <w:adjustRightInd w:val="0"/>
        <w:spacing w:line="360" w:lineRule="auto"/>
      </w:pPr>
      <w:r>
        <w:t xml:space="preserve">I.D. at 8-9.  </w:t>
      </w:r>
    </w:p>
    <w:p w:rsidR="002A524F" w:rsidRDefault="002A524F" w:rsidP="00572277">
      <w:pPr>
        <w:widowControl/>
        <w:autoSpaceDE w:val="0"/>
        <w:autoSpaceDN w:val="0"/>
        <w:adjustRightInd w:val="0"/>
        <w:spacing w:line="360" w:lineRule="auto"/>
      </w:pPr>
    </w:p>
    <w:p w:rsidR="001427E6" w:rsidRDefault="002A524F" w:rsidP="00572277">
      <w:pPr>
        <w:widowControl/>
        <w:autoSpaceDE w:val="0"/>
        <w:autoSpaceDN w:val="0"/>
        <w:adjustRightInd w:val="0"/>
        <w:spacing w:line="360" w:lineRule="auto"/>
      </w:pPr>
      <w:r>
        <w:tab/>
      </w:r>
      <w:r>
        <w:tab/>
        <w:t>This is an issue th</w:t>
      </w:r>
      <w:r w:rsidR="009F7938">
        <w:t xml:space="preserve">at the Commission has considered </w:t>
      </w:r>
      <w:r>
        <w:t>several times over the ye</w:t>
      </w:r>
      <w:r w:rsidR="001033D9">
        <w:t>ars as our foreign load policy has</w:t>
      </w:r>
      <w:r>
        <w:t xml:space="preserve"> evolved.  Prior to the enactment of Act 54 in 1993, the Commission recognized a tenant’s agreement to accept financial responsibility for fore</w:t>
      </w:r>
      <w:r w:rsidR="00730924">
        <w:t>ign load</w:t>
      </w:r>
      <w:r>
        <w:t xml:space="preserve">.  </w:t>
      </w:r>
      <w:r w:rsidRPr="002A524F">
        <w:rPr>
          <w:i/>
        </w:rPr>
        <w:t>Blackwell v. Equitable Gas Co.</w:t>
      </w:r>
      <w:r>
        <w:t>, 55 Pa. P</w:t>
      </w:r>
      <w:r w:rsidR="00EB53A5">
        <w:t>.</w:t>
      </w:r>
      <w:r>
        <w:t>U</w:t>
      </w:r>
      <w:r w:rsidR="00EB53A5">
        <w:t>.</w:t>
      </w:r>
      <w:r>
        <w:t>C</w:t>
      </w:r>
      <w:r w:rsidR="00EB53A5">
        <w:t>.</w:t>
      </w:r>
      <w:r w:rsidR="00730924">
        <w:t xml:space="preserve"> 647 (1982) (tenant and </w:t>
      </w:r>
      <w:r>
        <w:t>account holder</w:t>
      </w:r>
      <w:r w:rsidR="00730924">
        <w:t>,</w:t>
      </w:r>
      <w:r>
        <w:t xml:space="preserve"> who collected monies from other tenants to pa</w:t>
      </w:r>
      <w:r w:rsidR="00730924">
        <w:t>y the utility bills,</w:t>
      </w:r>
      <w:r>
        <w:t xml:space="preserve"> </w:t>
      </w:r>
      <w:r w:rsidR="00730924">
        <w:t xml:space="preserve">was responsible for the </w:t>
      </w:r>
      <w:r>
        <w:t xml:space="preserve">bills).  </w:t>
      </w:r>
      <w:r w:rsidR="00EB53A5">
        <w:t xml:space="preserve">This decision, which was cited extensively by the Complainant, predates the enactment of Act 54 in 1993 and therefore has no relevance.  </w:t>
      </w:r>
      <w:r>
        <w:t>In 1998, the Commission issued a proposed policy statement</w:t>
      </w:r>
      <w:r w:rsidR="00BA3B50">
        <w:t xml:space="preserve"> </w:t>
      </w:r>
      <w:r w:rsidR="004120D4">
        <w:t xml:space="preserve">to implement Act 54 </w:t>
      </w:r>
      <w:r w:rsidR="00BA3B50">
        <w:t xml:space="preserve">that, </w:t>
      </w:r>
      <w:r w:rsidR="00BA3B50" w:rsidRPr="00BA3B50">
        <w:rPr>
          <w:i/>
        </w:rPr>
        <w:t>inter alia</w:t>
      </w:r>
      <w:r w:rsidR="00BA3B50">
        <w:t>, allowed “acceptable foreign load,” which was defined as foreign load that ha</w:t>
      </w:r>
      <w:r w:rsidR="00730924">
        <w:t>d</w:t>
      </w:r>
      <w:r w:rsidR="00BA3B50">
        <w:t xml:space="preserve"> been disclosed in writing to the ten</w:t>
      </w:r>
      <w:r w:rsidR="00730924">
        <w:t>ant and for which the tenant had</w:t>
      </w:r>
      <w:r w:rsidR="00BA3B50">
        <w:t xml:space="preserve"> notified</w:t>
      </w:r>
      <w:r w:rsidR="00730924">
        <w:t xml:space="preserve"> the utility that he or she would</w:t>
      </w:r>
      <w:r w:rsidR="00BA3B50">
        <w:t xml:space="preserve"> accept responsibility.”  </w:t>
      </w:r>
      <w:r w:rsidR="00ED1648" w:rsidRPr="00ED1648">
        <w:rPr>
          <w:i/>
        </w:rPr>
        <w:t xml:space="preserve">Proposed </w:t>
      </w:r>
      <w:r w:rsidR="00BA3B50" w:rsidRPr="00ED1648">
        <w:rPr>
          <w:i/>
        </w:rPr>
        <w:t>P</w:t>
      </w:r>
      <w:r w:rsidR="00BA3B50" w:rsidRPr="009D466B">
        <w:rPr>
          <w:i/>
        </w:rPr>
        <w:t>olicy Statement Re: Resolution of Issues Common to Complaints Involving 66 Pa. C.S. § 1529.1 (relating to duty of owners of rental property)</w:t>
      </w:r>
      <w:r w:rsidR="00BA3B50" w:rsidRPr="009D466B">
        <w:t>, Docket No. L-00980137 (Order entered September 23, 1998)</w:t>
      </w:r>
      <w:r w:rsidR="00A53B7B">
        <w:t xml:space="preserve">, </w:t>
      </w:r>
      <w:r w:rsidR="00B06B23">
        <w:t>28 </w:t>
      </w:r>
      <w:r w:rsidR="00A53B7B" w:rsidRPr="00A53B7B">
        <w:rPr>
          <w:i/>
        </w:rPr>
        <w:t>Pa.</w:t>
      </w:r>
      <w:r w:rsidR="00B06B23">
        <w:rPr>
          <w:i/>
        </w:rPr>
        <w:t> </w:t>
      </w:r>
      <w:r w:rsidR="00A53B7B" w:rsidRPr="00A53B7B">
        <w:rPr>
          <w:i/>
        </w:rPr>
        <w:t>B.</w:t>
      </w:r>
      <w:r w:rsidR="00B06B23">
        <w:rPr>
          <w:i/>
        </w:rPr>
        <w:t> </w:t>
      </w:r>
      <w:r w:rsidR="00A53B7B">
        <w:t>5497</w:t>
      </w:r>
      <w:r w:rsidR="00BA3B50">
        <w:t xml:space="preserve"> </w:t>
      </w:r>
      <w:r w:rsidR="00EB53A5">
        <w:t xml:space="preserve">(October 31, 1998) </w:t>
      </w:r>
      <w:r w:rsidR="00BA3B50">
        <w:t>(</w:t>
      </w:r>
      <w:r w:rsidR="009F7938" w:rsidRPr="001A6F18">
        <w:rPr>
          <w:i/>
        </w:rPr>
        <w:t>1998</w:t>
      </w:r>
      <w:r w:rsidR="009F7938">
        <w:t xml:space="preserve"> </w:t>
      </w:r>
      <w:r w:rsidR="009F7938">
        <w:rPr>
          <w:i/>
        </w:rPr>
        <w:t xml:space="preserve">Proposed </w:t>
      </w:r>
      <w:r w:rsidR="00BA3B50" w:rsidRPr="00BA3B50">
        <w:rPr>
          <w:i/>
        </w:rPr>
        <w:t>Policy Statement</w:t>
      </w:r>
      <w:r w:rsidR="00BA3B50">
        <w:t>)</w:t>
      </w:r>
      <w:r w:rsidR="00BA3B50" w:rsidRPr="009D466B">
        <w:t>.</w:t>
      </w:r>
      <w:r w:rsidR="009F7938">
        <w:t xml:space="preserve">  However, the </w:t>
      </w:r>
      <w:r w:rsidR="009F7938">
        <w:rPr>
          <w:i/>
        </w:rPr>
        <w:t xml:space="preserve">1998 Proposed </w:t>
      </w:r>
      <w:r w:rsidR="00BA3B50" w:rsidRPr="00BA3B50">
        <w:rPr>
          <w:i/>
        </w:rPr>
        <w:t>Policy Statement</w:t>
      </w:r>
      <w:r w:rsidR="00BB587C">
        <w:t xml:space="preserve"> </w:t>
      </w:r>
      <w:r w:rsidR="00EF69EF">
        <w:t xml:space="preserve">was </w:t>
      </w:r>
      <w:r w:rsidR="009F7938">
        <w:t xml:space="preserve">never </w:t>
      </w:r>
      <w:r w:rsidR="00730924">
        <w:t>finaliz</w:t>
      </w:r>
      <w:r w:rsidR="009F7938">
        <w:t>ed by the Commission, and instead was withdrawn and replaced</w:t>
      </w:r>
      <w:r w:rsidR="00E3469C">
        <w:t xml:space="preserve"> by </w:t>
      </w:r>
      <w:r w:rsidR="00730924">
        <w:t xml:space="preserve">proposed regulations </w:t>
      </w:r>
      <w:r w:rsidR="009F7938">
        <w:t xml:space="preserve">in 1999.  </w:t>
      </w:r>
      <w:r w:rsidR="009F7938" w:rsidRPr="009F7938">
        <w:rPr>
          <w:i/>
        </w:rPr>
        <w:t>Proposed Rulemaking</w:t>
      </w:r>
      <w:r w:rsidR="00A53B7B">
        <w:rPr>
          <w:i/>
        </w:rPr>
        <w:t xml:space="preserve"> Order Re:</w:t>
      </w:r>
      <w:r w:rsidR="009F7938" w:rsidRPr="009F7938">
        <w:rPr>
          <w:i/>
        </w:rPr>
        <w:t xml:space="preserve"> Residential Accounts Containing Charges for Foreign Load</w:t>
      </w:r>
      <w:r w:rsidR="009F7938">
        <w:t>, Docket No. L-0</w:t>
      </w:r>
      <w:r w:rsidR="00ED1648">
        <w:t>0990142 (Order entered August 13</w:t>
      </w:r>
      <w:r w:rsidR="009F7938">
        <w:t>, 1999) (</w:t>
      </w:r>
      <w:r w:rsidR="009F7938" w:rsidRPr="009F7938">
        <w:rPr>
          <w:i/>
        </w:rPr>
        <w:t>1999 Proposed Rulemaking</w:t>
      </w:r>
      <w:r w:rsidR="009F7938">
        <w:t>).  The Commission again pro</w:t>
      </w:r>
      <w:r w:rsidR="00730924">
        <w:t xml:space="preserve">posed to allow foreign load </w:t>
      </w:r>
      <w:r w:rsidR="009F7938">
        <w:t>where there was prior disclosure and a tenant ag</w:t>
      </w:r>
      <w:r w:rsidR="004120D4">
        <w:t xml:space="preserve">reed to </w:t>
      </w:r>
      <w:r w:rsidR="004120D4">
        <w:lastRenderedPageBreak/>
        <w:t xml:space="preserve">pay for </w:t>
      </w:r>
      <w:r w:rsidR="00730924">
        <w:t>it</w:t>
      </w:r>
      <w:r w:rsidR="00E74A6F">
        <w:t>; however, a proposed caveat was added requiring a Commission finding, after notice and an opportunity to be heard, that the tenant had agreed to accept foreign load</w:t>
      </w:r>
      <w:r w:rsidR="001033D9">
        <w:t>.  T</w:t>
      </w:r>
      <w:r w:rsidR="009F7938">
        <w:t xml:space="preserve">he </w:t>
      </w:r>
      <w:r w:rsidR="009F7938" w:rsidRPr="009F7938">
        <w:rPr>
          <w:i/>
        </w:rPr>
        <w:t>1999 Proposed Rulemaking</w:t>
      </w:r>
      <w:r w:rsidR="009F7938">
        <w:t xml:space="preserve"> </w:t>
      </w:r>
      <w:r w:rsidR="001033D9">
        <w:t>in turn</w:t>
      </w:r>
      <w:r w:rsidR="006F262D">
        <w:t xml:space="preserve"> was never finalized, and </w:t>
      </w:r>
      <w:r w:rsidR="009F7938">
        <w:t xml:space="preserve">was discontinued </w:t>
      </w:r>
      <w:r w:rsidR="001427E6">
        <w:t xml:space="preserve">in </w:t>
      </w:r>
      <w:r w:rsidR="009F7938">
        <w:t>2005</w:t>
      </w:r>
      <w:r w:rsidR="001427E6">
        <w:t xml:space="preserve">.  </w:t>
      </w:r>
      <w:r w:rsidR="001427E6" w:rsidRPr="001427E6">
        <w:rPr>
          <w:i/>
        </w:rPr>
        <w:t>Discontinuance of Proposed Rulemaking Regarding Residential Accounts Containing Charges for Foreign Load</w:t>
      </w:r>
      <w:r w:rsidR="001427E6">
        <w:t xml:space="preserve">, Docket No. L-00990142 (Order entered </w:t>
      </w:r>
    </w:p>
    <w:p w:rsidR="002A524F" w:rsidRDefault="001427E6" w:rsidP="00572277">
      <w:pPr>
        <w:widowControl/>
        <w:autoSpaceDE w:val="0"/>
        <w:autoSpaceDN w:val="0"/>
        <w:adjustRightInd w:val="0"/>
        <w:spacing w:line="360" w:lineRule="auto"/>
      </w:pPr>
      <w:r>
        <w:t>October 7, 2005).</w:t>
      </w:r>
      <w:r w:rsidR="00EF69EF">
        <w:t xml:space="preserve">  </w:t>
      </w:r>
      <w:r w:rsidR="004120D4">
        <w:t xml:space="preserve">The basis for the discontinuance of the </w:t>
      </w:r>
      <w:r w:rsidR="004120D4" w:rsidRPr="009F7938">
        <w:rPr>
          <w:i/>
        </w:rPr>
        <w:t>1999 Proposed Rulemaking</w:t>
      </w:r>
      <w:r w:rsidR="004120D4">
        <w:t xml:space="preserve"> was the fact that the Commission’s adjudication of several foreign load complaints had resolved a number of foreign load issues and rendered a rulemaking unnecessary.  Accordingly, neither the </w:t>
      </w:r>
      <w:r w:rsidR="004120D4" w:rsidRPr="006F262D">
        <w:rPr>
          <w:i/>
        </w:rPr>
        <w:t xml:space="preserve">1998 </w:t>
      </w:r>
      <w:r w:rsidR="004120D4">
        <w:rPr>
          <w:i/>
        </w:rPr>
        <w:t xml:space="preserve">Proposed </w:t>
      </w:r>
      <w:r w:rsidR="004120D4" w:rsidRPr="00BA3B50">
        <w:rPr>
          <w:i/>
        </w:rPr>
        <w:t>Policy Statement</w:t>
      </w:r>
      <w:r w:rsidR="004120D4">
        <w:t xml:space="preserve">, which has been cited frequently by the Complainant, nor the </w:t>
      </w:r>
      <w:r w:rsidR="004120D4" w:rsidRPr="009F7938">
        <w:rPr>
          <w:i/>
        </w:rPr>
        <w:t>1999 Proposed Rulemaking</w:t>
      </w:r>
      <w:r w:rsidR="004120D4">
        <w:t xml:space="preserve"> has any </w:t>
      </w:r>
      <w:r w:rsidR="006F262D">
        <w:t>relevance to this proceeding, since n</w:t>
      </w:r>
      <w:r w:rsidR="004120D4">
        <w:t>either was adopted in final form by the Commission.</w:t>
      </w:r>
      <w:r w:rsidR="00891C48">
        <w:rPr>
          <w:rStyle w:val="FootnoteReference"/>
        </w:rPr>
        <w:footnoteReference w:id="8"/>
      </w:r>
      <w:r w:rsidR="004120D4">
        <w:t xml:space="preserve">  </w:t>
      </w:r>
    </w:p>
    <w:p w:rsidR="006F262D" w:rsidRDefault="006F262D" w:rsidP="00572277">
      <w:pPr>
        <w:widowControl/>
        <w:autoSpaceDE w:val="0"/>
        <w:autoSpaceDN w:val="0"/>
        <w:adjustRightInd w:val="0"/>
        <w:spacing w:line="360" w:lineRule="auto"/>
      </w:pPr>
    </w:p>
    <w:p w:rsidR="001427E6" w:rsidRDefault="00ED1648" w:rsidP="00572277">
      <w:pPr>
        <w:widowControl/>
        <w:autoSpaceDE w:val="0"/>
        <w:autoSpaceDN w:val="0"/>
        <w:adjustRightInd w:val="0"/>
        <w:spacing w:line="360" w:lineRule="auto"/>
      </w:pPr>
      <w:r>
        <w:tab/>
        <w:t xml:space="preserve"> </w:t>
      </w:r>
      <w:r>
        <w:tab/>
        <w:t>Accordingly, t</w:t>
      </w:r>
      <w:r w:rsidR="004120D4">
        <w:t>he relevant authority</w:t>
      </w:r>
      <w:r w:rsidR="00BB587C">
        <w:t xml:space="preserve"> </w:t>
      </w:r>
      <w:r w:rsidR="004120D4">
        <w:t>is the case law that has developed through the adjudication of foreign load cases by the Commission since the enactment of Act 54 in 1993.</w:t>
      </w:r>
      <w:r w:rsidR="006F262D">
        <w:t xml:space="preserve">  A review of the Commission’s relevant decisions demonstrates that it </w:t>
      </w:r>
      <w:r w:rsidR="00E74A6F">
        <w:t xml:space="preserve">now </w:t>
      </w:r>
      <w:r w:rsidR="006F262D">
        <w:t>is well settled that a tenant’s agreement to accept foreign load does not relieve the utility of its responsibility under Act 54 to transfer the tenant’s account to the landlord.</w:t>
      </w:r>
      <w:r w:rsidR="008B191E">
        <w:t xml:space="preserve">  </w:t>
      </w:r>
      <w:r w:rsidR="00793CD3">
        <w:t>In a series of cases, t</w:t>
      </w:r>
      <w:r w:rsidR="008B191E">
        <w:t xml:space="preserve">he Commission has rejected the argument that Act 54’s requirements should not apply where the tenant was aware of foreign load and agreed to accept it.  </w:t>
      </w:r>
      <w:r w:rsidR="00467F93" w:rsidRPr="00467F93">
        <w:rPr>
          <w:i/>
        </w:rPr>
        <w:t>Corazzini v. UGI Penn Natural Gas, Inc.</w:t>
      </w:r>
      <w:r w:rsidR="00467F93">
        <w:t xml:space="preserve">, Docket No. F-2009-2101282 (Order entered July 16, 2010); </w:t>
      </w:r>
      <w:r w:rsidR="006F262D" w:rsidRPr="006F262D">
        <w:rPr>
          <w:i/>
        </w:rPr>
        <w:t>Tasker v</w:t>
      </w:r>
      <w:r w:rsidR="00524455">
        <w:rPr>
          <w:i/>
        </w:rPr>
        <w:t>.</w:t>
      </w:r>
      <w:r w:rsidR="006F262D" w:rsidRPr="006F262D">
        <w:rPr>
          <w:i/>
        </w:rPr>
        <w:t xml:space="preserve"> PP&amp;L, Inc.</w:t>
      </w:r>
      <w:r w:rsidR="006F262D" w:rsidRPr="006F262D">
        <w:t>, Docket No. C-00003249 (</w:t>
      </w:r>
      <w:r w:rsidR="00555D0C">
        <w:t xml:space="preserve">Commission </w:t>
      </w:r>
      <w:r w:rsidR="00EB53A5">
        <w:t xml:space="preserve">Final Order entered </w:t>
      </w:r>
      <w:r w:rsidR="006F262D" w:rsidRPr="006F262D">
        <w:t>August 29, 2000)</w:t>
      </w:r>
      <w:r w:rsidR="00E83D8B">
        <w:t xml:space="preserve">; </w:t>
      </w:r>
      <w:r w:rsidR="00E83D8B" w:rsidRPr="00E83D8B">
        <w:rPr>
          <w:i/>
        </w:rPr>
        <w:t>Warfel v. Pennsylvania Power &amp; Light Co.</w:t>
      </w:r>
      <w:r w:rsidR="00E83D8B">
        <w:t xml:space="preserve">, Docket No. </w:t>
      </w:r>
    </w:p>
    <w:p w:rsidR="00793CD3" w:rsidRDefault="00E83D8B" w:rsidP="00572277">
      <w:pPr>
        <w:widowControl/>
        <w:autoSpaceDE w:val="0"/>
        <w:autoSpaceDN w:val="0"/>
        <w:adjustRightInd w:val="0"/>
        <w:spacing w:line="360" w:lineRule="auto"/>
      </w:pPr>
      <w:r>
        <w:t>C-000967875 (</w:t>
      </w:r>
      <w:r w:rsidR="00555D0C">
        <w:t>Commission Final Order entered January 7, 1998</w:t>
      </w:r>
      <w:r>
        <w:t>)</w:t>
      </w:r>
      <w:r w:rsidR="00C25C54">
        <w:t xml:space="preserve">; </w:t>
      </w:r>
      <w:r w:rsidR="00C25C54" w:rsidRPr="00C25C54">
        <w:rPr>
          <w:i/>
        </w:rPr>
        <w:t>Angle v. Metropolitan Edison Co.</w:t>
      </w:r>
      <w:r w:rsidR="001427E6">
        <w:rPr>
          <w:i/>
        </w:rPr>
        <w:t xml:space="preserve"> et al.</w:t>
      </w:r>
      <w:r w:rsidR="00C25C54">
        <w:t>, Docket No. C-00956597</w:t>
      </w:r>
      <w:r w:rsidR="00197EEC">
        <w:t xml:space="preserve"> </w:t>
      </w:r>
      <w:r w:rsidR="00197EEC" w:rsidRPr="00197EEC">
        <w:rPr>
          <w:i/>
        </w:rPr>
        <w:t>et seq.</w:t>
      </w:r>
      <w:r w:rsidR="00C25C54">
        <w:t xml:space="preserve"> (Order entered November 27, 1996).</w:t>
      </w:r>
    </w:p>
    <w:p w:rsidR="00BA3B50" w:rsidRDefault="00C25C54" w:rsidP="00572277">
      <w:pPr>
        <w:widowControl/>
        <w:autoSpaceDE w:val="0"/>
        <w:autoSpaceDN w:val="0"/>
        <w:adjustRightInd w:val="0"/>
        <w:spacing w:line="360" w:lineRule="auto"/>
      </w:pPr>
      <w:r>
        <w:t xml:space="preserve"> </w:t>
      </w:r>
    </w:p>
    <w:p w:rsidR="002E2365" w:rsidRDefault="002A524F" w:rsidP="00C25C54">
      <w:pPr>
        <w:widowControl/>
        <w:autoSpaceDE w:val="0"/>
        <w:autoSpaceDN w:val="0"/>
        <w:adjustRightInd w:val="0"/>
        <w:spacing w:line="360" w:lineRule="auto"/>
        <w:ind w:firstLine="720"/>
      </w:pPr>
      <w:r>
        <w:lastRenderedPageBreak/>
        <w:t xml:space="preserve"> </w:t>
      </w:r>
      <w:r>
        <w:tab/>
      </w:r>
      <w:r w:rsidR="00C25C54">
        <w:t xml:space="preserve">We therefore conclude that </w:t>
      </w:r>
      <w:r w:rsidR="008A6AE3">
        <w:t>the ALJ’s holding</w:t>
      </w:r>
      <w:r w:rsidR="00C25C54">
        <w:t xml:space="preserve"> was correct</w:t>
      </w:r>
      <w:r w:rsidR="008A6AE3">
        <w:t xml:space="preserve">.  Section 1529.1 </w:t>
      </w:r>
      <w:r w:rsidR="00C25C54">
        <w:t xml:space="preserve">of the Code </w:t>
      </w:r>
      <w:r w:rsidR="008A6AE3">
        <w:t>requires that a utility “forthwith” list the account for the premises in the name of the owner upon learning of t</w:t>
      </w:r>
      <w:r w:rsidR="002E2365">
        <w:t>he existence of foreign load, and t</w:t>
      </w:r>
      <w:r w:rsidR="008A6AE3">
        <w:t>he statutory requirement imposed on utilities is mandat</w:t>
      </w:r>
      <w:r>
        <w:t>ory rather than discretionary.</w:t>
      </w:r>
      <w:r w:rsidR="00C25C54" w:rsidRPr="00C25C54">
        <w:t xml:space="preserve"> </w:t>
      </w:r>
      <w:r w:rsidR="00C25C54">
        <w:t xml:space="preserve"> Section 1530 of the Code provides that a tenant’s waiver of rights under Act 54 is void and unenforceable.  </w:t>
      </w:r>
      <w:r w:rsidR="008A6AE3">
        <w:t xml:space="preserve">If this </w:t>
      </w:r>
      <w:r w:rsidR="002E2365">
        <w:t xml:space="preserve">statutory </w:t>
      </w:r>
      <w:r w:rsidR="008A6AE3">
        <w:t xml:space="preserve">requirement, which does not provide for an exception based on private agreements between landlords and tenants, were interpreted differently, utilities would be placed in the difficult position of </w:t>
      </w:r>
      <w:r w:rsidR="002E2365">
        <w:t>reviewing, confirming and monitoring private agreements between third parties.  The instant case provides a</w:t>
      </w:r>
      <w:r w:rsidR="00C25C54">
        <w:t xml:space="preserve"> good illustration of difficulties that would result if utilities</w:t>
      </w:r>
      <w:r w:rsidR="002E2365">
        <w:t xml:space="preserve"> </w:t>
      </w:r>
      <w:r w:rsidR="00C25C54">
        <w:t xml:space="preserve">were required </w:t>
      </w:r>
      <w:r w:rsidR="002E2365">
        <w:t>to oversee and administer contracts between customers and their landlords.  On the one hand, the Com</w:t>
      </w:r>
      <w:r w:rsidR="00C25C54">
        <w:t>plainant insists that its</w:t>
      </w:r>
      <w:r w:rsidR="002E2365">
        <w:t xml:space="preserve"> tenants have agreed to the placement of foreign load on their meters; on the other hand, PPL believes that the record</w:t>
      </w:r>
      <w:r w:rsidR="00E3469C">
        <w:t xml:space="preserve"> demonstrates that neither Ms. Ruth nor</w:t>
      </w:r>
      <w:r w:rsidR="00087228">
        <w:t xml:space="preserve"> Ms. Thompson wanted a street</w:t>
      </w:r>
      <w:r w:rsidR="002E2365">
        <w:t xml:space="preserve">light connected to their meter, and that they requested that their accounts be placed back in their names only because the Complainant threatened to evict them for having complained to PPL.  R.Exc. at 5-6.  It is probable that similar differences of opinion </w:t>
      </w:r>
      <w:r w:rsidR="007D5CF3">
        <w:t xml:space="preserve">between the Complainant and PPL </w:t>
      </w:r>
      <w:r w:rsidR="002E2365">
        <w:t>regarding the validity of a</w:t>
      </w:r>
      <w:r w:rsidR="00C25C54">
        <w:t xml:space="preserve">greements between the other affected </w:t>
      </w:r>
      <w:r w:rsidR="002E2365">
        <w:t xml:space="preserve">tenants </w:t>
      </w:r>
      <w:r w:rsidR="007D5CF3">
        <w:t xml:space="preserve">would arise.  Accordingly, this case demonstrates why public utilities should not be forced into the difficult role of overseeing contracts between their customers and their customers’ landlords.  </w:t>
      </w:r>
      <w:r w:rsidR="00784414">
        <w:t xml:space="preserve">Noting that the utility would not be a party to such a contract, it also would </w:t>
      </w:r>
      <w:r w:rsidR="00793CD3">
        <w:t xml:space="preserve">be </w:t>
      </w:r>
      <w:r w:rsidR="00784414">
        <w:t>beyond the scope of the Commission’s authority to oversee contracts between parties over which we have no jurisdiction.</w:t>
      </w:r>
      <w:r w:rsidR="0014348F">
        <w:rPr>
          <w:rStyle w:val="FootnoteReference"/>
        </w:rPr>
        <w:footnoteReference w:id="9"/>
      </w:r>
      <w:r w:rsidR="00784414">
        <w:t xml:space="preserve">  Accordingly,</w:t>
      </w:r>
      <w:r w:rsidR="00C25C54">
        <w:t xml:space="preserve"> based on our prior decisions interpreting </w:t>
      </w:r>
      <w:r w:rsidR="00784414">
        <w:t>the requirements of Act 54, as well as the policy reasons underlying the</w:t>
      </w:r>
      <w:r w:rsidR="00C25C54">
        <w:t>se</w:t>
      </w:r>
      <w:r w:rsidR="00784414">
        <w:t xml:space="preserve"> requirements, we conclude </w:t>
      </w:r>
      <w:r w:rsidR="007D5CF3">
        <w:t>that there is no “private agreement exception” to the requirements of Act 54.</w:t>
      </w:r>
    </w:p>
    <w:p w:rsidR="003D0F12" w:rsidRDefault="007D5CF3" w:rsidP="002C6B37">
      <w:pPr>
        <w:widowControl/>
        <w:autoSpaceDE w:val="0"/>
        <w:autoSpaceDN w:val="0"/>
        <w:adjustRightInd w:val="0"/>
        <w:spacing w:line="360" w:lineRule="auto"/>
      </w:pPr>
      <w:r>
        <w:lastRenderedPageBreak/>
        <w:t xml:space="preserve"> </w:t>
      </w:r>
      <w:r>
        <w:tab/>
      </w:r>
      <w:r w:rsidR="00524455">
        <w:t xml:space="preserve"> </w:t>
      </w:r>
      <w:r w:rsidR="00524455">
        <w:tab/>
      </w:r>
      <w:r w:rsidR="00C25C54">
        <w:t xml:space="preserve">The second question presented is whether there is a </w:t>
      </w:r>
      <w:r w:rsidR="00C25C54" w:rsidRPr="00C25C54">
        <w:rPr>
          <w:i/>
        </w:rPr>
        <w:t>de minimus</w:t>
      </w:r>
      <w:r w:rsidR="00C25C54">
        <w:t xml:space="preserve"> exception to the requirements of Act 54.  </w:t>
      </w:r>
      <w:r>
        <w:t>Th</w:t>
      </w:r>
      <w:r w:rsidR="001A6F18">
        <w:t xml:space="preserve">e ALJ did not explicitly address the Complainant’s argument that the existence of </w:t>
      </w:r>
      <w:r w:rsidR="001A6F18" w:rsidRPr="008F404D">
        <w:rPr>
          <w:i/>
        </w:rPr>
        <w:t>de minimus</w:t>
      </w:r>
      <w:r w:rsidR="001A6F18">
        <w:t xml:space="preserve"> </w:t>
      </w:r>
      <w:r w:rsidR="00524455">
        <w:t xml:space="preserve">foreign </w:t>
      </w:r>
      <w:r w:rsidR="001A6F18">
        <w:t xml:space="preserve">load does not preclude a property from being “individually metered” under Section 1529.1.   We </w:t>
      </w:r>
      <w:r>
        <w:t xml:space="preserve">note that </w:t>
      </w:r>
      <w:r w:rsidR="001A6F18">
        <w:t xml:space="preserve">the </w:t>
      </w:r>
      <w:r w:rsidR="001A6F18" w:rsidRPr="001A6F18">
        <w:rPr>
          <w:i/>
        </w:rPr>
        <w:t>1998</w:t>
      </w:r>
      <w:r w:rsidR="001A6F18">
        <w:t xml:space="preserve"> </w:t>
      </w:r>
      <w:r w:rsidR="001A6F18">
        <w:rPr>
          <w:i/>
        </w:rPr>
        <w:t xml:space="preserve">Proposed </w:t>
      </w:r>
      <w:r w:rsidR="001A6F18" w:rsidRPr="00BA3B50">
        <w:rPr>
          <w:i/>
        </w:rPr>
        <w:t>Policy Statement</w:t>
      </w:r>
      <w:r w:rsidR="001A6F18">
        <w:t xml:space="preserve"> and </w:t>
      </w:r>
      <w:r w:rsidR="001A6F18" w:rsidRPr="009F7938">
        <w:rPr>
          <w:i/>
        </w:rPr>
        <w:t>1999 Proposed Rulemaking</w:t>
      </w:r>
      <w:r w:rsidR="001A6F18">
        <w:t xml:space="preserve"> both proposed a </w:t>
      </w:r>
      <w:r w:rsidR="001A6F18" w:rsidRPr="001A6F18">
        <w:rPr>
          <w:i/>
        </w:rPr>
        <w:t>de minimus</w:t>
      </w:r>
      <w:r w:rsidR="001A6F18">
        <w:t xml:space="preserve"> load exception to Act 54. </w:t>
      </w:r>
      <w:r>
        <w:t xml:space="preserve"> </w:t>
      </w:r>
      <w:r w:rsidR="001A6F18">
        <w:t>However, as discussed above, neither the</w:t>
      </w:r>
      <w:r>
        <w:t xml:space="preserve"> </w:t>
      </w:r>
      <w:r w:rsidR="001A6F18" w:rsidRPr="001A6F18">
        <w:rPr>
          <w:i/>
        </w:rPr>
        <w:t>1998</w:t>
      </w:r>
      <w:r w:rsidR="001A6F18">
        <w:t xml:space="preserve"> </w:t>
      </w:r>
      <w:r w:rsidR="001A6F18">
        <w:rPr>
          <w:i/>
        </w:rPr>
        <w:t xml:space="preserve">Proposed </w:t>
      </w:r>
      <w:r w:rsidR="001A6F18" w:rsidRPr="00BA3B50">
        <w:rPr>
          <w:i/>
        </w:rPr>
        <w:t>Policy Statement</w:t>
      </w:r>
      <w:r w:rsidR="001A6F18">
        <w:t xml:space="preserve"> nor the </w:t>
      </w:r>
      <w:r w:rsidR="001A6F18" w:rsidRPr="009F7938">
        <w:rPr>
          <w:i/>
        </w:rPr>
        <w:t>1999 Proposed Rulemaking</w:t>
      </w:r>
      <w:r w:rsidR="001A6F18">
        <w:t xml:space="preserve"> was finalized, and both were discontinued.  Turning to the Commission’s decisions on this issue, the Commission clearly has determined that there is</w:t>
      </w:r>
      <w:r w:rsidR="006F7970">
        <w:t xml:space="preserve"> no such exception under Act 54, and that any dispute regarding the financial responsibilities of the parties is a matter outside of this Commission’s jurisdiction. </w:t>
      </w:r>
      <w:r w:rsidR="00EB53A5">
        <w:t xml:space="preserve"> </w:t>
      </w:r>
      <w:r w:rsidR="006F7970">
        <w:rPr>
          <w:i/>
        </w:rPr>
        <w:t xml:space="preserve">Hale v. UGI Penn Natural Gas, Inc., </w:t>
      </w:r>
      <w:r w:rsidR="006F7970">
        <w:t xml:space="preserve">Docket No. C-2010-2206955 (Order entered March 1, 2012); </w:t>
      </w:r>
      <w:r w:rsidR="006F7970" w:rsidRPr="00467F93">
        <w:rPr>
          <w:i/>
        </w:rPr>
        <w:t>Corazzini v. UGI Penn Natural Gas, Inc.</w:t>
      </w:r>
      <w:r w:rsidR="006F7970">
        <w:t xml:space="preserve">, Docket No. </w:t>
      </w:r>
    </w:p>
    <w:p w:rsidR="000C79C2" w:rsidRPr="001A6F18" w:rsidRDefault="006F7970" w:rsidP="002C6B37">
      <w:pPr>
        <w:widowControl/>
        <w:autoSpaceDE w:val="0"/>
        <w:autoSpaceDN w:val="0"/>
        <w:adjustRightInd w:val="0"/>
        <w:spacing w:line="360" w:lineRule="auto"/>
      </w:pPr>
      <w:r>
        <w:t xml:space="preserve">F-2009-2101282 (Order entered July 16, 2010); </w:t>
      </w:r>
      <w:r w:rsidR="001A6F18" w:rsidRPr="00C25C54">
        <w:rPr>
          <w:i/>
        </w:rPr>
        <w:t>Ace Check Cashing, Inc. v. Philadelphia Gas Works</w:t>
      </w:r>
      <w:r w:rsidR="001A6F18" w:rsidRPr="00C25C54">
        <w:t>, Docket No. C-2008-2056428 (Order entered May 21, 2010)</w:t>
      </w:r>
      <w:r w:rsidR="00C349CA">
        <w:t>;</w:t>
      </w:r>
      <w:r w:rsidR="00C349CA" w:rsidRPr="00C349CA">
        <w:rPr>
          <w:i/>
        </w:rPr>
        <w:t xml:space="preserve"> </w:t>
      </w:r>
      <w:r w:rsidR="002C6B37">
        <w:rPr>
          <w:i/>
        </w:rPr>
        <w:t xml:space="preserve">Harman v. PPL Electric Utilities Corp., </w:t>
      </w:r>
      <w:r w:rsidR="002C6B37">
        <w:t>Docket No. C-20031793 (</w:t>
      </w:r>
      <w:r w:rsidR="000C3F2E">
        <w:t xml:space="preserve">Commission </w:t>
      </w:r>
      <w:r w:rsidR="002C6B37">
        <w:t xml:space="preserve">Final Order entered September 8, 2004); </w:t>
      </w:r>
      <w:r w:rsidR="002C6B37" w:rsidRPr="0046321D">
        <w:rPr>
          <w:i/>
        </w:rPr>
        <w:t xml:space="preserve">Ward v. PPL </w:t>
      </w:r>
      <w:r w:rsidR="00936891">
        <w:rPr>
          <w:i/>
        </w:rPr>
        <w:t>Electric</w:t>
      </w:r>
      <w:r w:rsidR="002C6B37" w:rsidRPr="0046321D">
        <w:rPr>
          <w:i/>
        </w:rPr>
        <w:t>, Inc.,</w:t>
      </w:r>
      <w:r w:rsidR="002C6B37">
        <w:t xml:space="preserve"> Docket No. C-00992784 (Order entered </w:t>
      </w:r>
      <w:r w:rsidR="003D0F12">
        <w:t>September 1</w:t>
      </w:r>
      <w:r w:rsidR="002C6B37">
        <w:t xml:space="preserve">, 2000); </w:t>
      </w:r>
      <w:r w:rsidR="00C349CA" w:rsidRPr="006F262D">
        <w:rPr>
          <w:i/>
        </w:rPr>
        <w:t>Tasker v</w:t>
      </w:r>
      <w:r w:rsidR="00936891">
        <w:rPr>
          <w:i/>
        </w:rPr>
        <w:t>.</w:t>
      </w:r>
      <w:r w:rsidR="00C349CA" w:rsidRPr="006F262D">
        <w:rPr>
          <w:i/>
        </w:rPr>
        <w:t xml:space="preserve"> PP&amp;L, Inc.</w:t>
      </w:r>
      <w:r w:rsidR="00C349CA" w:rsidRPr="006F262D">
        <w:t>, Docket No.</w:t>
      </w:r>
      <w:r w:rsidR="00936891">
        <w:t xml:space="preserve"> </w:t>
      </w:r>
      <w:r w:rsidR="00C349CA" w:rsidRPr="006F262D">
        <w:t>C-00003249 (</w:t>
      </w:r>
      <w:r w:rsidR="000C3F2E">
        <w:t xml:space="preserve">Commission </w:t>
      </w:r>
      <w:r w:rsidR="00EB53A5">
        <w:t>Final Order entered</w:t>
      </w:r>
      <w:r w:rsidR="00C349CA" w:rsidRPr="006F262D">
        <w:t xml:space="preserve"> August 29, 2000)</w:t>
      </w:r>
      <w:r>
        <w:t xml:space="preserve">.  </w:t>
      </w:r>
    </w:p>
    <w:p w:rsidR="000C79C2" w:rsidRDefault="000C79C2" w:rsidP="007D5CF3">
      <w:pPr>
        <w:widowControl/>
        <w:autoSpaceDE w:val="0"/>
        <w:autoSpaceDN w:val="0"/>
        <w:adjustRightInd w:val="0"/>
        <w:spacing w:line="360" w:lineRule="auto"/>
        <w:ind w:firstLine="720"/>
      </w:pPr>
    </w:p>
    <w:p w:rsidR="001338DC" w:rsidRDefault="000C79C2" w:rsidP="00C349CA">
      <w:pPr>
        <w:widowControl/>
        <w:autoSpaceDE w:val="0"/>
        <w:autoSpaceDN w:val="0"/>
        <w:adjustRightInd w:val="0"/>
        <w:spacing w:line="360" w:lineRule="auto"/>
        <w:ind w:firstLine="720"/>
      </w:pPr>
      <w:r>
        <w:tab/>
        <w:t>Havin</w:t>
      </w:r>
      <w:r w:rsidR="00C820FC">
        <w:t>g determined that there are</w:t>
      </w:r>
      <w:r>
        <w:t xml:space="preserve"> no </w:t>
      </w:r>
      <w:r w:rsidRPr="000C79C2">
        <w:rPr>
          <w:i/>
        </w:rPr>
        <w:t>de minimus</w:t>
      </w:r>
      <w:r>
        <w:t xml:space="preserve"> </w:t>
      </w:r>
      <w:r w:rsidR="006F7970">
        <w:t xml:space="preserve">or “tenant agreement” </w:t>
      </w:r>
      <w:r>
        <w:t>exception</w:t>
      </w:r>
      <w:r w:rsidR="006F7970">
        <w:t>s</w:t>
      </w:r>
      <w:r>
        <w:t xml:space="preserve"> </w:t>
      </w:r>
      <w:r w:rsidR="006F7970">
        <w:t>to Act 54</w:t>
      </w:r>
      <w:r>
        <w:t>,</w:t>
      </w:r>
      <w:r w:rsidR="007D5CF3">
        <w:t xml:space="preserve"> </w:t>
      </w:r>
      <w:r>
        <w:t xml:space="preserve">the remaining issue is </w:t>
      </w:r>
      <w:r w:rsidR="007E7710">
        <w:t>what act is required to remove the foreign load from the tenants’ meters in Red Maple Acres.  PPL’s position is that turning off the breaker switches for the streetlights is insufficient because it would be too easy for the Complainant to turn on the breaker switches after the instant proceeding is concluded.  N.T. (8/23/11) at 55</w:t>
      </w:r>
      <w:r w:rsidR="005A6179">
        <w:t>, 61</w:t>
      </w:r>
      <w:r w:rsidR="007E7710">
        <w:t>.</w:t>
      </w:r>
      <w:r w:rsidR="005A6179">
        <w:t xml:space="preserve">  PPL considers “foreign load” to be the same as “foreign wiring.”  </w:t>
      </w:r>
      <w:r w:rsidR="005A6179" w:rsidRPr="005A6179">
        <w:rPr>
          <w:i/>
        </w:rPr>
        <w:t>Id.</w:t>
      </w:r>
      <w:r w:rsidR="005A6179">
        <w:t xml:space="preserve"> at 57.  According to PPL, removing the foreign load would require the removal of the wiring to the tenants’ meters, and</w:t>
      </w:r>
      <w:r w:rsidR="006F7970">
        <w:t xml:space="preserve"> the installation of </w:t>
      </w:r>
      <w:r w:rsidR="005A6179">
        <w:t>separate meters for each on</w:t>
      </w:r>
      <w:r w:rsidR="007E0534">
        <w:t>e</w:t>
      </w:r>
      <w:r w:rsidR="006F7970">
        <w:t xml:space="preserve"> of the streetlights, which </w:t>
      </w:r>
      <w:r w:rsidR="005A6179">
        <w:t xml:space="preserve">would require the </w:t>
      </w:r>
      <w:r w:rsidR="007E0534">
        <w:t xml:space="preserve">establishment of </w:t>
      </w:r>
      <w:r w:rsidR="00C349CA">
        <w:t xml:space="preserve">approximately </w:t>
      </w:r>
      <w:r w:rsidR="007E0534">
        <w:t xml:space="preserve">twenty-one separate electric accounts in the name of the Complainant.  The monthly bills </w:t>
      </w:r>
      <w:r w:rsidR="007E0534">
        <w:lastRenderedPageBreak/>
        <w:t>for each of the separate accounts would include recurring monthly customer and administrative charges.</w:t>
      </w:r>
      <w:r w:rsidR="007E0534" w:rsidRPr="007E0534">
        <w:t xml:space="preserve"> </w:t>
      </w:r>
      <w:r w:rsidR="007E0534">
        <w:t xml:space="preserve"> N.T. (8/23/11) at 64-66.</w:t>
      </w:r>
      <w:r w:rsidR="00C349CA" w:rsidRPr="00C349CA">
        <w:t xml:space="preserve"> </w:t>
      </w:r>
      <w:r w:rsidR="00C349CA">
        <w:t xml:space="preserve">  The Complainant argues that the ALJ erred by holding that the wiring for the streetlights must be removed completely from the residents’ meters, since the issue before the Commission is the existence of claimed foreign load, not the existence of claimed foreign wiring.</w:t>
      </w:r>
    </w:p>
    <w:p w:rsidR="001338DC" w:rsidRDefault="001338DC" w:rsidP="00C349CA">
      <w:pPr>
        <w:widowControl/>
        <w:autoSpaceDE w:val="0"/>
        <w:autoSpaceDN w:val="0"/>
        <w:adjustRightInd w:val="0"/>
        <w:spacing w:line="360" w:lineRule="auto"/>
        <w:ind w:firstLine="720"/>
      </w:pPr>
    </w:p>
    <w:p w:rsidR="004B5A59" w:rsidRDefault="001338DC" w:rsidP="00C349CA">
      <w:pPr>
        <w:widowControl/>
        <w:autoSpaceDE w:val="0"/>
        <w:autoSpaceDN w:val="0"/>
        <w:adjustRightInd w:val="0"/>
        <w:spacing w:line="360" w:lineRule="auto"/>
        <w:ind w:firstLine="720"/>
      </w:pPr>
      <w:r>
        <w:tab/>
        <w:t>The issue of what corrective action must be taken to remove foreign load turns on the facts and circumstances of each case.  In this case, the ALJ concluded that the fo</w:t>
      </w:r>
      <w:r w:rsidR="00524455">
        <w:t xml:space="preserve">reign load problem </w:t>
      </w:r>
      <w:r>
        <w:t>cannot be resolved simply by turning off the street lights at the breaker box of each affected resident.  “The wiring for the street lights must be removed completely from the residents’ meters and the lights metered separately from any residential meter and account.”  I.D. at 10, n. 5.  Given the ease with which the street lights could be re</w:t>
      </w:r>
      <w:r w:rsidR="00E3469C">
        <w:t xml:space="preserve">-energized by the flip of a breaker switch </w:t>
      </w:r>
      <w:r>
        <w:t xml:space="preserve">after this case is concluded, we agree that simply turning off the switch for the lights in the breaker boxes would be insufficient.  If we were to conclude otherwise, we again would be placing PPL in the position of having to police the streetlights at Red Maple Acres </w:t>
      </w:r>
      <w:r w:rsidR="00C820FC">
        <w:t xml:space="preserve">in perpetuity </w:t>
      </w:r>
      <w:r>
        <w:t>to determine whe</w:t>
      </w:r>
      <w:r w:rsidR="00524455">
        <w:t>ther or not foreign load exists</w:t>
      </w:r>
      <w:r>
        <w:t xml:space="preserve">.  </w:t>
      </w:r>
      <w:r w:rsidR="000876F5">
        <w:t>We believe the record in this case demonstrates that the Complainant has several options for removing the foreign load.  R</w:t>
      </w:r>
      <w:r>
        <w:t xml:space="preserve">ather than dictate the precise measures that must be taken to </w:t>
      </w:r>
      <w:r w:rsidR="008E7216">
        <w:t xml:space="preserve">effectively </w:t>
      </w:r>
      <w:r>
        <w:t>remove the foreign</w:t>
      </w:r>
      <w:r w:rsidR="008E7216">
        <w:t xml:space="preserve"> load, we will direct PPL to work with the Complainant to </w:t>
      </w:r>
      <w:r w:rsidR="00C820FC">
        <w:t xml:space="preserve">attempt to </w:t>
      </w:r>
      <w:r w:rsidR="008E7216">
        <w:t xml:space="preserve">devise a solution that is acceptable to both parties.  </w:t>
      </w:r>
    </w:p>
    <w:p w:rsidR="008E7216" w:rsidRDefault="008E7216" w:rsidP="00C349CA">
      <w:pPr>
        <w:widowControl/>
        <w:autoSpaceDE w:val="0"/>
        <w:autoSpaceDN w:val="0"/>
        <w:adjustRightInd w:val="0"/>
        <w:spacing w:line="360" w:lineRule="auto"/>
        <w:ind w:firstLine="720"/>
      </w:pPr>
    </w:p>
    <w:p w:rsidR="008E7216" w:rsidRDefault="008E7216" w:rsidP="00C349CA">
      <w:pPr>
        <w:widowControl/>
        <w:autoSpaceDE w:val="0"/>
        <w:autoSpaceDN w:val="0"/>
        <w:adjustRightInd w:val="0"/>
        <w:spacing w:line="360" w:lineRule="auto"/>
        <w:ind w:firstLine="720"/>
      </w:pPr>
      <w:r>
        <w:tab/>
        <w:t>Turning now to the twenty detailed Exceptions filed by the Complainant, we shall deny Exception No. 1.  We have determined that simply turning off the switch for the streetlights at the Ruth and Thompson residen</w:t>
      </w:r>
      <w:r w:rsidR="000876F5">
        <w:t>ce</w:t>
      </w:r>
      <w:r>
        <w:t>s did not effectively remove the foreign load</w:t>
      </w:r>
      <w:r w:rsidR="00C820FC">
        <w:t xml:space="preserve"> from those accounts</w:t>
      </w:r>
      <w:r>
        <w:t>.  Since PPL was not obligated to return the Ruth and Thompson account</w:t>
      </w:r>
      <w:r w:rsidR="00C820FC">
        <w:t>s</w:t>
      </w:r>
      <w:r>
        <w:t xml:space="preserve"> to the tenants, the purpose for which Exhibit C-8 was admitted is not relevant.  We also shall deny Exceptions Nos. 2 through 5, all of which object to Findings of Fact that are not material to the outcome of this proceeding.</w:t>
      </w:r>
      <w:r w:rsidR="000F4987">
        <w:t xml:space="preserve">  We </w:t>
      </w:r>
      <w:r w:rsidR="002001C0">
        <w:t xml:space="preserve">shall deny Exceptions </w:t>
      </w:r>
      <w:r w:rsidR="002001C0">
        <w:lastRenderedPageBreak/>
        <w:t xml:space="preserve">Nos. 6, </w:t>
      </w:r>
      <w:r w:rsidR="000F4987">
        <w:t>7</w:t>
      </w:r>
      <w:r w:rsidR="002001C0">
        <w:t xml:space="preserve"> and 12</w:t>
      </w:r>
      <w:r w:rsidR="000F4987">
        <w:t xml:space="preserve">, which argue that the ALJ misinterpreted </w:t>
      </w:r>
      <w:r w:rsidR="002001C0">
        <w:t xml:space="preserve">and misapplied </w:t>
      </w:r>
      <w:r w:rsidR="000F4987">
        <w:t>the phrase “not individually metered” in Section 1529.1.  The ALJ correctly concluded that the Ruth and Thompson accounts were not individually metered for the purposes of Section 1529.1.  We shall deny Exception</w:t>
      </w:r>
      <w:r w:rsidR="002001C0">
        <w:t>s</w:t>
      </w:r>
      <w:r w:rsidR="00C820FC">
        <w:t xml:space="preserve"> Nos. 8 through </w:t>
      </w:r>
      <w:r w:rsidR="000F4987">
        <w:t xml:space="preserve">10, which argue that the ALJ erred by not following the </w:t>
      </w:r>
      <w:r w:rsidR="000F4987" w:rsidRPr="001A6F18">
        <w:rPr>
          <w:i/>
        </w:rPr>
        <w:t>1998</w:t>
      </w:r>
      <w:r w:rsidR="000F4987">
        <w:t xml:space="preserve"> </w:t>
      </w:r>
      <w:r w:rsidR="000F4987">
        <w:rPr>
          <w:i/>
        </w:rPr>
        <w:t xml:space="preserve">Proposed </w:t>
      </w:r>
      <w:r w:rsidR="000F4987" w:rsidRPr="00BA3B50">
        <w:rPr>
          <w:i/>
        </w:rPr>
        <w:t>Policy Statement</w:t>
      </w:r>
      <w:r w:rsidR="000F4987">
        <w:rPr>
          <w:i/>
        </w:rPr>
        <w:t xml:space="preserve"> </w:t>
      </w:r>
      <w:r w:rsidR="000F4987">
        <w:t xml:space="preserve">and the </w:t>
      </w:r>
      <w:r w:rsidR="000F4987" w:rsidRPr="009F7938">
        <w:rPr>
          <w:i/>
        </w:rPr>
        <w:t>1999 Proposed Rulemaking</w:t>
      </w:r>
      <w:r w:rsidR="000F4987">
        <w:t>.  As discussed above, the proposed policy statement an</w:t>
      </w:r>
      <w:r w:rsidR="00C820FC">
        <w:t xml:space="preserve">d the proposed regulations </w:t>
      </w:r>
      <w:r w:rsidR="000F4987">
        <w:t xml:space="preserve">never </w:t>
      </w:r>
      <w:r w:rsidR="00C820FC">
        <w:t xml:space="preserve">were </w:t>
      </w:r>
      <w:r w:rsidR="000F4987">
        <w:t>finalized and have no legal significance.</w:t>
      </w:r>
      <w:r w:rsidR="002001C0">
        <w:t xml:space="preserve">  We will deny Exceptions Nos. 11 and 15, since, as discussed above, there is no “private agreement” exception to the requirements of Act 54.  We shall deny Exceptions Nos. 13 and 14 since, as discussed above, we conclude that simply switching off the streetlights at the breaker boxes is not sufficient to remove the foreign load from the tenants’ accounts.  We shall deny Exception No. 16, since it is undisputed that the other streetlights in the Par</w:t>
      </w:r>
      <w:r w:rsidR="00C820FC">
        <w:t xml:space="preserve">k have been wired </w:t>
      </w:r>
      <w:r w:rsidR="00FA37C2">
        <w:t>in the</w:t>
      </w:r>
      <w:r w:rsidR="00C820FC">
        <w:t xml:space="preserve"> same manner as those</w:t>
      </w:r>
      <w:r w:rsidR="00FA37C2">
        <w:t xml:space="preserve"> wired to the Ruth and T</w:t>
      </w:r>
      <w:r w:rsidR="00C820FC">
        <w:t xml:space="preserve">hompson meters.  We will deny </w:t>
      </w:r>
      <w:r w:rsidR="00CF5EB0">
        <w:t>Exception No. 17, since w</w:t>
      </w:r>
      <w:r w:rsidR="00FA37C2">
        <w:t>e have concluded that simply turning off the switches for the streetlights at the breaker boxes would be insufficient</w:t>
      </w:r>
      <w:r w:rsidR="00CF5EB0">
        <w:t xml:space="preserve"> to remove foreign load.  However, we </w:t>
      </w:r>
      <w:r w:rsidR="00FA37C2">
        <w:t>will direct PPL to work with the Complainant</w:t>
      </w:r>
      <w:r w:rsidR="00CF5EB0">
        <w:t xml:space="preserve"> after the conclusion of this proceeding in an </w:t>
      </w:r>
      <w:r w:rsidR="00FA37C2">
        <w:t>attempt to devis</w:t>
      </w:r>
      <w:r w:rsidR="00CF5EB0">
        <w:t>e a mutually acceptable means of removing the foreign load from the tenants’ accounts</w:t>
      </w:r>
      <w:r w:rsidR="00FA37C2">
        <w:t xml:space="preserve">.  Finally, we shall deny Exceptions Nos. 18, 19 and 20.  As discussed above, there </w:t>
      </w:r>
      <w:r w:rsidR="0057545B">
        <w:t>are</w:t>
      </w:r>
      <w:r w:rsidR="00FA37C2">
        <w:t xml:space="preserve"> no </w:t>
      </w:r>
      <w:r w:rsidR="00FA37C2" w:rsidRPr="00FA37C2">
        <w:rPr>
          <w:i/>
        </w:rPr>
        <w:t>de minimus</w:t>
      </w:r>
      <w:r w:rsidR="00FA37C2">
        <w:t xml:space="preserve"> </w:t>
      </w:r>
      <w:r w:rsidR="0057545B">
        <w:t xml:space="preserve">or “tenant agreement” </w:t>
      </w:r>
      <w:r w:rsidR="00FA37C2">
        <w:t>exception</w:t>
      </w:r>
      <w:r w:rsidR="0057545B">
        <w:t>s</w:t>
      </w:r>
      <w:r w:rsidR="00FA37C2">
        <w:t xml:space="preserve"> to the requirements of Act 54</w:t>
      </w:r>
      <w:r w:rsidR="0057545B">
        <w:t>, and the ALJ did not err in failing to order PPL to place the Ruth and Thompson accounts back in the name of the tenants</w:t>
      </w:r>
      <w:r w:rsidR="00FA37C2">
        <w:t>.</w:t>
      </w:r>
    </w:p>
    <w:p w:rsidR="0057545B" w:rsidRDefault="0057545B" w:rsidP="00C349CA">
      <w:pPr>
        <w:widowControl/>
        <w:autoSpaceDE w:val="0"/>
        <w:autoSpaceDN w:val="0"/>
        <w:adjustRightInd w:val="0"/>
        <w:spacing w:line="360" w:lineRule="auto"/>
        <w:ind w:firstLine="720"/>
      </w:pPr>
    </w:p>
    <w:p w:rsidR="00B52C19" w:rsidRPr="00BB354A" w:rsidRDefault="00211C63" w:rsidP="00B74E0A">
      <w:pPr>
        <w:widowControl/>
        <w:autoSpaceDE w:val="0"/>
        <w:autoSpaceDN w:val="0"/>
        <w:adjustRightInd w:val="0"/>
        <w:spacing w:line="360" w:lineRule="auto"/>
        <w:ind w:firstLine="1440"/>
        <w:rPr>
          <w:b/>
        </w:rPr>
      </w:pPr>
      <w:r>
        <w:tab/>
      </w:r>
      <w:r w:rsidR="00B74E0A">
        <w:tab/>
      </w:r>
      <w:r w:rsidR="00B74E0A">
        <w:tab/>
      </w:r>
      <w:r w:rsidR="00B74E0A">
        <w:rPr>
          <w:b/>
        </w:rPr>
        <w:t>Conclus</w:t>
      </w:r>
      <w:r w:rsidR="00B52C19" w:rsidRPr="00BB354A">
        <w:rPr>
          <w:b/>
        </w:rPr>
        <w:t>ion</w:t>
      </w:r>
    </w:p>
    <w:p w:rsidR="00B52C19" w:rsidRPr="00BB354A" w:rsidRDefault="00B52C19" w:rsidP="00BB354A">
      <w:pPr>
        <w:keepNext/>
        <w:widowControl/>
        <w:spacing w:line="360" w:lineRule="auto"/>
      </w:pPr>
    </w:p>
    <w:p w:rsidR="00B52C19" w:rsidRPr="00BB354A" w:rsidRDefault="00B52C19" w:rsidP="00453329">
      <w:pPr>
        <w:widowControl/>
        <w:spacing w:line="360" w:lineRule="auto"/>
        <w:rPr>
          <w:b/>
        </w:rPr>
      </w:pPr>
      <w:r w:rsidRPr="00BB354A">
        <w:tab/>
      </w:r>
      <w:r w:rsidRPr="00BB354A">
        <w:tab/>
        <w:t xml:space="preserve">For the reasons </w:t>
      </w:r>
      <w:r w:rsidR="00BB354A">
        <w:t xml:space="preserve">contained in </w:t>
      </w:r>
      <w:r w:rsidRPr="00BB354A">
        <w:t xml:space="preserve">the foregoing discussion, we shall </w:t>
      </w:r>
      <w:r w:rsidR="004B5A59">
        <w:t>deny the</w:t>
      </w:r>
      <w:r w:rsidR="00B74E0A">
        <w:t xml:space="preserve"> </w:t>
      </w:r>
      <w:r w:rsidR="00103E04" w:rsidRPr="00BB354A">
        <w:t>Complainant</w:t>
      </w:r>
      <w:r w:rsidRPr="00BB354A">
        <w:t>’s Exceptions</w:t>
      </w:r>
      <w:r w:rsidR="00B74E0A">
        <w:t xml:space="preserve"> </w:t>
      </w:r>
      <w:r w:rsidR="00B367B3">
        <w:t xml:space="preserve">and adopt </w:t>
      </w:r>
      <w:r w:rsidR="00506F9C" w:rsidRPr="00BB354A">
        <w:t xml:space="preserve">the </w:t>
      </w:r>
      <w:r w:rsidRPr="00BB354A">
        <w:t>ALJ</w:t>
      </w:r>
      <w:r w:rsidR="00AA3422" w:rsidRPr="00BB354A">
        <w:t>’s Initial Decision</w:t>
      </w:r>
      <w:r w:rsidR="00A91758" w:rsidRPr="00BB354A">
        <w:t xml:space="preserve"> consistent with this Opinion and Order</w:t>
      </w:r>
      <w:r w:rsidR="00AA245F" w:rsidRPr="00BB354A">
        <w:t>;</w:t>
      </w:r>
      <w:r w:rsidR="006E6B5A" w:rsidRPr="00BB354A">
        <w:t xml:space="preserve"> </w:t>
      </w:r>
      <w:r w:rsidR="00AA3422" w:rsidRPr="00BB354A">
        <w:t xml:space="preserve"> </w:t>
      </w:r>
      <w:r w:rsidRPr="00BB354A">
        <w:rPr>
          <w:b/>
        </w:rPr>
        <w:t>THEREFORE,</w:t>
      </w:r>
    </w:p>
    <w:p w:rsidR="00B52C19" w:rsidRPr="00BB354A" w:rsidRDefault="00B52C19" w:rsidP="00453329">
      <w:pPr>
        <w:widowControl/>
        <w:spacing w:line="360" w:lineRule="auto"/>
      </w:pPr>
    </w:p>
    <w:p w:rsidR="00B52C19" w:rsidRPr="00BB354A" w:rsidRDefault="00B52C19" w:rsidP="00645060">
      <w:pPr>
        <w:keepNext/>
        <w:widowControl/>
        <w:spacing w:line="360" w:lineRule="auto"/>
        <w:rPr>
          <w:b/>
        </w:rPr>
      </w:pPr>
      <w:r w:rsidRPr="00BB354A">
        <w:rPr>
          <w:b/>
        </w:rPr>
        <w:lastRenderedPageBreak/>
        <w:tab/>
      </w:r>
      <w:r w:rsidRPr="00BB354A">
        <w:rPr>
          <w:b/>
        </w:rPr>
        <w:tab/>
        <w:t>IT IS ORDERED:</w:t>
      </w:r>
    </w:p>
    <w:p w:rsidR="00B52C19" w:rsidRPr="00BB354A" w:rsidRDefault="00B52C19" w:rsidP="00453329">
      <w:pPr>
        <w:widowControl/>
        <w:spacing w:line="360" w:lineRule="auto"/>
      </w:pPr>
    </w:p>
    <w:p w:rsidR="00B52C19" w:rsidRPr="00BB354A" w:rsidRDefault="00B52C19" w:rsidP="00453329">
      <w:pPr>
        <w:widowControl/>
        <w:spacing w:line="360" w:lineRule="auto"/>
      </w:pPr>
      <w:r w:rsidRPr="00BB354A">
        <w:tab/>
      </w:r>
      <w:r w:rsidRPr="00BB354A">
        <w:tab/>
        <w:t>1.</w:t>
      </w:r>
      <w:r w:rsidRPr="00BB354A">
        <w:tab/>
        <w:t xml:space="preserve">That the Exceptions of </w:t>
      </w:r>
      <w:r w:rsidR="0057545B">
        <w:t>1-A Realty</w:t>
      </w:r>
      <w:r w:rsidR="000876F5">
        <w:t>, filed on January 4, 2012,</w:t>
      </w:r>
      <w:r w:rsidR="0057545B">
        <w:t xml:space="preserve"> </w:t>
      </w:r>
      <w:r w:rsidR="0095307E" w:rsidRPr="00BB354A">
        <w:t xml:space="preserve">to Administrative Law Judge </w:t>
      </w:r>
      <w:r w:rsidR="0057545B">
        <w:t>Dennis J. Buckley’s</w:t>
      </w:r>
      <w:r w:rsidR="0095307E" w:rsidRPr="00BB354A">
        <w:t xml:space="preserve"> Initial Decision </w:t>
      </w:r>
      <w:r w:rsidR="0057545B">
        <w:t xml:space="preserve">issued on December 20, 2011, </w:t>
      </w:r>
      <w:r w:rsidRPr="00BB354A">
        <w:t xml:space="preserve">are </w:t>
      </w:r>
      <w:r w:rsidR="00F538AB">
        <w:t>denied</w:t>
      </w:r>
      <w:r w:rsidRPr="00BB354A">
        <w:t>.</w:t>
      </w:r>
    </w:p>
    <w:p w:rsidR="00B52C19" w:rsidRPr="00BB354A" w:rsidRDefault="00B52C19" w:rsidP="00453329">
      <w:pPr>
        <w:widowControl/>
        <w:spacing w:line="360" w:lineRule="auto"/>
      </w:pPr>
    </w:p>
    <w:p w:rsidR="00A4481D" w:rsidRPr="00BB354A" w:rsidRDefault="00A4481D" w:rsidP="00A4481D">
      <w:pPr>
        <w:widowControl/>
        <w:spacing w:line="360" w:lineRule="auto"/>
      </w:pPr>
      <w:r w:rsidRPr="00BB354A">
        <w:tab/>
      </w:r>
      <w:r w:rsidRPr="00BB354A">
        <w:tab/>
        <w:t>2.</w:t>
      </w:r>
      <w:r w:rsidRPr="00BB354A">
        <w:tab/>
        <w:t xml:space="preserve">That the Initial Decision of Administrative Law Judge </w:t>
      </w:r>
      <w:r w:rsidR="0057545B">
        <w:t>Dennis J. Buckley is adopted</w:t>
      </w:r>
      <w:r w:rsidR="00C820FC">
        <w:t xml:space="preserve">, </w:t>
      </w:r>
      <w:r w:rsidR="004B5A59">
        <w:t>consistent with this Opinion and Order</w:t>
      </w:r>
      <w:r w:rsidR="00F538AB">
        <w:t>.</w:t>
      </w:r>
    </w:p>
    <w:p w:rsidR="00A4481D" w:rsidRPr="00BB354A" w:rsidRDefault="00A4481D" w:rsidP="00A4481D">
      <w:pPr>
        <w:widowControl/>
        <w:spacing w:line="360" w:lineRule="auto"/>
      </w:pPr>
    </w:p>
    <w:p w:rsidR="0034634C" w:rsidRDefault="0034634C" w:rsidP="00A4481D">
      <w:pPr>
        <w:widowControl/>
        <w:spacing w:line="360" w:lineRule="auto"/>
      </w:pPr>
      <w:r w:rsidRPr="00BB354A">
        <w:tab/>
      </w:r>
      <w:r w:rsidRPr="00BB354A">
        <w:tab/>
        <w:t>3.</w:t>
      </w:r>
      <w:r w:rsidRPr="00BB354A">
        <w:tab/>
        <w:t>That the Formal Complaint</w:t>
      </w:r>
      <w:r w:rsidR="0057545B">
        <w:t>s</w:t>
      </w:r>
      <w:r w:rsidRPr="00BB354A">
        <w:t xml:space="preserve"> of </w:t>
      </w:r>
      <w:r w:rsidR="0057545B">
        <w:t xml:space="preserve">1-A Realty against PPL Electric Utilities Corporation </w:t>
      </w:r>
      <w:r w:rsidR="000876F5">
        <w:t xml:space="preserve">at F-2010-2166554 and F-2010-2166976 </w:t>
      </w:r>
      <w:r w:rsidR="00E3469C">
        <w:t>are</w:t>
      </w:r>
      <w:r w:rsidRPr="00BB354A">
        <w:t xml:space="preserve"> </w:t>
      </w:r>
      <w:r w:rsidR="0057545B">
        <w:t>d</w:t>
      </w:r>
      <w:r w:rsidR="000876F5">
        <w:t>ismissed</w:t>
      </w:r>
      <w:r w:rsidRPr="00BB354A">
        <w:t>.</w:t>
      </w:r>
    </w:p>
    <w:p w:rsidR="004B5A59" w:rsidRDefault="004B5A59" w:rsidP="00A4481D">
      <w:pPr>
        <w:widowControl/>
        <w:spacing w:line="360" w:lineRule="auto"/>
      </w:pPr>
    </w:p>
    <w:p w:rsidR="00871082" w:rsidRDefault="004B5A59" w:rsidP="00A4481D">
      <w:pPr>
        <w:widowControl/>
        <w:spacing w:line="360" w:lineRule="auto"/>
      </w:pPr>
      <w:r>
        <w:tab/>
      </w:r>
      <w:r>
        <w:tab/>
        <w:t>4.</w:t>
      </w:r>
      <w:r>
        <w:tab/>
        <w:t xml:space="preserve">That </w:t>
      </w:r>
      <w:r w:rsidR="00C820FC">
        <w:t>PPL Electric Utilities Corporation is directed to work with 1-A Realty in an effort to devise a mutually satisfactory means of removing the foreign load at Red Maple Acres Mobile Home Park.</w:t>
      </w:r>
    </w:p>
    <w:p w:rsidR="00C820FC" w:rsidRPr="00BB354A" w:rsidRDefault="00C820FC" w:rsidP="00A4481D">
      <w:pPr>
        <w:widowControl/>
        <w:spacing w:line="360" w:lineRule="auto"/>
      </w:pPr>
    </w:p>
    <w:p w:rsidR="00D755ED" w:rsidRPr="00BB354A" w:rsidRDefault="00712AE5" w:rsidP="00453329">
      <w:pPr>
        <w:widowControl/>
        <w:spacing w:line="360" w:lineRule="auto"/>
      </w:pPr>
      <w:r w:rsidRPr="00BB354A">
        <w:tab/>
      </w:r>
      <w:r w:rsidRPr="00BB354A">
        <w:tab/>
      </w:r>
      <w:r w:rsidR="006C079C">
        <w:t>5</w:t>
      </w:r>
      <w:r w:rsidR="00506F9C" w:rsidRPr="00BB354A">
        <w:t>.</w:t>
      </w:r>
      <w:r w:rsidR="00506F9C" w:rsidRPr="00BB354A">
        <w:tab/>
        <w:t>That</w:t>
      </w:r>
      <w:r w:rsidR="00C820FC">
        <w:t xml:space="preserve"> </w:t>
      </w:r>
      <w:r w:rsidR="00506F9C" w:rsidRPr="00BB354A">
        <w:t>th</w:t>
      </w:r>
      <w:r w:rsidR="000876F5">
        <w:t>e</w:t>
      </w:r>
      <w:r w:rsidR="00506F9C" w:rsidRPr="00BB354A">
        <w:t>s</w:t>
      </w:r>
      <w:r w:rsidR="000876F5">
        <w:t>e</w:t>
      </w:r>
      <w:r w:rsidR="00506F9C" w:rsidRPr="00BB354A">
        <w:t xml:space="preserve"> proceeding</w:t>
      </w:r>
      <w:r w:rsidR="000876F5">
        <w:t>s</w:t>
      </w:r>
      <w:r w:rsidR="00506F9C" w:rsidRPr="00BB354A">
        <w:t xml:space="preserve"> </w:t>
      </w:r>
      <w:r w:rsidR="00483260">
        <w:t xml:space="preserve">shall </w:t>
      </w:r>
      <w:r w:rsidR="00506F9C" w:rsidRPr="00BB354A">
        <w:t>be marked closed.</w:t>
      </w:r>
    </w:p>
    <w:p w:rsidR="00B52C19" w:rsidRPr="00BB354A" w:rsidRDefault="00B52C19" w:rsidP="00453329">
      <w:pPr>
        <w:widowControl/>
        <w:spacing w:line="360" w:lineRule="auto"/>
      </w:pPr>
    </w:p>
    <w:p w:rsidR="00C7000F" w:rsidRPr="00BB354A" w:rsidRDefault="00C7000F" w:rsidP="00453329">
      <w:pPr>
        <w:widowControl/>
        <w:spacing w:line="360" w:lineRule="auto"/>
      </w:pPr>
    </w:p>
    <w:p w:rsidR="00B52C19" w:rsidRPr="00BB354A" w:rsidRDefault="00244257" w:rsidP="00453329">
      <w:pPr>
        <w:widowControl/>
        <w:rPr>
          <w:b/>
        </w:rPr>
      </w:pPr>
      <w:bookmarkStart w:id="0" w:name="_GoBack"/>
      <w:r w:rsidRPr="00A4345F">
        <w:rPr>
          <w:noProof/>
        </w:rPr>
        <w:drawing>
          <wp:anchor distT="0" distB="0" distL="114300" distR="114300" simplePos="0" relativeHeight="251659264" behindDoc="1" locked="0" layoutInCell="1" allowOverlap="1" wp14:anchorId="7144D48B" wp14:editId="789AD1F4">
            <wp:simplePos x="0" y="0"/>
            <wp:positionH relativeFrom="column">
              <wp:posOffset>2967990</wp:posOffset>
            </wp:positionH>
            <wp:positionV relativeFrom="paragraph">
              <wp:posOffset>14605</wp:posOffset>
            </wp:positionV>
            <wp:extent cx="2200275" cy="838200"/>
            <wp:effectExtent l="0" t="0" r="9525" b="0"/>
            <wp:wrapNone/>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B52C19" w:rsidRPr="00BB354A">
        <w:rPr>
          <w:b/>
        </w:rPr>
        <w:tab/>
      </w:r>
      <w:r w:rsidR="00B52C19" w:rsidRPr="00BB354A">
        <w:rPr>
          <w:b/>
        </w:rPr>
        <w:tab/>
      </w:r>
      <w:r w:rsidR="00B52C19" w:rsidRPr="00BB354A">
        <w:rPr>
          <w:b/>
        </w:rPr>
        <w:tab/>
      </w:r>
      <w:r w:rsidR="00B52C19" w:rsidRPr="00BB354A">
        <w:rPr>
          <w:b/>
        </w:rPr>
        <w:tab/>
      </w:r>
      <w:r w:rsidR="00B52C19" w:rsidRPr="00BB354A">
        <w:rPr>
          <w:b/>
        </w:rPr>
        <w:tab/>
      </w:r>
      <w:r w:rsidR="00B52C19" w:rsidRPr="00BB354A">
        <w:rPr>
          <w:b/>
        </w:rPr>
        <w:tab/>
      </w:r>
      <w:r w:rsidR="00B52C19" w:rsidRPr="00BB354A">
        <w:rPr>
          <w:b/>
        </w:rPr>
        <w:tab/>
        <w:t>BY THE COMMISSION</w:t>
      </w:r>
    </w:p>
    <w:p w:rsidR="00B52C19" w:rsidRPr="00BB354A" w:rsidRDefault="00B52C19" w:rsidP="00453329">
      <w:pPr>
        <w:widowControl/>
      </w:pPr>
    </w:p>
    <w:p w:rsidR="00B52C19" w:rsidRPr="00BB354A" w:rsidRDefault="00B52C19" w:rsidP="00453329">
      <w:pPr>
        <w:widowControl/>
      </w:pPr>
    </w:p>
    <w:p w:rsidR="00B52C19" w:rsidRPr="00BB354A" w:rsidRDefault="00B52C19" w:rsidP="00453329">
      <w:pPr>
        <w:widowControl/>
      </w:pPr>
    </w:p>
    <w:p w:rsidR="00B52C19" w:rsidRPr="00BB354A" w:rsidRDefault="00B52C19" w:rsidP="00453329">
      <w:pPr>
        <w:widowControl/>
      </w:pPr>
      <w:r w:rsidRPr="00BB354A">
        <w:tab/>
      </w:r>
      <w:r w:rsidRPr="00BB354A">
        <w:tab/>
      </w:r>
      <w:r w:rsidRPr="00BB354A">
        <w:tab/>
      </w:r>
      <w:r w:rsidRPr="00BB354A">
        <w:tab/>
      </w:r>
      <w:r w:rsidRPr="00BB354A">
        <w:tab/>
      </w:r>
      <w:r w:rsidRPr="00BB354A">
        <w:tab/>
      </w:r>
      <w:r w:rsidRPr="00BB354A">
        <w:tab/>
      </w:r>
      <w:r w:rsidR="00BD6D93" w:rsidRPr="00BB354A">
        <w:t>Rosemary Chiavetta</w:t>
      </w:r>
    </w:p>
    <w:p w:rsidR="00B52C19" w:rsidRPr="00BB354A" w:rsidRDefault="00B52C19" w:rsidP="00453329">
      <w:pPr>
        <w:widowControl/>
      </w:pPr>
      <w:r w:rsidRPr="00BB354A">
        <w:tab/>
      </w:r>
      <w:r w:rsidRPr="00BB354A">
        <w:tab/>
      </w:r>
      <w:r w:rsidRPr="00BB354A">
        <w:tab/>
      </w:r>
      <w:r w:rsidRPr="00BB354A">
        <w:tab/>
      </w:r>
      <w:r w:rsidRPr="00BB354A">
        <w:tab/>
      </w:r>
      <w:r w:rsidRPr="00BB354A">
        <w:tab/>
      </w:r>
      <w:r w:rsidRPr="00BB354A">
        <w:tab/>
        <w:t>Secretary</w:t>
      </w:r>
    </w:p>
    <w:p w:rsidR="00B52C19" w:rsidRPr="00BB354A" w:rsidRDefault="00B52C19" w:rsidP="00453329">
      <w:pPr>
        <w:widowControl/>
      </w:pPr>
    </w:p>
    <w:p w:rsidR="00B52C19" w:rsidRPr="00BB354A" w:rsidRDefault="00B52C19" w:rsidP="00453329">
      <w:pPr>
        <w:widowControl/>
      </w:pPr>
      <w:r w:rsidRPr="00BB354A">
        <w:t>(SEAL)</w:t>
      </w:r>
    </w:p>
    <w:p w:rsidR="00B52C19" w:rsidRPr="00BB354A" w:rsidRDefault="00B52C19" w:rsidP="00453329">
      <w:pPr>
        <w:widowControl/>
      </w:pPr>
    </w:p>
    <w:p w:rsidR="00B52C19" w:rsidRPr="00BB354A" w:rsidRDefault="00B52C19" w:rsidP="00453329">
      <w:pPr>
        <w:widowControl/>
      </w:pPr>
      <w:r w:rsidRPr="00BB354A">
        <w:t xml:space="preserve">ORDER ADOPTED:  </w:t>
      </w:r>
      <w:r w:rsidR="00A33354">
        <w:t>April 12, 2012</w:t>
      </w:r>
    </w:p>
    <w:p w:rsidR="00B52C19" w:rsidRPr="00BB354A" w:rsidRDefault="00B52C19" w:rsidP="00453329">
      <w:pPr>
        <w:widowControl/>
      </w:pPr>
    </w:p>
    <w:p w:rsidR="00B52C19" w:rsidRPr="00BB354A" w:rsidRDefault="00B52C19" w:rsidP="00453329">
      <w:pPr>
        <w:widowControl/>
      </w:pPr>
      <w:r w:rsidRPr="00BB354A">
        <w:t xml:space="preserve">ORDER ENTERED:  </w:t>
      </w:r>
      <w:r w:rsidR="00244257">
        <w:t>April 12, 2012</w:t>
      </w:r>
    </w:p>
    <w:sectPr w:rsidR="00B52C19" w:rsidRPr="00BB354A" w:rsidSect="00B52C19">
      <w:footerReference w:type="default" r:id="rId10"/>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A46" w:rsidRDefault="00412A46">
      <w:r>
        <w:separator/>
      </w:r>
    </w:p>
  </w:endnote>
  <w:endnote w:type="continuationSeparator" w:id="0">
    <w:p w:rsidR="00412A46" w:rsidRDefault="00412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860" w:rsidRDefault="00922A58">
    <w:pPr>
      <w:pStyle w:val="Footer"/>
      <w:framePr w:wrap="auto" w:vAnchor="text" w:hAnchor="margin" w:xAlign="center" w:y="1"/>
      <w:rPr>
        <w:rStyle w:val="PageNumber"/>
      </w:rPr>
    </w:pPr>
    <w:r>
      <w:rPr>
        <w:rStyle w:val="PageNumber"/>
      </w:rPr>
      <w:fldChar w:fldCharType="begin"/>
    </w:r>
    <w:r w:rsidR="00F35860">
      <w:rPr>
        <w:rStyle w:val="PageNumber"/>
      </w:rPr>
      <w:instrText xml:space="preserve">PAGE  </w:instrText>
    </w:r>
    <w:r>
      <w:rPr>
        <w:rStyle w:val="PageNumber"/>
      </w:rPr>
      <w:fldChar w:fldCharType="separate"/>
    </w:r>
    <w:r w:rsidR="00244257">
      <w:rPr>
        <w:rStyle w:val="PageNumber"/>
        <w:noProof/>
      </w:rPr>
      <w:t>24</w:t>
    </w:r>
    <w:r>
      <w:rPr>
        <w:rStyle w:val="PageNumber"/>
      </w:rPr>
      <w:fldChar w:fldCharType="end"/>
    </w:r>
  </w:p>
  <w:p w:rsidR="00F35860" w:rsidRPr="00A849F9" w:rsidRDefault="00F35860">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A46" w:rsidRDefault="00412A46">
      <w:r>
        <w:separator/>
      </w:r>
    </w:p>
  </w:footnote>
  <w:footnote w:type="continuationSeparator" w:id="0">
    <w:p w:rsidR="00412A46" w:rsidRDefault="00412A46">
      <w:r>
        <w:continuationSeparator/>
      </w:r>
    </w:p>
  </w:footnote>
  <w:footnote w:id="1">
    <w:p w:rsidR="0094785D" w:rsidRPr="007D598F" w:rsidRDefault="0094785D">
      <w:pPr>
        <w:pStyle w:val="FootnoteText"/>
        <w:rPr>
          <w:sz w:val="26"/>
          <w:szCs w:val="26"/>
        </w:rPr>
      </w:pPr>
      <w:r w:rsidRPr="007D598F">
        <w:rPr>
          <w:rStyle w:val="FootnoteReference"/>
          <w:sz w:val="26"/>
          <w:szCs w:val="26"/>
        </w:rPr>
        <w:footnoteRef/>
      </w:r>
      <w:r w:rsidRPr="007D598F">
        <w:rPr>
          <w:sz w:val="26"/>
          <w:szCs w:val="26"/>
        </w:rPr>
        <w:t xml:space="preserve"> </w:t>
      </w:r>
      <w:r w:rsidRPr="007D598F">
        <w:rPr>
          <w:sz w:val="26"/>
          <w:szCs w:val="26"/>
        </w:rPr>
        <w:tab/>
      </w:r>
      <w:r w:rsidR="00764FBD">
        <w:rPr>
          <w:sz w:val="26"/>
          <w:szCs w:val="26"/>
        </w:rPr>
        <w:t>By Order issued March 23, 2011</w:t>
      </w:r>
      <w:r w:rsidR="007D598F" w:rsidRPr="007D598F">
        <w:rPr>
          <w:sz w:val="26"/>
          <w:szCs w:val="26"/>
        </w:rPr>
        <w:t>, ALJ Buckley granted an unopposed Motion to Consolidate filed by 1-A on May 10, 2010, and consolidated the two cases for the purposes of hearing, briefing and adjudication.</w:t>
      </w:r>
    </w:p>
  </w:footnote>
  <w:footnote w:id="2">
    <w:p w:rsidR="00F0392A" w:rsidRPr="008C1302" w:rsidRDefault="00F0392A">
      <w:pPr>
        <w:pStyle w:val="FootnoteText"/>
        <w:rPr>
          <w:sz w:val="26"/>
          <w:szCs w:val="26"/>
        </w:rPr>
      </w:pPr>
      <w:r w:rsidRPr="008C1302">
        <w:rPr>
          <w:rStyle w:val="FootnoteReference"/>
          <w:sz w:val="26"/>
          <w:szCs w:val="26"/>
        </w:rPr>
        <w:footnoteRef/>
      </w:r>
      <w:r w:rsidRPr="008C1302">
        <w:rPr>
          <w:sz w:val="26"/>
          <w:szCs w:val="26"/>
        </w:rPr>
        <w:t xml:space="preserve"> </w:t>
      </w:r>
      <w:r w:rsidRPr="008C1302">
        <w:rPr>
          <w:sz w:val="26"/>
          <w:szCs w:val="26"/>
        </w:rPr>
        <w:tab/>
        <w:t>The Complaints are appeals from determinations by the Commission’s Bureau of Consumer Services</w:t>
      </w:r>
      <w:r w:rsidR="0058153A">
        <w:rPr>
          <w:sz w:val="26"/>
          <w:szCs w:val="26"/>
        </w:rPr>
        <w:t xml:space="preserve"> (BCS)</w:t>
      </w:r>
      <w:r w:rsidR="00177A72">
        <w:rPr>
          <w:sz w:val="26"/>
          <w:szCs w:val="26"/>
        </w:rPr>
        <w:t xml:space="preserve"> at BCS 2587705 (Ruth Complaint) and BCS 2587779 (Thompson Complaint)</w:t>
      </w:r>
      <w:r w:rsidR="0094785D">
        <w:rPr>
          <w:sz w:val="26"/>
          <w:szCs w:val="26"/>
        </w:rPr>
        <w:t xml:space="preserve">.  </w:t>
      </w:r>
    </w:p>
  </w:footnote>
  <w:footnote w:id="3">
    <w:p w:rsidR="001D3E38" w:rsidRPr="001A0895" w:rsidRDefault="001D3E38">
      <w:pPr>
        <w:pStyle w:val="FootnoteText"/>
        <w:rPr>
          <w:sz w:val="26"/>
          <w:szCs w:val="26"/>
        </w:rPr>
      </w:pPr>
      <w:r w:rsidRPr="001A0895">
        <w:rPr>
          <w:rStyle w:val="FootnoteReference"/>
          <w:sz w:val="26"/>
          <w:szCs w:val="26"/>
        </w:rPr>
        <w:footnoteRef/>
      </w:r>
      <w:r w:rsidRPr="001A0895">
        <w:rPr>
          <w:sz w:val="26"/>
          <w:szCs w:val="26"/>
        </w:rPr>
        <w:t xml:space="preserve"> </w:t>
      </w:r>
      <w:r w:rsidRPr="001A0895">
        <w:rPr>
          <w:sz w:val="26"/>
          <w:szCs w:val="26"/>
        </w:rPr>
        <w:tab/>
        <w:t xml:space="preserve">PPL is referring to Act 54 of </w:t>
      </w:r>
      <w:r w:rsidR="001033D9">
        <w:rPr>
          <w:sz w:val="26"/>
          <w:szCs w:val="26"/>
        </w:rPr>
        <w:t xml:space="preserve">July 2, </w:t>
      </w:r>
      <w:r w:rsidRPr="001A0895">
        <w:rPr>
          <w:sz w:val="26"/>
          <w:szCs w:val="26"/>
        </w:rPr>
        <w:t>1993, P.L. 379</w:t>
      </w:r>
      <w:r w:rsidR="001A0895" w:rsidRPr="001A0895">
        <w:rPr>
          <w:sz w:val="26"/>
          <w:szCs w:val="26"/>
        </w:rPr>
        <w:t>, codified in various sections of Subchapter B (</w:t>
      </w:r>
      <w:r w:rsidR="001A0895" w:rsidRPr="001A0895">
        <w:rPr>
          <w:i/>
          <w:sz w:val="26"/>
          <w:szCs w:val="26"/>
        </w:rPr>
        <w:t>Discontinuance of Service to Leased Premises</w:t>
      </w:r>
      <w:r w:rsidR="001A0895" w:rsidRPr="001A0895">
        <w:rPr>
          <w:sz w:val="26"/>
          <w:szCs w:val="26"/>
        </w:rPr>
        <w:t>), of Chapter 15 (</w:t>
      </w:r>
      <w:r w:rsidR="001A0895" w:rsidRPr="001A0895">
        <w:rPr>
          <w:i/>
          <w:sz w:val="26"/>
          <w:szCs w:val="26"/>
        </w:rPr>
        <w:t>Service and Facilities</w:t>
      </w:r>
      <w:r w:rsidR="001A0895" w:rsidRPr="001A0895">
        <w:rPr>
          <w:sz w:val="26"/>
          <w:szCs w:val="26"/>
        </w:rPr>
        <w:t>), of the Code.</w:t>
      </w:r>
    </w:p>
  </w:footnote>
  <w:footnote w:id="4">
    <w:p w:rsidR="009D466B" w:rsidRPr="009D466B" w:rsidRDefault="009D466B">
      <w:pPr>
        <w:pStyle w:val="FootnoteText"/>
        <w:rPr>
          <w:sz w:val="26"/>
          <w:szCs w:val="26"/>
        </w:rPr>
      </w:pPr>
      <w:r w:rsidRPr="009D466B">
        <w:rPr>
          <w:rStyle w:val="FootnoteReference"/>
          <w:sz w:val="26"/>
          <w:szCs w:val="26"/>
        </w:rPr>
        <w:footnoteRef/>
      </w:r>
      <w:r w:rsidRPr="009D466B">
        <w:rPr>
          <w:sz w:val="26"/>
          <w:szCs w:val="26"/>
        </w:rPr>
        <w:t xml:space="preserve"> </w:t>
      </w:r>
      <w:r w:rsidRPr="009D466B">
        <w:rPr>
          <w:sz w:val="26"/>
          <w:szCs w:val="26"/>
        </w:rPr>
        <w:tab/>
      </w:r>
      <w:r>
        <w:rPr>
          <w:sz w:val="26"/>
          <w:szCs w:val="26"/>
        </w:rPr>
        <w:t xml:space="preserve">The Complainant is referring to </w:t>
      </w:r>
      <w:r w:rsidRPr="009D466B">
        <w:rPr>
          <w:i/>
          <w:sz w:val="26"/>
          <w:szCs w:val="26"/>
        </w:rPr>
        <w:t>Policy Statement Re: Resolution of Issues Common to Complaints Involving 66 Pa. C.S. § 1529.1 (relating to duty of owners of rental property)</w:t>
      </w:r>
      <w:r w:rsidRPr="009D466B">
        <w:rPr>
          <w:sz w:val="26"/>
          <w:szCs w:val="26"/>
        </w:rPr>
        <w:t>, Docket No. L-00980137 (Order entered September 23, 1998).</w:t>
      </w:r>
    </w:p>
  </w:footnote>
  <w:footnote w:id="5">
    <w:p w:rsidR="00E00EFD" w:rsidRPr="007E0534" w:rsidRDefault="00E00EFD">
      <w:pPr>
        <w:pStyle w:val="FootnoteText"/>
        <w:rPr>
          <w:sz w:val="26"/>
          <w:szCs w:val="26"/>
        </w:rPr>
      </w:pPr>
      <w:r w:rsidRPr="007E0534">
        <w:rPr>
          <w:rStyle w:val="FootnoteReference"/>
          <w:sz w:val="26"/>
          <w:szCs w:val="26"/>
        </w:rPr>
        <w:footnoteRef/>
      </w:r>
      <w:r w:rsidRPr="007E0534">
        <w:rPr>
          <w:sz w:val="26"/>
          <w:szCs w:val="26"/>
        </w:rPr>
        <w:t xml:space="preserve"> </w:t>
      </w:r>
      <w:r w:rsidRPr="007E0534">
        <w:rPr>
          <w:sz w:val="26"/>
          <w:szCs w:val="26"/>
        </w:rPr>
        <w:tab/>
        <w:t>There are twenty-one streetlights in the Park; however, one of the streetl</w:t>
      </w:r>
      <w:r w:rsidR="00144B5C" w:rsidRPr="007E0534">
        <w:rPr>
          <w:sz w:val="26"/>
          <w:szCs w:val="26"/>
        </w:rPr>
        <w:t xml:space="preserve">ights </w:t>
      </w:r>
      <w:r w:rsidR="007E0534" w:rsidRPr="007E0534">
        <w:rPr>
          <w:sz w:val="26"/>
          <w:szCs w:val="26"/>
        </w:rPr>
        <w:t xml:space="preserve">apparently </w:t>
      </w:r>
      <w:r w:rsidR="00144B5C" w:rsidRPr="007E0534">
        <w:rPr>
          <w:sz w:val="26"/>
          <w:szCs w:val="26"/>
        </w:rPr>
        <w:t>is not connected to a res</w:t>
      </w:r>
      <w:r w:rsidR="007E0534">
        <w:rPr>
          <w:sz w:val="26"/>
          <w:szCs w:val="26"/>
        </w:rPr>
        <w:t>idence.  PPL</w:t>
      </w:r>
      <w:r w:rsidRPr="007E0534">
        <w:rPr>
          <w:sz w:val="26"/>
          <w:szCs w:val="26"/>
        </w:rPr>
        <w:t xml:space="preserve"> Exh. 3</w:t>
      </w:r>
      <w:r w:rsidR="007E0534">
        <w:rPr>
          <w:sz w:val="26"/>
          <w:szCs w:val="26"/>
        </w:rPr>
        <w:t>.</w:t>
      </w:r>
    </w:p>
  </w:footnote>
  <w:footnote w:id="6">
    <w:p w:rsidR="00FA4B3F" w:rsidRPr="00FA4B3F" w:rsidRDefault="00FA4B3F">
      <w:pPr>
        <w:pStyle w:val="FootnoteText"/>
        <w:rPr>
          <w:sz w:val="26"/>
          <w:szCs w:val="26"/>
        </w:rPr>
      </w:pPr>
      <w:r w:rsidRPr="00FA4B3F">
        <w:rPr>
          <w:rStyle w:val="FootnoteReference"/>
          <w:sz w:val="26"/>
          <w:szCs w:val="26"/>
        </w:rPr>
        <w:footnoteRef/>
      </w:r>
      <w:r w:rsidRPr="00FA4B3F">
        <w:rPr>
          <w:sz w:val="26"/>
          <w:szCs w:val="26"/>
        </w:rPr>
        <w:t xml:space="preserve"> </w:t>
      </w:r>
      <w:r w:rsidRPr="00FA4B3F">
        <w:rPr>
          <w:sz w:val="26"/>
          <w:szCs w:val="26"/>
        </w:rPr>
        <w:tab/>
        <w:t>The average ele</w:t>
      </w:r>
      <w:r w:rsidR="009672AC">
        <w:rPr>
          <w:sz w:val="26"/>
          <w:szCs w:val="26"/>
        </w:rPr>
        <w:t xml:space="preserve">ctric bill for the usage by </w:t>
      </w:r>
      <w:r w:rsidRPr="00FA4B3F">
        <w:rPr>
          <w:sz w:val="26"/>
          <w:szCs w:val="26"/>
        </w:rPr>
        <w:t xml:space="preserve">streetlights </w:t>
      </w:r>
      <w:r>
        <w:rPr>
          <w:sz w:val="26"/>
          <w:szCs w:val="26"/>
        </w:rPr>
        <w:t xml:space="preserve">metered </w:t>
      </w:r>
      <w:r w:rsidRPr="00FA4B3F">
        <w:rPr>
          <w:sz w:val="26"/>
          <w:szCs w:val="26"/>
        </w:rPr>
        <w:t>at two empty lots was $8.21 (July 2009 through July 2010); $9.67 (August 2009 through August 2011); and $9.08 (August 2009 through June 2011).  N.T. (4/26/11) at 35-38, 45, 63; N.T. (8</w:t>
      </w:r>
      <w:r w:rsidR="009672AC">
        <w:rPr>
          <w:sz w:val="26"/>
          <w:szCs w:val="26"/>
        </w:rPr>
        <w:t>/</w:t>
      </w:r>
      <w:r w:rsidRPr="00FA4B3F">
        <w:rPr>
          <w:sz w:val="26"/>
          <w:szCs w:val="26"/>
        </w:rPr>
        <w:t>23/11) at 69-70; Exhs. C-4, C-5, C-9, C-10.</w:t>
      </w:r>
    </w:p>
  </w:footnote>
  <w:footnote w:id="7">
    <w:p w:rsidR="00982785" w:rsidRPr="00982785" w:rsidRDefault="00982785">
      <w:pPr>
        <w:pStyle w:val="FootnoteText"/>
        <w:rPr>
          <w:sz w:val="26"/>
          <w:szCs w:val="26"/>
        </w:rPr>
      </w:pPr>
      <w:r w:rsidRPr="00982785">
        <w:rPr>
          <w:rStyle w:val="FootnoteReference"/>
          <w:sz w:val="26"/>
          <w:szCs w:val="26"/>
        </w:rPr>
        <w:footnoteRef/>
      </w:r>
      <w:r w:rsidRPr="00982785">
        <w:rPr>
          <w:sz w:val="26"/>
          <w:szCs w:val="26"/>
        </w:rPr>
        <w:t xml:space="preserve"> </w:t>
      </w:r>
      <w:r w:rsidRPr="00982785">
        <w:rPr>
          <w:sz w:val="26"/>
          <w:szCs w:val="26"/>
        </w:rPr>
        <w:tab/>
        <w:t>Ms. Ruth’s deposition testimony was admitted into evidence by stipulation of the Parties as PPL Exhibit 1.</w:t>
      </w:r>
    </w:p>
  </w:footnote>
  <w:footnote w:id="8">
    <w:p w:rsidR="00891C48" w:rsidRPr="006F262D" w:rsidRDefault="00891C48">
      <w:pPr>
        <w:pStyle w:val="FootnoteText"/>
        <w:rPr>
          <w:sz w:val="26"/>
          <w:szCs w:val="26"/>
        </w:rPr>
      </w:pPr>
      <w:r w:rsidRPr="006F262D">
        <w:rPr>
          <w:rStyle w:val="FootnoteReference"/>
          <w:sz w:val="26"/>
          <w:szCs w:val="26"/>
        </w:rPr>
        <w:footnoteRef/>
      </w:r>
      <w:r w:rsidRPr="006F262D">
        <w:rPr>
          <w:sz w:val="26"/>
          <w:szCs w:val="26"/>
        </w:rPr>
        <w:t xml:space="preserve"> </w:t>
      </w:r>
      <w:r w:rsidR="006F262D" w:rsidRPr="006F262D">
        <w:rPr>
          <w:sz w:val="26"/>
          <w:szCs w:val="26"/>
        </w:rPr>
        <w:tab/>
      </w:r>
      <w:r w:rsidRPr="00530BE9">
        <w:rPr>
          <w:i/>
          <w:sz w:val="26"/>
          <w:szCs w:val="26"/>
        </w:rPr>
        <w:t>See</w:t>
      </w:r>
      <w:r w:rsidR="00EF69EF" w:rsidRPr="00530BE9">
        <w:rPr>
          <w:i/>
          <w:sz w:val="26"/>
          <w:szCs w:val="26"/>
        </w:rPr>
        <w:t>,</w:t>
      </w:r>
      <w:r w:rsidRPr="006F262D">
        <w:rPr>
          <w:sz w:val="26"/>
          <w:szCs w:val="26"/>
        </w:rPr>
        <w:t xml:space="preserve"> </w:t>
      </w:r>
      <w:r w:rsidRPr="006F262D">
        <w:rPr>
          <w:i/>
          <w:sz w:val="26"/>
          <w:szCs w:val="26"/>
        </w:rPr>
        <w:t>Tasker v</w:t>
      </w:r>
      <w:r w:rsidR="00524455">
        <w:rPr>
          <w:i/>
          <w:sz w:val="26"/>
          <w:szCs w:val="26"/>
        </w:rPr>
        <w:t>.</w:t>
      </w:r>
      <w:r w:rsidRPr="006F262D">
        <w:rPr>
          <w:i/>
          <w:sz w:val="26"/>
          <w:szCs w:val="26"/>
        </w:rPr>
        <w:t xml:space="preserve"> PP&amp;L</w:t>
      </w:r>
      <w:r w:rsidR="006F262D" w:rsidRPr="006F262D">
        <w:rPr>
          <w:i/>
          <w:sz w:val="26"/>
          <w:szCs w:val="26"/>
        </w:rPr>
        <w:t>, Inc.</w:t>
      </w:r>
      <w:r w:rsidRPr="006F262D">
        <w:rPr>
          <w:sz w:val="26"/>
          <w:szCs w:val="26"/>
        </w:rPr>
        <w:t>, Docket N</w:t>
      </w:r>
      <w:r w:rsidR="006F262D" w:rsidRPr="006F262D">
        <w:rPr>
          <w:sz w:val="26"/>
          <w:szCs w:val="26"/>
        </w:rPr>
        <w:t>o. C-00003249 (</w:t>
      </w:r>
      <w:r w:rsidR="00527823">
        <w:rPr>
          <w:sz w:val="26"/>
          <w:szCs w:val="26"/>
        </w:rPr>
        <w:t xml:space="preserve">Initial Decision of ALJ Weismandel issued July 18, 2000, </w:t>
      </w:r>
      <w:r w:rsidR="00555D0C">
        <w:rPr>
          <w:sz w:val="26"/>
          <w:szCs w:val="26"/>
        </w:rPr>
        <w:t xml:space="preserve">Commission </w:t>
      </w:r>
      <w:r w:rsidR="00EB53A5">
        <w:rPr>
          <w:sz w:val="26"/>
          <w:szCs w:val="26"/>
        </w:rPr>
        <w:t xml:space="preserve">Final Order entered </w:t>
      </w:r>
      <w:r w:rsidR="006F262D" w:rsidRPr="006F262D">
        <w:rPr>
          <w:sz w:val="26"/>
          <w:szCs w:val="26"/>
        </w:rPr>
        <w:t>August 29, 2000</w:t>
      </w:r>
      <w:r w:rsidR="00C820FC">
        <w:rPr>
          <w:sz w:val="26"/>
          <w:szCs w:val="26"/>
        </w:rPr>
        <w:t>) at 13, n. 2 (r</w:t>
      </w:r>
      <w:r w:rsidRPr="006F262D">
        <w:rPr>
          <w:sz w:val="26"/>
          <w:szCs w:val="26"/>
        </w:rPr>
        <w:t xml:space="preserve">eliance on the </w:t>
      </w:r>
      <w:r w:rsidRPr="006F262D">
        <w:rPr>
          <w:i/>
          <w:sz w:val="26"/>
          <w:szCs w:val="26"/>
        </w:rPr>
        <w:t>1999 Proposed Rulemaking</w:t>
      </w:r>
      <w:r w:rsidRPr="006F262D">
        <w:rPr>
          <w:sz w:val="26"/>
          <w:szCs w:val="26"/>
        </w:rPr>
        <w:t xml:space="preserve"> is contrary to law; unless and until the proposed regulations are adopted in accordance with applicable statutory requirements they are a nullity)</w:t>
      </w:r>
      <w:r w:rsidR="00EF69EF">
        <w:rPr>
          <w:sz w:val="26"/>
          <w:szCs w:val="26"/>
        </w:rPr>
        <w:t>.</w:t>
      </w:r>
    </w:p>
  </w:footnote>
  <w:footnote w:id="9">
    <w:p w:rsidR="0014348F" w:rsidRPr="00C25C54" w:rsidRDefault="0014348F">
      <w:pPr>
        <w:pStyle w:val="FootnoteText"/>
        <w:rPr>
          <w:sz w:val="26"/>
          <w:szCs w:val="26"/>
        </w:rPr>
      </w:pPr>
      <w:r w:rsidRPr="00C25C54">
        <w:rPr>
          <w:rStyle w:val="FootnoteReference"/>
          <w:sz w:val="26"/>
          <w:szCs w:val="26"/>
        </w:rPr>
        <w:footnoteRef/>
      </w:r>
      <w:r w:rsidRPr="00C25C54">
        <w:rPr>
          <w:sz w:val="26"/>
          <w:szCs w:val="26"/>
        </w:rPr>
        <w:t xml:space="preserve"> </w:t>
      </w:r>
      <w:r w:rsidRPr="00C25C54">
        <w:rPr>
          <w:sz w:val="26"/>
          <w:szCs w:val="26"/>
        </w:rPr>
        <w:tab/>
      </w:r>
      <w:r w:rsidRPr="00C25C54">
        <w:rPr>
          <w:i/>
          <w:sz w:val="26"/>
          <w:szCs w:val="26"/>
        </w:rPr>
        <w:t xml:space="preserve"> Ace Check Cashing, Inc. v. Philadelphia Gas Works</w:t>
      </w:r>
      <w:r w:rsidRPr="00C25C54">
        <w:rPr>
          <w:sz w:val="26"/>
          <w:szCs w:val="26"/>
        </w:rPr>
        <w:t xml:space="preserve">, Docket No. </w:t>
      </w:r>
      <w:r w:rsidR="00793CD3">
        <w:rPr>
          <w:sz w:val="26"/>
          <w:szCs w:val="26"/>
        </w:rPr>
        <w:br/>
      </w:r>
      <w:r w:rsidRPr="00C25C54">
        <w:rPr>
          <w:sz w:val="26"/>
          <w:szCs w:val="26"/>
        </w:rPr>
        <w:t>C-2008-2056428 (Order entered May 21, 2010) (</w:t>
      </w:r>
      <w:r w:rsidR="00793CD3">
        <w:rPr>
          <w:sz w:val="26"/>
          <w:szCs w:val="26"/>
        </w:rPr>
        <w:t>t</w:t>
      </w:r>
      <w:r w:rsidRPr="00C25C54">
        <w:rPr>
          <w:sz w:val="26"/>
          <w:szCs w:val="26"/>
        </w:rPr>
        <w:t>he Commission does not have subject matter jurisdiction over a dispute between a property owner and a tenant – two non-utility parties).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E27E24"/>
    <w:multiLevelType w:val="hybridMultilevel"/>
    <w:tmpl w:val="519638FA"/>
    <w:lvl w:ilvl="0" w:tplc="AC687E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F593542"/>
    <w:multiLevelType w:val="hybridMultilevel"/>
    <w:tmpl w:val="42668E66"/>
    <w:lvl w:ilvl="0" w:tplc="79EE246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35003DC"/>
    <w:multiLevelType w:val="hybridMultilevel"/>
    <w:tmpl w:val="EB96A140"/>
    <w:lvl w:ilvl="0" w:tplc="4D1A6B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C19"/>
    <w:rsid w:val="0000024B"/>
    <w:rsid w:val="00000745"/>
    <w:rsid w:val="00000DFE"/>
    <w:rsid w:val="00001C1B"/>
    <w:rsid w:val="00001CC6"/>
    <w:rsid w:val="0000287A"/>
    <w:rsid w:val="000028BD"/>
    <w:rsid w:val="000033C8"/>
    <w:rsid w:val="00003E73"/>
    <w:rsid w:val="00004C46"/>
    <w:rsid w:val="00005138"/>
    <w:rsid w:val="00005DDC"/>
    <w:rsid w:val="00005EF0"/>
    <w:rsid w:val="00006E21"/>
    <w:rsid w:val="00006F0C"/>
    <w:rsid w:val="00010092"/>
    <w:rsid w:val="000109C6"/>
    <w:rsid w:val="00010E69"/>
    <w:rsid w:val="000119E1"/>
    <w:rsid w:val="00011FC5"/>
    <w:rsid w:val="000124F7"/>
    <w:rsid w:val="000174B7"/>
    <w:rsid w:val="0002029B"/>
    <w:rsid w:val="00021C1E"/>
    <w:rsid w:val="00023314"/>
    <w:rsid w:val="00023406"/>
    <w:rsid w:val="00023559"/>
    <w:rsid w:val="000237E8"/>
    <w:rsid w:val="00023B66"/>
    <w:rsid w:val="000259CD"/>
    <w:rsid w:val="00025DBE"/>
    <w:rsid w:val="000267B1"/>
    <w:rsid w:val="00026DEE"/>
    <w:rsid w:val="00027C75"/>
    <w:rsid w:val="00027D13"/>
    <w:rsid w:val="00027D5A"/>
    <w:rsid w:val="0003055B"/>
    <w:rsid w:val="0003066A"/>
    <w:rsid w:val="0003143E"/>
    <w:rsid w:val="00032BDA"/>
    <w:rsid w:val="00032C57"/>
    <w:rsid w:val="000335A5"/>
    <w:rsid w:val="00033EAB"/>
    <w:rsid w:val="00033EE8"/>
    <w:rsid w:val="00034252"/>
    <w:rsid w:val="000344F6"/>
    <w:rsid w:val="0003642E"/>
    <w:rsid w:val="000366F2"/>
    <w:rsid w:val="00036EA3"/>
    <w:rsid w:val="00037E2A"/>
    <w:rsid w:val="00040CB8"/>
    <w:rsid w:val="00040F41"/>
    <w:rsid w:val="0004153E"/>
    <w:rsid w:val="000417B4"/>
    <w:rsid w:val="00041A39"/>
    <w:rsid w:val="000430F9"/>
    <w:rsid w:val="000438A2"/>
    <w:rsid w:val="00044144"/>
    <w:rsid w:val="000444CC"/>
    <w:rsid w:val="000456A9"/>
    <w:rsid w:val="00045C5B"/>
    <w:rsid w:val="0004610F"/>
    <w:rsid w:val="000461DC"/>
    <w:rsid w:val="00046494"/>
    <w:rsid w:val="00050618"/>
    <w:rsid w:val="000524BF"/>
    <w:rsid w:val="00052548"/>
    <w:rsid w:val="0005263F"/>
    <w:rsid w:val="000542F3"/>
    <w:rsid w:val="0005485D"/>
    <w:rsid w:val="000548F1"/>
    <w:rsid w:val="00054FBE"/>
    <w:rsid w:val="00055997"/>
    <w:rsid w:val="00056FB2"/>
    <w:rsid w:val="00057682"/>
    <w:rsid w:val="00057C10"/>
    <w:rsid w:val="00060297"/>
    <w:rsid w:val="00060975"/>
    <w:rsid w:val="00060C7F"/>
    <w:rsid w:val="000610A8"/>
    <w:rsid w:val="00061AE9"/>
    <w:rsid w:val="00061CC5"/>
    <w:rsid w:val="00062960"/>
    <w:rsid w:val="00065970"/>
    <w:rsid w:val="00065BCD"/>
    <w:rsid w:val="00065DDD"/>
    <w:rsid w:val="00065EE2"/>
    <w:rsid w:val="00067359"/>
    <w:rsid w:val="00070729"/>
    <w:rsid w:val="00070C86"/>
    <w:rsid w:val="000710D5"/>
    <w:rsid w:val="00071129"/>
    <w:rsid w:val="0007129D"/>
    <w:rsid w:val="00071684"/>
    <w:rsid w:val="000716CE"/>
    <w:rsid w:val="00071A37"/>
    <w:rsid w:val="00076C94"/>
    <w:rsid w:val="00081456"/>
    <w:rsid w:val="0008159E"/>
    <w:rsid w:val="00081CEE"/>
    <w:rsid w:val="00081ECF"/>
    <w:rsid w:val="00082CFD"/>
    <w:rsid w:val="00083ACB"/>
    <w:rsid w:val="00084025"/>
    <w:rsid w:val="000843A1"/>
    <w:rsid w:val="00084E4B"/>
    <w:rsid w:val="0008522C"/>
    <w:rsid w:val="0008534F"/>
    <w:rsid w:val="0008585C"/>
    <w:rsid w:val="0008627F"/>
    <w:rsid w:val="00086A5F"/>
    <w:rsid w:val="00086B51"/>
    <w:rsid w:val="000871DF"/>
    <w:rsid w:val="00087228"/>
    <w:rsid w:val="000876F5"/>
    <w:rsid w:val="00090FFC"/>
    <w:rsid w:val="0009120C"/>
    <w:rsid w:val="000914B8"/>
    <w:rsid w:val="0009152D"/>
    <w:rsid w:val="00091652"/>
    <w:rsid w:val="00092BC2"/>
    <w:rsid w:val="00093C50"/>
    <w:rsid w:val="00094667"/>
    <w:rsid w:val="00094AB7"/>
    <w:rsid w:val="00094CF4"/>
    <w:rsid w:val="00094E95"/>
    <w:rsid w:val="0009505A"/>
    <w:rsid w:val="0009512A"/>
    <w:rsid w:val="00095C63"/>
    <w:rsid w:val="00095DC2"/>
    <w:rsid w:val="00096393"/>
    <w:rsid w:val="000966EC"/>
    <w:rsid w:val="000966F8"/>
    <w:rsid w:val="000976A1"/>
    <w:rsid w:val="00097727"/>
    <w:rsid w:val="000A1CA1"/>
    <w:rsid w:val="000A1D58"/>
    <w:rsid w:val="000A1E20"/>
    <w:rsid w:val="000A241D"/>
    <w:rsid w:val="000A2724"/>
    <w:rsid w:val="000A2F08"/>
    <w:rsid w:val="000A373B"/>
    <w:rsid w:val="000A3C37"/>
    <w:rsid w:val="000A3E00"/>
    <w:rsid w:val="000A45F8"/>
    <w:rsid w:val="000A4756"/>
    <w:rsid w:val="000A4D49"/>
    <w:rsid w:val="000A66AC"/>
    <w:rsid w:val="000A68D3"/>
    <w:rsid w:val="000A6F77"/>
    <w:rsid w:val="000A79A3"/>
    <w:rsid w:val="000B085D"/>
    <w:rsid w:val="000B1326"/>
    <w:rsid w:val="000B166A"/>
    <w:rsid w:val="000B1F27"/>
    <w:rsid w:val="000B2608"/>
    <w:rsid w:val="000B262F"/>
    <w:rsid w:val="000B30B8"/>
    <w:rsid w:val="000B30CC"/>
    <w:rsid w:val="000B3262"/>
    <w:rsid w:val="000B3595"/>
    <w:rsid w:val="000B3B90"/>
    <w:rsid w:val="000B4728"/>
    <w:rsid w:val="000B4B74"/>
    <w:rsid w:val="000B5E49"/>
    <w:rsid w:val="000B7113"/>
    <w:rsid w:val="000B7244"/>
    <w:rsid w:val="000B7369"/>
    <w:rsid w:val="000B785A"/>
    <w:rsid w:val="000B7A65"/>
    <w:rsid w:val="000C01F6"/>
    <w:rsid w:val="000C0433"/>
    <w:rsid w:val="000C0A70"/>
    <w:rsid w:val="000C0FFB"/>
    <w:rsid w:val="000C1169"/>
    <w:rsid w:val="000C15DD"/>
    <w:rsid w:val="000C27E8"/>
    <w:rsid w:val="000C2D99"/>
    <w:rsid w:val="000C3AD7"/>
    <w:rsid w:val="000C3F2E"/>
    <w:rsid w:val="000C424E"/>
    <w:rsid w:val="000C49A3"/>
    <w:rsid w:val="000C4A40"/>
    <w:rsid w:val="000C4F3F"/>
    <w:rsid w:val="000C4FC2"/>
    <w:rsid w:val="000C5923"/>
    <w:rsid w:val="000C5927"/>
    <w:rsid w:val="000C5CBF"/>
    <w:rsid w:val="000C5F21"/>
    <w:rsid w:val="000C608F"/>
    <w:rsid w:val="000C646F"/>
    <w:rsid w:val="000C7796"/>
    <w:rsid w:val="000C79C2"/>
    <w:rsid w:val="000D0704"/>
    <w:rsid w:val="000D0AE4"/>
    <w:rsid w:val="000D17A9"/>
    <w:rsid w:val="000D1A9F"/>
    <w:rsid w:val="000D31B1"/>
    <w:rsid w:val="000D3D5F"/>
    <w:rsid w:val="000D4454"/>
    <w:rsid w:val="000D521A"/>
    <w:rsid w:val="000D5738"/>
    <w:rsid w:val="000D5C8D"/>
    <w:rsid w:val="000E053F"/>
    <w:rsid w:val="000E071E"/>
    <w:rsid w:val="000E0FE2"/>
    <w:rsid w:val="000E1D17"/>
    <w:rsid w:val="000E256E"/>
    <w:rsid w:val="000E2EE5"/>
    <w:rsid w:val="000E3894"/>
    <w:rsid w:val="000E390D"/>
    <w:rsid w:val="000E55D6"/>
    <w:rsid w:val="000E5695"/>
    <w:rsid w:val="000E5B39"/>
    <w:rsid w:val="000E64CC"/>
    <w:rsid w:val="000E68D8"/>
    <w:rsid w:val="000E6B83"/>
    <w:rsid w:val="000E7641"/>
    <w:rsid w:val="000F087A"/>
    <w:rsid w:val="000F14CC"/>
    <w:rsid w:val="000F1F20"/>
    <w:rsid w:val="000F2821"/>
    <w:rsid w:val="000F3F16"/>
    <w:rsid w:val="000F4987"/>
    <w:rsid w:val="000F4A8A"/>
    <w:rsid w:val="000F5515"/>
    <w:rsid w:val="000F7376"/>
    <w:rsid w:val="0010028B"/>
    <w:rsid w:val="00100810"/>
    <w:rsid w:val="00100843"/>
    <w:rsid w:val="00101DBE"/>
    <w:rsid w:val="00102784"/>
    <w:rsid w:val="001033D9"/>
    <w:rsid w:val="001037C1"/>
    <w:rsid w:val="00103E04"/>
    <w:rsid w:val="001052E7"/>
    <w:rsid w:val="001062C3"/>
    <w:rsid w:val="001064CB"/>
    <w:rsid w:val="00106894"/>
    <w:rsid w:val="00106964"/>
    <w:rsid w:val="00110E35"/>
    <w:rsid w:val="00113209"/>
    <w:rsid w:val="001136C0"/>
    <w:rsid w:val="00113C22"/>
    <w:rsid w:val="00113CEA"/>
    <w:rsid w:val="001148FB"/>
    <w:rsid w:val="00115142"/>
    <w:rsid w:val="00116147"/>
    <w:rsid w:val="001202B3"/>
    <w:rsid w:val="001209B0"/>
    <w:rsid w:val="001213B6"/>
    <w:rsid w:val="00121AEA"/>
    <w:rsid w:val="00121FC0"/>
    <w:rsid w:val="00122056"/>
    <w:rsid w:val="001222CA"/>
    <w:rsid w:val="00122887"/>
    <w:rsid w:val="00123033"/>
    <w:rsid w:val="001234E3"/>
    <w:rsid w:val="00123656"/>
    <w:rsid w:val="00123BB5"/>
    <w:rsid w:val="00123D5C"/>
    <w:rsid w:val="0012532B"/>
    <w:rsid w:val="00125805"/>
    <w:rsid w:val="00125C1C"/>
    <w:rsid w:val="00125E4A"/>
    <w:rsid w:val="0012619D"/>
    <w:rsid w:val="00126729"/>
    <w:rsid w:val="00126A5E"/>
    <w:rsid w:val="00130076"/>
    <w:rsid w:val="00130690"/>
    <w:rsid w:val="0013133F"/>
    <w:rsid w:val="00131995"/>
    <w:rsid w:val="00131E28"/>
    <w:rsid w:val="00132821"/>
    <w:rsid w:val="00132B8A"/>
    <w:rsid w:val="00132D45"/>
    <w:rsid w:val="00132E2D"/>
    <w:rsid w:val="00133136"/>
    <w:rsid w:val="001338DC"/>
    <w:rsid w:val="00133DDF"/>
    <w:rsid w:val="00134280"/>
    <w:rsid w:val="001351A5"/>
    <w:rsid w:val="00135435"/>
    <w:rsid w:val="00136603"/>
    <w:rsid w:val="00140259"/>
    <w:rsid w:val="00140717"/>
    <w:rsid w:val="00142509"/>
    <w:rsid w:val="001427E6"/>
    <w:rsid w:val="0014348F"/>
    <w:rsid w:val="00144651"/>
    <w:rsid w:val="001446AB"/>
    <w:rsid w:val="00144963"/>
    <w:rsid w:val="00144B5C"/>
    <w:rsid w:val="00144CF5"/>
    <w:rsid w:val="00145D96"/>
    <w:rsid w:val="00146DF0"/>
    <w:rsid w:val="00147B01"/>
    <w:rsid w:val="0015074D"/>
    <w:rsid w:val="00151491"/>
    <w:rsid w:val="0015214B"/>
    <w:rsid w:val="00152500"/>
    <w:rsid w:val="001526D7"/>
    <w:rsid w:val="001527A5"/>
    <w:rsid w:val="00152E85"/>
    <w:rsid w:val="0015352B"/>
    <w:rsid w:val="0015387A"/>
    <w:rsid w:val="001544BB"/>
    <w:rsid w:val="00155558"/>
    <w:rsid w:val="001558B9"/>
    <w:rsid w:val="00155AF6"/>
    <w:rsid w:val="001565A9"/>
    <w:rsid w:val="00161679"/>
    <w:rsid w:val="001617A7"/>
    <w:rsid w:val="00161875"/>
    <w:rsid w:val="00161ACB"/>
    <w:rsid w:val="00161F95"/>
    <w:rsid w:val="00162B5B"/>
    <w:rsid w:val="00162F83"/>
    <w:rsid w:val="00163135"/>
    <w:rsid w:val="0016351B"/>
    <w:rsid w:val="00163D29"/>
    <w:rsid w:val="00163E0E"/>
    <w:rsid w:val="00163E9D"/>
    <w:rsid w:val="00163F02"/>
    <w:rsid w:val="0016580B"/>
    <w:rsid w:val="0017122F"/>
    <w:rsid w:val="001719CC"/>
    <w:rsid w:val="001723C4"/>
    <w:rsid w:val="001731AF"/>
    <w:rsid w:val="0017375A"/>
    <w:rsid w:val="00174041"/>
    <w:rsid w:val="001746F7"/>
    <w:rsid w:val="00174A2E"/>
    <w:rsid w:val="00174E7D"/>
    <w:rsid w:val="001755B1"/>
    <w:rsid w:val="0017646A"/>
    <w:rsid w:val="00176CBB"/>
    <w:rsid w:val="00177A72"/>
    <w:rsid w:val="00177CFC"/>
    <w:rsid w:val="001810E5"/>
    <w:rsid w:val="0018124A"/>
    <w:rsid w:val="0018235D"/>
    <w:rsid w:val="00182940"/>
    <w:rsid w:val="0018313C"/>
    <w:rsid w:val="001857C8"/>
    <w:rsid w:val="00185BBB"/>
    <w:rsid w:val="00187129"/>
    <w:rsid w:val="00187478"/>
    <w:rsid w:val="00187BEC"/>
    <w:rsid w:val="001916DA"/>
    <w:rsid w:val="00191B3B"/>
    <w:rsid w:val="00192F76"/>
    <w:rsid w:val="00192FBF"/>
    <w:rsid w:val="00195652"/>
    <w:rsid w:val="00195871"/>
    <w:rsid w:val="00197D28"/>
    <w:rsid w:val="00197EEC"/>
    <w:rsid w:val="001A0280"/>
    <w:rsid w:val="001A0895"/>
    <w:rsid w:val="001A0BD9"/>
    <w:rsid w:val="001A0F0F"/>
    <w:rsid w:val="001A0FB8"/>
    <w:rsid w:val="001A12D5"/>
    <w:rsid w:val="001A13B8"/>
    <w:rsid w:val="001A2B90"/>
    <w:rsid w:val="001A3195"/>
    <w:rsid w:val="001A40CA"/>
    <w:rsid w:val="001A4E14"/>
    <w:rsid w:val="001A4E87"/>
    <w:rsid w:val="001A50B9"/>
    <w:rsid w:val="001A63BD"/>
    <w:rsid w:val="001A6BC5"/>
    <w:rsid w:val="001A6F18"/>
    <w:rsid w:val="001A7364"/>
    <w:rsid w:val="001B0B31"/>
    <w:rsid w:val="001B1B12"/>
    <w:rsid w:val="001B2DB0"/>
    <w:rsid w:val="001B30D7"/>
    <w:rsid w:val="001B3C68"/>
    <w:rsid w:val="001B3D07"/>
    <w:rsid w:val="001B4211"/>
    <w:rsid w:val="001B4263"/>
    <w:rsid w:val="001B49F4"/>
    <w:rsid w:val="001B6D7F"/>
    <w:rsid w:val="001C03CC"/>
    <w:rsid w:val="001C0EB0"/>
    <w:rsid w:val="001C0EB1"/>
    <w:rsid w:val="001C2C15"/>
    <w:rsid w:val="001C4267"/>
    <w:rsid w:val="001C4501"/>
    <w:rsid w:val="001C457B"/>
    <w:rsid w:val="001C4807"/>
    <w:rsid w:val="001C6C59"/>
    <w:rsid w:val="001C6EEE"/>
    <w:rsid w:val="001C6F76"/>
    <w:rsid w:val="001C7C87"/>
    <w:rsid w:val="001D00FB"/>
    <w:rsid w:val="001D076C"/>
    <w:rsid w:val="001D2174"/>
    <w:rsid w:val="001D2D94"/>
    <w:rsid w:val="001D3A71"/>
    <w:rsid w:val="001D3D16"/>
    <w:rsid w:val="001D3E38"/>
    <w:rsid w:val="001D5F0B"/>
    <w:rsid w:val="001D760D"/>
    <w:rsid w:val="001D7FBE"/>
    <w:rsid w:val="001E0C81"/>
    <w:rsid w:val="001E20E6"/>
    <w:rsid w:val="001E23D0"/>
    <w:rsid w:val="001E3CCA"/>
    <w:rsid w:val="001E4DDF"/>
    <w:rsid w:val="001E4FEA"/>
    <w:rsid w:val="001E71D7"/>
    <w:rsid w:val="001F06EF"/>
    <w:rsid w:val="001F3ECA"/>
    <w:rsid w:val="001F43B5"/>
    <w:rsid w:val="001F5402"/>
    <w:rsid w:val="001F7275"/>
    <w:rsid w:val="001F7867"/>
    <w:rsid w:val="001F7920"/>
    <w:rsid w:val="001F79F8"/>
    <w:rsid w:val="001F7C91"/>
    <w:rsid w:val="001F7D22"/>
    <w:rsid w:val="002001C0"/>
    <w:rsid w:val="00200B70"/>
    <w:rsid w:val="00200C76"/>
    <w:rsid w:val="0020135F"/>
    <w:rsid w:val="00202064"/>
    <w:rsid w:val="00202F1D"/>
    <w:rsid w:val="00203540"/>
    <w:rsid w:val="00203804"/>
    <w:rsid w:val="00203DC5"/>
    <w:rsid w:val="00204955"/>
    <w:rsid w:val="002056A4"/>
    <w:rsid w:val="0020647E"/>
    <w:rsid w:val="00207342"/>
    <w:rsid w:val="00207383"/>
    <w:rsid w:val="00210999"/>
    <w:rsid w:val="00211674"/>
    <w:rsid w:val="00211C63"/>
    <w:rsid w:val="00212364"/>
    <w:rsid w:val="00212BA8"/>
    <w:rsid w:val="00212BD4"/>
    <w:rsid w:val="00212BD5"/>
    <w:rsid w:val="00213155"/>
    <w:rsid w:val="00215879"/>
    <w:rsid w:val="00215AAA"/>
    <w:rsid w:val="00215B4F"/>
    <w:rsid w:val="00215FD9"/>
    <w:rsid w:val="002163F8"/>
    <w:rsid w:val="002169D3"/>
    <w:rsid w:val="00216E7D"/>
    <w:rsid w:val="00216F0F"/>
    <w:rsid w:val="00217248"/>
    <w:rsid w:val="002177AD"/>
    <w:rsid w:val="00220213"/>
    <w:rsid w:val="002206E7"/>
    <w:rsid w:val="00220774"/>
    <w:rsid w:val="00221430"/>
    <w:rsid w:val="00221B70"/>
    <w:rsid w:val="0022214E"/>
    <w:rsid w:val="00222323"/>
    <w:rsid w:val="00222681"/>
    <w:rsid w:val="00223748"/>
    <w:rsid w:val="00224D86"/>
    <w:rsid w:val="00224F4F"/>
    <w:rsid w:val="00226759"/>
    <w:rsid w:val="00227D6D"/>
    <w:rsid w:val="0023037F"/>
    <w:rsid w:val="00230EB3"/>
    <w:rsid w:val="00231289"/>
    <w:rsid w:val="002312A4"/>
    <w:rsid w:val="00231796"/>
    <w:rsid w:val="002319F5"/>
    <w:rsid w:val="00231E81"/>
    <w:rsid w:val="00231E9F"/>
    <w:rsid w:val="0023223D"/>
    <w:rsid w:val="002322A5"/>
    <w:rsid w:val="00233088"/>
    <w:rsid w:val="00234419"/>
    <w:rsid w:val="00235BF3"/>
    <w:rsid w:val="00236130"/>
    <w:rsid w:val="002364D9"/>
    <w:rsid w:val="0023658B"/>
    <w:rsid w:val="002365EB"/>
    <w:rsid w:val="0023669B"/>
    <w:rsid w:val="00236B31"/>
    <w:rsid w:val="00237203"/>
    <w:rsid w:val="002372CE"/>
    <w:rsid w:val="00237C45"/>
    <w:rsid w:val="0024029B"/>
    <w:rsid w:val="00240612"/>
    <w:rsid w:val="00240B2A"/>
    <w:rsid w:val="0024137F"/>
    <w:rsid w:val="00241A62"/>
    <w:rsid w:val="00241EC4"/>
    <w:rsid w:val="00241F49"/>
    <w:rsid w:val="002420AB"/>
    <w:rsid w:val="0024248F"/>
    <w:rsid w:val="002426D4"/>
    <w:rsid w:val="002426DF"/>
    <w:rsid w:val="00242A9F"/>
    <w:rsid w:val="002436DA"/>
    <w:rsid w:val="00243A32"/>
    <w:rsid w:val="00244257"/>
    <w:rsid w:val="00244B90"/>
    <w:rsid w:val="0024514D"/>
    <w:rsid w:val="00245EF4"/>
    <w:rsid w:val="00245FF7"/>
    <w:rsid w:val="00246243"/>
    <w:rsid w:val="00246A71"/>
    <w:rsid w:val="002479C1"/>
    <w:rsid w:val="00250A5E"/>
    <w:rsid w:val="00250A7F"/>
    <w:rsid w:val="00250ED1"/>
    <w:rsid w:val="00251A6F"/>
    <w:rsid w:val="00251CB8"/>
    <w:rsid w:val="00252681"/>
    <w:rsid w:val="0025376B"/>
    <w:rsid w:val="00253B46"/>
    <w:rsid w:val="002564B0"/>
    <w:rsid w:val="002568F4"/>
    <w:rsid w:val="00256F2E"/>
    <w:rsid w:val="00257991"/>
    <w:rsid w:val="002600E6"/>
    <w:rsid w:val="00261CFE"/>
    <w:rsid w:val="00262833"/>
    <w:rsid w:val="0026398D"/>
    <w:rsid w:val="002649FA"/>
    <w:rsid w:val="00264BBF"/>
    <w:rsid w:val="002653CC"/>
    <w:rsid w:val="0026684B"/>
    <w:rsid w:val="00266DF5"/>
    <w:rsid w:val="00266E03"/>
    <w:rsid w:val="00267241"/>
    <w:rsid w:val="002672F5"/>
    <w:rsid w:val="002679D4"/>
    <w:rsid w:val="00270D72"/>
    <w:rsid w:val="00270FB6"/>
    <w:rsid w:val="002712AD"/>
    <w:rsid w:val="00272184"/>
    <w:rsid w:val="002728B5"/>
    <w:rsid w:val="00272944"/>
    <w:rsid w:val="00273079"/>
    <w:rsid w:val="002730D8"/>
    <w:rsid w:val="002736E9"/>
    <w:rsid w:val="00273E39"/>
    <w:rsid w:val="00273E82"/>
    <w:rsid w:val="0027509E"/>
    <w:rsid w:val="00276593"/>
    <w:rsid w:val="00276BED"/>
    <w:rsid w:val="00280075"/>
    <w:rsid w:val="00283C47"/>
    <w:rsid w:val="00284DD3"/>
    <w:rsid w:val="00285720"/>
    <w:rsid w:val="00286225"/>
    <w:rsid w:val="00286402"/>
    <w:rsid w:val="00286CFD"/>
    <w:rsid w:val="002872EA"/>
    <w:rsid w:val="0029025C"/>
    <w:rsid w:val="002903FE"/>
    <w:rsid w:val="00290671"/>
    <w:rsid w:val="00291453"/>
    <w:rsid w:val="00291B09"/>
    <w:rsid w:val="00291C48"/>
    <w:rsid w:val="0029270F"/>
    <w:rsid w:val="002931D1"/>
    <w:rsid w:val="00294E65"/>
    <w:rsid w:val="002967C8"/>
    <w:rsid w:val="00296C34"/>
    <w:rsid w:val="00296FC3"/>
    <w:rsid w:val="00297731"/>
    <w:rsid w:val="002A0CC0"/>
    <w:rsid w:val="002A1069"/>
    <w:rsid w:val="002A1C49"/>
    <w:rsid w:val="002A1D9F"/>
    <w:rsid w:val="002A24FD"/>
    <w:rsid w:val="002A2888"/>
    <w:rsid w:val="002A437A"/>
    <w:rsid w:val="002A4E7B"/>
    <w:rsid w:val="002A524F"/>
    <w:rsid w:val="002A53B3"/>
    <w:rsid w:val="002A5F2B"/>
    <w:rsid w:val="002A70B0"/>
    <w:rsid w:val="002A7695"/>
    <w:rsid w:val="002A76EC"/>
    <w:rsid w:val="002A7D3F"/>
    <w:rsid w:val="002B00D5"/>
    <w:rsid w:val="002B0551"/>
    <w:rsid w:val="002B05AB"/>
    <w:rsid w:val="002B079A"/>
    <w:rsid w:val="002B0B8E"/>
    <w:rsid w:val="002B0ED2"/>
    <w:rsid w:val="002B20B7"/>
    <w:rsid w:val="002B2A78"/>
    <w:rsid w:val="002B31F4"/>
    <w:rsid w:val="002B36B7"/>
    <w:rsid w:val="002B4F30"/>
    <w:rsid w:val="002B4FE2"/>
    <w:rsid w:val="002B5271"/>
    <w:rsid w:val="002B57E7"/>
    <w:rsid w:val="002B666F"/>
    <w:rsid w:val="002B6871"/>
    <w:rsid w:val="002B6A52"/>
    <w:rsid w:val="002B713A"/>
    <w:rsid w:val="002B71B7"/>
    <w:rsid w:val="002B720C"/>
    <w:rsid w:val="002B72A7"/>
    <w:rsid w:val="002B7370"/>
    <w:rsid w:val="002B764D"/>
    <w:rsid w:val="002C0007"/>
    <w:rsid w:val="002C04F6"/>
    <w:rsid w:val="002C0AA5"/>
    <w:rsid w:val="002C1020"/>
    <w:rsid w:val="002C1376"/>
    <w:rsid w:val="002C3F3C"/>
    <w:rsid w:val="002C5386"/>
    <w:rsid w:val="002C5636"/>
    <w:rsid w:val="002C578E"/>
    <w:rsid w:val="002C5A83"/>
    <w:rsid w:val="002C5EAB"/>
    <w:rsid w:val="002C6073"/>
    <w:rsid w:val="002C62CE"/>
    <w:rsid w:val="002C6B37"/>
    <w:rsid w:val="002D0EC7"/>
    <w:rsid w:val="002D1D5C"/>
    <w:rsid w:val="002D1FC3"/>
    <w:rsid w:val="002D2F5B"/>
    <w:rsid w:val="002D2FA2"/>
    <w:rsid w:val="002D682A"/>
    <w:rsid w:val="002D7584"/>
    <w:rsid w:val="002E0693"/>
    <w:rsid w:val="002E0C81"/>
    <w:rsid w:val="002E0F08"/>
    <w:rsid w:val="002E1415"/>
    <w:rsid w:val="002E2256"/>
    <w:rsid w:val="002E2365"/>
    <w:rsid w:val="002E3DD2"/>
    <w:rsid w:val="002E4CD9"/>
    <w:rsid w:val="002E652D"/>
    <w:rsid w:val="002E7272"/>
    <w:rsid w:val="002F039F"/>
    <w:rsid w:val="002F07F7"/>
    <w:rsid w:val="002F24C1"/>
    <w:rsid w:val="002F24DF"/>
    <w:rsid w:val="002F405C"/>
    <w:rsid w:val="002F5973"/>
    <w:rsid w:val="002F6242"/>
    <w:rsid w:val="002F6359"/>
    <w:rsid w:val="002F691B"/>
    <w:rsid w:val="002F7438"/>
    <w:rsid w:val="00300648"/>
    <w:rsid w:val="00300A33"/>
    <w:rsid w:val="00301961"/>
    <w:rsid w:val="00301DA8"/>
    <w:rsid w:val="0030343E"/>
    <w:rsid w:val="003047DD"/>
    <w:rsid w:val="003053B3"/>
    <w:rsid w:val="003100A5"/>
    <w:rsid w:val="003129C7"/>
    <w:rsid w:val="00312D47"/>
    <w:rsid w:val="00312F46"/>
    <w:rsid w:val="0031301E"/>
    <w:rsid w:val="0031317D"/>
    <w:rsid w:val="00313B89"/>
    <w:rsid w:val="00314D9B"/>
    <w:rsid w:val="003155FA"/>
    <w:rsid w:val="003161ED"/>
    <w:rsid w:val="003164EC"/>
    <w:rsid w:val="003165AE"/>
    <w:rsid w:val="00316691"/>
    <w:rsid w:val="00317992"/>
    <w:rsid w:val="00317A79"/>
    <w:rsid w:val="00321802"/>
    <w:rsid w:val="00321BCE"/>
    <w:rsid w:val="00321DA3"/>
    <w:rsid w:val="00321E63"/>
    <w:rsid w:val="003223DB"/>
    <w:rsid w:val="003237E8"/>
    <w:rsid w:val="00323D24"/>
    <w:rsid w:val="003249C6"/>
    <w:rsid w:val="00324BCB"/>
    <w:rsid w:val="00324CB6"/>
    <w:rsid w:val="003258BF"/>
    <w:rsid w:val="003265BA"/>
    <w:rsid w:val="00327B32"/>
    <w:rsid w:val="00330E4E"/>
    <w:rsid w:val="0033117F"/>
    <w:rsid w:val="00332548"/>
    <w:rsid w:val="00332C24"/>
    <w:rsid w:val="00334027"/>
    <w:rsid w:val="003343B1"/>
    <w:rsid w:val="003350CF"/>
    <w:rsid w:val="00335411"/>
    <w:rsid w:val="00336B01"/>
    <w:rsid w:val="003417C8"/>
    <w:rsid w:val="00341B27"/>
    <w:rsid w:val="00342244"/>
    <w:rsid w:val="00343D87"/>
    <w:rsid w:val="003461D9"/>
    <w:rsid w:val="0034634C"/>
    <w:rsid w:val="00346683"/>
    <w:rsid w:val="00347B87"/>
    <w:rsid w:val="00347BA3"/>
    <w:rsid w:val="00347E06"/>
    <w:rsid w:val="00347EBE"/>
    <w:rsid w:val="00350A6E"/>
    <w:rsid w:val="00350E73"/>
    <w:rsid w:val="00351C4C"/>
    <w:rsid w:val="003528FC"/>
    <w:rsid w:val="00353D97"/>
    <w:rsid w:val="00355008"/>
    <w:rsid w:val="00355125"/>
    <w:rsid w:val="0035557A"/>
    <w:rsid w:val="00355C3D"/>
    <w:rsid w:val="00355DD1"/>
    <w:rsid w:val="00356D41"/>
    <w:rsid w:val="0035760A"/>
    <w:rsid w:val="00360932"/>
    <w:rsid w:val="0036181D"/>
    <w:rsid w:val="003618A8"/>
    <w:rsid w:val="0036335A"/>
    <w:rsid w:val="00363693"/>
    <w:rsid w:val="00364FB9"/>
    <w:rsid w:val="003650C9"/>
    <w:rsid w:val="003665C4"/>
    <w:rsid w:val="00367FEB"/>
    <w:rsid w:val="00370B77"/>
    <w:rsid w:val="003717A2"/>
    <w:rsid w:val="00371B28"/>
    <w:rsid w:val="0037269D"/>
    <w:rsid w:val="00373596"/>
    <w:rsid w:val="00373702"/>
    <w:rsid w:val="003738DF"/>
    <w:rsid w:val="00374803"/>
    <w:rsid w:val="003757FF"/>
    <w:rsid w:val="00375A95"/>
    <w:rsid w:val="003763FB"/>
    <w:rsid w:val="00377311"/>
    <w:rsid w:val="003777C1"/>
    <w:rsid w:val="00380250"/>
    <w:rsid w:val="00380C0D"/>
    <w:rsid w:val="00380CA3"/>
    <w:rsid w:val="00381F09"/>
    <w:rsid w:val="00382382"/>
    <w:rsid w:val="00383055"/>
    <w:rsid w:val="003832D1"/>
    <w:rsid w:val="00383417"/>
    <w:rsid w:val="00383DCA"/>
    <w:rsid w:val="0038508D"/>
    <w:rsid w:val="00385177"/>
    <w:rsid w:val="00385BD8"/>
    <w:rsid w:val="00386F55"/>
    <w:rsid w:val="00387072"/>
    <w:rsid w:val="0038764C"/>
    <w:rsid w:val="003878FA"/>
    <w:rsid w:val="00387FD2"/>
    <w:rsid w:val="003900F4"/>
    <w:rsid w:val="00392A98"/>
    <w:rsid w:val="00393086"/>
    <w:rsid w:val="003942B0"/>
    <w:rsid w:val="0039458E"/>
    <w:rsid w:val="00394E80"/>
    <w:rsid w:val="00395181"/>
    <w:rsid w:val="00395669"/>
    <w:rsid w:val="00396D07"/>
    <w:rsid w:val="00397B9F"/>
    <w:rsid w:val="003A056D"/>
    <w:rsid w:val="003A1B6C"/>
    <w:rsid w:val="003A21BD"/>
    <w:rsid w:val="003A2B33"/>
    <w:rsid w:val="003A317A"/>
    <w:rsid w:val="003A3283"/>
    <w:rsid w:val="003A3F05"/>
    <w:rsid w:val="003A68C4"/>
    <w:rsid w:val="003A6E03"/>
    <w:rsid w:val="003A7065"/>
    <w:rsid w:val="003A72DC"/>
    <w:rsid w:val="003B00A1"/>
    <w:rsid w:val="003B0C2A"/>
    <w:rsid w:val="003B1758"/>
    <w:rsid w:val="003B3D71"/>
    <w:rsid w:val="003B5278"/>
    <w:rsid w:val="003B59C0"/>
    <w:rsid w:val="003B5D1A"/>
    <w:rsid w:val="003B613A"/>
    <w:rsid w:val="003B686C"/>
    <w:rsid w:val="003B7305"/>
    <w:rsid w:val="003B77B8"/>
    <w:rsid w:val="003B792D"/>
    <w:rsid w:val="003B7E88"/>
    <w:rsid w:val="003C013D"/>
    <w:rsid w:val="003C1A43"/>
    <w:rsid w:val="003C1D4E"/>
    <w:rsid w:val="003C1F3A"/>
    <w:rsid w:val="003C2550"/>
    <w:rsid w:val="003C2A22"/>
    <w:rsid w:val="003C2D10"/>
    <w:rsid w:val="003C3E22"/>
    <w:rsid w:val="003C511F"/>
    <w:rsid w:val="003C5255"/>
    <w:rsid w:val="003C5506"/>
    <w:rsid w:val="003C6D2B"/>
    <w:rsid w:val="003C7AF3"/>
    <w:rsid w:val="003C7C82"/>
    <w:rsid w:val="003D0E5A"/>
    <w:rsid w:val="003D0F12"/>
    <w:rsid w:val="003D151E"/>
    <w:rsid w:val="003D15B5"/>
    <w:rsid w:val="003D1B6E"/>
    <w:rsid w:val="003D3885"/>
    <w:rsid w:val="003D4EB7"/>
    <w:rsid w:val="003D692F"/>
    <w:rsid w:val="003D7052"/>
    <w:rsid w:val="003E13C3"/>
    <w:rsid w:val="003E19CE"/>
    <w:rsid w:val="003E1CFA"/>
    <w:rsid w:val="003E1F2E"/>
    <w:rsid w:val="003E2745"/>
    <w:rsid w:val="003E3638"/>
    <w:rsid w:val="003E46A4"/>
    <w:rsid w:val="003E681A"/>
    <w:rsid w:val="003E7226"/>
    <w:rsid w:val="003E79EC"/>
    <w:rsid w:val="003F05D3"/>
    <w:rsid w:val="003F0AD6"/>
    <w:rsid w:val="003F0BC3"/>
    <w:rsid w:val="003F2B2C"/>
    <w:rsid w:val="003F2FA3"/>
    <w:rsid w:val="003F37D0"/>
    <w:rsid w:val="003F412E"/>
    <w:rsid w:val="003F4154"/>
    <w:rsid w:val="003F465F"/>
    <w:rsid w:val="003F4BD3"/>
    <w:rsid w:val="003F509A"/>
    <w:rsid w:val="003F6085"/>
    <w:rsid w:val="003F7494"/>
    <w:rsid w:val="004015B6"/>
    <w:rsid w:val="00401CC1"/>
    <w:rsid w:val="00402252"/>
    <w:rsid w:val="00402B91"/>
    <w:rsid w:val="00403FED"/>
    <w:rsid w:val="00404B9E"/>
    <w:rsid w:val="00404D2C"/>
    <w:rsid w:val="004052B1"/>
    <w:rsid w:val="00405798"/>
    <w:rsid w:val="004057BF"/>
    <w:rsid w:val="00405A85"/>
    <w:rsid w:val="0040654F"/>
    <w:rsid w:val="00406966"/>
    <w:rsid w:val="004076A0"/>
    <w:rsid w:val="004117BC"/>
    <w:rsid w:val="00411836"/>
    <w:rsid w:val="004120D4"/>
    <w:rsid w:val="00412763"/>
    <w:rsid w:val="00412A46"/>
    <w:rsid w:val="00414B11"/>
    <w:rsid w:val="00416133"/>
    <w:rsid w:val="0041662F"/>
    <w:rsid w:val="004200FC"/>
    <w:rsid w:val="00420E10"/>
    <w:rsid w:val="00421D0A"/>
    <w:rsid w:val="004225E7"/>
    <w:rsid w:val="004227BC"/>
    <w:rsid w:val="00425044"/>
    <w:rsid w:val="004255C9"/>
    <w:rsid w:val="004255F4"/>
    <w:rsid w:val="004258A0"/>
    <w:rsid w:val="004259EB"/>
    <w:rsid w:val="00426570"/>
    <w:rsid w:val="004265CD"/>
    <w:rsid w:val="00426B96"/>
    <w:rsid w:val="00427258"/>
    <w:rsid w:val="00427A4D"/>
    <w:rsid w:val="004312AD"/>
    <w:rsid w:val="004314C2"/>
    <w:rsid w:val="00431769"/>
    <w:rsid w:val="00431B5E"/>
    <w:rsid w:val="00433129"/>
    <w:rsid w:val="004344EE"/>
    <w:rsid w:val="0043695B"/>
    <w:rsid w:val="00436B84"/>
    <w:rsid w:val="004373C7"/>
    <w:rsid w:val="00437D2C"/>
    <w:rsid w:val="00441F24"/>
    <w:rsid w:val="00442097"/>
    <w:rsid w:val="004426AA"/>
    <w:rsid w:val="0044345C"/>
    <w:rsid w:val="004441B3"/>
    <w:rsid w:val="00444901"/>
    <w:rsid w:val="00444B0F"/>
    <w:rsid w:val="00445114"/>
    <w:rsid w:val="00446DFB"/>
    <w:rsid w:val="0044766E"/>
    <w:rsid w:val="004477D4"/>
    <w:rsid w:val="004500AC"/>
    <w:rsid w:val="004504DD"/>
    <w:rsid w:val="00451F31"/>
    <w:rsid w:val="0045239D"/>
    <w:rsid w:val="00452B06"/>
    <w:rsid w:val="00453329"/>
    <w:rsid w:val="0045442C"/>
    <w:rsid w:val="00454E73"/>
    <w:rsid w:val="00455DA7"/>
    <w:rsid w:val="00456BE1"/>
    <w:rsid w:val="0046013C"/>
    <w:rsid w:val="004606FD"/>
    <w:rsid w:val="004607E8"/>
    <w:rsid w:val="00460A18"/>
    <w:rsid w:val="0046171F"/>
    <w:rsid w:val="0046239F"/>
    <w:rsid w:val="00462C6E"/>
    <w:rsid w:val="004630A3"/>
    <w:rsid w:val="0046321D"/>
    <w:rsid w:val="0046340D"/>
    <w:rsid w:val="004640CD"/>
    <w:rsid w:val="00465908"/>
    <w:rsid w:val="00465AB3"/>
    <w:rsid w:val="00465B71"/>
    <w:rsid w:val="004663A1"/>
    <w:rsid w:val="004669C7"/>
    <w:rsid w:val="004679EE"/>
    <w:rsid w:val="00467F47"/>
    <w:rsid w:val="00467F93"/>
    <w:rsid w:val="00470043"/>
    <w:rsid w:val="0047083E"/>
    <w:rsid w:val="00471CE2"/>
    <w:rsid w:val="00472047"/>
    <w:rsid w:val="00472790"/>
    <w:rsid w:val="004727FF"/>
    <w:rsid w:val="0047281C"/>
    <w:rsid w:val="00473205"/>
    <w:rsid w:val="00473FFB"/>
    <w:rsid w:val="0047410B"/>
    <w:rsid w:val="00474286"/>
    <w:rsid w:val="00474766"/>
    <w:rsid w:val="004748F0"/>
    <w:rsid w:val="00475664"/>
    <w:rsid w:val="0047710C"/>
    <w:rsid w:val="00477627"/>
    <w:rsid w:val="00480607"/>
    <w:rsid w:val="00480806"/>
    <w:rsid w:val="00482934"/>
    <w:rsid w:val="00483260"/>
    <w:rsid w:val="0048368A"/>
    <w:rsid w:val="0048370C"/>
    <w:rsid w:val="004849B3"/>
    <w:rsid w:val="0048548D"/>
    <w:rsid w:val="0048562E"/>
    <w:rsid w:val="00487996"/>
    <w:rsid w:val="00487CAF"/>
    <w:rsid w:val="00491849"/>
    <w:rsid w:val="0049238E"/>
    <w:rsid w:val="00493B38"/>
    <w:rsid w:val="0049609B"/>
    <w:rsid w:val="004963B7"/>
    <w:rsid w:val="00497A27"/>
    <w:rsid w:val="004A0618"/>
    <w:rsid w:val="004A34E4"/>
    <w:rsid w:val="004A3BB6"/>
    <w:rsid w:val="004A5B82"/>
    <w:rsid w:val="004A681D"/>
    <w:rsid w:val="004A6A10"/>
    <w:rsid w:val="004A7DF4"/>
    <w:rsid w:val="004A7E28"/>
    <w:rsid w:val="004B0953"/>
    <w:rsid w:val="004B1316"/>
    <w:rsid w:val="004B1930"/>
    <w:rsid w:val="004B217C"/>
    <w:rsid w:val="004B29EF"/>
    <w:rsid w:val="004B333B"/>
    <w:rsid w:val="004B37C0"/>
    <w:rsid w:val="004B37F1"/>
    <w:rsid w:val="004B3C20"/>
    <w:rsid w:val="004B4014"/>
    <w:rsid w:val="004B41AC"/>
    <w:rsid w:val="004B432B"/>
    <w:rsid w:val="004B43A7"/>
    <w:rsid w:val="004B4423"/>
    <w:rsid w:val="004B4757"/>
    <w:rsid w:val="004B4E49"/>
    <w:rsid w:val="004B5A59"/>
    <w:rsid w:val="004B5AEF"/>
    <w:rsid w:val="004B5EA9"/>
    <w:rsid w:val="004B6320"/>
    <w:rsid w:val="004B70E5"/>
    <w:rsid w:val="004B782C"/>
    <w:rsid w:val="004B784B"/>
    <w:rsid w:val="004B7FF7"/>
    <w:rsid w:val="004C02AD"/>
    <w:rsid w:val="004C0303"/>
    <w:rsid w:val="004C0365"/>
    <w:rsid w:val="004C06FA"/>
    <w:rsid w:val="004C12FD"/>
    <w:rsid w:val="004C1433"/>
    <w:rsid w:val="004C156B"/>
    <w:rsid w:val="004C1F21"/>
    <w:rsid w:val="004C1F65"/>
    <w:rsid w:val="004C308D"/>
    <w:rsid w:val="004C42FC"/>
    <w:rsid w:val="004C449C"/>
    <w:rsid w:val="004C7E3B"/>
    <w:rsid w:val="004C7E43"/>
    <w:rsid w:val="004D07FD"/>
    <w:rsid w:val="004D0F07"/>
    <w:rsid w:val="004D15A5"/>
    <w:rsid w:val="004D2F5D"/>
    <w:rsid w:val="004D332A"/>
    <w:rsid w:val="004D4899"/>
    <w:rsid w:val="004D49E3"/>
    <w:rsid w:val="004D4AAD"/>
    <w:rsid w:val="004D4D4C"/>
    <w:rsid w:val="004D517E"/>
    <w:rsid w:val="004D57F8"/>
    <w:rsid w:val="004D5A4A"/>
    <w:rsid w:val="004D5AB6"/>
    <w:rsid w:val="004D63D7"/>
    <w:rsid w:val="004D6A4A"/>
    <w:rsid w:val="004D7DDA"/>
    <w:rsid w:val="004E005D"/>
    <w:rsid w:val="004E0C81"/>
    <w:rsid w:val="004E0FE7"/>
    <w:rsid w:val="004E16C1"/>
    <w:rsid w:val="004E29B7"/>
    <w:rsid w:val="004E2CDB"/>
    <w:rsid w:val="004E3344"/>
    <w:rsid w:val="004E35C5"/>
    <w:rsid w:val="004E3E7B"/>
    <w:rsid w:val="004E4D67"/>
    <w:rsid w:val="004E63CA"/>
    <w:rsid w:val="004E661A"/>
    <w:rsid w:val="004E6743"/>
    <w:rsid w:val="004E7ABD"/>
    <w:rsid w:val="004E7CE7"/>
    <w:rsid w:val="004F0FA4"/>
    <w:rsid w:val="004F1C35"/>
    <w:rsid w:val="004F2139"/>
    <w:rsid w:val="004F2355"/>
    <w:rsid w:val="004F2B75"/>
    <w:rsid w:val="004F2C59"/>
    <w:rsid w:val="004F32E8"/>
    <w:rsid w:val="004F3370"/>
    <w:rsid w:val="004F3487"/>
    <w:rsid w:val="004F3489"/>
    <w:rsid w:val="004F3B47"/>
    <w:rsid w:val="004F42BF"/>
    <w:rsid w:val="004F4340"/>
    <w:rsid w:val="004F50BC"/>
    <w:rsid w:val="004F60B6"/>
    <w:rsid w:val="004F670C"/>
    <w:rsid w:val="004F67AA"/>
    <w:rsid w:val="004F6D8A"/>
    <w:rsid w:val="004F7F3E"/>
    <w:rsid w:val="00500C57"/>
    <w:rsid w:val="00500D4E"/>
    <w:rsid w:val="0050102B"/>
    <w:rsid w:val="00501E83"/>
    <w:rsid w:val="00501FF6"/>
    <w:rsid w:val="005020ED"/>
    <w:rsid w:val="00503269"/>
    <w:rsid w:val="005045EE"/>
    <w:rsid w:val="00505197"/>
    <w:rsid w:val="005051E2"/>
    <w:rsid w:val="00505333"/>
    <w:rsid w:val="00506296"/>
    <w:rsid w:val="00506A1E"/>
    <w:rsid w:val="00506AC6"/>
    <w:rsid w:val="00506F9C"/>
    <w:rsid w:val="0050755C"/>
    <w:rsid w:val="00507C16"/>
    <w:rsid w:val="0051015E"/>
    <w:rsid w:val="00511651"/>
    <w:rsid w:val="00512FB2"/>
    <w:rsid w:val="00513A82"/>
    <w:rsid w:val="00514692"/>
    <w:rsid w:val="00514A0D"/>
    <w:rsid w:val="00514CDF"/>
    <w:rsid w:val="005151BF"/>
    <w:rsid w:val="005161F1"/>
    <w:rsid w:val="00516BAC"/>
    <w:rsid w:val="00521061"/>
    <w:rsid w:val="005218DF"/>
    <w:rsid w:val="00521ADF"/>
    <w:rsid w:val="00521D01"/>
    <w:rsid w:val="00521EE5"/>
    <w:rsid w:val="005223B9"/>
    <w:rsid w:val="00522E92"/>
    <w:rsid w:val="00524455"/>
    <w:rsid w:val="00524D62"/>
    <w:rsid w:val="00524E7B"/>
    <w:rsid w:val="005251BC"/>
    <w:rsid w:val="00525699"/>
    <w:rsid w:val="00525CFA"/>
    <w:rsid w:val="0052626E"/>
    <w:rsid w:val="00526331"/>
    <w:rsid w:val="005266F0"/>
    <w:rsid w:val="00526AB3"/>
    <w:rsid w:val="00526AB9"/>
    <w:rsid w:val="00527473"/>
    <w:rsid w:val="00527823"/>
    <w:rsid w:val="00530BE9"/>
    <w:rsid w:val="00530FC4"/>
    <w:rsid w:val="005312AC"/>
    <w:rsid w:val="0053192C"/>
    <w:rsid w:val="00532133"/>
    <w:rsid w:val="00532254"/>
    <w:rsid w:val="0053236C"/>
    <w:rsid w:val="00532997"/>
    <w:rsid w:val="00535E10"/>
    <w:rsid w:val="005360EB"/>
    <w:rsid w:val="00536284"/>
    <w:rsid w:val="005375F9"/>
    <w:rsid w:val="00537EB3"/>
    <w:rsid w:val="00540431"/>
    <w:rsid w:val="00540524"/>
    <w:rsid w:val="005406AB"/>
    <w:rsid w:val="00540B07"/>
    <w:rsid w:val="005417A3"/>
    <w:rsid w:val="00541C3B"/>
    <w:rsid w:val="005425F0"/>
    <w:rsid w:val="00542723"/>
    <w:rsid w:val="005427C0"/>
    <w:rsid w:val="00543A18"/>
    <w:rsid w:val="00543C37"/>
    <w:rsid w:val="00544653"/>
    <w:rsid w:val="005448D0"/>
    <w:rsid w:val="00544AE5"/>
    <w:rsid w:val="00546716"/>
    <w:rsid w:val="00546D5E"/>
    <w:rsid w:val="00547162"/>
    <w:rsid w:val="00547A57"/>
    <w:rsid w:val="005503FA"/>
    <w:rsid w:val="00550A61"/>
    <w:rsid w:val="00550CDC"/>
    <w:rsid w:val="00550F35"/>
    <w:rsid w:val="00551BE7"/>
    <w:rsid w:val="005522B5"/>
    <w:rsid w:val="00552355"/>
    <w:rsid w:val="005525F7"/>
    <w:rsid w:val="00553288"/>
    <w:rsid w:val="00554268"/>
    <w:rsid w:val="00555BDD"/>
    <w:rsid w:val="00555D0C"/>
    <w:rsid w:val="00555EE7"/>
    <w:rsid w:val="00557BA2"/>
    <w:rsid w:val="00562287"/>
    <w:rsid w:val="00563F25"/>
    <w:rsid w:val="00565A7B"/>
    <w:rsid w:val="005669EF"/>
    <w:rsid w:val="00566B3C"/>
    <w:rsid w:val="00567129"/>
    <w:rsid w:val="00567156"/>
    <w:rsid w:val="00567207"/>
    <w:rsid w:val="00570E30"/>
    <w:rsid w:val="00570E93"/>
    <w:rsid w:val="00572277"/>
    <w:rsid w:val="0057265D"/>
    <w:rsid w:val="005738AD"/>
    <w:rsid w:val="0057536E"/>
    <w:rsid w:val="005753F2"/>
    <w:rsid w:val="0057545B"/>
    <w:rsid w:val="0057557B"/>
    <w:rsid w:val="00575C2D"/>
    <w:rsid w:val="00576243"/>
    <w:rsid w:val="00576B4E"/>
    <w:rsid w:val="005775B9"/>
    <w:rsid w:val="0058153A"/>
    <w:rsid w:val="00582093"/>
    <w:rsid w:val="0058220F"/>
    <w:rsid w:val="00582C75"/>
    <w:rsid w:val="00583FED"/>
    <w:rsid w:val="00584593"/>
    <w:rsid w:val="00584F14"/>
    <w:rsid w:val="0058502E"/>
    <w:rsid w:val="0058712E"/>
    <w:rsid w:val="00587603"/>
    <w:rsid w:val="00587A5C"/>
    <w:rsid w:val="00590870"/>
    <w:rsid w:val="005909DA"/>
    <w:rsid w:val="00590B10"/>
    <w:rsid w:val="00591104"/>
    <w:rsid w:val="0059150D"/>
    <w:rsid w:val="00591622"/>
    <w:rsid w:val="005916E3"/>
    <w:rsid w:val="00592F82"/>
    <w:rsid w:val="005933AF"/>
    <w:rsid w:val="005934D6"/>
    <w:rsid w:val="005935BC"/>
    <w:rsid w:val="005939CA"/>
    <w:rsid w:val="00593F43"/>
    <w:rsid w:val="005941E1"/>
    <w:rsid w:val="0059422A"/>
    <w:rsid w:val="00594A7C"/>
    <w:rsid w:val="005955AC"/>
    <w:rsid w:val="005967D0"/>
    <w:rsid w:val="005973FD"/>
    <w:rsid w:val="00597563"/>
    <w:rsid w:val="00597618"/>
    <w:rsid w:val="005A03E1"/>
    <w:rsid w:val="005A0688"/>
    <w:rsid w:val="005A1210"/>
    <w:rsid w:val="005A2601"/>
    <w:rsid w:val="005A2746"/>
    <w:rsid w:val="005A2B96"/>
    <w:rsid w:val="005A2D14"/>
    <w:rsid w:val="005A3559"/>
    <w:rsid w:val="005A37DE"/>
    <w:rsid w:val="005A4621"/>
    <w:rsid w:val="005A534D"/>
    <w:rsid w:val="005A5641"/>
    <w:rsid w:val="005A5EFE"/>
    <w:rsid w:val="005A6179"/>
    <w:rsid w:val="005A62BC"/>
    <w:rsid w:val="005B0274"/>
    <w:rsid w:val="005B3FFA"/>
    <w:rsid w:val="005B61C6"/>
    <w:rsid w:val="005B6AA7"/>
    <w:rsid w:val="005C1F84"/>
    <w:rsid w:val="005C2B1E"/>
    <w:rsid w:val="005C4184"/>
    <w:rsid w:val="005C71ED"/>
    <w:rsid w:val="005C7EAF"/>
    <w:rsid w:val="005D0427"/>
    <w:rsid w:val="005D068D"/>
    <w:rsid w:val="005D2858"/>
    <w:rsid w:val="005D2EFE"/>
    <w:rsid w:val="005D3132"/>
    <w:rsid w:val="005D3B07"/>
    <w:rsid w:val="005D4D74"/>
    <w:rsid w:val="005D50CF"/>
    <w:rsid w:val="005D6126"/>
    <w:rsid w:val="005D63DD"/>
    <w:rsid w:val="005E0480"/>
    <w:rsid w:val="005E20A3"/>
    <w:rsid w:val="005E20B3"/>
    <w:rsid w:val="005E36CC"/>
    <w:rsid w:val="005E55A5"/>
    <w:rsid w:val="005E6DA1"/>
    <w:rsid w:val="005E7935"/>
    <w:rsid w:val="005E7BBC"/>
    <w:rsid w:val="005F13F6"/>
    <w:rsid w:val="005F22BF"/>
    <w:rsid w:val="005F2C47"/>
    <w:rsid w:val="005F32AD"/>
    <w:rsid w:val="005F3CDA"/>
    <w:rsid w:val="005F422F"/>
    <w:rsid w:val="005F51F5"/>
    <w:rsid w:val="005F52A8"/>
    <w:rsid w:val="005F62E2"/>
    <w:rsid w:val="005F66C9"/>
    <w:rsid w:val="005F6BD3"/>
    <w:rsid w:val="005F7380"/>
    <w:rsid w:val="005F790A"/>
    <w:rsid w:val="00600012"/>
    <w:rsid w:val="00601CCF"/>
    <w:rsid w:val="00602071"/>
    <w:rsid w:val="00602E67"/>
    <w:rsid w:val="00604353"/>
    <w:rsid w:val="00604A5A"/>
    <w:rsid w:val="0060518C"/>
    <w:rsid w:val="00607B19"/>
    <w:rsid w:val="00607F07"/>
    <w:rsid w:val="006102E3"/>
    <w:rsid w:val="006103E2"/>
    <w:rsid w:val="00610571"/>
    <w:rsid w:val="00611193"/>
    <w:rsid w:val="0061155D"/>
    <w:rsid w:val="00611D9A"/>
    <w:rsid w:val="00611F29"/>
    <w:rsid w:val="0061274E"/>
    <w:rsid w:val="006129D5"/>
    <w:rsid w:val="006137ED"/>
    <w:rsid w:val="00615474"/>
    <w:rsid w:val="00615A36"/>
    <w:rsid w:val="00616BB2"/>
    <w:rsid w:val="0062192C"/>
    <w:rsid w:val="00621EBE"/>
    <w:rsid w:val="00621FF2"/>
    <w:rsid w:val="0062365F"/>
    <w:rsid w:val="00623814"/>
    <w:rsid w:val="00627CFD"/>
    <w:rsid w:val="006300CE"/>
    <w:rsid w:val="006305E2"/>
    <w:rsid w:val="00630A24"/>
    <w:rsid w:val="00634157"/>
    <w:rsid w:val="0063451A"/>
    <w:rsid w:val="00634D8F"/>
    <w:rsid w:val="00635423"/>
    <w:rsid w:val="00635D43"/>
    <w:rsid w:val="00637046"/>
    <w:rsid w:val="00637060"/>
    <w:rsid w:val="006374EA"/>
    <w:rsid w:val="00637A27"/>
    <w:rsid w:val="00637D43"/>
    <w:rsid w:val="00640535"/>
    <w:rsid w:val="00640938"/>
    <w:rsid w:val="00640BF9"/>
    <w:rsid w:val="0064111A"/>
    <w:rsid w:val="00641310"/>
    <w:rsid w:val="00641A0B"/>
    <w:rsid w:val="00641F64"/>
    <w:rsid w:val="0064214A"/>
    <w:rsid w:val="006421EE"/>
    <w:rsid w:val="00642B77"/>
    <w:rsid w:val="006446CB"/>
    <w:rsid w:val="00645060"/>
    <w:rsid w:val="00645646"/>
    <w:rsid w:val="0064731A"/>
    <w:rsid w:val="00647FA5"/>
    <w:rsid w:val="00650D10"/>
    <w:rsid w:val="00650E0B"/>
    <w:rsid w:val="006511E3"/>
    <w:rsid w:val="0065294F"/>
    <w:rsid w:val="00652F87"/>
    <w:rsid w:val="0065500D"/>
    <w:rsid w:val="006556EF"/>
    <w:rsid w:val="00656039"/>
    <w:rsid w:val="006560BF"/>
    <w:rsid w:val="00656210"/>
    <w:rsid w:val="00656B4D"/>
    <w:rsid w:val="006570B6"/>
    <w:rsid w:val="006570DC"/>
    <w:rsid w:val="0065714F"/>
    <w:rsid w:val="00657F59"/>
    <w:rsid w:val="0066064E"/>
    <w:rsid w:val="00660CE2"/>
    <w:rsid w:val="006616D5"/>
    <w:rsid w:val="00662072"/>
    <w:rsid w:val="006629DC"/>
    <w:rsid w:val="006642F4"/>
    <w:rsid w:val="00665447"/>
    <w:rsid w:val="00665553"/>
    <w:rsid w:val="00666282"/>
    <w:rsid w:val="00667F3C"/>
    <w:rsid w:val="0067026F"/>
    <w:rsid w:val="006707C1"/>
    <w:rsid w:val="00671CF4"/>
    <w:rsid w:val="006723E8"/>
    <w:rsid w:val="0067259A"/>
    <w:rsid w:val="00672693"/>
    <w:rsid w:val="00673758"/>
    <w:rsid w:val="0067426F"/>
    <w:rsid w:val="00675D28"/>
    <w:rsid w:val="00677A31"/>
    <w:rsid w:val="00680B55"/>
    <w:rsid w:val="00681D1F"/>
    <w:rsid w:val="006822A7"/>
    <w:rsid w:val="006832F0"/>
    <w:rsid w:val="006837A1"/>
    <w:rsid w:val="00683998"/>
    <w:rsid w:val="006849DC"/>
    <w:rsid w:val="00684AF0"/>
    <w:rsid w:val="0068697F"/>
    <w:rsid w:val="00687233"/>
    <w:rsid w:val="00687D72"/>
    <w:rsid w:val="00690FB6"/>
    <w:rsid w:val="006912A2"/>
    <w:rsid w:val="00692F33"/>
    <w:rsid w:val="006935D4"/>
    <w:rsid w:val="006944FA"/>
    <w:rsid w:val="00694652"/>
    <w:rsid w:val="00694FAA"/>
    <w:rsid w:val="00695992"/>
    <w:rsid w:val="006962E7"/>
    <w:rsid w:val="006A022E"/>
    <w:rsid w:val="006A119C"/>
    <w:rsid w:val="006A129F"/>
    <w:rsid w:val="006A25FB"/>
    <w:rsid w:val="006A3960"/>
    <w:rsid w:val="006A40D4"/>
    <w:rsid w:val="006A4D08"/>
    <w:rsid w:val="006A50E1"/>
    <w:rsid w:val="006A563A"/>
    <w:rsid w:val="006A66BA"/>
    <w:rsid w:val="006A711E"/>
    <w:rsid w:val="006B0D48"/>
    <w:rsid w:val="006B13EC"/>
    <w:rsid w:val="006B14CE"/>
    <w:rsid w:val="006B1602"/>
    <w:rsid w:val="006B1BED"/>
    <w:rsid w:val="006B1F7B"/>
    <w:rsid w:val="006B43EB"/>
    <w:rsid w:val="006B46AB"/>
    <w:rsid w:val="006B5B48"/>
    <w:rsid w:val="006B5C13"/>
    <w:rsid w:val="006B6C6C"/>
    <w:rsid w:val="006B706D"/>
    <w:rsid w:val="006B7A19"/>
    <w:rsid w:val="006B7E2D"/>
    <w:rsid w:val="006C03A8"/>
    <w:rsid w:val="006C079C"/>
    <w:rsid w:val="006C16BD"/>
    <w:rsid w:val="006C2102"/>
    <w:rsid w:val="006C2213"/>
    <w:rsid w:val="006C2E44"/>
    <w:rsid w:val="006C2EE6"/>
    <w:rsid w:val="006C3F98"/>
    <w:rsid w:val="006C5115"/>
    <w:rsid w:val="006C561E"/>
    <w:rsid w:val="006C5DBB"/>
    <w:rsid w:val="006C69E7"/>
    <w:rsid w:val="006C74D8"/>
    <w:rsid w:val="006D1209"/>
    <w:rsid w:val="006D12A9"/>
    <w:rsid w:val="006D1400"/>
    <w:rsid w:val="006D3CCB"/>
    <w:rsid w:val="006D413C"/>
    <w:rsid w:val="006D4259"/>
    <w:rsid w:val="006D4302"/>
    <w:rsid w:val="006D4435"/>
    <w:rsid w:val="006D45A5"/>
    <w:rsid w:val="006D4958"/>
    <w:rsid w:val="006D5F62"/>
    <w:rsid w:val="006D61B6"/>
    <w:rsid w:val="006D67F2"/>
    <w:rsid w:val="006E0622"/>
    <w:rsid w:val="006E1F16"/>
    <w:rsid w:val="006E2ABF"/>
    <w:rsid w:val="006E3982"/>
    <w:rsid w:val="006E4988"/>
    <w:rsid w:val="006E52DF"/>
    <w:rsid w:val="006E5422"/>
    <w:rsid w:val="006E5B79"/>
    <w:rsid w:val="006E6A4D"/>
    <w:rsid w:val="006E6B5A"/>
    <w:rsid w:val="006E74B1"/>
    <w:rsid w:val="006E7570"/>
    <w:rsid w:val="006E75D1"/>
    <w:rsid w:val="006E7A40"/>
    <w:rsid w:val="006E7B07"/>
    <w:rsid w:val="006F06D5"/>
    <w:rsid w:val="006F0755"/>
    <w:rsid w:val="006F1025"/>
    <w:rsid w:val="006F1A33"/>
    <w:rsid w:val="006F2547"/>
    <w:rsid w:val="006F262D"/>
    <w:rsid w:val="006F306E"/>
    <w:rsid w:val="006F3599"/>
    <w:rsid w:val="006F3E26"/>
    <w:rsid w:val="006F3EAB"/>
    <w:rsid w:val="006F4211"/>
    <w:rsid w:val="006F69E5"/>
    <w:rsid w:val="006F6A97"/>
    <w:rsid w:val="006F6CF1"/>
    <w:rsid w:val="006F7970"/>
    <w:rsid w:val="0070005E"/>
    <w:rsid w:val="00700357"/>
    <w:rsid w:val="007004AC"/>
    <w:rsid w:val="00700565"/>
    <w:rsid w:val="00700B10"/>
    <w:rsid w:val="00701B8E"/>
    <w:rsid w:val="00701F92"/>
    <w:rsid w:val="00702508"/>
    <w:rsid w:val="007036B6"/>
    <w:rsid w:val="00703BBF"/>
    <w:rsid w:val="00703D10"/>
    <w:rsid w:val="00703FD2"/>
    <w:rsid w:val="00705E5A"/>
    <w:rsid w:val="007065EA"/>
    <w:rsid w:val="00707504"/>
    <w:rsid w:val="00707E9A"/>
    <w:rsid w:val="007110C3"/>
    <w:rsid w:val="00711112"/>
    <w:rsid w:val="00711E14"/>
    <w:rsid w:val="00712A59"/>
    <w:rsid w:val="00712AE5"/>
    <w:rsid w:val="00713A4E"/>
    <w:rsid w:val="00713D63"/>
    <w:rsid w:val="0071446B"/>
    <w:rsid w:val="00714E85"/>
    <w:rsid w:val="007162FD"/>
    <w:rsid w:val="007169E6"/>
    <w:rsid w:val="007173EF"/>
    <w:rsid w:val="00717758"/>
    <w:rsid w:val="00717B98"/>
    <w:rsid w:val="00720ADE"/>
    <w:rsid w:val="00721202"/>
    <w:rsid w:val="00721237"/>
    <w:rsid w:val="007214B6"/>
    <w:rsid w:val="007216A4"/>
    <w:rsid w:val="00721CFC"/>
    <w:rsid w:val="007226B3"/>
    <w:rsid w:val="00723BBC"/>
    <w:rsid w:val="00724C92"/>
    <w:rsid w:val="007255B9"/>
    <w:rsid w:val="00726C2C"/>
    <w:rsid w:val="0073061A"/>
    <w:rsid w:val="00730924"/>
    <w:rsid w:val="007309FD"/>
    <w:rsid w:val="007319E8"/>
    <w:rsid w:val="00731C85"/>
    <w:rsid w:val="00732B21"/>
    <w:rsid w:val="00733592"/>
    <w:rsid w:val="00733745"/>
    <w:rsid w:val="00734895"/>
    <w:rsid w:val="00734C48"/>
    <w:rsid w:val="00734FB1"/>
    <w:rsid w:val="007359D3"/>
    <w:rsid w:val="00736151"/>
    <w:rsid w:val="00736E01"/>
    <w:rsid w:val="00737052"/>
    <w:rsid w:val="00737715"/>
    <w:rsid w:val="00737CBD"/>
    <w:rsid w:val="0074080E"/>
    <w:rsid w:val="007409C6"/>
    <w:rsid w:val="00740E53"/>
    <w:rsid w:val="0074256D"/>
    <w:rsid w:val="00742668"/>
    <w:rsid w:val="00742C48"/>
    <w:rsid w:val="007446A3"/>
    <w:rsid w:val="007454D9"/>
    <w:rsid w:val="00745B5C"/>
    <w:rsid w:val="00745E73"/>
    <w:rsid w:val="0074723B"/>
    <w:rsid w:val="0074768C"/>
    <w:rsid w:val="00747AE7"/>
    <w:rsid w:val="0075200B"/>
    <w:rsid w:val="007522E5"/>
    <w:rsid w:val="0075247A"/>
    <w:rsid w:val="0075308C"/>
    <w:rsid w:val="00753E8A"/>
    <w:rsid w:val="00754168"/>
    <w:rsid w:val="007543DA"/>
    <w:rsid w:val="00755494"/>
    <w:rsid w:val="0075659E"/>
    <w:rsid w:val="007566DE"/>
    <w:rsid w:val="00756C38"/>
    <w:rsid w:val="00760316"/>
    <w:rsid w:val="00761293"/>
    <w:rsid w:val="00761476"/>
    <w:rsid w:val="0076269E"/>
    <w:rsid w:val="0076338C"/>
    <w:rsid w:val="00764297"/>
    <w:rsid w:val="0076453C"/>
    <w:rsid w:val="00764EE7"/>
    <w:rsid w:val="00764FBD"/>
    <w:rsid w:val="00765462"/>
    <w:rsid w:val="00766AE1"/>
    <w:rsid w:val="00767173"/>
    <w:rsid w:val="007671E4"/>
    <w:rsid w:val="00767FB9"/>
    <w:rsid w:val="007702F9"/>
    <w:rsid w:val="00770BEA"/>
    <w:rsid w:val="007717D7"/>
    <w:rsid w:val="00771B0E"/>
    <w:rsid w:val="007721B6"/>
    <w:rsid w:val="007727E5"/>
    <w:rsid w:val="00772CC8"/>
    <w:rsid w:val="007739F8"/>
    <w:rsid w:val="007743AF"/>
    <w:rsid w:val="00776CF9"/>
    <w:rsid w:val="00777F69"/>
    <w:rsid w:val="00777F71"/>
    <w:rsid w:val="0078276B"/>
    <w:rsid w:val="0078396E"/>
    <w:rsid w:val="00783A71"/>
    <w:rsid w:val="00784414"/>
    <w:rsid w:val="007850A9"/>
    <w:rsid w:val="00785243"/>
    <w:rsid w:val="0078548F"/>
    <w:rsid w:val="00786A9B"/>
    <w:rsid w:val="00786F8B"/>
    <w:rsid w:val="00787A1A"/>
    <w:rsid w:val="00790461"/>
    <w:rsid w:val="007917DF"/>
    <w:rsid w:val="007920A4"/>
    <w:rsid w:val="00793CD3"/>
    <w:rsid w:val="00795070"/>
    <w:rsid w:val="007955D8"/>
    <w:rsid w:val="00795C08"/>
    <w:rsid w:val="00795DBE"/>
    <w:rsid w:val="00795FAF"/>
    <w:rsid w:val="0079689A"/>
    <w:rsid w:val="007968E2"/>
    <w:rsid w:val="00797406"/>
    <w:rsid w:val="007978EA"/>
    <w:rsid w:val="007A26C0"/>
    <w:rsid w:val="007A27CF"/>
    <w:rsid w:val="007A2C69"/>
    <w:rsid w:val="007A43E0"/>
    <w:rsid w:val="007A4679"/>
    <w:rsid w:val="007A4D93"/>
    <w:rsid w:val="007A51AE"/>
    <w:rsid w:val="007A5DFD"/>
    <w:rsid w:val="007A5FB3"/>
    <w:rsid w:val="007A759B"/>
    <w:rsid w:val="007A79D2"/>
    <w:rsid w:val="007B0265"/>
    <w:rsid w:val="007B0BFA"/>
    <w:rsid w:val="007B0C6E"/>
    <w:rsid w:val="007B21EA"/>
    <w:rsid w:val="007B6044"/>
    <w:rsid w:val="007B68E5"/>
    <w:rsid w:val="007B6CC3"/>
    <w:rsid w:val="007C0489"/>
    <w:rsid w:val="007C0C28"/>
    <w:rsid w:val="007C2002"/>
    <w:rsid w:val="007C2095"/>
    <w:rsid w:val="007C2873"/>
    <w:rsid w:val="007C29B1"/>
    <w:rsid w:val="007C2F05"/>
    <w:rsid w:val="007C3A64"/>
    <w:rsid w:val="007C4A54"/>
    <w:rsid w:val="007C4AF0"/>
    <w:rsid w:val="007C640F"/>
    <w:rsid w:val="007C77B4"/>
    <w:rsid w:val="007C7E4C"/>
    <w:rsid w:val="007D088C"/>
    <w:rsid w:val="007D0E80"/>
    <w:rsid w:val="007D1A10"/>
    <w:rsid w:val="007D1C86"/>
    <w:rsid w:val="007D4D83"/>
    <w:rsid w:val="007D5233"/>
    <w:rsid w:val="007D558C"/>
    <w:rsid w:val="007D55D6"/>
    <w:rsid w:val="007D598B"/>
    <w:rsid w:val="007D598F"/>
    <w:rsid w:val="007D5CF3"/>
    <w:rsid w:val="007D5F4E"/>
    <w:rsid w:val="007E0065"/>
    <w:rsid w:val="007E0534"/>
    <w:rsid w:val="007E07F5"/>
    <w:rsid w:val="007E0DD4"/>
    <w:rsid w:val="007E1570"/>
    <w:rsid w:val="007E15EF"/>
    <w:rsid w:val="007E2458"/>
    <w:rsid w:val="007E331B"/>
    <w:rsid w:val="007E38C1"/>
    <w:rsid w:val="007E38D8"/>
    <w:rsid w:val="007E7633"/>
    <w:rsid w:val="007E7710"/>
    <w:rsid w:val="007F0E1B"/>
    <w:rsid w:val="007F0E75"/>
    <w:rsid w:val="007F1C97"/>
    <w:rsid w:val="007F3077"/>
    <w:rsid w:val="007F3838"/>
    <w:rsid w:val="007F49E6"/>
    <w:rsid w:val="007F6812"/>
    <w:rsid w:val="007F6FF5"/>
    <w:rsid w:val="007F73AF"/>
    <w:rsid w:val="007F75BC"/>
    <w:rsid w:val="007F78FB"/>
    <w:rsid w:val="00800224"/>
    <w:rsid w:val="008021FC"/>
    <w:rsid w:val="008031ED"/>
    <w:rsid w:val="00804262"/>
    <w:rsid w:val="0080466B"/>
    <w:rsid w:val="00804792"/>
    <w:rsid w:val="008049F8"/>
    <w:rsid w:val="00806853"/>
    <w:rsid w:val="008074FE"/>
    <w:rsid w:val="008111E0"/>
    <w:rsid w:val="00811486"/>
    <w:rsid w:val="00811A5B"/>
    <w:rsid w:val="00811F93"/>
    <w:rsid w:val="00812A9C"/>
    <w:rsid w:val="008136D7"/>
    <w:rsid w:val="008140DB"/>
    <w:rsid w:val="008151F8"/>
    <w:rsid w:val="008153B0"/>
    <w:rsid w:val="00815626"/>
    <w:rsid w:val="00815734"/>
    <w:rsid w:val="00816213"/>
    <w:rsid w:val="00816243"/>
    <w:rsid w:val="008168A5"/>
    <w:rsid w:val="008208B6"/>
    <w:rsid w:val="008211D0"/>
    <w:rsid w:val="008217DE"/>
    <w:rsid w:val="00822629"/>
    <w:rsid w:val="00825446"/>
    <w:rsid w:val="00825615"/>
    <w:rsid w:val="00825B89"/>
    <w:rsid w:val="00826A5F"/>
    <w:rsid w:val="00826F75"/>
    <w:rsid w:val="008271D9"/>
    <w:rsid w:val="00827697"/>
    <w:rsid w:val="0082779D"/>
    <w:rsid w:val="0083192E"/>
    <w:rsid w:val="00831CF7"/>
    <w:rsid w:val="00832E18"/>
    <w:rsid w:val="0083303A"/>
    <w:rsid w:val="008331CF"/>
    <w:rsid w:val="00833452"/>
    <w:rsid w:val="0083582F"/>
    <w:rsid w:val="00836567"/>
    <w:rsid w:val="0083659F"/>
    <w:rsid w:val="00837764"/>
    <w:rsid w:val="00840248"/>
    <w:rsid w:val="00840354"/>
    <w:rsid w:val="00840C50"/>
    <w:rsid w:val="0084180C"/>
    <w:rsid w:val="00841B01"/>
    <w:rsid w:val="00841DDD"/>
    <w:rsid w:val="00842933"/>
    <w:rsid w:val="00842947"/>
    <w:rsid w:val="00844998"/>
    <w:rsid w:val="00846C5B"/>
    <w:rsid w:val="008473F6"/>
    <w:rsid w:val="0084780B"/>
    <w:rsid w:val="00850BD5"/>
    <w:rsid w:val="00850E8F"/>
    <w:rsid w:val="00851C9A"/>
    <w:rsid w:val="00852657"/>
    <w:rsid w:val="00852AA2"/>
    <w:rsid w:val="00852ABD"/>
    <w:rsid w:val="00852BE7"/>
    <w:rsid w:val="0085323B"/>
    <w:rsid w:val="00853962"/>
    <w:rsid w:val="008568F6"/>
    <w:rsid w:val="00857B3F"/>
    <w:rsid w:val="00862736"/>
    <w:rsid w:val="00862B66"/>
    <w:rsid w:val="00863425"/>
    <w:rsid w:val="00864339"/>
    <w:rsid w:val="00864D12"/>
    <w:rsid w:val="00865096"/>
    <w:rsid w:val="0086514B"/>
    <w:rsid w:val="00865FF4"/>
    <w:rsid w:val="00866381"/>
    <w:rsid w:val="00866C52"/>
    <w:rsid w:val="00867388"/>
    <w:rsid w:val="008675C8"/>
    <w:rsid w:val="00867BEF"/>
    <w:rsid w:val="00871082"/>
    <w:rsid w:val="008722ED"/>
    <w:rsid w:val="008722F5"/>
    <w:rsid w:val="00872A9F"/>
    <w:rsid w:val="00872F7C"/>
    <w:rsid w:val="00873079"/>
    <w:rsid w:val="00874BD2"/>
    <w:rsid w:val="00874BD5"/>
    <w:rsid w:val="008753E4"/>
    <w:rsid w:val="00875D18"/>
    <w:rsid w:val="00877CDA"/>
    <w:rsid w:val="008809F1"/>
    <w:rsid w:val="0088194E"/>
    <w:rsid w:val="00882010"/>
    <w:rsid w:val="00883384"/>
    <w:rsid w:val="00883FA8"/>
    <w:rsid w:val="00884348"/>
    <w:rsid w:val="00884C19"/>
    <w:rsid w:val="008850BA"/>
    <w:rsid w:val="00885332"/>
    <w:rsid w:val="00887045"/>
    <w:rsid w:val="00887376"/>
    <w:rsid w:val="0088799C"/>
    <w:rsid w:val="00887ADE"/>
    <w:rsid w:val="00890C56"/>
    <w:rsid w:val="00890E73"/>
    <w:rsid w:val="00891905"/>
    <w:rsid w:val="00891C48"/>
    <w:rsid w:val="008920AB"/>
    <w:rsid w:val="00892640"/>
    <w:rsid w:val="00892788"/>
    <w:rsid w:val="00892A7E"/>
    <w:rsid w:val="00893D54"/>
    <w:rsid w:val="00894F7F"/>
    <w:rsid w:val="008A11D5"/>
    <w:rsid w:val="008A263E"/>
    <w:rsid w:val="008A3863"/>
    <w:rsid w:val="008A42DF"/>
    <w:rsid w:val="008A442D"/>
    <w:rsid w:val="008A56BB"/>
    <w:rsid w:val="008A5A0E"/>
    <w:rsid w:val="008A5A32"/>
    <w:rsid w:val="008A6AE3"/>
    <w:rsid w:val="008A7202"/>
    <w:rsid w:val="008A7CD6"/>
    <w:rsid w:val="008A7F1D"/>
    <w:rsid w:val="008A7F6E"/>
    <w:rsid w:val="008B0660"/>
    <w:rsid w:val="008B0B3C"/>
    <w:rsid w:val="008B0D61"/>
    <w:rsid w:val="008B0F36"/>
    <w:rsid w:val="008B12A6"/>
    <w:rsid w:val="008B146C"/>
    <w:rsid w:val="008B172F"/>
    <w:rsid w:val="008B191E"/>
    <w:rsid w:val="008B1958"/>
    <w:rsid w:val="008B3BD8"/>
    <w:rsid w:val="008B3CC7"/>
    <w:rsid w:val="008B4C0A"/>
    <w:rsid w:val="008B4F9C"/>
    <w:rsid w:val="008B5E2C"/>
    <w:rsid w:val="008B6A54"/>
    <w:rsid w:val="008B70A0"/>
    <w:rsid w:val="008B79CF"/>
    <w:rsid w:val="008C09D8"/>
    <w:rsid w:val="008C1292"/>
    <w:rsid w:val="008C1302"/>
    <w:rsid w:val="008C14E3"/>
    <w:rsid w:val="008C2261"/>
    <w:rsid w:val="008C2860"/>
    <w:rsid w:val="008C2C1D"/>
    <w:rsid w:val="008C3011"/>
    <w:rsid w:val="008C41FC"/>
    <w:rsid w:val="008C55B0"/>
    <w:rsid w:val="008C69B6"/>
    <w:rsid w:val="008C7081"/>
    <w:rsid w:val="008D0A97"/>
    <w:rsid w:val="008D0AA0"/>
    <w:rsid w:val="008D1024"/>
    <w:rsid w:val="008D1520"/>
    <w:rsid w:val="008D18F3"/>
    <w:rsid w:val="008D1BEB"/>
    <w:rsid w:val="008D1F11"/>
    <w:rsid w:val="008D223E"/>
    <w:rsid w:val="008D2C03"/>
    <w:rsid w:val="008D37A6"/>
    <w:rsid w:val="008D45CD"/>
    <w:rsid w:val="008D5804"/>
    <w:rsid w:val="008E0801"/>
    <w:rsid w:val="008E1132"/>
    <w:rsid w:val="008E1372"/>
    <w:rsid w:val="008E15FD"/>
    <w:rsid w:val="008E16E1"/>
    <w:rsid w:val="008E1954"/>
    <w:rsid w:val="008E1AA0"/>
    <w:rsid w:val="008E2181"/>
    <w:rsid w:val="008E21B7"/>
    <w:rsid w:val="008E259F"/>
    <w:rsid w:val="008E25F0"/>
    <w:rsid w:val="008E2A86"/>
    <w:rsid w:val="008E2C9A"/>
    <w:rsid w:val="008E3A41"/>
    <w:rsid w:val="008E4103"/>
    <w:rsid w:val="008E43B5"/>
    <w:rsid w:val="008E4A9E"/>
    <w:rsid w:val="008E694D"/>
    <w:rsid w:val="008E6B9A"/>
    <w:rsid w:val="008E6F9A"/>
    <w:rsid w:val="008E7216"/>
    <w:rsid w:val="008E7536"/>
    <w:rsid w:val="008F021C"/>
    <w:rsid w:val="008F04B2"/>
    <w:rsid w:val="008F18E9"/>
    <w:rsid w:val="008F1C9D"/>
    <w:rsid w:val="008F22FA"/>
    <w:rsid w:val="008F26BC"/>
    <w:rsid w:val="008F2A38"/>
    <w:rsid w:val="008F404D"/>
    <w:rsid w:val="008F465F"/>
    <w:rsid w:val="008F4ED3"/>
    <w:rsid w:val="008F5D13"/>
    <w:rsid w:val="008F5D74"/>
    <w:rsid w:val="008F5E28"/>
    <w:rsid w:val="008F71FF"/>
    <w:rsid w:val="009004D1"/>
    <w:rsid w:val="00900756"/>
    <w:rsid w:val="00900B6B"/>
    <w:rsid w:val="00901502"/>
    <w:rsid w:val="0090263E"/>
    <w:rsid w:val="009043FD"/>
    <w:rsid w:val="00904A5C"/>
    <w:rsid w:val="0090593C"/>
    <w:rsid w:val="0090599B"/>
    <w:rsid w:val="009071F2"/>
    <w:rsid w:val="009072B7"/>
    <w:rsid w:val="00907989"/>
    <w:rsid w:val="00907BD5"/>
    <w:rsid w:val="00907BFA"/>
    <w:rsid w:val="0091014B"/>
    <w:rsid w:val="00910537"/>
    <w:rsid w:val="00910B3F"/>
    <w:rsid w:val="009121CD"/>
    <w:rsid w:val="009121D9"/>
    <w:rsid w:val="00912D16"/>
    <w:rsid w:val="00913566"/>
    <w:rsid w:val="00915E60"/>
    <w:rsid w:val="00916170"/>
    <w:rsid w:val="00916179"/>
    <w:rsid w:val="00917732"/>
    <w:rsid w:val="00917BCF"/>
    <w:rsid w:val="00920DA8"/>
    <w:rsid w:val="009219AA"/>
    <w:rsid w:val="00922A58"/>
    <w:rsid w:val="009233B3"/>
    <w:rsid w:val="00925A8B"/>
    <w:rsid w:val="00925B23"/>
    <w:rsid w:val="009264E5"/>
    <w:rsid w:val="00926F23"/>
    <w:rsid w:val="00927D8A"/>
    <w:rsid w:val="00930F0B"/>
    <w:rsid w:val="00931032"/>
    <w:rsid w:val="009315FA"/>
    <w:rsid w:val="00932B7C"/>
    <w:rsid w:val="00932FB8"/>
    <w:rsid w:val="009331A5"/>
    <w:rsid w:val="00933AC7"/>
    <w:rsid w:val="00934715"/>
    <w:rsid w:val="009353CC"/>
    <w:rsid w:val="009358A5"/>
    <w:rsid w:val="00936891"/>
    <w:rsid w:val="00937075"/>
    <w:rsid w:val="009413E4"/>
    <w:rsid w:val="00941544"/>
    <w:rsid w:val="00941905"/>
    <w:rsid w:val="00942444"/>
    <w:rsid w:val="0094246B"/>
    <w:rsid w:val="009442BD"/>
    <w:rsid w:val="0094475B"/>
    <w:rsid w:val="00944C03"/>
    <w:rsid w:val="009450B0"/>
    <w:rsid w:val="009469BC"/>
    <w:rsid w:val="00946F45"/>
    <w:rsid w:val="0094785D"/>
    <w:rsid w:val="00950419"/>
    <w:rsid w:val="00951A33"/>
    <w:rsid w:val="00951C82"/>
    <w:rsid w:val="00952748"/>
    <w:rsid w:val="009528BF"/>
    <w:rsid w:val="0095307E"/>
    <w:rsid w:val="009539A4"/>
    <w:rsid w:val="00953C8F"/>
    <w:rsid w:val="009542D4"/>
    <w:rsid w:val="00954CC5"/>
    <w:rsid w:val="00955CB1"/>
    <w:rsid w:val="00956E52"/>
    <w:rsid w:val="00957824"/>
    <w:rsid w:val="00957BDF"/>
    <w:rsid w:val="00960C5E"/>
    <w:rsid w:val="00961896"/>
    <w:rsid w:val="00961D19"/>
    <w:rsid w:val="00962366"/>
    <w:rsid w:val="00962A82"/>
    <w:rsid w:val="00962DB2"/>
    <w:rsid w:val="0096647F"/>
    <w:rsid w:val="009666DA"/>
    <w:rsid w:val="0096687F"/>
    <w:rsid w:val="00966C03"/>
    <w:rsid w:val="009672AC"/>
    <w:rsid w:val="00967D23"/>
    <w:rsid w:val="00967D8A"/>
    <w:rsid w:val="00970377"/>
    <w:rsid w:val="009712C3"/>
    <w:rsid w:val="009717B7"/>
    <w:rsid w:val="00971DF8"/>
    <w:rsid w:val="009726E4"/>
    <w:rsid w:val="009727E7"/>
    <w:rsid w:val="00974482"/>
    <w:rsid w:val="00974CB9"/>
    <w:rsid w:val="00975429"/>
    <w:rsid w:val="00975F45"/>
    <w:rsid w:val="0097601D"/>
    <w:rsid w:val="009765CD"/>
    <w:rsid w:val="00977AE6"/>
    <w:rsid w:val="00980BBB"/>
    <w:rsid w:val="00980FBC"/>
    <w:rsid w:val="00981FCB"/>
    <w:rsid w:val="00982715"/>
    <w:rsid w:val="00982785"/>
    <w:rsid w:val="00986B7B"/>
    <w:rsid w:val="00991646"/>
    <w:rsid w:val="009919FA"/>
    <w:rsid w:val="00991D22"/>
    <w:rsid w:val="00991D55"/>
    <w:rsid w:val="00994155"/>
    <w:rsid w:val="00996DC6"/>
    <w:rsid w:val="009970BC"/>
    <w:rsid w:val="0099741A"/>
    <w:rsid w:val="009A05E5"/>
    <w:rsid w:val="009A064D"/>
    <w:rsid w:val="009A06FB"/>
    <w:rsid w:val="009A08B2"/>
    <w:rsid w:val="009A08F7"/>
    <w:rsid w:val="009A141B"/>
    <w:rsid w:val="009A1ABD"/>
    <w:rsid w:val="009A32E4"/>
    <w:rsid w:val="009A442C"/>
    <w:rsid w:val="009A480B"/>
    <w:rsid w:val="009A4973"/>
    <w:rsid w:val="009A5247"/>
    <w:rsid w:val="009A5B64"/>
    <w:rsid w:val="009A6448"/>
    <w:rsid w:val="009A6F56"/>
    <w:rsid w:val="009A74E0"/>
    <w:rsid w:val="009A792D"/>
    <w:rsid w:val="009A7939"/>
    <w:rsid w:val="009A7B4A"/>
    <w:rsid w:val="009B0E4C"/>
    <w:rsid w:val="009B19C0"/>
    <w:rsid w:val="009B1B0F"/>
    <w:rsid w:val="009B280F"/>
    <w:rsid w:val="009B315C"/>
    <w:rsid w:val="009B346D"/>
    <w:rsid w:val="009B3F59"/>
    <w:rsid w:val="009B40C2"/>
    <w:rsid w:val="009B5CBD"/>
    <w:rsid w:val="009B671A"/>
    <w:rsid w:val="009B6EAE"/>
    <w:rsid w:val="009C0E0C"/>
    <w:rsid w:val="009C0F26"/>
    <w:rsid w:val="009C178A"/>
    <w:rsid w:val="009C17E0"/>
    <w:rsid w:val="009C1AE2"/>
    <w:rsid w:val="009C2A5C"/>
    <w:rsid w:val="009C6090"/>
    <w:rsid w:val="009C63B3"/>
    <w:rsid w:val="009C6AC1"/>
    <w:rsid w:val="009C6AE4"/>
    <w:rsid w:val="009C77EA"/>
    <w:rsid w:val="009D01B2"/>
    <w:rsid w:val="009D0581"/>
    <w:rsid w:val="009D0864"/>
    <w:rsid w:val="009D0DAE"/>
    <w:rsid w:val="009D1269"/>
    <w:rsid w:val="009D1559"/>
    <w:rsid w:val="009D184D"/>
    <w:rsid w:val="009D2650"/>
    <w:rsid w:val="009D28C7"/>
    <w:rsid w:val="009D2AB2"/>
    <w:rsid w:val="009D2CB3"/>
    <w:rsid w:val="009D3577"/>
    <w:rsid w:val="009D3905"/>
    <w:rsid w:val="009D466B"/>
    <w:rsid w:val="009D4A28"/>
    <w:rsid w:val="009D4B2D"/>
    <w:rsid w:val="009D4D31"/>
    <w:rsid w:val="009D4E35"/>
    <w:rsid w:val="009D5C6D"/>
    <w:rsid w:val="009D5EF9"/>
    <w:rsid w:val="009D699C"/>
    <w:rsid w:val="009D7918"/>
    <w:rsid w:val="009D7B68"/>
    <w:rsid w:val="009E0978"/>
    <w:rsid w:val="009E0C2E"/>
    <w:rsid w:val="009E0E4B"/>
    <w:rsid w:val="009E1134"/>
    <w:rsid w:val="009E2EBB"/>
    <w:rsid w:val="009E3B96"/>
    <w:rsid w:val="009E45A0"/>
    <w:rsid w:val="009E533F"/>
    <w:rsid w:val="009E592E"/>
    <w:rsid w:val="009E68F5"/>
    <w:rsid w:val="009F0F2F"/>
    <w:rsid w:val="009F1ED6"/>
    <w:rsid w:val="009F3067"/>
    <w:rsid w:val="009F3277"/>
    <w:rsid w:val="009F32A0"/>
    <w:rsid w:val="009F36F9"/>
    <w:rsid w:val="009F4977"/>
    <w:rsid w:val="009F4AFA"/>
    <w:rsid w:val="009F6B88"/>
    <w:rsid w:val="009F6E26"/>
    <w:rsid w:val="009F7938"/>
    <w:rsid w:val="00A020DD"/>
    <w:rsid w:val="00A0361D"/>
    <w:rsid w:val="00A03923"/>
    <w:rsid w:val="00A03B36"/>
    <w:rsid w:val="00A051A2"/>
    <w:rsid w:val="00A05380"/>
    <w:rsid w:val="00A056DC"/>
    <w:rsid w:val="00A05E25"/>
    <w:rsid w:val="00A0675C"/>
    <w:rsid w:val="00A076EA"/>
    <w:rsid w:val="00A07D18"/>
    <w:rsid w:val="00A1072C"/>
    <w:rsid w:val="00A11C84"/>
    <w:rsid w:val="00A11DE7"/>
    <w:rsid w:val="00A11EC9"/>
    <w:rsid w:val="00A12B94"/>
    <w:rsid w:val="00A12DC8"/>
    <w:rsid w:val="00A137C5"/>
    <w:rsid w:val="00A13B28"/>
    <w:rsid w:val="00A15489"/>
    <w:rsid w:val="00A164FD"/>
    <w:rsid w:val="00A17007"/>
    <w:rsid w:val="00A1756D"/>
    <w:rsid w:val="00A17FC4"/>
    <w:rsid w:val="00A21A2C"/>
    <w:rsid w:val="00A21F3A"/>
    <w:rsid w:val="00A2217A"/>
    <w:rsid w:val="00A22432"/>
    <w:rsid w:val="00A23155"/>
    <w:rsid w:val="00A23E12"/>
    <w:rsid w:val="00A24319"/>
    <w:rsid w:val="00A24430"/>
    <w:rsid w:val="00A24747"/>
    <w:rsid w:val="00A24AEA"/>
    <w:rsid w:val="00A25861"/>
    <w:rsid w:val="00A25BD1"/>
    <w:rsid w:val="00A25D10"/>
    <w:rsid w:val="00A26C25"/>
    <w:rsid w:val="00A27F05"/>
    <w:rsid w:val="00A31509"/>
    <w:rsid w:val="00A31829"/>
    <w:rsid w:val="00A3278E"/>
    <w:rsid w:val="00A33332"/>
    <w:rsid w:val="00A33354"/>
    <w:rsid w:val="00A3348C"/>
    <w:rsid w:val="00A339D8"/>
    <w:rsid w:val="00A3456F"/>
    <w:rsid w:val="00A34A6D"/>
    <w:rsid w:val="00A35B38"/>
    <w:rsid w:val="00A35D13"/>
    <w:rsid w:val="00A35EA4"/>
    <w:rsid w:val="00A37D3E"/>
    <w:rsid w:val="00A422D4"/>
    <w:rsid w:val="00A4286B"/>
    <w:rsid w:val="00A439C2"/>
    <w:rsid w:val="00A43FA0"/>
    <w:rsid w:val="00A44617"/>
    <w:rsid w:val="00A4481D"/>
    <w:rsid w:val="00A4524A"/>
    <w:rsid w:val="00A46373"/>
    <w:rsid w:val="00A463C5"/>
    <w:rsid w:val="00A475B5"/>
    <w:rsid w:val="00A4772D"/>
    <w:rsid w:val="00A47A3B"/>
    <w:rsid w:val="00A47EDD"/>
    <w:rsid w:val="00A5021A"/>
    <w:rsid w:val="00A509EC"/>
    <w:rsid w:val="00A5334C"/>
    <w:rsid w:val="00A53B7B"/>
    <w:rsid w:val="00A54111"/>
    <w:rsid w:val="00A54627"/>
    <w:rsid w:val="00A56A47"/>
    <w:rsid w:val="00A56DFF"/>
    <w:rsid w:val="00A56EEF"/>
    <w:rsid w:val="00A57287"/>
    <w:rsid w:val="00A610C5"/>
    <w:rsid w:val="00A61418"/>
    <w:rsid w:val="00A617A6"/>
    <w:rsid w:val="00A6235B"/>
    <w:rsid w:val="00A63582"/>
    <w:rsid w:val="00A66D6C"/>
    <w:rsid w:val="00A6709E"/>
    <w:rsid w:val="00A670E3"/>
    <w:rsid w:val="00A706F7"/>
    <w:rsid w:val="00A7164F"/>
    <w:rsid w:val="00A718C4"/>
    <w:rsid w:val="00A73D96"/>
    <w:rsid w:val="00A73F8F"/>
    <w:rsid w:val="00A75F2E"/>
    <w:rsid w:val="00A76CDE"/>
    <w:rsid w:val="00A77675"/>
    <w:rsid w:val="00A81D40"/>
    <w:rsid w:val="00A821CF"/>
    <w:rsid w:val="00A83038"/>
    <w:rsid w:val="00A83BCA"/>
    <w:rsid w:val="00A84579"/>
    <w:rsid w:val="00A8527A"/>
    <w:rsid w:val="00A854C0"/>
    <w:rsid w:val="00A858B5"/>
    <w:rsid w:val="00A85EE1"/>
    <w:rsid w:val="00A8741C"/>
    <w:rsid w:val="00A91758"/>
    <w:rsid w:val="00A91B8A"/>
    <w:rsid w:val="00A92372"/>
    <w:rsid w:val="00A92D22"/>
    <w:rsid w:val="00A935EF"/>
    <w:rsid w:val="00A94B95"/>
    <w:rsid w:val="00A952FE"/>
    <w:rsid w:val="00A95D03"/>
    <w:rsid w:val="00A95E19"/>
    <w:rsid w:val="00AA0F62"/>
    <w:rsid w:val="00AA1A53"/>
    <w:rsid w:val="00AA245F"/>
    <w:rsid w:val="00AA2824"/>
    <w:rsid w:val="00AA3404"/>
    <w:rsid w:val="00AA3422"/>
    <w:rsid w:val="00AA364C"/>
    <w:rsid w:val="00AA57C0"/>
    <w:rsid w:val="00AA6822"/>
    <w:rsid w:val="00AA6875"/>
    <w:rsid w:val="00AA6DB6"/>
    <w:rsid w:val="00AA6E68"/>
    <w:rsid w:val="00AB2092"/>
    <w:rsid w:val="00AB2287"/>
    <w:rsid w:val="00AB36F8"/>
    <w:rsid w:val="00AB3C1F"/>
    <w:rsid w:val="00AB3C97"/>
    <w:rsid w:val="00AB53F1"/>
    <w:rsid w:val="00AB5887"/>
    <w:rsid w:val="00AB5B56"/>
    <w:rsid w:val="00AB5DD9"/>
    <w:rsid w:val="00AC0317"/>
    <w:rsid w:val="00AC0778"/>
    <w:rsid w:val="00AC1B97"/>
    <w:rsid w:val="00AC3B1B"/>
    <w:rsid w:val="00AC4287"/>
    <w:rsid w:val="00AC4E38"/>
    <w:rsid w:val="00AC4F71"/>
    <w:rsid w:val="00AC4F8E"/>
    <w:rsid w:val="00AC504A"/>
    <w:rsid w:val="00AC57A4"/>
    <w:rsid w:val="00AC7A5A"/>
    <w:rsid w:val="00AC7CCA"/>
    <w:rsid w:val="00AD0D5D"/>
    <w:rsid w:val="00AD107E"/>
    <w:rsid w:val="00AD1382"/>
    <w:rsid w:val="00AD1B95"/>
    <w:rsid w:val="00AD26AC"/>
    <w:rsid w:val="00AD2A51"/>
    <w:rsid w:val="00AD2AE0"/>
    <w:rsid w:val="00AD2EA4"/>
    <w:rsid w:val="00AD3243"/>
    <w:rsid w:val="00AD408E"/>
    <w:rsid w:val="00AD4C80"/>
    <w:rsid w:val="00AD51D1"/>
    <w:rsid w:val="00AD5F33"/>
    <w:rsid w:val="00AD6C70"/>
    <w:rsid w:val="00AD7152"/>
    <w:rsid w:val="00AD76A3"/>
    <w:rsid w:val="00AE112F"/>
    <w:rsid w:val="00AE11C9"/>
    <w:rsid w:val="00AE2590"/>
    <w:rsid w:val="00AE27B1"/>
    <w:rsid w:val="00AE55F6"/>
    <w:rsid w:val="00AE5AF0"/>
    <w:rsid w:val="00AE5D98"/>
    <w:rsid w:val="00AE5EAE"/>
    <w:rsid w:val="00AE7A0D"/>
    <w:rsid w:val="00AF055B"/>
    <w:rsid w:val="00AF1080"/>
    <w:rsid w:val="00AF1339"/>
    <w:rsid w:val="00AF3695"/>
    <w:rsid w:val="00AF3A65"/>
    <w:rsid w:val="00AF3A72"/>
    <w:rsid w:val="00AF3F1F"/>
    <w:rsid w:val="00AF4147"/>
    <w:rsid w:val="00AF4401"/>
    <w:rsid w:val="00AF5CF0"/>
    <w:rsid w:val="00AF6051"/>
    <w:rsid w:val="00B001A4"/>
    <w:rsid w:val="00B00CF4"/>
    <w:rsid w:val="00B01450"/>
    <w:rsid w:val="00B014D9"/>
    <w:rsid w:val="00B01A44"/>
    <w:rsid w:val="00B01AB2"/>
    <w:rsid w:val="00B01E53"/>
    <w:rsid w:val="00B02185"/>
    <w:rsid w:val="00B0240E"/>
    <w:rsid w:val="00B02FCA"/>
    <w:rsid w:val="00B032EA"/>
    <w:rsid w:val="00B03494"/>
    <w:rsid w:val="00B03642"/>
    <w:rsid w:val="00B038FE"/>
    <w:rsid w:val="00B041F2"/>
    <w:rsid w:val="00B04E17"/>
    <w:rsid w:val="00B05145"/>
    <w:rsid w:val="00B05C10"/>
    <w:rsid w:val="00B06B23"/>
    <w:rsid w:val="00B07914"/>
    <w:rsid w:val="00B108A3"/>
    <w:rsid w:val="00B10A84"/>
    <w:rsid w:val="00B10B41"/>
    <w:rsid w:val="00B11AA6"/>
    <w:rsid w:val="00B11F22"/>
    <w:rsid w:val="00B12A4F"/>
    <w:rsid w:val="00B13745"/>
    <w:rsid w:val="00B138A7"/>
    <w:rsid w:val="00B16D13"/>
    <w:rsid w:val="00B17087"/>
    <w:rsid w:val="00B178C2"/>
    <w:rsid w:val="00B17D57"/>
    <w:rsid w:val="00B201CD"/>
    <w:rsid w:val="00B20923"/>
    <w:rsid w:val="00B212BC"/>
    <w:rsid w:val="00B21F12"/>
    <w:rsid w:val="00B22794"/>
    <w:rsid w:val="00B23154"/>
    <w:rsid w:val="00B23587"/>
    <w:rsid w:val="00B23E78"/>
    <w:rsid w:val="00B23F63"/>
    <w:rsid w:val="00B24AE9"/>
    <w:rsid w:val="00B24F68"/>
    <w:rsid w:val="00B253C4"/>
    <w:rsid w:val="00B27465"/>
    <w:rsid w:val="00B27490"/>
    <w:rsid w:val="00B27FDC"/>
    <w:rsid w:val="00B3034D"/>
    <w:rsid w:val="00B30BBC"/>
    <w:rsid w:val="00B313EE"/>
    <w:rsid w:val="00B316D3"/>
    <w:rsid w:val="00B32445"/>
    <w:rsid w:val="00B32C4C"/>
    <w:rsid w:val="00B32C96"/>
    <w:rsid w:val="00B3505A"/>
    <w:rsid w:val="00B36023"/>
    <w:rsid w:val="00B361FB"/>
    <w:rsid w:val="00B367B3"/>
    <w:rsid w:val="00B37286"/>
    <w:rsid w:val="00B37789"/>
    <w:rsid w:val="00B37C32"/>
    <w:rsid w:val="00B40AC6"/>
    <w:rsid w:val="00B40EDB"/>
    <w:rsid w:val="00B4310F"/>
    <w:rsid w:val="00B440C2"/>
    <w:rsid w:val="00B4465D"/>
    <w:rsid w:val="00B456EE"/>
    <w:rsid w:val="00B458B3"/>
    <w:rsid w:val="00B467AA"/>
    <w:rsid w:val="00B46B40"/>
    <w:rsid w:val="00B47CA0"/>
    <w:rsid w:val="00B47ED1"/>
    <w:rsid w:val="00B502DB"/>
    <w:rsid w:val="00B51B0B"/>
    <w:rsid w:val="00B51C8B"/>
    <w:rsid w:val="00B52C19"/>
    <w:rsid w:val="00B53497"/>
    <w:rsid w:val="00B534F3"/>
    <w:rsid w:val="00B53A2B"/>
    <w:rsid w:val="00B54115"/>
    <w:rsid w:val="00B565A2"/>
    <w:rsid w:val="00B56649"/>
    <w:rsid w:val="00B56E74"/>
    <w:rsid w:val="00B573C6"/>
    <w:rsid w:val="00B57547"/>
    <w:rsid w:val="00B57D3D"/>
    <w:rsid w:val="00B606AC"/>
    <w:rsid w:val="00B60819"/>
    <w:rsid w:val="00B60C24"/>
    <w:rsid w:val="00B61473"/>
    <w:rsid w:val="00B61AEF"/>
    <w:rsid w:val="00B61D41"/>
    <w:rsid w:val="00B63433"/>
    <w:rsid w:val="00B63E23"/>
    <w:rsid w:val="00B66B55"/>
    <w:rsid w:val="00B7044A"/>
    <w:rsid w:val="00B70B5F"/>
    <w:rsid w:val="00B7122D"/>
    <w:rsid w:val="00B71B7F"/>
    <w:rsid w:val="00B72127"/>
    <w:rsid w:val="00B72F4E"/>
    <w:rsid w:val="00B731C9"/>
    <w:rsid w:val="00B73395"/>
    <w:rsid w:val="00B74E0A"/>
    <w:rsid w:val="00B7546F"/>
    <w:rsid w:val="00B7572A"/>
    <w:rsid w:val="00B7685A"/>
    <w:rsid w:val="00B768F2"/>
    <w:rsid w:val="00B76BB8"/>
    <w:rsid w:val="00B772E2"/>
    <w:rsid w:val="00B77449"/>
    <w:rsid w:val="00B80BD1"/>
    <w:rsid w:val="00B827EA"/>
    <w:rsid w:val="00B836BC"/>
    <w:rsid w:val="00B846B7"/>
    <w:rsid w:val="00B84E47"/>
    <w:rsid w:val="00B84F78"/>
    <w:rsid w:val="00B85CA2"/>
    <w:rsid w:val="00B87076"/>
    <w:rsid w:val="00B8719A"/>
    <w:rsid w:val="00B877A4"/>
    <w:rsid w:val="00B90726"/>
    <w:rsid w:val="00B91797"/>
    <w:rsid w:val="00B93C63"/>
    <w:rsid w:val="00B946F4"/>
    <w:rsid w:val="00B948B7"/>
    <w:rsid w:val="00B9537C"/>
    <w:rsid w:val="00B953D9"/>
    <w:rsid w:val="00B955AF"/>
    <w:rsid w:val="00B968F9"/>
    <w:rsid w:val="00BA035B"/>
    <w:rsid w:val="00BA083B"/>
    <w:rsid w:val="00BA0FF8"/>
    <w:rsid w:val="00BA10E6"/>
    <w:rsid w:val="00BA19B9"/>
    <w:rsid w:val="00BA225E"/>
    <w:rsid w:val="00BA234B"/>
    <w:rsid w:val="00BA263B"/>
    <w:rsid w:val="00BA3401"/>
    <w:rsid w:val="00BA3B50"/>
    <w:rsid w:val="00BA3F07"/>
    <w:rsid w:val="00BA4CBD"/>
    <w:rsid w:val="00BA5502"/>
    <w:rsid w:val="00BA5A91"/>
    <w:rsid w:val="00BA6508"/>
    <w:rsid w:val="00BA69F7"/>
    <w:rsid w:val="00BA72D5"/>
    <w:rsid w:val="00BA7A63"/>
    <w:rsid w:val="00BA7CD3"/>
    <w:rsid w:val="00BB0376"/>
    <w:rsid w:val="00BB03A8"/>
    <w:rsid w:val="00BB2A31"/>
    <w:rsid w:val="00BB2C44"/>
    <w:rsid w:val="00BB354A"/>
    <w:rsid w:val="00BB35BF"/>
    <w:rsid w:val="00BB402E"/>
    <w:rsid w:val="00BB477E"/>
    <w:rsid w:val="00BB489D"/>
    <w:rsid w:val="00BB4B71"/>
    <w:rsid w:val="00BB587C"/>
    <w:rsid w:val="00BB7698"/>
    <w:rsid w:val="00BC10B6"/>
    <w:rsid w:val="00BC13DD"/>
    <w:rsid w:val="00BC18A8"/>
    <w:rsid w:val="00BC3BF8"/>
    <w:rsid w:val="00BC4234"/>
    <w:rsid w:val="00BC429B"/>
    <w:rsid w:val="00BC4563"/>
    <w:rsid w:val="00BC488E"/>
    <w:rsid w:val="00BC5894"/>
    <w:rsid w:val="00BC59D6"/>
    <w:rsid w:val="00BC5B84"/>
    <w:rsid w:val="00BC65AB"/>
    <w:rsid w:val="00BC74BD"/>
    <w:rsid w:val="00BC7BD4"/>
    <w:rsid w:val="00BD04D6"/>
    <w:rsid w:val="00BD0771"/>
    <w:rsid w:val="00BD0A2E"/>
    <w:rsid w:val="00BD1855"/>
    <w:rsid w:val="00BD31F5"/>
    <w:rsid w:val="00BD3AAE"/>
    <w:rsid w:val="00BD48DB"/>
    <w:rsid w:val="00BD49D5"/>
    <w:rsid w:val="00BD6D93"/>
    <w:rsid w:val="00BD7AF4"/>
    <w:rsid w:val="00BE09E3"/>
    <w:rsid w:val="00BE0A79"/>
    <w:rsid w:val="00BE1C52"/>
    <w:rsid w:val="00BE2F08"/>
    <w:rsid w:val="00BE31DE"/>
    <w:rsid w:val="00BE35D0"/>
    <w:rsid w:val="00BE38C7"/>
    <w:rsid w:val="00BE4676"/>
    <w:rsid w:val="00BE4D84"/>
    <w:rsid w:val="00BE5783"/>
    <w:rsid w:val="00BE5AB3"/>
    <w:rsid w:val="00BE5B66"/>
    <w:rsid w:val="00BE6658"/>
    <w:rsid w:val="00BE6682"/>
    <w:rsid w:val="00BE6891"/>
    <w:rsid w:val="00BE68F0"/>
    <w:rsid w:val="00BE6BA4"/>
    <w:rsid w:val="00BE7A6E"/>
    <w:rsid w:val="00BF0D55"/>
    <w:rsid w:val="00BF0F36"/>
    <w:rsid w:val="00BF117D"/>
    <w:rsid w:val="00BF2514"/>
    <w:rsid w:val="00BF2989"/>
    <w:rsid w:val="00BF3743"/>
    <w:rsid w:val="00BF4DEF"/>
    <w:rsid w:val="00BF63CB"/>
    <w:rsid w:val="00BF74DD"/>
    <w:rsid w:val="00BF762D"/>
    <w:rsid w:val="00C038BD"/>
    <w:rsid w:val="00C03C7A"/>
    <w:rsid w:val="00C04B88"/>
    <w:rsid w:val="00C05052"/>
    <w:rsid w:val="00C05196"/>
    <w:rsid w:val="00C05894"/>
    <w:rsid w:val="00C05CFF"/>
    <w:rsid w:val="00C061FB"/>
    <w:rsid w:val="00C0625B"/>
    <w:rsid w:val="00C07031"/>
    <w:rsid w:val="00C07770"/>
    <w:rsid w:val="00C07A7E"/>
    <w:rsid w:val="00C07BC2"/>
    <w:rsid w:val="00C11216"/>
    <w:rsid w:val="00C11327"/>
    <w:rsid w:val="00C12AB6"/>
    <w:rsid w:val="00C12D6D"/>
    <w:rsid w:val="00C14398"/>
    <w:rsid w:val="00C14A5A"/>
    <w:rsid w:val="00C14A5F"/>
    <w:rsid w:val="00C1572E"/>
    <w:rsid w:val="00C15A7F"/>
    <w:rsid w:val="00C166D3"/>
    <w:rsid w:val="00C17402"/>
    <w:rsid w:val="00C20251"/>
    <w:rsid w:val="00C202C5"/>
    <w:rsid w:val="00C2077E"/>
    <w:rsid w:val="00C218CE"/>
    <w:rsid w:val="00C21B80"/>
    <w:rsid w:val="00C21C75"/>
    <w:rsid w:val="00C22200"/>
    <w:rsid w:val="00C22255"/>
    <w:rsid w:val="00C2255C"/>
    <w:rsid w:val="00C22AFB"/>
    <w:rsid w:val="00C23078"/>
    <w:rsid w:val="00C24C01"/>
    <w:rsid w:val="00C2591C"/>
    <w:rsid w:val="00C25C54"/>
    <w:rsid w:val="00C26500"/>
    <w:rsid w:val="00C26A37"/>
    <w:rsid w:val="00C27160"/>
    <w:rsid w:val="00C27E85"/>
    <w:rsid w:val="00C30494"/>
    <w:rsid w:val="00C30C10"/>
    <w:rsid w:val="00C31220"/>
    <w:rsid w:val="00C324E2"/>
    <w:rsid w:val="00C32F18"/>
    <w:rsid w:val="00C349CA"/>
    <w:rsid w:val="00C34AEE"/>
    <w:rsid w:val="00C36815"/>
    <w:rsid w:val="00C36C9B"/>
    <w:rsid w:val="00C3767D"/>
    <w:rsid w:val="00C40CFA"/>
    <w:rsid w:val="00C40F1A"/>
    <w:rsid w:val="00C40F1E"/>
    <w:rsid w:val="00C41AA6"/>
    <w:rsid w:val="00C4504F"/>
    <w:rsid w:val="00C469A8"/>
    <w:rsid w:val="00C47C02"/>
    <w:rsid w:val="00C50E64"/>
    <w:rsid w:val="00C5248A"/>
    <w:rsid w:val="00C52CBE"/>
    <w:rsid w:val="00C5365B"/>
    <w:rsid w:val="00C53B2B"/>
    <w:rsid w:val="00C549B3"/>
    <w:rsid w:val="00C549BA"/>
    <w:rsid w:val="00C5537E"/>
    <w:rsid w:val="00C555D2"/>
    <w:rsid w:val="00C55E76"/>
    <w:rsid w:val="00C566A7"/>
    <w:rsid w:val="00C569E0"/>
    <w:rsid w:val="00C56D48"/>
    <w:rsid w:val="00C60E12"/>
    <w:rsid w:val="00C6250C"/>
    <w:rsid w:val="00C628B5"/>
    <w:rsid w:val="00C62D27"/>
    <w:rsid w:val="00C63B22"/>
    <w:rsid w:val="00C64CD4"/>
    <w:rsid w:val="00C666E9"/>
    <w:rsid w:val="00C66FA9"/>
    <w:rsid w:val="00C67267"/>
    <w:rsid w:val="00C67397"/>
    <w:rsid w:val="00C7000F"/>
    <w:rsid w:val="00C70D91"/>
    <w:rsid w:val="00C71443"/>
    <w:rsid w:val="00C7253E"/>
    <w:rsid w:val="00C72635"/>
    <w:rsid w:val="00C7282C"/>
    <w:rsid w:val="00C72B88"/>
    <w:rsid w:val="00C72FEE"/>
    <w:rsid w:val="00C7301F"/>
    <w:rsid w:val="00C73344"/>
    <w:rsid w:val="00C7372D"/>
    <w:rsid w:val="00C748D6"/>
    <w:rsid w:val="00C74B66"/>
    <w:rsid w:val="00C75BDB"/>
    <w:rsid w:val="00C75DD4"/>
    <w:rsid w:val="00C7602C"/>
    <w:rsid w:val="00C76D1F"/>
    <w:rsid w:val="00C76DAD"/>
    <w:rsid w:val="00C77367"/>
    <w:rsid w:val="00C7770F"/>
    <w:rsid w:val="00C77D40"/>
    <w:rsid w:val="00C80210"/>
    <w:rsid w:val="00C80686"/>
    <w:rsid w:val="00C80923"/>
    <w:rsid w:val="00C80E8C"/>
    <w:rsid w:val="00C815F3"/>
    <w:rsid w:val="00C81A31"/>
    <w:rsid w:val="00C81DB8"/>
    <w:rsid w:val="00C820FC"/>
    <w:rsid w:val="00C82D1F"/>
    <w:rsid w:val="00C83C50"/>
    <w:rsid w:val="00C843CF"/>
    <w:rsid w:val="00C84D01"/>
    <w:rsid w:val="00C84DE6"/>
    <w:rsid w:val="00C85269"/>
    <w:rsid w:val="00C85456"/>
    <w:rsid w:val="00C8639A"/>
    <w:rsid w:val="00C86907"/>
    <w:rsid w:val="00C91854"/>
    <w:rsid w:val="00C92185"/>
    <w:rsid w:val="00C92DE1"/>
    <w:rsid w:val="00C938FD"/>
    <w:rsid w:val="00C9434E"/>
    <w:rsid w:val="00C94D6C"/>
    <w:rsid w:val="00C97184"/>
    <w:rsid w:val="00C9719B"/>
    <w:rsid w:val="00C97BA2"/>
    <w:rsid w:val="00CA0BE0"/>
    <w:rsid w:val="00CA1040"/>
    <w:rsid w:val="00CA1D08"/>
    <w:rsid w:val="00CA1FCD"/>
    <w:rsid w:val="00CA2F1E"/>
    <w:rsid w:val="00CA49A6"/>
    <w:rsid w:val="00CA6640"/>
    <w:rsid w:val="00CB0177"/>
    <w:rsid w:val="00CB0539"/>
    <w:rsid w:val="00CB066E"/>
    <w:rsid w:val="00CB0C15"/>
    <w:rsid w:val="00CB1245"/>
    <w:rsid w:val="00CB14A8"/>
    <w:rsid w:val="00CB1A1B"/>
    <w:rsid w:val="00CB1EF7"/>
    <w:rsid w:val="00CB3649"/>
    <w:rsid w:val="00CB48DA"/>
    <w:rsid w:val="00CB517C"/>
    <w:rsid w:val="00CB51DA"/>
    <w:rsid w:val="00CB573F"/>
    <w:rsid w:val="00CB5B7A"/>
    <w:rsid w:val="00CB6CD5"/>
    <w:rsid w:val="00CB6E2F"/>
    <w:rsid w:val="00CB779C"/>
    <w:rsid w:val="00CC0BA1"/>
    <w:rsid w:val="00CC16F7"/>
    <w:rsid w:val="00CC2C91"/>
    <w:rsid w:val="00CC35F1"/>
    <w:rsid w:val="00CC3FFA"/>
    <w:rsid w:val="00CC62B3"/>
    <w:rsid w:val="00CC6A83"/>
    <w:rsid w:val="00CC6AF1"/>
    <w:rsid w:val="00CC6FA5"/>
    <w:rsid w:val="00CC72B1"/>
    <w:rsid w:val="00CC7604"/>
    <w:rsid w:val="00CC7D08"/>
    <w:rsid w:val="00CD10E0"/>
    <w:rsid w:val="00CD1141"/>
    <w:rsid w:val="00CD1479"/>
    <w:rsid w:val="00CD17C7"/>
    <w:rsid w:val="00CD1974"/>
    <w:rsid w:val="00CD1A02"/>
    <w:rsid w:val="00CD1C5E"/>
    <w:rsid w:val="00CD2E71"/>
    <w:rsid w:val="00CD3135"/>
    <w:rsid w:val="00CD3283"/>
    <w:rsid w:val="00CD4472"/>
    <w:rsid w:val="00CD4874"/>
    <w:rsid w:val="00CD51BC"/>
    <w:rsid w:val="00CD5277"/>
    <w:rsid w:val="00CD572D"/>
    <w:rsid w:val="00CD580A"/>
    <w:rsid w:val="00CD63B8"/>
    <w:rsid w:val="00CD6481"/>
    <w:rsid w:val="00CD64AB"/>
    <w:rsid w:val="00CD6A4C"/>
    <w:rsid w:val="00CD73BC"/>
    <w:rsid w:val="00CD7AEB"/>
    <w:rsid w:val="00CE0142"/>
    <w:rsid w:val="00CE110E"/>
    <w:rsid w:val="00CE13AB"/>
    <w:rsid w:val="00CE2354"/>
    <w:rsid w:val="00CE3112"/>
    <w:rsid w:val="00CE3273"/>
    <w:rsid w:val="00CE3668"/>
    <w:rsid w:val="00CE48D1"/>
    <w:rsid w:val="00CE63CA"/>
    <w:rsid w:val="00CE7501"/>
    <w:rsid w:val="00CE7C4D"/>
    <w:rsid w:val="00CE7CD7"/>
    <w:rsid w:val="00CF002F"/>
    <w:rsid w:val="00CF014C"/>
    <w:rsid w:val="00CF028B"/>
    <w:rsid w:val="00CF0B21"/>
    <w:rsid w:val="00CF14CF"/>
    <w:rsid w:val="00CF189B"/>
    <w:rsid w:val="00CF1EE9"/>
    <w:rsid w:val="00CF2AA5"/>
    <w:rsid w:val="00CF3557"/>
    <w:rsid w:val="00CF355A"/>
    <w:rsid w:val="00CF4635"/>
    <w:rsid w:val="00CF4931"/>
    <w:rsid w:val="00CF5399"/>
    <w:rsid w:val="00CF55D8"/>
    <w:rsid w:val="00CF5EB0"/>
    <w:rsid w:val="00CF6D9C"/>
    <w:rsid w:val="00CF722E"/>
    <w:rsid w:val="00CF73A0"/>
    <w:rsid w:val="00D004B2"/>
    <w:rsid w:val="00D00AF9"/>
    <w:rsid w:val="00D01788"/>
    <w:rsid w:val="00D019AF"/>
    <w:rsid w:val="00D038EE"/>
    <w:rsid w:val="00D067C0"/>
    <w:rsid w:val="00D06B59"/>
    <w:rsid w:val="00D06D25"/>
    <w:rsid w:val="00D075DE"/>
    <w:rsid w:val="00D11DF6"/>
    <w:rsid w:val="00D131A6"/>
    <w:rsid w:val="00D13556"/>
    <w:rsid w:val="00D13D59"/>
    <w:rsid w:val="00D13EA5"/>
    <w:rsid w:val="00D1412D"/>
    <w:rsid w:val="00D156BC"/>
    <w:rsid w:val="00D15E6F"/>
    <w:rsid w:val="00D17EE5"/>
    <w:rsid w:val="00D17F1C"/>
    <w:rsid w:val="00D234CC"/>
    <w:rsid w:val="00D24469"/>
    <w:rsid w:val="00D251C4"/>
    <w:rsid w:val="00D2547D"/>
    <w:rsid w:val="00D2768A"/>
    <w:rsid w:val="00D276EF"/>
    <w:rsid w:val="00D27ADE"/>
    <w:rsid w:val="00D3051F"/>
    <w:rsid w:val="00D30C2D"/>
    <w:rsid w:val="00D30F9E"/>
    <w:rsid w:val="00D3109B"/>
    <w:rsid w:val="00D31B45"/>
    <w:rsid w:val="00D33511"/>
    <w:rsid w:val="00D337EF"/>
    <w:rsid w:val="00D3393B"/>
    <w:rsid w:val="00D35EA1"/>
    <w:rsid w:val="00D36706"/>
    <w:rsid w:val="00D3692E"/>
    <w:rsid w:val="00D36C2B"/>
    <w:rsid w:val="00D37033"/>
    <w:rsid w:val="00D37473"/>
    <w:rsid w:val="00D37517"/>
    <w:rsid w:val="00D406C8"/>
    <w:rsid w:val="00D40AB3"/>
    <w:rsid w:val="00D41984"/>
    <w:rsid w:val="00D431DE"/>
    <w:rsid w:val="00D439C7"/>
    <w:rsid w:val="00D44C9D"/>
    <w:rsid w:val="00D45512"/>
    <w:rsid w:val="00D50158"/>
    <w:rsid w:val="00D50735"/>
    <w:rsid w:val="00D50805"/>
    <w:rsid w:val="00D513DF"/>
    <w:rsid w:val="00D5179D"/>
    <w:rsid w:val="00D51F07"/>
    <w:rsid w:val="00D52EAE"/>
    <w:rsid w:val="00D54BDB"/>
    <w:rsid w:val="00D55B2F"/>
    <w:rsid w:val="00D55EDD"/>
    <w:rsid w:val="00D576DC"/>
    <w:rsid w:val="00D57916"/>
    <w:rsid w:val="00D60574"/>
    <w:rsid w:val="00D615C6"/>
    <w:rsid w:val="00D618F8"/>
    <w:rsid w:val="00D62EE8"/>
    <w:rsid w:val="00D637A7"/>
    <w:rsid w:val="00D644D9"/>
    <w:rsid w:val="00D656B1"/>
    <w:rsid w:val="00D65E57"/>
    <w:rsid w:val="00D66283"/>
    <w:rsid w:val="00D66B15"/>
    <w:rsid w:val="00D66D38"/>
    <w:rsid w:val="00D675BB"/>
    <w:rsid w:val="00D67947"/>
    <w:rsid w:val="00D717A8"/>
    <w:rsid w:val="00D72840"/>
    <w:rsid w:val="00D72CA3"/>
    <w:rsid w:val="00D72D46"/>
    <w:rsid w:val="00D72F53"/>
    <w:rsid w:val="00D73456"/>
    <w:rsid w:val="00D755ED"/>
    <w:rsid w:val="00D7665F"/>
    <w:rsid w:val="00D76F3A"/>
    <w:rsid w:val="00D8039B"/>
    <w:rsid w:val="00D8088B"/>
    <w:rsid w:val="00D80D6F"/>
    <w:rsid w:val="00D8228F"/>
    <w:rsid w:val="00D82992"/>
    <w:rsid w:val="00D82D33"/>
    <w:rsid w:val="00D83A49"/>
    <w:rsid w:val="00D8596E"/>
    <w:rsid w:val="00D85AF9"/>
    <w:rsid w:val="00D864A6"/>
    <w:rsid w:val="00D86D2A"/>
    <w:rsid w:val="00D90702"/>
    <w:rsid w:val="00D90F21"/>
    <w:rsid w:val="00D91924"/>
    <w:rsid w:val="00D92060"/>
    <w:rsid w:val="00D93455"/>
    <w:rsid w:val="00D938A5"/>
    <w:rsid w:val="00D94139"/>
    <w:rsid w:val="00D95F6C"/>
    <w:rsid w:val="00D96331"/>
    <w:rsid w:val="00D96888"/>
    <w:rsid w:val="00D9748D"/>
    <w:rsid w:val="00D9783B"/>
    <w:rsid w:val="00DA06E7"/>
    <w:rsid w:val="00DA4A85"/>
    <w:rsid w:val="00DA4FB6"/>
    <w:rsid w:val="00DA5E46"/>
    <w:rsid w:val="00DA6A8B"/>
    <w:rsid w:val="00DA7DC5"/>
    <w:rsid w:val="00DB0265"/>
    <w:rsid w:val="00DB0466"/>
    <w:rsid w:val="00DB0F55"/>
    <w:rsid w:val="00DB0FB9"/>
    <w:rsid w:val="00DB1512"/>
    <w:rsid w:val="00DB153D"/>
    <w:rsid w:val="00DB1978"/>
    <w:rsid w:val="00DB23F7"/>
    <w:rsid w:val="00DB280C"/>
    <w:rsid w:val="00DB3D9D"/>
    <w:rsid w:val="00DB4113"/>
    <w:rsid w:val="00DB4E63"/>
    <w:rsid w:val="00DB5283"/>
    <w:rsid w:val="00DB695D"/>
    <w:rsid w:val="00DB6BE4"/>
    <w:rsid w:val="00DB77DF"/>
    <w:rsid w:val="00DC002C"/>
    <w:rsid w:val="00DC101A"/>
    <w:rsid w:val="00DC1348"/>
    <w:rsid w:val="00DC134C"/>
    <w:rsid w:val="00DC16F5"/>
    <w:rsid w:val="00DC2916"/>
    <w:rsid w:val="00DC2BF3"/>
    <w:rsid w:val="00DC2DE4"/>
    <w:rsid w:val="00DC3410"/>
    <w:rsid w:val="00DC377C"/>
    <w:rsid w:val="00DC40D0"/>
    <w:rsid w:val="00DC48F9"/>
    <w:rsid w:val="00DC52F2"/>
    <w:rsid w:val="00DC567C"/>
    <w:rsid w:val="00DC5F1B"/>
    <w:rsid w:val="00DC658E"/>
    <w:rsid w:val="00DC6667"/>
    <w:rsid w:val="00DC775A"/>
    <w:rsid w:val="00DD0416"/>
    <w:rsid w:val="00DD0D7D"/>
    <w:rsid w:val="00DD181A"/>
    <w:rsid w:val="00DD2A05"/>
    <w:rsid w:val="00DD2D91"/>
    <w:rsid w:val="00DD36DA"/>
    <w:rsid w:val="00DD381C"/>
    <w:rsid w:val="00DD3CA3"/>
    <w:rsid w:val="00DD4316"/>
    <w:rsid w:val="00DD487A"/>
    <w:rsid w:val="00DD4B45"/>
    <w:rsid w:val="00DD4DD6"/>
    <w:rsid w:val="00DD4FD9"/>
    <w:rsid w:val="00DD5F21"/>
    <w:rsid w:val="00DD6545"/>
    <w:rsid w:val="00DE0500"/>
    <w:rsid w:val="00DE19A7"/>
    <w:rsid w:val="00DE1B11"/>
    <w:rsid w:val="00DE1F89"/>
    <w:rsid w:val="00DE2C69"/>
    <w:rsid w:val="00DE2FA6"/>
    <w:rsid w:val="00DE3843"/>
    <w:rsid w:val="00DE4329"/>
    <w:rsid w:val="00DE5FF9"/>
    <w:rsid w:val="00DE636D"/>
    <w:rsid w:val="00DE6949"/>
    <w:rsid w:val="00DE70AC"/>
    <w:rsid w:val="00DE719A"/>
    <w:rsid w:val="00DF0462"/>
    <w:rsid w:val="00DF1ABA"/>
    <w:rsid w:val="00DF3A9B"/>
    <w:rsid w:val="00DF4024"/>
    <w:rsid w:val="00DF4101"/>
    <w:rsid w:val="00DF52DB"/>
    <w:rsid w:val="00DF5749"/>
    <w:rsid w:val="00DF5DB2"/>
    <w:rsid w:val="00DF65D2"/>
    <w:rsid w:val="00DF6D97"/>
    <w:rsid w:val="00DF7245"/>
    <w:rsid w:val="00DF743C"/>
    <w:rsid w:val="00DF7A84"/>
    <w:rsid w:val="00E00EFD"/>
    <w:rsid w:val="00E01167"/>
    <w:rsid w:val="00E02676"/>
    <w:rsid w:val="00E026F6"/>
    <w:rsid w:val="00E02795"/>
    <w:rsid w:val="00E042BB"/>
    <w:rsid w:val="00E0508E"/>
    <w:rsid w:val="00E05301"/>
    <w:rsid w:val="00E061EC"/>
    <w:rsid w:val="00E070C7"/>
    <w:rsid w:val="00E101DD"/>
    <w:rsid w:val="00E10605"/>
    <w:rsid w:val="00E10C70"/>
    <w:rsid w:val="00E10D1F"/>
    <w:rsid w:val="00E10E67"/>
    <w:rsid w:val="00E10ED8"/>
    <w:rsid w:val="00E11010"/>
    <w:rsid w:val="00E11A59"/>
    <w:rsid w:val="00E120AE"/>
    <w:rsid w:val="00E12D45"/>
    <w:rsid w:val="00E133D7"/>
    <w:rsid w:val="00E14D1A"/>
    <w:rsid w:val="00E151E6"/>
    <w:rsid w:val="00E153EF"/>
    <w:rsid w:val="00E162CB"/>
    <w:rsid w:val="00E16669"/>
    <w:rsid w:val="00E16F7E"/>
    <w:rsid w:val="00E173CD"/>
    <w:rsid w:val="00E17E08"/>
    <w:rsid w:val="00E20325"/>
    <w:rsid w:val="00E216B6"/>
    <w:rsid w:val="00E21742"/>
    <w:rsid w:val="00E2187E"/>
    <w:rsid w:val="00E22F74"/>
    <w:rsid w:val="00E22FE3"/>
    <w:rsid w:val="00E23AE6"/>
    <w:rsid w:val="00E24F5B"/>
    <w:rsid w:val="00E2530E"/>
    <w:rsid w:val="00E2543E"/>
    <w:rsid w:val="00E27105"/>
    <w:rsid w:val="00E30AC2"/>
    <w:rsid w:val="00E313E1"/>
    <w:rsid w:val="00E31C0A"/>
    <w:rsid w:val="00E33154"/>
    <w:rsid w:val="00E33AA5"/>
    <w:rsid w:val="00E34053"/>
    <w:rsid w:val="00E3469C"/>
    <w:rsid w:val="00E355EC"/>
    <w:rsid w:val="00E36779"/>
    <w:rsid w:val="00E3780E"/>
    <w:rsid w:val="00E40F04"/>
    <w:rsid w:val="00E410E2"/>
    <w:rsid w:val="00E42030"/>
    <w:rsid w:val="00E42861"/>
    <w:rsid w:val="00E4453B"/>
    <w:rsid w:val="00E44CB6"/>
    <w:rsid w:val="00E44E48"/>
    <w:rsid w:val="00E44E88"/>
    <w:rsid w:val="00E47557"/>
    <w:rsid w:val="00E47A61"/>
    <w:rsid w:val="00E5001C"/>
    <w:rsid w:val="00E503CD"/>
    <w:rsid w:val="00E50489"/>
    <w:rsid w:val="00E50B37"/>
    <w:rsid w:val="00E519DC"/>
    <w:rsid w:val="00E51FD0"/>
    <w:rsid w:val="00E51FD5"/>
    <w:rsid w:val="00E528D1"/>
    <w:rsid w:val="00E53597"/>
    <w:rsid w:val="00E5417B"/>
    <w:rsid w:val="00E555A2"/>
    <w:rsid w:val="00E55EB0"/>
    <w:rsid w:val="00E5627F"/>
    <w:rsid w:val="00E57A33"/>
    <w:rsid w:val="00E6179D"/>
    <w:rsid w:val="00E61884"/>
    <w:rsid w:val="00E639DD"/>
    <w:rsid w:val="00E63DC2"/>
    <w:rsid w:val="00E64600"/>
    <w:rsid w:val="00E64D37"/>
    <w:rsid w:val="00E6579B"/>
    <w:rsid w:val="00E65A2A"/>
    <w:rsid w:val="00E66753"/>
    <w:rsid w:val="00E667E1"/>
    <w:rsid w:val="00E7015E"/>
    <w:rsid w:val="00E71462"/>
    <w:rsid w:val="00E717CA"/>
    <w:rsid w:val="00E71D61"/>
    <w:rsid w:val="00E71DE6"/>
    <w:rsid w:val="00E72451"/>
    <w:rsid w:val="00E73210"/>
    <w:rsid w:val="00E736A6"/>
    <w:rsid w:val="00E7374B"/>
    <w:rsid w:val="00E74257"/>
    <w:rsid w:val="00E74839"/>
    <w:rsid w:val="00E74A6F"/>
    <w:rsid w:val="00E7665E"/>
    <w:rsid w:val="00E768F4"/>
    <w:rsid w:val="00E77170"/>
    <w:rsid w:val="00E77863"/>
    <w:rsid w:val="00E77EB7"/>
    <w:rsid w:val="00E80568"/>
    <w:rsid w:val="00E807AB"/>
    <w:rsid w:val="00E810DA"/>
    <w:rsid w:val="00E81C9C"/>
    <w:rsid w:val="00E82DC6"/>
    <w:rsid w:val="00E82E75"/>
    <w:rsid w:val="00E82EA2"/>
    <w:rsid w:val="00E83211"/>
    <w:rsid w:val="00E83D8B"/>
    <w:rsid w:val="00E861BD"/>
    <w:rsid w:val="00E8625F"/>
    <w:rsid w:val="00E8648B"/>
    <w:rsid w:val="00E86C68"/>
    <w:rsid w:val="00E86CE4"/>
    <w:rsid w:val="00E87687"/>
    <w:rsid w:val="00E90D88"/>
    <w:rsid w:val="00E91073"/>
    <w:rsid w:val="00E913B7"/>
    <w:rsid w:val="00E9175C"/>
    <w:rsid w:val="00E92011"/>
    <w:rsid w:val="00E92168"/>
    <w:rsid w:val="00E93E4B"/>
    <w:rsid w:val="00E9544E"/>
    <w:rsid w:val="00E961B4"/>
    <w:rsid w:val="00EA06D9"/>
    <w:rsid w:val="00EA18B3"/>
    <w:rsid w:val="00EA1B1A"/>
    <w:rsid w:val="00EA25F8"/>
    <w:rsid w:val="00EA26EB"/>
    <w:rsid w:val="00EA30DE"/>
    <w:rsid w:val="00EA3B43"/>
    <w:rsid w:val="00EA3FAA"/>
    <w:rsid w:val="00EA529E"/>
    <w:rsid w:val="00EA533C"/>
    <w:rsid w:val="00EA53A1"/>
    <w:rsid w:val="00EA5880"/>
    <w:rsid w:val="00EA708C"/>
    <w:rsid w:val="00EB0215"/>
    <w:rsid w:val="00EB107D"/>
    <w:rsid w:val="00EB1CCF"/>
    <w:rsid w:val="00EB2A8E"/>
    <w:rsid w:val="00EB2AB7"/>
    <w:rsid w:val="00EB2B91"/>
    <w:rsid w:val="00EB3AD2"/>
    <w:rsid w:val="00EB4BEF"/>
    <w:rsid w:val="00EB53A5"/>
    <w:rsid w:val="00EB54CB"/>
    <w:rsid w:val="00EB5888"/>
    <w:rsid w:val="00EB6D7C"/>
    <w:rsid w:val="00EB72AD"/>
    <w:rsid w:val="00EB7527"/>
    <w:rsid w:val="00EC00AA"/>
    <w:rsid w:val="00EC010D"/>
    <w:rsid w:val="00EC0269"/>
    <w:rsid w:val="00EC0395"/>
    <w:rsid w:val="00EC044C"/>
    <w:rsid w:val="00EC056C"/>
    <w:rsid w:val="00EC3142"/>
    <w:rsid w:val="00EC3EE4"/>
    <w:rsid w:val="00EC4717"/>
    <w:rsid w:val="00EC4EBC"/>
    <w:rsid w:val="00EC5146"/>
    <w:rsid w:val="00EC52F1"/>
    <w:rsid w:val="00EC5339"/>
    <w:rsid w:val="00EC5656"/>
    <w:rsid w:val="00EC60BE"/>
    <w:rsid w:val="00EC62F4"/>
    <w:rsid w:val="00EC6673"/>
    <w:rsid w:val="00EC727E"/>
    <w:rsid w:val="00ED0033"/>
    <w:rsid w:val="00ED06FA"/>
    <w:rsid w:val="00ED1377"/>
    <w:rsid w:val="00ED1648"/>
    <w:rsid w:val="00ED1738"/>
    <w:rsid w:val="00ED1D42"/>
    <w:rsid w:val="00ED2993"/>
    <w:rsid w:val="00ED3473"/>
    <w:rsid w:val="00ED3BEA"/>
    <w:rsid w:val="00ED3F3E"/>
    <w:rsid w:val="00ED4498"/>
    <w:rsid w:val="00ED449D"/>
    <w:rsid w:val="00ED50C7"/>
    <w:rsid w:val="00ED51F4"/>
    <w:rsid w:val="00ED5350"/>
    <w:rsid w:val="00ED53EF"/>
    <w:rsid w:val="00ED62E4"/>
    <w:rsid w:val="00ED64C3"/>
    <w:rsid w:val="00ED65D5"/>
    <w:rsid w:val="00ED6B71"/>
    <w:rsid w:val="00EE0D9A"/>
    <w:rsid w:val="00EE1380"/>
    <w:rsid w:val="00EE1583"/>
    <w:rsid w:val="00EE196D"/>
    <w:rsid w:val="00EE3D9D"/>
    <w:rsid w:val="00EE5290"/>
    <w:rsid w:val="00EE5386"/>
    <w:rsid w:val="00EE5515"/>
    <w:rsid w:val="00EE5B25"/>
    <w:rsid w:val="00EE5F6C"/>
    <w:rsid w:val="00EE6B76"/>
    <w:rsid w:val="00EE6BBC"/>
    <w:rsid w:val="00EF068C"/>
    <w:rsid w:val="00EF093D"/>
    <w:rsid w:val="00EF0D51"/>
    <w:rsid w:val="00EF2487"/>
    <w:rsid w:val="00EF2E0C"/>
    <w:rsid w:val="00EF4110"/>
    <w:rsid w:val="00EF4123"/>
    <w:rsid w:val="00EF476A"/>
    <w:rsid w:val="00EF638D"/>
    <w:rsid w:val="00EF6670"/>
    <w:rsid w:val="00EF69EF"/>
    <w:rsid w:val="00EF7411"/>
    <w:rsid w:val="00EF7F56"/>
    <w:rsid w:val="00F00562"/>
    <w:rsid w:val="00F0199F"/>
    <w:rsid w:val="00F03852"/>
    <w:rsid w:val="00F0392A"/>
    <w:rsid w:val="00F03A49"/>
    <w:rsid w:val="00F045B3"/>
    <w:rsid w:val="00F04AC8"/>
    <w:rsid w:val="00F052DA"/>
    <w:rsid w:val="00F07A56"/>
    <w:rsid w:val="00F07B94"/>
    <w:rsid w:val="00F100CD"/>
    <w:rsid w:val="00F10F6F"/>
    <w:rsid w:val="00F11191"/>
    <w:rsid w:val="00F11377"/>
    <w:rsid w:val="00F12AFD"/>
    <w:rsid w:val="00F12E65"/>
    <w:rsid w:val="00F12F17"/>
    <w:rsid w:val="00F14974"/>
    <w:rsid w:val="00F14CF0"/>
    <w:rsid w:val="00F16531"/>
    <w:rsid w:val="00F16806"/>
    <w:rsid w:val="00F16C3A"/>
    <w:rsid w:val="00F16F5E"/>
    <w:rsid w:val="00F17406"/>
    <w:rsid w:val="00F17774"/>
    <w:rsid w:val="00F20BDC"/>
    <w:rsid w:val="00F20CE3"/>
    <w:rsid w:val="00F21212"/>
    <w:rsid w:val="00F213DB"/>
    <w:rsid w:val="00F21CF1"/>
    <w:rsid w:val="00F2226A"/>
    <w:rsid w:val="00F22860"/>
    <w:rsid w:val="00F2301E"/>
    <w:rsid w:val="00F233EA"/>
    <w:rsid w:val="00F24242"/>
    <w:rsid w:val="00F24669"/>
    <w:rsid w:val="00F26646"/>
    <w:rsid w:val="00F2675A"/>
    <w:rsid w:val="00F273A6"/>
    <w:rsid w:val="00F308D9"/>
    <w:rsid w:val="00F31BD1"/>
    <w:rsid w:val="00F31D1A"/>
    <w:rsid w:val="00F32664"/>
    <w:rsid w:val="00F32E46"/>
    <w:rsid w:val="00F33212"/>
    <w:rsid w:val="00F33AF8"/>
    <w:rsid w:val="00F35794"/>
    <w:rsid w:val="00F35860"/>
    <w:rsid w:val="00F35C74"/>
    <w:rsid w:val="00F35F26"/>
    <w:rsid w:val="00F36121"/>
    <w:rsid w:val="00F37735"/>
    <w:rsid w:val="00F404F6"/>
    <w:rsid w:val="00F40894"/>
    <w:rsid w:val="00F40CBA"/>
    <w:rsid w:val="00F40FB3"/>
    <w:rsid w:val="00F418DC"/>
    <w:rsid w:val="00F41E11"/>
    <w:rsid w:val="00F426FF"/>
    <w:rsid w:val="00F42952"/>
    <w:rsid w:val="00F442C6"/>
    <w:rsid w:val="00F44641"/>
    <w:rsid w:val="00F446C4"/>
    <w:rsid w:val="00F462F8"/>
    <w:rsid w:val="00F463B5"/>
    <w:rsid w:val="00F470AA"/>
    <w:rsid w:val="00F5053C"/>
    <w:rsid w:val="00F50B56"/>
    <w:rsid w:val="00F51946"/>
    <w:rsid w:val="00F51980"/>
    <w:rsid w:val="00F521BE"/>
    <w:rsid w:val="00F5318B"/>
    <w:rsid w:val="00F538AB"/>
    <w:rsid w:val="00F53AFA"/>
    <w:rsid w:val="00F5507E"/>
    <w:rsid w:val="00F55C2E"/>
    <w:rsid w:val="00F56467"/>
    <w:rsid w:val="00F5661A"/>
    <w:rsid w:val="00F56F61"/>
    <w:rsid w:val="00F571F4"/>
    <w:rsid w:val="00F57EF5"/>
    <w:rsid w:val="00F617DD"/>
    <w:rsid w:val="00F621F3"/>
    <w:rsid w:val="00F6310E"/>
    <w:rsid w:val="00F63563"/>
    <w:rsid w:val="00F65B9A"/>
    <w:rsid w:val="00F66B7F"/>
    <w:rsid w:val="00F70366"/>
    <w:rsid w:val="00F70C0E"/>
    <w:rsid w:val="00F70E91"/>
    <w:rsid w:val="00F71166"/>
    <w:rsid w:val="00F7245C"/>
    <w:rsid w:val="00F728A6"/>
    <w:rsid w:val="00F73A64"/>
    <w:rsid w:val="00F742E8"/>
    <w:rsid w:val="00F74462"/>
    <w:rsid w:val="00F75173"/>
    <w:rsid w:val="00F751A9"/>
    <w:rsid w:val="00F764A6"/>
    <w:rsid w:val="00F77C51"/>
    <w:rsid w:val="00F80101"/>
    <w:rsid w:val="00F8036C"/>
    <w:rsid w:val="00F80C4B"/>
    <w:rsid w:val="00F81FE5"/>
    <w:rsid w:val="00F820AE"/>
    <w:rsid w:val="00F82CAA"/>
    <w:rsid w:val="00F832C3"/>
    <w:rsid w:val="00F83809"/>
    <w:rsid w:val="00F84D03"/>
    <w:rsid w:val="00F85BB6"/>
    <w:rsid w:val="00F86180"/>
    <w:rsid w:val="00F8629A"/>
    <w:rsid w:val="00F876B5"/>
    <w:rsid w:val="00F87BF6"/>
    <w:rsid w:val="00F90004"/>
    <w:rsid w:val="00F901B1"/>
    <w:rsid w:val="00F9139E"/>
    <w:rsid w:val="00F945E6"/>
    <w:rsid w:val="00F95045"/>
    <w:rsid w:val="00F95CED"/>
    <w:rsid w:val="00F96808"/>
    <w:rsid w:val="00F96A6D"/>
    <w:rsid w:val="00F96C1B"/>
    <w:rsid w:val="00F976E1"/>
    <w:rsid w:val="00FA085D"/>
    <w:rsid w:val="00FA0BA4"/>
    <w:rsid w:val="00FA1670"/>
    <w:rsid w:val="00FA1749"/>
    <w:rsid w:val="00FA1A14"/>
    <w:rsid w:val="00FA22B3"/>
    <w:rsid w:val="00FA27A1"/>
    <w:rsid w:val="00FA2F68"/>
    <w:rsid w:val="00FA33CE"/>
    <w:rsid w:val="00FA3789"/>
    <w:rsid w:val="00FA37C2"/>
    <w:rsid w:val="00FA485F"/>
    <w:rsid w:val="00FA4B3F"/>
    <w:rsid w:val="00FA546E"/>
    <w:rsid w:val="00FA6D1C"/>
    <w:rsid w:val="00FA7822"/>
    <w:rsid w:val="00FB0DBE"/>
    <w:rsid w:val="00FB1DF6"/>
    <w:rsid w:val="00FB29D9"/>
    <w:rsid w:val="00FB2A7C"/>
    <w:rsid w:val="00FB54C7"/>
    <w:rsid w:val="00FB5917"/>
    <w:rsid w:val="00FB613C"/>
    <w:rsid w:val="00FB7754"/>
    <w:rsid w:val="00FB7768"/>
    <w:rsid w:val="00FC0A73"/>
    <w:rsid w:val="00FC0BD5"/>
    <w:rsid w:val="00FC1838"/>
    <w:rsid w:val="00FC1B7C"/>
    <w:rsid w:val="00FC1C1B"/>
    <w:rsid w:val="00FC20FC"/>
    <w:rsid w:val="00FC34AE"/>
    <w:rsid w:val="00FC43A9"/>
    <w:rsid w:val="00FC6780"/>
    <w:rsid w:val="00FD09A5"/>
    <w:rsid w:val="00FD0A29"/>
    <w:rsid w:val="00FD0C8D"/>
    <w:rsid w:val="00FD13C5"/>
    <w:rsid w:val="00FD1D20"/>
    <w:rsid w:val="00FD297A"/>
    <w:rsid w:val="00FD3BB6"/>
    <w:rsid w:val="00FD459B"/>
    <w:rsid w:val="00FD5654"/>
    <w:rsid w:val="00FD5787"/>
    <w:rsid w:val="00FD61B7"/>
    <w:rsid w:val="00FD6E47"/>
    <w:rsid w:val="00FD7473"/>
    <w:rsid w:val="00FE0243"/>
    <w:rsid w:val="00FE097E"/>
    <w:rsid w:val="00FE1163"/>
    <w:rsid w:val="00FE2270"/>
    <w:rsid w:val="00FE2FBA"/>
    <w:rsid w:val="00FE3999"/>
    <w:rsid w:val="00FE4627"/>
    <w:rsid w:val="00FE4B81"/>
    <w:rsid w:val="00FE4C2D"/>
    <w:rsid w:val="00FE5219"/>
    <w:rsid w:val="00FE5647"/>
    <w:rsid w:val="00FF0722"/>
    <w:rsid w:val="00FF0876"/>
    <w:rsid w:val="00FF1125"/>
    <w:rsid w:val="00FF1135"/>
    <w:rsid w:val="00FF1622"/>
    <w:rsid w:val="00FF1679"/>
    <w:rsid w:val="00FF1AF7"/>
    <w:rsid w:val="00FF1FE0"/>
    <w:rsid w:val="00FF320F"/>
    <w:rsid w:val="00FF40E7"/>
    <w:rsid w:val="00FF4781"/>
    <w:rsid w:val="00FF4F97"/>
    <w:rsid w:val="00FF5575"/>
    <w:rsid w:val="00FF565A"/>
    <w:rsid w:val="00FF5DB4"/>
    <w:rsid w:val="00FF5F52"/>
    <w:rsid w:val="00FF5F65"/>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2C19"/>
    <w:pPr>
      <w:widowControl w:val="0"/>
    </w:pPr>
    <w:rPr>
      <w:sz w:val="26"/>
      <w:szCs w:val="26"/>
    </w:rPr>
  </w:style>
  <w:style w:type="paragraph" w:styleId="Heading5">
    <w:name w:val="heading 5"/>
    <w:basedOn w:val="Normal"/>
    <w:next w:val="Normal"/>
    <w:qFormat/>
    <w:rsid w:val="00B52C19"/>
    <w:pPr>
      <w:keepNext/>
      <w:widowControl/>
      <w:jc w:val="right"/>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30E4E"/>
    <w:pPr>
      <w:ind w:firstLine="720"/>
    </w:pPr>
    <w:rPr>
      <w:sz w:val="20"/>
      <w:szCs w:val="20"/>
    </w:rPr>
  </w:style>
  <w:style w:type="paragraph" w:styleId="Footer">
    <w:name w:val="footer"/>
    <w:basedOn w:val="Normal"/>
    <w:rsid w:val="00B52C19"/>
    <w:pPr>
      <w:tabs>
        <w:tab w:val="center" w:pos="4320"/>
        <w:tab w:val="right" w:pos="8640"/>
      </w:tabs>
    </w:pPr>
  </w:style>
  <w:style w:type="character" w:styleId="PageNumber">
    <w:name w:val="page number"/>
    <w:basedOn w:val="DefaultParagraphFont"/>
    <w:rsid w:val="00B52C19"/>
  </w:style>
  <w:style w:type="paragraph" w:styleId="Title">
    <w:name w:val="Title"/>
    <w:basedOn w:val="Normal"/>
    <w:qFormat/>
    <w:rsid w:val="00B52C19"/>
    <w:pPr>
      <w:widowControl/>
      <w:jc w:val="center"/>
    </w:pPr>
    <w:rPr>
      <w:b/>
    </w:rPr>
  </w:style>
  <w:style w:type="character" w:styleId="FootnoteReference">
    <w:name w:val="footnote reference"/>
    <w:basedOn w:val="DefaultParagraphFont"/>
    <w:rsid w:val="00842947"/>
    <w:rPr>
      <w:vertAlign w:val="superscript"/>
    </w:rPr>
  </w:style>
  <w:style w:type="paragraph" w:styleId="BalloonText">
    <w:name w:val="Balloon Text"/>
    <w:basedOn w:val="Normal"/>
    <w:link w:val="BalloonTextChar"/>
    <w:rsid w:val="00717758"/>
    <w:rPr>
      <w:rFonts w:ascii="Tahoma" w:hAnsi="Tahoma" w:cs="Tahoma"/>
      <w:sz w:val="16"/>
      <w:szCs w:val="16"/>
    </w:rPr>
  </w:style>
  <w:style w:type="character" w:customStyle="1" w:styleId="BalloonTextChar">
    <w:name w:val="Balloon Text Char"/>
    <w:basedOn w:val="DefaultParagraphFont"/>
    <w:link w:val="BalloonText"/>
    <w:rsid w:val="00717758"/>
    <w:rPr>
      <w:rFonts w:ascii="Tahoma" w:hAnsi="Tahoma" w:cs="Tahoma"/>
      <w:sz w:val="16"/>
      <w:szCs w:val="16"/>
    </w:rPr>
  </w:style>
  <w:style w:type="paragraph" w:styleId="EndnoteText">
    <w:name w:val="endnote text"/>
    <w:basedOn w:val="Normal"/>
    <w:link w:val="EndnoteTextChar"/>
    <w:rsid w:val="007226B3"/>
    <w:rPr>
      <w:sz w:val="20"/>
      <w:szCs w:val="20"/>
    </w:rPr>
  </w:style>
  <w:style w:type="character" w:customStyle="1" w:styleId="EndnoteTextChar">
    <w:name w:val="Endnote Text Char"/>
    <w:basedOn w:val="DefaultParagraphFont"/>
    <w:link w:val="EndnoteText"/>
    <w:rsid w:val="007226B3"/>
  </w:style>
  <w:style w:type="character" w:styleId="EndnoteReference">
    <w:name w:val="endnote reference"/>
    <w:basedOn w:val="DefaultParagraphFont"/>
    <w:rsid w:val="007226B3"/>
    <w:rPr>
      <w:vertAlign w:val="superscript"/>
    </w:rPr>
  </w:style>
  <w:style w:type="paragraph" w:styleId="ListParagraph">
    <w:name w:val="List Paragraph"/>
    <w:basedOn w:val="Normal"/>
    <w:uiPriority w:val="34"/>
    <w:qFormat/>
    <w:rsid w:val="00DE70AC"/>
    <w:pPr>
      <w:ind w:left="720"/>
      <w:contextualSpacing/>
    </w:pPr>
  </w:style>
  <w:style w:type="paragraph" w:styleId="NoSpacing">
    <w:name w:val="No Spacing"/>
    <w:uiPriority w:val="1"/>
    <w:qFormat/>
    <w:rsid w:val="004D7DDA"/>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2C19"/>
    <w:pPr>
      <w:widowControl w:val="0"/>
    </w:pPr>
    <w:rPr>
      <w:sz w:val="26"/>
      <w:szCs w:val="26"/>
    </w:rPr>
  </w:style>
  <w:style w:type="paragraph" w:styleId="Heading5">
    <w:name w:val="heading 5"/>
    <w:basedOn w:val="Normal"/>
    <w:next w:val="Normal"/>
    <w:qFormat/>
    <w:rsid w:val="00B52C19"/>
    <w:pPr>
      <w:keepNext/>
      <w:widowControl/>
      <w:jc w:val="right"/>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30E4E"/>
    <w:pPr>
      <w:ind w:firstLine="720"/>
    </w:pPr>
    <w:rPr>
      <w:sz w:val="20"/>
      <w:szCs w:val="20"/>
    </w:rPr>
  </w:style>
  <w:style w:type="paragraph" w:styleId="Footer">
    <w:name w:val="footer"/>
    <w:basedOn w:val="Normal"/>
    <w:rsid w:val="00B52C19"/>
    <w:pPr>
      <w:tabs>
        <w:tab w:val="center" w:pos="4320"/>
        <w:tab w:val="right" w:pos="8640"/>
      </w:tabs>
    </w:pPr>
  </w:style>
  <w:style w:type="character" w:styleId="PageNumber">
    <w:name w:val="page number"/>
    <w:basedOn w:val="DefaultParagraphFont"/>
    <w:rsid w:val="00B52C19"/>
  </w:style>
  <w:style w:type="paragraph" w:styleId="Title">
    <w:name w:val="Title"/>
    <w:basedOn w:val="Normal"/>
    <w:qFormat/>
    <w:rsid w:val="00B52C19"/>
    <w:pPr>
      <w:widowControl/>
      <w:jc w:val="center"/>
    </w:pPr>
    <w:rPr>
      <w:b/>
    </w:rPr>
  </w:style>
  <w:style w:type="character" w:styleId="FootnoteReference">
    <w:name w:val="footnote reference"/>
    <w:basedOn w:val="DefaultParagraphFont"/>
    <w:rsid w:val="00842947"/>
    <w:rPr>
      <w:vertAlign w:val="superscript"/>
    </w:rPr>
  </w:style>
  <w:style w:type="paragraph" w:styleId="BalloonText">
    <w:name w:val="Balloon Text"/>
    <w:basedOn w:val="Normal"/>
    <w:link w:val="BalloonTextChar"/>
    <w:rsid w:val="00717758"/>
    <w:rPr>
      <w:rFonts w:ascii="Tahoma" w:hAnsi="Tahoma" w:cs="Tahoma"/>
      <w:sz w:val="16"/>
      <w:szCs w:val="16"/>
    </w:rPr>
  </w:style>
  <w:style w:type="character" w:customStyle="1" w:styleId="BalloonTextChar">
    <w:name w:val="Balloon Text Char"/>
    <w:basedOn w:val="DefaultParagraphFont"/>
    <w:link w:val="BalloonText"/>
    <w:rsid w:val="00717758"/>
    <w:rPr>
      <w:rFonts w:ascii="Tahoma" w:hAnsi="Tahoma" w:cs="Tahoma"/>
      <w:sz w:val="16"/>
      <w:szCs w:val="16"/>
    </w:rPr>
  </w:style>
  <w:style w:type="paragraph" w:styleId="EndnoteText">
    <w:name w:val="endnote text"/>
    <w:basedOn w:val="Normal"/>
    <w:link w:val="EndnoteTextChar"/>
    <w:rsid w:val="007226B3"/>
    <w:rPr>
      <w:sz w:val="20"/>
      <w:szCs w:val="20"/>
    </w:rPr>
  </w:style>
  <w:style w:type="character" w:customStyle="1" w:styleId="EndnoteTextChar">
    <w:name w:val="Endnote Text Char"/>
    <w:basedOn w:val="DefaultParagraphFont"/>
    <w:link w:val="EndnoteText"/>
    <w:rsid w:val="007226B3"/>
  </w:style>
  <w:style w:type="character" w:styleId="EndnoteReference">
    <w:name w:val="endnote reference"/>
    <w:basedOn w:val="DefaultParagraphFont"/>
    <w:rsid w:val="007226B3"/>
    <w:rPr>
      <w:vertAlign w:val="superscript"/>
    </w:rPr>
  </w:style>
  <w:style w:type="paragraph" w:styleId="ListParagraph">
    <w:name w:val="List Paragraph"/>
    <w:basedOn w:val="Normal"/>
    <w:uiPriority w:val="34"/>
    <w:qFormat/>
    <w:rsid w:val="00DE70AC"/>
    <w:pPr>
      <w:ind w:left="720"/>
      <w:contextualSpacing/>
    </w:pPr>
  </w:style>
  <w:style w:type="paragraph" w:styleId="NoSpacing">
    <w:name w:val="No Spacing"/>
    <w:uiPriority w:val="1"/>
    <w:qFormat/>
    <w:rsid w:val="004D7DDA"/>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463551">
      <w:bodyDiv w:val="1"/>
      <w:marLeft w:val="0"/>
      <w:marRight w:val="0"/>
      <w:marTop w:val="0"/>
      <w:marBottom w:val="0"/>
      <w:divBdr>
        <w:top w:val="none" w:sz="0" w:space="0" w:color="auto"/>
        <w:left w:val="none" w:sz="0" w:space="0" w:color="auto"/>
        <w:bottom w:val="none" w:sz="0" w:space="0" w:color="auto"/>
        <w:right w:val="none" w:sz="0" w:space="0" w:color="auto"/>
      </w:divBdr>
    </w:div>
    <w:div w:id="186247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65B00-C9F3-41C7-BC43-4090A11F9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24</Pages>
  <Words>6958</Words>
  <Characters>39667</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46532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Bert Marinko</dc:creator>
  <cp:lastModifiedBy>Farner, Joyce</cp:lastModifiedBy>
  <cp:revision>6</cp:revision>
  <cp:lastPrinted>2012-04-12T16:09:00Z</cp:lastPrinted>
  <dcterms:created xsi:type="dcterms:W3CDTF">2012-04-02T18:09:00Z</dcterms:created>
  <dcterms:modified xsi:type="dcterms:W3CDTF">2012-04-12T16:09:00Z</dcterms:modified>
</cp:coreProperties>
</file>