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BF9" w:rsidRDefault="0018400B" w:rsidP="00FD1DAD">
      <w:pPr>
        <w:tabs>
          <w:tab w:val="center" w:pos="4680"/>
        </w:tabs>
        <w:suppressAutoHyphens/>
        <w:jc w:val="center"/>
        <w:rPr>
          <w:b/>
        </w:rPr>
      </w:pPr>
      <w:r>
        <w:rPr>
          <w:b/>
        </w:rPr>
        <w:t xml:space="preserve"> </w:t>
      </w:r>
      <w:r w:rsidR="00EB6BF9">
        <w:rPr>
          <w:b/>
        </w:rPr>
        <w:t>PENNSYLVANIA</w:t>
      </w:r>
    </w:p>
    <w:p w:rsidR="00EB6BF9" w:rsidRDefault="00EB6BF9" w:rsidP="00FD1DAD">
      <w:pPr>
        <w:tabs>
          <w:tab w:val="center" w:pos="4680"/>
        </w:tabs>
        <w:suppressAutoHyphens/>
        <w:jc w:val="center"/>
      </w:pPr>
      <w:r>
        <w:rPr>
          <w:b/>
        </w:rPr>
        <w:t>PUBLIC UTILITY COMMISSION</w:t>
      </w:r>
    </w:p>
    <w:p w:rsidR="00EB6BF9" w:rsidRDefault="00EB6BF9" w:rsidP="00FD1DAD">
      <w:pPr>
        <w:tabs>
          <w:tab w:val="center" w:pos="4680"/>
        </w:tabs>
        <w:suppressAutoHyphens/>
        <w:jc w:val="center"/>
      </w:pPr>
      <w:r>
        <w:rPr>
          <w:b/>
        </w:rPr>
        <w:t>Harrisburg, P</w:t>
      </w:r>
      <w:r w:rsidR="00CC767E">
        <w:rPr>
          <w:b/>
        </w:rPr>
        <w:t>A</w:t>
      </w:r>
      <w:r>
        <w:rPr>
          <w:b/>
        </w:rPr>
        <w:t xml:space="preserve"> 17105-3265</w:t>
      </w:r>
    </w:p>
    <w:p w:rsidR="00EB6BF9" w:rsidRDefault="00EB6BF9" w:rsidP="00FD1DAD">
      <w:pPr>
        <w:tabs>
          <w:tab w:val="left" w:pos="-720"/>
        </w:tabs>
        <w:suppressAutoHyphens/>
      </w:pPr>
    </w:p>
    <w:tbl>
      <w:tblPr>
        <w:tblW w:w="0" w:type="auto"/>
        <w:tblLook w:val="04A0" w:firstRow="1" w:lastRow="0" w:firstColumn="1" w:lastColumn="0" w:noHBand="0" w:noVBand="1"/>
      </w:tblPr>
      <w:tblGrid>
        <w:gridCol w:w="5058"/>
        <w:gridCol w:w="4428"/>
      </w:tblGrid>
      <w:tr w:rsidR="00B310BA" w:rsidTr="00754576">
        <w:tc>
          <w:tcPr>
            <w:tcW w:w="5058" w:type="dxa"/>
            <w:shd w:val="clear" w:color="auto" w:fill="auto"/>
          </w:tcPr>
          <w:p w:rsidR="00B310BA" w:rsidRDefault="00B310BA" w:rsidP="00FD1DAD"/>
        </w:tc>
        <w:tc>
          <w:tcPr>
            <w:tcW w:w="4428" w:type="dxa"/>
            <w:shd w:val="clear" w:color="auto" w:fill="auto"/>
          </w:tcPr>
          <w:p w:rsidR="00B310BA" w:rsidRDefault="00B310BA" w:rsidP="00754576">
            <w:pPr>
              <w:jc w:val="right"/>
            </w:pPr>
            <w:r>
              <w:t xml:space="preserve">Public Meeting held </w:t>
            </w:r>
            <w:r w:rsidR="007F608C">
              <w:t>March 29</w:t>
            </w:r>
            <w:r w:rsidR="0085581B">
              <w:t>, 201</w:t>
            </w:r>
            <w:r w:rsidR="00EA3597">
              <w:t>2</w:t>
            </w:r>
          </w:p>
          <w:p w:rsidR="00B310BA" w:rsidRDefault="00B310BA" w:rsidP="00754576">
            <w:pPr>
              <w:jc w:val="right"/>
            </w:pPr>
          </w:p>
          <w:p w:rsidR="00B310BA" w:rsidRDefault="00B310BA" w:rsidP="00754576">
            <w:pPr>
              <w:jc w:val="right"/>
            </w:pPr>
          </w:p>
        </w:tc>
      </w:tr>
      <w:tr w:rsidR="004D5B79" w:rsidTr="00B4455F">
        <w:tc>
          <w:tcPr>
            <w:tcW w:w="9486" w:type="dxa"/>
            <w:gridSpan w:val="2"/>
            <w:shd w:val="clear" w:color="auto" w:fill="auto"/>
          </w:tcPr>
          <w:p w:rsidR="004D5B79" w:rsidRDefault="004D5B79" w:rsidP="00FD1DAD">
            <w:r>
              <w:t>Commissioners Present:</w:t>
            </w:r>
          </w:p>
          <w:p w:rsidR="004D5B79" w:rsidRDefault="004D5B79" w:rsidP="00FD1DAD"/>
          <w:p w:rsidR="004D5B79" w:rsidRDefault="004D5B79" w:rsidP="00754576">
            <w:pPr>
              <w:tabs>
                <w:tab w:val="left" w:pos="705"/>
              </w:tabs>
              <w:ind w:firstLine="720"/>
            </w:pPr>
            <w:r>
              <w:t>Robert F. Powelson, Chairman</w:t>
            </w:r>
          </w:p>
          <w:p w:rsidR="004D5B79" w:rsidRDefault="004D5B79" w:rsidP="00754576">
            <w:pPr>
              <w:tabs>
                <w:tab w:val="left" w:pos="705"/>
              </w:tabs>
              <w:ind w:firstLine="720"/>
            </w:pPr>
            <w:r>
              <w:t>John F. Coleman, Jr., Vice Chairman, Concurring in result only</w:t>
            </w:r>
          </w:p>
          <w:p w:rsidR="004D5B79" w:rsidRDefault="004D5B79" w:rsidP="00754576">
            <w:pPr>
              <w:tabs>
                <w:tab w:val="left" w:pos="705"/>
              </w:tabs>
              <w:ind w:firstLine="720"/>
            </w:pPr>
            <w:r>
              <w:t>Wayne E. Gardner</w:t>
            </w:r>
          </w:p>
          <w:p w:rsidR="004D5B79" w:rsidRDefault="004D5B79" w:rsidP="00754576">
            <w:pPr>
              <w:tabs>
                <w:tab w:val="left" w:pos="705"/>
              </w:tabs>
              <w:ind w:firstLine="720"/>
            </w:pPr>
            <w:r>
              <w:t>James H. Cawley</w:t>
            </w:r>
          </w:p>
          <w:p w:rsidR="004D5B79" w:rsidRDefault="004D5B79" w:rsidP="00754576">
            <w:pPr>
              <w:tabs>
                <w:tab w:val="left" w:pos="705"/>
              </w:tabs>
              <w:ind w:firstLine="720"/>
            </w:pPr>
            <w:r>
              <w:t>Pamela A. Witmer</w:t>
            </w:r>
          </w:p>
          <w:p w:rsidR="004D5B79" w:rsidRDefault="004D5B79" w:rsidP="00754576">
            <w:pPr>
              <w:tabs>
                <w:tab w:val="left" w:pos="705"/>
              </w:tabs>
              <w:ind w:firstLine="720"/>
            </w:pPr>
          </w:p>
          <w:p w:rsidR="004D5B79" w:rsidRDefault="004D5B79" w:rsidP="00754576">
            <w:pPr>
              <w:jc w:val="right"/>
            </w:pPr>
          </w:p>
          <w:p w:rsidR="004D5B79" w:rsidRDefault="004D5B79" w:rsidP="00754576">
            <w:pPr>
              <w:jc w:val="right"/>
            </w:pPr>
          </w:p>
        </w:tc>
      </w:tr>
      <w:tr w:rsidR="00B310BA" w:rsidTr="00754576">
        <w:tc>
          <w:tcPr>
            <w:tcW w:w="5058" w:type="dxa"/>
            <w:shd w:val="clear" w:color="auto" w:fill="auto"/>
          </w:tcPr>
          <w:p w:rsidR="00B310BA" w:rsidRDefault="007F608C" w:rsidP="00B310BA">
            <w:r>
              <w:t>Roy Winston</w:t>
            </w:r>
          </w:p>
          <w:p w:rsidR="00B310BA" w:rsidRDefault="00B310BA" w:rsidP="00B310BA"/>
        </w:tc>
        <w:tc>
          <w:tcPr>
            <w:tcW w:w="4428" w:type="dxa"/>
            <w:shd w:val="clear" w:color="auto" w:fill="auto"/>
          </w:tcPr>
          <w:p w:rsidR="00B310BA" w:rsidRDefault="0085581B" w:rsidP="007F608C">
            <w:pPr>
              <w:jc w:val="right"/>
            </w:pPr>
            <w:r>
              <w:t xml:space="preserve">  C-201</w:t>
            </w:r>
            <w:r w:rsidR="00EA3597">
              <w:t>0</w:t>
            </w:r>
            <w:r>
              <w:t>-2</w:t>
            </w:r>
            <w:r w:rsidR="00EA3597">
              <w:t>1</w:t>
            </w:r>
            <w:r w:rsidR="007F608C">
              <w:t>81504</w:t>
            </w:r>
          </w:p>
        </w:tc>
      </w:tr>
      <w:tr w:rsidR="00B310BA" w:rsidTr="00754576">
        <w:tc>
          <w:tcPr>
            <w:tcW w:w="5058" w:type="dxa"/>
            <w:shd w:val="clear" w:color="auto" w:fill="auto"/>
          </w:tcPr>
          <w:p w:rsidR="00B310BA" w:rsidRDefault="00B310BA" w:rsidP="0085581B">
            <w:pPr>
              <w:ind w:firstLine="720"/>
            </w:pPr>
            <w:r>
              <w:t>v.</w:t>
            </w:r>
            <w:r w:rsidR="0085581B">
              <w:t xml:space="preserve"> </w:t>
            </w:r>
          </w:p>
          <w:p w:rsidR="00B310BA" w:rsidRDefault="00B310BA" w:rsidP="00754576">
            <w:pPr>
              <w:ind w:firstLine="1440"/>
            </w:pPr>
          </w:p>
        </w:tc>
        <w:tc>
          <w:tcPr>
            <w:tcW w:w="4428" w:type="dxa"/>
            <w:shd w:val="clear" w:color="auto" w:fill="auto"/>
          </w:tcPr>
          <w:p w:rsidR="00B310BA" w:rsidRDefault="00B310BA" w:rsidP="00FD1DAD"/>
        </w:tc>
      </w:tr>
      <w:tr w:rsidR="00B310BA" w:rsidTr="00754576">
        <w:tc>
          <w:tcPr>
            <w:tcW w:w="5058" w:type="dxa"/>
            <w:shd w:val="clear" w:color="auto" w:fill="auto"/>
          </w:tcPr>
          <w:p w:rsidR="00B310BA" w:rsidRDefault="0085581B" w:rsidP="007F608C">
            <w:r>
              <w:t>P</w:t>
            </w:r>
            <w:r w:rsidR="007F608C">
              <w:t xml:space="preserve">hiladelphia Gas Works </w:t>
            </w:r>
            <w:r w:rsidR="00EA3597">
              <w:t xml:space="preserve"> </w:t>
            </w:r>
          </w:p>
        </w:tc>
        <w:tc>
          <w:tcPr>
            <w:tcW w:w="4428" w:type="dxa"/>
            <w:shd w:val="clear" w:color="auto" w:fill="auto"/>
          </w:tcPr>
          <w:p w:rsidR="00B310BA" w:rsidRDefault="00B310BA" w:rsidP="00FD1DAD"/>
        </w:tc>
      </w:tr>
    </w:tbl>
    <w:p w:rsidR="00390EC5" w:rsidRDefault="00390EC5" w:rsidP="001D35D3">
      <w:pPr>
        <w:spacing w:line="360" w:lineRule="auto"/>
      </w:pPr>
    </w:p>
    <w:p w:rsidR="00EB6BF9" w:rsidRPr="00B71BBD" w:rsidRDefault="00EB6BF9" w:rsidP="001D35D3">
      <w:pPr>
        <w:spacing w:line="360" w:lineRule="auto"/>
        <w:jc w:val="center"/>
        <w:rPr>
          <w:b/>
        </w:rPr>
      </w:pPr>
      <w:r w:rsidRPr="00B71BBD">
        <w:rPr>
          <w:b/>
        </w:rPr>
        <w:t xml:space="preserve">OPINION </w:t>
      </w:r>
      <w:smartTag w:uri="urn:schemas-microsoft-com:office:smarttags" w:element="stockticker">
        <w:r w:rsidRPr="00B71BBD">
          <w:rPr>
            <w:b/>
          </w:rPr>
          <w:t>AND</w:t>
        </w:r>
      </w:smartTag>
      <w:r w:rsidRPr="00B71BBD">
        <w:rPr>
          <w:b/>
        </w:rPr>
        <w:t xml:space="preserve"> ORDER</w:t>
      </w:r>
    </w:p>
    <w:p w:rsidR="00EB6BF9" w:rsidRDefault="00EB6BF9" w:rsidP="001D35D3">
      <w:pPr>
        <w:spacing w:line="360" w:lineRule="auto"/>
        <w:jc w:val="center"/>
        <w:rPr>
          <w:b/>
        </w:rPr>
      </w:pPr>
    </w:p>
    <w:p w:rsidR="00EB6BF9" w:rsidRDefault="00EB6BF9" w:rsidP="001D35D3">
      <w:pPr>
        <w:spacing w:line="360" w:lineRule="auto"/>
        <w:rPr>
          <w:b/>
        </w:rPr>
      </w:pPr>
      <w:r>
        <w:rPr>
          <w:b/>
        </w:rPr>
        <w:t>BY THE COMMISSION:</w:t>
      </w:r>
    </w:p>
    <w:p w:rsidR="00EB6BF9" w:rsidRDefault="00EB6BF9" w:rsidP="001D35D3">
      <w:pPr>
        <w:spacing w:line="360" w:lineRule="auto"/>
      </w:pPr>
    </w:p>
    <w:p w:rsidR="00EB6BF9" w:rsidRDefault="00EB6BF9" w:rsidP="00AB3812">
      <w:pPr>
        <w:spacing w:line="360" w:lineRule="auto"/>
        <w:ind w:firstLine="1440"/>
      </w:pPr>
      <w:r>
        <w:t xml:space="preserve">Before </w:t>
      </w:r>
      <w:r w:rsidR="00777A50">
        <w:t>the Pennsylvania Public Utility Commission (Commission)</w:t>
      </w:r>
      <w:r w:rsidR="002B09C9">
        <w:t xml:space="preserve"> for considera</w:t>
      </w:r>
      <w:r w:rsidR="00C72F29">
        <w:t>tion</w:t>
      </w:r>
      <w:r w:rsidR="002B09C9">
        <w:t xml:space="preserve"> </w:t>
      </w:r>
      <w:r w:rsidR="00777A50">
        <w:t xml:space="preserve">and disposition </w:t>
      </w:r>
      <w:r w:rsidR="00F62310">
        <w:t xml:space="preserve">is the </w:t>
      </w:r>
      <w:r>
        <w:t xml:space="preserve">Initial Decision </w:t>
      </w:r>
      <w:r w:rsidR="00BA6B58">
        <w:t xml:space="preserve">(I.D.) </w:t>
      </w:r>
      <w:r>
        <w:t>of Administrative Law Ju</w:t>
      </w:r>
      <w:r w:rsidR="00A966A7">
        <w:t xml:space="preserve">dge </w:t>
      </w:r>
      <w:r w:rsidR="006F7173">
        <w:t>(ALJ)</w:t>
      </w:r>
      <w:r w:rsidR="0085581B">
        <w:t xml:space="preserve"> </w:t>
      </w:r>
      <w:r w:rsidR="007F608C">
        <w:t>Angela T. Jones</w:t>
      </w:r>
      <w:r w:rsidR="006F7173">
        <w:t xml:space="preserve">, issued on </w:t>
      </w:r>
      <w:r w:rsidR="00012511">
        <w:t>February 10</w:t>
      </w:r>
      <w:r w:rsidR="0085581B">
        <w:t>, 201</w:t>
      </w:r>
      <w:r w:rsidR="00012511">
        <w:t>2</w:t>
      </w:r>
      <w:r>
        <w:t>, in t</w:t>
      </w:r>
      <w:r w:rsidR="00F62310">
        <w:t>he above-captioned proceeding.</w:t>
      </w:r>
      <w:r w:rsidR="002B09C9">
        <w:t xml:space="preserve">  The Initial Decision </w:t>
      </w:r>
      <w:r w:rsidR="003E6531">
        <w:t xml:space="preserve">dismissed the </w:t>
      </w:r>
      <w:r w:rsidR="006F6B86">
        <w:t xml:space="preserve">Formal </w:t>
      </w:r>
      <w:r w:rsidR="003E6531">
        <w:t xml:space="preserve">Complaint </w:t>
      </w:r>
      <w:r w:rsidR="006F6B86">
        <w:t xml:space="preserve">(Complaint) </w:t>
      </w:r>
      <w:r w:rsidR="003E6531">
        <w:t xml:space="preserve">filed by </w:t>
      </w:r>
      <w:r w:rsidR="00C6448A">
        <w:t>Roy Winston</w:t>
      </w:r>
      <w:r w:rsidR="003E6531">
        <w:t xml:space="preserve"> </w:t>
      </w:r>
      <w:r w:rsidR="006F6B86">
        <w:t xml:space="preserve">(Complainant) </w:t>
      </w:r>
      <w:r w:rsidR="003E6531">
        <w:t xml:space="preserve">against </w:t>
      </w:r>
      <w:r w:rsidR="00BA7B4B">
        <w:t>P</w:t>
      </w:r>
      <w:r w:rsidR="00C6448A">
        <w:t>hiladelphia</w:t>
      </w:r>
      <w:r w:rsidR="00BA7B4B">
        <w:t xml:space="preserve"> Gas </w:t>
      </w:r>
      <w:r w:rsidR="00C6448A">
        <w:t>Works</w:t>
      </w:r>
      <w:r w:rsidR="00BA7B4B">
        <w:t xml:space="preserve"> (</w:t>
      </w:r>
      <w:r w:rsidR="00C6448A">
        <w:t>PGW</w:t>
      </w:r>
      <w:r w:rsidR="00BA7B4B">
        <w:t>)</w:t>
      </w:r>
      <w:r w:rsidR="00C6448A">
        <w:t xml:space="preserve"> based on the doctrine of </w:t>
      </w:r>
      <w:r w:rsidR="00C6448A">
        <w:rPr>
          <w:i/>
        </w:rPr>
        <w:t>res judicata</w:t>
      </w:r>
      <w:r w:rsidR="0009643C">
        <w:t>.</w:t>
      </w:r>
      <w:r w:rsidR="00BA7B4B">
        <w:t xml:space="preserve">  </w:t>
      </w:r>
      <w:r w:rsidR="000421EA">
        <w:t>No Exceptions were filed.  However, w</w:t>
      </w:r>
      <w:r w:rsidR="002B09C9">
        <w:t>e exercised our right to review the Initial Decision pursuant to Section 332(h) of the Public Utility Code</w:t>
      </w:r>
      <w:r w:rsidR="00C860B6">
        <w:t xml:space="preserve"> (Code)</w:t>
      </w:r>
      <w:r w:rsidR="002B09C9">
        <w:t xml:space="preserve">, 66 Pa. C.S. § 332(h).  For the </w:t>
      </w:r>
      <w:r w:rsidR="00662106">
        <w:t>reasons stated below, we</w:t>
      </w:r>
      <w:r w:rsidR="00025BCA">
        <w:t xml:space="preserve"> shall modify the Initial Decision, consistent with this Opinion and Order.</w:t>
      </w:r>
      <w:r w:rsidR="0051079C">
        <w:t xml:space="preserve">  </w:t>
      </w:r>
      <w:r w:rsidR="00025BCA">
        <w:t xml:space="preserve">  </w:t>
      </w:r>
      <w:r w:rsidR="00662106">
        <w:t xml:space="preserve"> </w:t>
      </w:r>
    </w:p>
    <w:p w:rsidR="007A0226" w:rsidRDefault="007A0226" w:rsidP="007F3800">
      <w:pPr>
        <w:spacing w:line="360" w:lineRule="auto"/>
      </w:pPr>
    </w:p>
    <w:p w:rsidR="00EB6BF9" w:rsidRPr="00117773" w:rsidRDefault="00EB6BF9" w:rsidP="007F3800">
      <w:pPr>
        <w:spacing w:line="360" w:lineRule="auto"/>
        <w:jc w:val="center"/>
        <w:rPr>
          <w:b/>
        </w:rPr>
      </w:pPr>
      <w:bookmarkStart w:id="0" w:name="OLE_LINK1"/>
      <w:bookmarkStart w:id="1" w:name="OLE_LINK2"/>
      <w:r w:rsidRPr="00117773">
        <w:rPr>
          <w:b/>
        </w:rPr>
        <w:t>History of the Proceeding</w:t>
      </w:r>
    </w:p>
    <w:bookmarkEnd w:id="0"/>
    <w:bookmarkEnd w:id="1"/>
    <w:p w:rsidR="00EB6A77" w:rsidRDefault="00EB6A77" w:rsidP="007F3800">
      <w:pPr>
        <w:tabs>
          <w:tab w:val="left" w:pos="2160"/>
        </w:tabs>
        <w:spacing w:line="360" w:lineRule="auto"/>
        <w:ind w:firstLine="1440"/>
        <w:rPr>
          <w:sz w:val="24"/>
          <w:szCs w:val="24"/>
        </w:rPr>
      </w:pPr>
    </w:p>
    <w:p w:rsidR="00EB6A77" w:rsidRDefault="00EB6A77" w:rsidP="007F3800">
      <w:pPr>
        <w:tabs>
          <w:tab w:val="left" w:pos="2160"/>
        </w:tabs>
        <w:spacing w:line="360" w:lineRule="auto"/>
        <w:ind w:firstLine="1440"/>
        <w:rPr>
          <w:szCs w:val="24"/>
        </w:rPr>
      </w:pPr>
      <w:r w:rsidRPr="00EB6A77">
        <w:rPr>
          <w:szCs w:val="24"/>
        </w:rPr>
        <w:t xml:space="preserve">On June 1, 2010, </w:t>
      </w:r>
      <w:r w:rsidR="0031502B">
        <w:rPr>
          <w:szCs w:val="24"/>
        </w:rPr>
        <w:t xml:space="preserve">the </w:t>
      </w:r>
      <w:r w:rsidRPr="00EB6A77">
        <w:rPr>
          <w:szCs w:val="24"/>
        </w:rPr>
        <w:t>Complainant</w:t>
      </w:r>
      <w:r w:rsidR="0031502B">
        <w:rPr>
          <w:szCs w:val="24"/>
        </w:rPr>
        <w:t xml:space="preserve"> </w:t>
      </w:r>
      <w:r w:rsidRPr="00EB6A77">
        <w:rPr>
          <w:szCs w:val="24"/>
        </w:rPr>
        <w:t>filed a Complaint against PGW</w:t>
      </w:r>
      <w:r w:rsidR="0031502B">
        <w:rPr>
          <w:szCs w:val="24"/>
        </w:rPr>
        <w:t>, alleging</w:t>
      </w:r>
      <w:r w:rsidRPr="00EB6A77">
        <w:rPr>
          <w:szCs w:val="24"/>
        </w:rPr>
        <w:t xml:space="preserve"> </w:t>
      </w:r>
      <w:r w:rsidR="0031502B">
        <w:rPr>
          <w:szCs w:val="24"/>
        </w:rPr>
        <w:t>in</w:t>
      </w:r>
      <w:r w:rsidRPr="00EB6A77">
        <w:rPr>
          <w:szCs w:val="24"/>
        </w:rPr>
        <w:t>correct charges on his PGW gas bill for his property at 3029 Germantown Avenue, Philadelphia, P</w:t>
      </w:r>
      <w:r w:rsidR="0031502B">
        <w:rPr>
          <w:szCs w:val="24"/>
        </w:rPr>
        <w:t>ennsylvania</w:t>
      </w:r>
      <w:r w:rsidRPr="00EB6A77">
        <w:rPr>
          <w:szCs w:val="24"/>
        </w:rPr>
        <w:t xml:space="preserve"> (service address).  </w:t>
      </w:r>
      <w:r w:rsidR="0031502B">
        <w:rPr>
          <w:szCs w:val="24"/>
        </w:rPr>
        <w:t xml:space="preserve">The </w:t>
      </w:r>
      <w:r w:rsidRPr="00EB6A77">
        <w:rPr>
          <w:szCs w:val="24"/>
        </w:rPr>
        <w:t xml:space="preserve">Complainant requested an investigation into the amount owed for billed gas service at the service address and whether he should be billed as a residential or commercial </w:t>
      </w:r>
      <w:r w:rsidR="0031502B">
        <w:rPr>
          <w:szCs w:val="24"/>
        </w:rPr>
        <w:t>customer</w:t>
      </w:r>
      <w:r w:rsidRPr="00EB6A77">
        <w:rPr>
          <w:szCs w:val="24"/>
        </w:rPr>
        <w:t xml:space="preserve">.  </w:t>
      </w:r>
    </w:p>
    <w:p w:rsidR="0031502B" w:rsidRPr="00EB6A77" w:rsidRDefault="0031502B" w:rsidP="007F3800">
      <w:pPr>
        <w:tabs>
          <w:tab w:val="left" w:pos="2160"/>
        </w:tabs>
        <w:spacing w:line="360" w:lineRule="auto"/>
        <w:ind w:firstLine="1440"/>
        <w:rPr>
          <w:szCs w:val="24"/>
        </w:rPr>
      </w:pPr>
    </w:p>
    <w:p w:rsidR="00EB6A77" w:rsidRPr="00EB6A77" w:rsidRDefault="00EB6A77" w:rsidP="007F3800">
      <w:pPr>
        <w:tabs>
          <w:tab w:val="left" w:pos="2160"/>
        </w:tabs>
        <w:overflowPunct/>
        <w:autoSpaceDE/>
        <w:autoSpaceDN/>
        <w:adjustRightInd/>
        <w:spacing w:line="360" w:lineRule="auto"/>
        <w:ind w:firstLine="1440"/>
        <w:textAlignment w:val="auto"/>
        <w:rPr>
          <w:szCs w:val="24"/>
        </w:rPr>
      </w:pPr>
      <w:r w:rsidRPr="00EB6A77">
        <w:rPr>
          <w:szCs w:val="24"/>
        </w:rPr>
        <w:t>On June 21, 2010, PGW filed an Answer</w:t>
      </w:r>
      <w:r w:rsidR="0031502B">
        <w:rPr>
          <w:szCs w:val="24"/>
        </w:rPr>
        <w:t xml:space="preserve"> in which it </w:t>
      </w:r>
      <w:r w:rsidRPr="00EB6A77">
        <w:rPr>
          <w:szCs w:val="24"/>
        </w:rPr>
        <w:t>denied that</w:t>
      </w:r>
      <w:r w:rsidR="0031502B">
        <w:rPr>
          <w:szCs w:val="24"/>
        </w:rPr>
        <w:t xml:space="preserve"> the</w:t>
      </w:r>
      <w:r w:rsidRPr="00EB6A77">
        <w:rPr>
          <w:szCs w:val="24"/>
        </w:rPr>
        <w:t xml:space="preserve"> Complainant was incorrectly billed.  PGW </w:t>
      </w:r>
      <w:r w:rsidR="0031502B">
        <w:rPr>
          <w:szCs w:val="24"/>
        </w:rPr>
        <w:t>state</w:t>
      </w:r>
      <w:r w:rsidRPr="00EB6A77">
        <w:rPr>
          <w:szCs w:val="24"/>
        </w:rPr>
        <w:t xml:space="preserve">d that the Complainant’s service address </w:t>
      </w:r>
      <w:r w:rsidR="0031502B">
        <w:rPr>
          <w:szCs w:val="24"/>
        </w:rPr>
        <w:t>wa</w:t>
      </w:r>
      <w:r w:rsidRPr="00EB6A77">
        <w:rPr>
          <w:szCs w:val="24"/>
        </w:rPr>
        <w:t xml:space="preserve">s listed at a commercial rate.  PGW </w:t>
      </w:r>
      <w:r w:rsidR="0031502B">
        <w:rPr>
          <w:szCs w:val="24"/>
        </w:rPr>
        <w:t>further stated</w:t>
      </w:r>
      <w:r w:rsidRPr="00EB6A77">
        <w:rPr>
          <w:szCs w:val="24"/>
        </w:rPr>
        <w:t xml:space="preserve"> that </w:t>
      </w:r>
      <w:r w:rsidR="0031502B">
        <w:rPr>
          <w:szCs w:val="24"/>
        </w:rPr>
        <w:t xml:space="preserve">the </w:t>
      </w:r>
      <w:r w:rsidRPr="00EB6A77">
        <w:rPr>
          <w:szCs w:val="24"/>
        </w:rPr>
        <w:t xml:space="preserve">Complainant was erroneously enrolled in a customer assistance program (CAP) because the mixed use of </w:t>
      </w:r>
      <w:r w:rsidR="0031502B">
        <w:rPr>
          <w:szCs w:val="24"/>
        </w:rPr>
        <w:t xml:space="preserve">a </w:t>
      </w:r>
      <w:r w:rsidRPr="00EB6A77">
        <w:rPr>
          <w:szCs w:val="24"/>
        </w:rPr>
        <w:t>residence, pool hall</w:t>
      </w:r>
      <w:r w:rsidR="0031502B">
        <w:rPr>
          <w:szCs w:val="24"/>
        </w:rPr>
        <w:t>,</w:t>
      </w:r>
      <w:r w:rsidRPr="00EB6A77">
        <w:rPr>
          <w:szCs w:val="24"/>
        </w:rPr>
        <w:t xml:space="preserve"> and grocery store disqualifie</w:t>
      </w:r>
      <w:r w:rsidR="0031502B">
        <w:rPr>
          <w:szCs w:val="24"/>
        </w:rPr>
        <w:t>d</w:t>
      </w:r>
      <w:r w:rsidRPr="00EB6A77">
        <w:rPr>
          <w:szCs w:val="24"/>
        </w:rPr>
        <w:t xml:space="preserve"> the service address fr</w:t>
      </w:r>
      <w:r w:rsidR="0031502B">
        <w:rPr>
          <w:szCs w:val="24"/>
        </w:rPr>
        <w:t>om</w:t>
      </w:r>
      <w:r w:rsidRPr="00EB6A77">
        <w:rPr>
          <w:szCs w:val="24"/>
        </w:rPr>
        <w:t xml:space="preserve"> enrollment in CAP.</w:t>
      </w:r>
      <w:r w:rsidRPr="00EB6A77">
        <w:rPr>
          <w:szCs w:val="24"/>
          <w:vertAlign w:val="superscript"/>
        </w:rPr>
        <w:footnoteReference w:id="1"/>
      </w:r>
      <w:r w:rsidR="00212A82">
        <w:rPr>
          <w:szCs w:val="24"/>
        </w:rPr>
        <w:t xml:space="preserve">  </w:t>
      </w:r>
      <w:r w:rsidRPr="00EB6A77">
        <w:rPr>
          <w:szCs w:val="24"/>
        </w:rPr>
        <w:t xml:space="preserve">PGW </w:t>
      </w:r>
      <w:r w:rsidR="00212A82">
        <w:rPr>
          <w:szCs w:val="24"/>
        </w:rPr>
        <w:t xml:space="preserve">explained that, while it </w:t>
      </w:r>
      <w:r w:rsidRPr="00EB6A77">
        <w:rPr>
          <w:szCs w:val="24"/>
        </w:rPr>
        <w:t>was at the service address on January 21, 2009, for a service order for a heater</w:t>
      </w:r>
      <w:r w:rsidR="00212A82">
        <w:rPr>
          <w:szCs w:val="24"/>
        </w:rPr>
        <w:t>,</w:t>
      </w:r>
      <w:r w:rsidRPr="00EB6A77">
        <w:rPr>
          <w:szCs w:val="24"/>
        </w:rPr>
        <w:t xml:space="preserve"> </w:t>
      </w:r>
      <w:r w:rsidR="00212A82">
        <w:rPr>
          <w:szCs w:val="24"/>
        </w:rPr>
        <w:t xml:space="preserve">it </w:t>
      </w:r>
      <w:r w:rsidRPr="00EB6A77">
        <w:rPr>
          <w:szCs w:val="24"/>
        </w:rPr>
        <w:t xml:space="preserve">discovered a pool hall and a grocery store on the premises.  </w:t>
      </w:r>
      <w:r w:rsidR="00212A82">
        <w:rPr>
          <w:szCs w:val="24"/>
        </w:rPr>
        <w:t>As a result</w:t>
      </w:r>
      <w:r w:rsidRPr="00EB6A77">
        <w:rPr>
          <w:szCs w:val="24"/>
        </w:rPr>
        <w:t xml:space="preserve">, on January 21, 2009, PGW made the Complainant’s status in the Company’s CAP inactive due to the mixed residential and commercial use of the service account.  </w:t>
      </w:r>
    </w:p>
    <w:p w:rsidR="00212A82" w:rsidRDefault="00212A82" w:rsidP="007F3800">
      <w:pPr>
        <w:tabs>
          <w:tab w:val="left" w:pos="2160"/>
        </w:tabs>
        <w:overflowPunct/>
        <w:autoSpaceDE/>
        <w:autoSpaceDN/>
        <w:adjustRightInd/>
        <w:spacing w:line="360" w:lineRule="auto"/>
        <w:ind w:firstLine="1440"/>
        <w:textAlignment w:val="auto"/>
        <w:rPr>
          <w:szCs w:val="24"/>
        </w:rPr>
      </w:pPr>
    </w:p>
    <w:p w:rsidR="00EB6A77" w:rsidRPr="00EB6A77" w:rsidRDefault="00EB6A77" w:rsidP="007F3800">
      <w:pPr>
        <w:tabs>
          <w:tab w:val="left" w:pos="2160"/>
        </w:tabs>
        <w:overflowPunct/>
        <w:autoSpaceDE/>
        <w:autoSpaceDN/>
        <w:adjustRightInd/>
        <w:spacing w:line="360" w:lineRule="auto"/>
        <w:ind w:firstLine="1440"/>
        <w:textAlignment w:val="auto"/>
        <w:rPr>
          <w:szCs w:val="24"/>
        </w:rPr>
      </w:pPr>
      <w:r w:rsidRPr="00EB6A77">
        <w:rPr>
          <w:szCs w:val="24"/>
        </w:rPr>
        <w:t xml:space="preserve">On April 7, 2011, PGW filed a Motion to Consolidate this </w:t>
      </w:r>
      <w:r w:rsidR="00F416F7">
        <w:rPr>
          <w:szCs w:val="24"/>
        </w:rPr>
        <w:t>C</w:t>
      </w:r>
      <w:r w:rsidRPr="00EB6A77">
        <w:rPr>
          <w:szCs w:val="24"/>
        </w:rPr>
        <w:t xml:space="preserve">omplaint with </w:t>
      </w:r>
      <w:r w:rsidRPr="00EB6A77">
        <w:rPr>
          <w:i/>
          <w:szCs w:val="24"/>
        </w:rPr>
        <w:t>Winston v. Philadelphia Gas Works</w:t>
      </w:r>
      <w:r w:rsidRPr="00EB6A77">
        <w:rPr>
          <w:szCs w:val="24"/>
        </w:rPr>
        <w:t xml:space="preserve">, at Docket No. F-2010-2171931.  </w:t>
      </w:r>
      <w:r w:rsidR="002B14DB">
        <w:rPr>
          <w:szCs w:val="24"/>
        </w:rPr>
        <w:t xml:space="preserve">On June 6, 2011, ALJ Jones issued a </w:t>
      </w:r>
      <w:r w:rsidRPr="00EB6A77">
        <w:rPr>
          <w:szCs w:val="24"/>
        </w:rPr>
        <w:t xml:space="preserve">Prehearing Order, </w:t>
      </w:r>
      <w:r w:rsidR="00584EC9">
        <w:rPr>
          <w:szCs w:val="24"/>
        </w:rPr>
        <w:t xml:space="preserve">which </w:t>
      </w:r>
      <w:r w:rsidRPr="00EB6A77">
        <w:rPr>
          <w:szCs w:val="24"/>
        </w:rPr>
        <w:t>provided procedural rules and guidelines for the proceeding</w:t>
      </w:r>
      <w:r w:rsidR="00584EC9">
        <w:rPr>
          <w:szCs w:val="24"/>
        </w:rPr>
        <w:t xml:space="preserve">.  </w:t>
      </w:r>
      <w:r w:rsidRPr="00EB6A77">
        <w:rPr>
          <w:szCs w:val="24"/>
        </w:rPr>
        <w:t xml:space="preserve">The Prehearing Order </w:t>
      </w:r>
      <w:r w:rsidR="00584EC9">
        <w:rPr>
          <w:szCs w:val="24"/>
        </w:rPr>
        <w:t xml:space="preserve">found that </w:t>
      </w:r>
      <w:r w:rsidRPr="00EB6A77">
        <w:rPr>
          <w:szCs w:val="24"/>
        </w:rPr>
        <w:t>PGW</w:t>
      </w:r>
      <w:r w:rsidR="00584EC9">
        <w:rPr>
          <w:szCs w:val="24"/>
        </w:rPr>
        <w:t>’s</w:t>
      </w:r>
      <w:r w:rsidRPr="00EB6A77">
        <w:rPr>
          <w:szCs w:val="24"/>
        </w:rPr>
        <w:t xml:space="preserve"> Motion to Consolidate </w:t>
      </w:r>
      <w:r w:rsidR="00584EC9">
        <w:rPr>
          <w:szCs w:val="24"/>
        </w:rPr>
        <w:t xml:space="preserve">was untimely because </w:t>
      </w:r>
      <w:r w:rsidRPr="00EB6A77">
        <w:rPr>
          <w:szCs w:val="24"/>
        </w:rPr>
        <w:t xml:space="preserve">the evidentiary hearing at Docket No. F-2010-2171931 </w:t>
      </w:r>
      <w:r w:rsidR="00584EC9">
        <w:rPr>
          <w:szCs w:val="24"/>
        </w:rPr>
        <w:t xml:space="preserve">had </w:t>
      </w:r>
      <w:r w:rsidRPr="00EB6A77">
        <w:rPr>
          <w:szCs w:val="24"/>
        </w:rPr>
        <w:t>already occurred.</w:t>
      </w:r>
      <w:r w:rsidR="00584EC9">
        <w:rPr>
          <w:szCs w:val="24"/>
        </w:rPr>
        <w:t xml:space="preserve">  </w:t>
      </w:r>
      <w:r w:rsidRPr="00EB6A77">
        <w:rPr>
          <w:szCs w:val="24"/>
        </w:rPr>
        <w:t xml:space="preserve">  </w:t>
      </w:r>
    </w:p>
    <w:p w:rsidR="00EB6A77" w:rsidRPr="00EB6A77" w:rsidRDefault="00EB6A77" w:rsidP="007F3800">
      <w:pPr>
        <w:tabs>
          <w:tab w:val="left" w:pos="2160"/>
        </w:tabs>
        <w:overflowPunct/>
        <w:autoSpaceDE/>
        <w:autoSpaceDN/>
        <w:adjustRightInd/>
        <w:spacing w:line="360" w:lineRule="auto"/>
        <w:ind w:left="1440" w:right="1440"/>
        <w:textAlignment w:val="auto"/>
        <w:rPr>
          <w:szCs w:val="24"/>
        </w:rPr>
      </w:pPr>
    </w:p>
    <w:p w:rsidR="00EB6A77" w:rsidRDefault="00EB6A77" w:rsidP="007F3800">
      <w:pPr>
        <w:tabs>
          <w:tab w:val="left" w:pos="-720"/>
        </w:tabs>
        <w:suppressAutoHyphens/>
        <w:overflowPunct/>
        <w:autoSpaceDE/>
        <w:autoSpaceDN/>
        <w:adjustRightInd/>
        <w:spacing w:line="360" w:lineRule="auto"/>
        <w:ind w:firstLine="1440"/>
        <w:textAlignment w:val="auto"/>
        <w:rPr>
          <w:spacing w:val="-3"/>
          <w:szCs w:val="24"/>
        </w:rPr>
      </w:pPr>
      <w:r w:rsidRPr="00EB6A77">
        <w:rPr>
          <w:spacing w:val="-3"/>
          <w:szCs w:val="24"/>
        </w:rPr>
        <w:lastRenderedPageBreak/>
        <w:t xml:space="preserve">On June 22, 2011, PGW filed a Petition for Continuance based on </w:t>
      </w:r>
      <w:r w:rsidR="00EF133F">
        <w:rPr>
          <w:spacing w:val="-3"/>
          <w:szCs w:val="24"/>
        </w:rPr>
        <w:t>its</w:t>
      </w:r>
      <w:r w:rsidRPr="00EB6A77">
        <w:rPr>
          <w:spacing w:val="-3"/>
          <w:szCs w:val="24"/>
        </w:rPr>
        <w:t xml:space="preserve"> belief that the Complainant was deceased.  </w:t>
      </w:r>
      <w:r w:rsidR="002C2292">
        <w:rPr>
          <w:spacing w:val="-3"/>
          <w:szCs w:val="24"/>
        </w:rPr>
        <w:t>PGW averred that, i</w:t>
      </w:r>
      <w:r w:rsidRPr="00EB6A77">
        <w:rPr>
          <w:spacing w:val="-3"/>
          <w:szCs w:val="24"/>
        </w:rPr>
        <w:t xml:space="preserve">n </w:t>
      </w:r>
      <w:r w:rsidRPr="00EB6A77">
        <w:rPr>
          <w:i/>
          <w:spacing w:val="-3"/>
          <w:szCs w:val="24"/>
        </w:rPr>
        <w:t>Winston v. Philadelphia Gas Works</w:t>
      </w:r>
      <w:r w:rsidRPr="00EB6A77">
        <w:rPr>
          <w:spacing w:val="-3"/>
          <w:szCs w:val="24"/>
        </w:rPr>
        <w:t>, Docket No. F-2010-2171931, the scheduled telephonic hearing convened</w:t>
      </w:r>
      <w:r w:rsidR="005C60AA">
        <w:rPr>
          <w:spacing w:val="-3"/>
          <w:szCs w:val="24"/>
        </w:rPr>
        <w:t>,</w:t>
      </w:r>
      <w:r w:rsidRPr="00EB6A77">
        <w:rPr>
          <w:spacing w:val="-3"/>
          <w:szCs w:val="24"/>
        </w:rPr>
        <w:t xml:space="preserve"> but the Complainant did not appear.  </w:t>
      </w:r>
      <w:r w:rsidR="002C2292">
        <w:rPr>
          <w:spacing w:val="-3"/>
          <w:szCs w:val="24"/>
        </w:rPr>
        <w:t>According to PGW, b</w:t>
      </w:r>
      <w:r w:rsidRPr="00EB6A77">
        <w:rPr>
          <w:spacing w:val="-3"/>
          <w:szCs w:val="24"/>
        </w:rPr>
        <w:t xml:space="preserve">oth the </w:t>
      </w:r>
      <w:r w:rsidR="002C2292">
        <w:rPr>
          <w:spacing w:val="-3"/>
          <w:szCs w:val="24"/>
        </w:rPr>
        <w:t>ALJ</w:t>
      </w:r>
      <w:r w:rsidRPr="00EB6A77">
        <w:rPr>
          <w:spacing w:val="-3"/>
          <w:szCs w:val="24"/>
        </w:rPr>
        <w:t xml:space="preserve"> and PGW received information indicating that the Complainant </w:t>
      </w:r>
      <w:r w:rsidR="002C2292">
        <w:rPr>
          <w:spacing w:val="-3"/>
          <w:szCs w:val="24"/>
        </w:rPr>
        <w:t>wa</w:t>
      </w:r>
      <w:r w:rsidRPr="00EB6A77">
        <w:rPr>
          <w:spacing w:val="-3"/>
          <w:szCs w:val="24"/>
        </w:rPr>
        <w:t xml:space="preserve">s deceased.  Additionally, the telephone number provided as </w:t>
      </w:r>
      <w:r w:rsidR="000E14FC">
        <w:rPr>
          <w:spacing w:val="-3"/>
          <w:szCs w:val="24"/>
        </w:rPr>
        <w:t xml:space="preserve">the </w:t>
      </w:r>
      <w:r w:rsidRPr="00EB6A77">
        <w:rPr>
          <w:spacing w:val="-3"/>
          <w:szCs w:val="24"/>
        </w:rPr>
        <w:t xml:space="preserve">contact </w:t>
      </w:r>
      <w:r w:rsidR="000E14FC">
        <w:rPr>
          <w:spacing w:val="-3"/>
          <w:szCs w:val="24"/>
        </w:rPr>
        <w:t xml:space="preserve">number </w:t>
      </w:r>
      <w:r w:rsidRPr="00EB6A77">
        <w:rPr>
          <w:spacing w:val="-3"/>
          <w:szCs w:val="24"/>
        </w:rPr>
        <w:t xml:space="preserve">for the Complainant </w:t>
      </w:r>
      <w:r w:rsidR="002C2292">
        <w:rPr>
          <w:spacing w:val="-3"/>
          <w:szCs w:val="24"/>
        </w:rPr>
        <w:t>wa</w:t>
      </w:r>
      <w:r w:rsidRPr="00EB6A77">
        <w:rPr>
          <w:spacing w:val="-3"/>
          <w:szCs w:val="24"/>
        </w:rPr>
        <w:t>s disconnected</w:t>
      </w:r>
      <w:r w:rsidR="002C2292">
        <w:rPr>
          <w:spacing w:val="-3"/>
          <w:szCs w:val="24"/>
        </w:rPr>
        <w:t>,</w:t>
      </w:r>
      <w:r w:rsidRPr="00EB6A77">
        <w:rPr>
          <w:spacing w:val="-3"/>
          <w:szCs w:val="24"/>
        </w:rPr>
        <w:t xml:space="preserve"> and the gas service at the service address </w:t>
      </w:r>
      <w:r w:rsidR="002C2292">
        <w:rPr>
          <w:spacing w:val="-3"/>
          <w:szCs w:val="24"/>
        </w:rPr>
        <w:t>wa</w:t>
      </w:r>
      <w:r w:rsidRPr="00EB6A77">
        <w:rPr>
          <w:spacing w:val="-3"/>
          <w:szCs w:val="24"/>
        </w:rPr>
        <w:t xml:space="preserve">s no longer in the </w:t>
      </w:r>
      <w:r w:rsidR="002C2292">
        <w:rPr>
          <w:spacing w:val="-3"/>
          <w:szCs w:val="24"/>
        </w:rPr>
        <w:t xml:space="preserve">Complainant’s </w:t>
      </w:r>
      <w:r w:rsidRPr="00EB6A77">
        <w:rPr>
          <w:spacing w:val="-3"/>
          <w:szCs w:val="24"/>
        </w:rPr>
        <w:t>name.  PGW stated that</w:t>
      </w:r>
      <w:r w:rsidR="002C2292">
        <w:rPr>
          <w:spacing w:val="-3"/>
          <w:szCs w:val="24"/>
        </w:rPr>
        <w:t>,</w:t>
      </w:r>
      <w:r w:rsidRPr="00EB6A77">
        <w:rPr>
          <w:spacing w:val="-3"/>
          <w:szCs w:val="24"/>
        </w:rPr>
        <w:t xml:space="preserve"> through additional research using the Complainant’s social security number, PGW found information that the Complainant passed away on July 21, 2010.  PGW alleged that the evidentiary hearing scheduled for this Complaint </w:t>
      </w:r>
      <w:r w:rsidR="002C2292">
        <w:rPr>
          <w:spacing w:val="-3"/>
          <w:szCs w:val="24"/>
        </w:rPr>
        <w:t>should</w:t>
      </w:r>
      <w:r w:rsidRPr="00EB6A77">
        <w:rPr>
          <w:spacing w:val="-3"/>
          <w:szCs w:val="24"/>
        </w:rPr>
        <w:t xml:space="preserve"> be continued until </w:t>
      </w:r>
      <w:r w:rsidR="002C2292">
        <w:rPr>
          <w:spacing w:val="-3"/>
          <w:szCs w:val="24"/>
        </w:rPr>
        <w:t xml:space="preserve">the </w:t>
      </w:r>
      <w:r w:rsidRPr="00EB6A77">
        <w:rPr>
          <w:spacing w:val="-3"/>
          <w:szCs w:val="24"/>
        </w:rPr>
        <w:t xml:space="preserve">final disposition of </w:t>
      </w:r>
      <w:r w:rsidRPr="00EB6A77">
        <w:rPr>
          <w:i/>
          <w:spacing w:val="-3"/>
          <w:szCs w:val="24"/>
        </w:rPr>
        <w:t>Winston v. Philadelphia Gas Works</w:t>
      </w:r>
      <w:r w:rsidRPr="00EB6A77">
        <w:rPr>
          <w:spacing w:val="-3"/>
          <w:szCs w:val="24"/>
        </w:rPr>
        <w:t xml:space="preserve">, Docket No. F-2010-2171931, because the instant matter may be subject to dismissal </w:t>
      </w:r>
      <w:r w:rsidR="000E14FC">
        <w:rPr>
          <w:spacing w:val="-3"/>
          <w:szCs w:val="24"/>
        </w:rPr>
        <w:t>based up</w:t>
      </w:r>
      <w:r w:rsidRPr="00EB6A77">
        <w:rPr>
          <w:spacing w:val="-3"/>
          <w:szCs w:val="24"/>
        </w:rPr>
        <w:t xml:space="preserve">on the </w:t>
      </w:r>
      <w:r w:rsidR="000E14FC">
        <w:rPr>
          <w:spacing w:val="-3"/>
          <w:szCs w:val="24"/>
        </w:rPr>
        <w:t>doctrine</w:t>
      </w:r>
      <w:r w:rsidRPr="00EB6A77">
        <w:rPr>
          <w:spacing w:val="-3"/>
          <w:szCs w:val="24"/>
        </w:rPr>
        <w:t xml:space="preserve"> of </w:t>
      </w:r>
      <w:r w:rsidRPr="00EB6A77">
        <w:rPr>
          <w:i/>
          <w:spacing w:val="-3"/>
          <w:szCs w:val="24"/>
        </w:rPr>
        <w:t>res judicata</w:t>
      </w:r>
      <w:r w:rsidRPr="00EB6A77">
        <w:rPr>
          <w:spacing w:val="-3"/>
          <w:szCs w:val="24"/>
        </w:rPr>
        <w:t>.</w:t>
      </w:r>
      <w:r w:rsidR="00D63D7B">
        <w:rPr>
          <w:spacing w:val="-3"/>
          <w:szCs w:val="24"/>
        </w:rPr>
        <w:t xml:space="preserve">  </w:t>
      </w:r>
      <w:r w:rsidRPr="00EB6A77">
        <w:rPr>
          <w:spacing w:val="-3"/>
          <w:szCs w:val="24"/>
        </w:rPr>
        <w:t xml:space="preserve">By Order dated June 29, 2011, </w:t>
      </w:r>
      <w:r w:rsidR="00D63D7B">
        <w:rPr>
          <w:spacing w:val="-3"/>
          <w:szCs w:val="24"/>
        </w:rPr>
        <w:t>ALJ Jones</w:t>
      </w:r>
      <w:r w:rsidRPr="00EB6A77">
        <w:rPr>
          <w:spacing w:val="-3"/>
          <w:szCs w:val="24"/>
        </w:rPr>
        <w:t xml:space="preserve"> granted the Petition for Continuance</w:t>
      </w:r>
      <w:r w:rsidR="00D63D7B">
        <w:rPr>
          <w:spacing w:val="-3"/>
          <w:szCs w:val="24"/>
        </w:rPr>
        <w:t>.</w:t>
      </w:r>
      <w:r w:rsidRPr="00EB6A77">
        <w:rPr>
          <w:spacing w:val="-3"/>
          <w:szCs w:val="24"/>
        </w:rPr>
        <w:t xml:space="preserve"> </w:t>
      </w:r>
    </w:p>
    <w:p w:rsidR="00D63D7B" w:rsidRPr="00EB6A77" w:rsidRDefault="00D63D7B" w:rsidP="007F3800">
      <w:pPr>
        <w:tabs>
          <w:tab w:val="left" w:pos="-720"/>
        </w:tabs>
        <w:suppressAutoHyphens/>
        <w:overflowPunct/>
        <w:autoSpaceDE/>
        <w:autoSpaceDN/>
        <w:adjustRightInd/>
        <w:spacing w:line="360" w:lineRule="auto"/>
        <w:ind w:firstLine="1440"/>
        <w:textAlignment w:val="auto"/>
        <w:rPr>
          <w:spacing w:val="-3"/>
          <w:szCs w:val="24"/>
        </w:rPr>
      </w:pPr>
    </w:p>
    <w:p w:rsidR="00EB6A77" w:rsidRPr="00EB6A77" w:rsidRDefault="00EB6A77" w:rsidP="007F3800">
      <w:pPr>
        <w:tabs>
          <w:tab w:val="left" w:pos="-720"/>
        </w:tabs>
        <w:suppressAutoHyphens/>
        <w:overflowPunct/>
        <w:autoSpaceDE/>
        <w:autoSpaceDN/>
        <w:adjustRightInd/>
        <w:spacing w:line="360" w:lineRule="auto"/>
        <w:ind w:firstLine="1440"/>
        <w:textAlignment w:val="auto"/>
        <w:rPr>
          <w:spacing w:val="-3"/>
          <w:szCs w:val="24"/>
        </w:rPr>
      </w:pPr>
      <w:r w:rsidRPr="00EB6A77">
        <w:rPr>
          <w:spacing w:val="-3"/>
          <w:szCs w:val="24"/>
        </w:rPr>
        <w:t xml:space="preserve">The Commission’s Final Order </w:t>
      </w:r>
      <w:r w:rsidR="00D63D7B">
        <w:rPr>
          <w:spacing w:val="-3"/>
          <w:szCs w:val="24"/>
        </w:rPr>
        <w:t>in</w:t>
      </w:r>
      <w:r w:rsidRPr="00EB6A77">
        <w:rPr>
          <w:spacing w:val="-3"/>
          <w:szCs w:val="24"/>
        </w:rPr>
        <w:t xml:space="preserve"> </w:t>
      </w:r>
      <w:r w:rsidRPr="00EB6A77">
        <w:rPr>
          <w:i/>
          <w:spacing w:val="-3"/>
          <w:szCs w:val="24"/>
        </w:rPr>
        <w:t>Winston v. Philadelphia Gas Works</w:t>
      </w:r>
      <w:r w:rsidRPr="00EB6A77">
        <w:rPr>
          <w:spacing w:val="-3"/>
          <w:szCs w:val="24"/>
        </w:rPr>
        <w:t xml:space="preserve">, Docket No. F-2010-2171931, was entered </w:t>
      </w:r>
      <w:r w:rsidR="00D63D7B">
        <w:rPr>
          <w:spacing w:val="-3"/>
          <w:szCs w:val="24"/>
        </w:rPr>
        <w:t xml:space="preserve">on </w:t>
      </w:r>
      <w:r w:rsidRPr="00EB6A77">
        <w:rPr>
          <w:spacing w:val="-3"/>
          <w:szCs w:val="24"/>
        </w:rPr>
        <w:t xml:space="preserve">July 26, 2011.  The Final Order affirmed the Initial Decision of the </w:t>
      </w:r>
      <w:r w:rsidR="00B83E12">
        <w:rPr>
          <w:spacing w:val="-3"/>
          <w:szCs w:val="24"/>
        </w:rPr>
        <w:t>ALJ</w:t>
      </w:r>
      <w:r w:rsidRPr="00EB6A77">
        <w:rPr>
          <w:spacing w:val="-3"/>
          <w:szCs w:val="24"/>
        </w:rPr>
        <w:t xml:space="preserve"> </w:t>
      </w:r>
      <w:r w:rsidR="005C60AA">
        <w:rPr>
          <w:spacing w:val="-3"/>
          <w:szCs w:val="24"/>
        </w:rPr>
        <w:t>t</w:t>
      </w:r>
      <w:r w:rsidRPr="00EB6A77">
        <w:rPr>
          <w:spacing w:val="-3"/>
          <w:szCs w:val="24"/>
        </w:rPr>
        <w:t>h</w:t>
      </w:r>
      <w:r w:rsidR="005C60AA">
        <w:rPr>
          <w:spacing w:val="-3"/>
          <w:szCs w:val="24"/>
        </w:rPr>
        <w:t>at</w:t>
      </w:r>
      <w:r w:rsidRPr="00EB6A77">
        <w:rPr>
          <w:spacing w:val="-3"/>
          <w:szCs w:val="24"/>
        </w:rPr>
        <w:t xml:space="preserve"> dismissed the complaint for failure to prosecute.</w:t>
      </w:r>
    </w:p>
    <w:p w:rsidR="00EB6A77" w:rsidRPr="00EB6A77" w:rsidRDefault="00EB6A77" w:rsidP="007F3800">
      <w:pPr>
        <w:tabs>
          <w:tab w:val="left" w:pos="-720"/>
        </w:tabs>
        <w:suppressAutoHyphens/>
        <w:overflowPunct/>
        <w:autoSpaceDE/>
        <w:autoSpaceDN/>
        <w:adjustRightInd/>
        <w:spacing w:line="360" w:lineRule="auto"/>
        <w:ind w:firstLine="1440"/>
        <w:textAlignment w:val="auto"/>
        <w:rPr>
          <w:spacing w:val="-3"/>
          <w:szCs w:val="24"/>
        </w:rPr>
      </w:pPr>
    </w:p>
    <w:p w:rsidR="00EB6A77" w:rsidRDefault="00EB6A77" w:rsidP="007F3800">
      <w:pPr>
        <w:tabs>
          <w:tab w:val="left" w:pos="-720"/>
        </w:tabs>
        <w:suppressAutoHyphens/>
        <w:overflowPunct/>
        <w:autoSpaceDE/>
        <w:autoSpaceDN/>
        <w:adjustRightInd/>
        <w:spacing w:line="360" w:lineRule="auto"/>
        <w:ind w:firstLine="1440"/>
        <w:textAlignment w:val="auto"/>
        <w:rPr>
          <w:spacing w:val="-3"/>
          <w:szCs w:val="24"/>
        </w:rPr>
      </w:pPr>
      <w:r w:rsidRPr="00EB6A77">
        <w:rPr>
          <w:spacing w:val="-3"/>
          <w:szCs w:val="24"/>
        </w:rPr>
        <w:t xml:space="preserve">On November 18, 2011, PGW filed a Motion to Dismiss (Motion) this Complaint </w:t>
      </w:r>
      <w:r w:rsidR="00B83E12">
        <w:rPr>
          <w:spacing w:val="-3"/>
          <w:szCs w:val="24"/>
        </w:rPr>
        <w:t xml:space="preserve">on the basis that </w:t>
      </w:r>
      <w:r w:rsidRPr="00EB6A77">
        <w:rPr>
          <w:spacing w:val="-3"/>
          <w:szCs w:val="24"/>
        </w:rPr>
        <w:t>the substance of th</w:t>
      </w:r>
      <w:r w:rsidR="00B83E12">
        <w:rPr>
          <w:spacing w:val="-3"/>
          <w:szCs w:val="24"/>
        </w:rPr>
        <w:t>is</w:t>
      </w:r>
      <w:r w:rsidRPr="00EB6A77">
        <w:rPr>
          <w:spacing w:val="-3"/>
          <w:szCs w:val="24"/>
        </w:rPr>
        <w:t xml:space="preserve"> Complaint ha</w:t>
      </w:r>
      <w:r w:rsidR="005C60AA">
        <w:rPr>
          <w:spacing w:val="-3"/>
          <w:szCs w:val="24"/>
        </w:rPr>
        <w:t>d</w:t>
      </w:r>
      <w:r w:rsidRPr="00EB6A77">
        <w:rPr>
          <w:spacing w:val="-3"/>
          <w:szCs w:val="24"/>
        </w:rPr>
        <w:t xml:space="preserve"> been dismissed by the Commission in </w:t>
      </w:r>
      <w:r w:rsidRPr="00EB6A77">
        <w:rPr>
          <w:i/>
          <w:spacing w:val="-3"/>
          <w:szCs w:val="24"/>
        </w:rPr>
        <w:t>Winston v. Philadelphia Gas Works</w:t>
      </w:r>
      <w:r w:rsidRPr="00EB6A77">
        <w:rPr>
          <w:spacing w:val="-3"/>
          <w:szCs w:val="24"/>
        </w:rPr>
        <w:t>, Docket No. F-2010-2171931</w:t>
      </w:r>
      <w:r w:rsidR="00B83E12">
        <w:rPr>
          <w:spacing w:val="-3"/>
          <w:szCs w:val="24"/>
        </w:rPr>
        <w:t>.</w:t>
      </w:r>
      <w:r w:rsidRPr="00EB6A77">
        <w:rPr>
          <w:spacing w:val="-3"/>
          <w:szCs w:val="24"/>
        </w:rPr>
        <w:t xml:space="preserve">  PGW a</w:t>
      </w:r>
      <w:r w:rsidR="00B83E12">
        <w:rPr>
          <w:spacing w:val="-3"/>
          <w:szCs w:val="24"/>
        </w:rPr>
        <w:t>verred</w:t>
      </w:r>
      <w:r w:rsidRPr="00EB6A77">
        <w:rPr>
          <w:spacing w:val="-3"/>
          <w:szCs w:val="24"/>
        </w:rPr>
        <w:t xml:space="preserve"> that the </w:t>
      </w:r>
      <w:r w:rsidR="000E14FC">
        <w:rPr>
          <w:spacing w:val="-3"/>
          <w:szCs w:val="24"/>
        </w:rPr>
        <w:t>doctrine</w:t>
      </w:r>
      <w:r w:rsidRPr="00EB6A77">
        <w:rPr>
          <w:spacing w:val="-3"/>
          <w:szCs w:val="24"/>
        </w:rPr>
        <w:t xml:space="preserve"> of </w:t>
      </w:r>
      <w:r w:rsidRPr="00EB6A77">
        <w:rPr>
          <w:i/>
          <w:spacing w:val="-3"/>
          <w:szCs w:val="24"/>
        </w:rPr>
        <w:t>res judicata</w:t>
      </w:r>
      <w:r w:rsidRPr="00EB6A77">
        <w:rPr>
          <w:spacing w:val="-3"/>
          <w:szCs w:val="24"/>
        </w:rPr>
        <w:t xml:space="preserve"> should bar the Complainant’s successor in interest in the affairs of Mr. Winston </w:t>
      </w:r>
      <w:r w:rsidR="00B83E12">
        <w:rPr>
          <w:spacing w:val="-3"/>
          <w:szCs w:val="24"/>
        </w:rPr>
        <w:t>fr</w:t>
      </w:r>
      <w:r w:rsidRPr="00EB6A77">
        <w:rPr>
          <w:spacing w:val="-3"/>
          <w:szCs w:val="24"/>
        </w:rPr>
        <w:t>o</w:t>
      </w:r>
      <w:r w:rsidR="00B83E12">
        <w:rPr>
          <w:spacing w:val="-3"/>
          <w:szCs w:val="24"/>
        </w:rPr>
        <w:t>m</w:t>
      </w:r>
      <w:r w:rsidRPr="00EB6A77">
        <w:rPr>
          <w:spacing w:val="-3"/>
          <w:szCs w:val="24"/>
        </w:rPr>
        <w:t xml:space="preserve"> pursu</w:t>
      </w:r>
      <w:r w:rsidR="00B83E12">
        <w:rPr>
          <w:spacing w:val="-3"/>
          <w:szCs w:val="24"/>
        </w:rPr>
        <w:t>ing</w:t>
      </w:r>
      <w:r w:rsidRPr="00EB6A77">
        <w:rPr>
          <w:spacing w:val="-3"/>
          <w:szCs w:val="24"/>
        </w:rPr>
        <w:t xml:space="preserve"> this matter because the facts have been decided and ruled upon by this Commission in the Final Order at Docket No. F-2010-2171931.</w:t>
      </w:r>
      <w:r w:rsidR="00B83E12">
        <w:rPr>
          <w:spacing w:val="-3"/>
          <w:szCs w:val="24"/>
        </w:rPr>
        <w:t xml:space="preserve">  </w:t>
      </w:r>
    </w:p>
    <w:p w:rsidR="00F57B59" w:rsidRDefault="00F57B59" w:rsidP="007F3800">
      <w:pPr>
        <w:tabs>
          <w:tab w:val="left" w:pos="-720"/>
        </w:tabs>
        <w:suppressAutoHyphens/>
        <w:overflowPunct/>
        <w:autoSpaceDE/>
        <w:autoSpaceDN/>
        <w:adjustRightInd/>
        <w:spacing w:line="360" w:lineRule="auto"/>
        <w:ind w:firstLine="1440"/>
        <w:textAlignment w:val="auto"/>
        <w:rPr>
          <w:spacing w:val="-3"/>
          <w:szCs w:val="24"/>
        </w:rPr>
      </w:pPr>
    </w:p>
    <w:p w:rsidR="00CC767E" w:rsidRDefault="00D53C6A" w:rsidP="007F3800">
      <w:pPr>
        <w:tabs>
          <w:tab w:val="left" w:pos="-720"/>
        </w:tabs>
        <w:suppressAutoHyphens/>
        <w:overflowPunct/>
        <w:autoSpaceDE/>
        <w:autoSpaceDN/>
        <w:adjustRightInd/>
        <w:spacing w:line="360" w:lineRule="auto"/>
        <w:ind w:firstLine="1440"/>
        <w:textAlignment w:val="auto"/>
        <w:rPr>
          <w:spacing w:val="-3"/>
          <w:szCs w:val="24"/>
        </w:rPr>
      </w:pPr>
      <w:r>
        <w:rPr>
          <w:spacing w:val="-3"/>
          <w:szCs w:val="24"/>
        </w:rPr>
        <w:t xml:space="preserve">In an Initial Decision, issued February 10, 2012, ALJ Jones granted PGW’s Motion and dismissed the Complaint on the basis of the </w:t>
      </w:r>
      <w:r w:rsidRPr="00D53C6A">
        <w:rPr>
          <w:i/>
          <w:spacing w:val="-3"/>
          <w:szCs w:val="24"/>
        </w:rPr>
        <w:t>res judicata</w:t>
      </w:r>
      <w:r>
        <w:rPr>
          <w:spacing w:val="-3"/>
          <w:szCs w:val="24"/>
        </w:rPr>
        <w:t xml:space="preserve"> doctrine.  I.D. at 10.  As previously indicated, no Exceptions were filed.</w:t>
      </w:r>
    </w:p>
    <w:p w:rsidR="00F57B59" w:rsidRPr="00EB6A77" w:rsidRDefault="00D53C6A" w:rsidP="007F3800">
      <w:pPr>
        <w:tabs>
          <w:tab w:val="left" w:pos="-720"/>
        </w:tabs>
        <w:suppressAutoHyphens/>
        <w:overflowPunct/>
        <w:autoSpaceDE/>
        <w:autoSpaceDN/>
        <w:adjustRightInd/>
        <w:spacing w:line="360" w:lineRule="auto"/>
        <w:ind w:firstLine="1440"/>
        <w:textAlignment w:val="auto"/>
        <w:rPr>
          <w:spacing w:val="-3"/>
          <w:szCs w:val="24"/>
        </w:rPr>
      </w:pPr>
      <w:r>
        <w:rPr>
          <w:spacing w:val="-3"/>
          <w:szCs w:val="24"/>
        </w:rPr>
        <w:t xml:space="preserve">   </w:t>
      </w:r>
    </w:p>
    <w:p w:rsidR="00EB6BF9" w:rsidRPr="00117773" w:rsidRDefault="00EB6BF9" w:rsidP="007F3800">
      <w:pPr>
        <w:spacing w:line="360" w:lineRule="auto"/>
        <w:jc w:val="center"/>
      </w:pPr>
      <w:r w:rsidRPr="00117773">
        <w:rPr>
          <w:b/>
        </w:rPr>
        <w:lastRenderedPageBreak/>
        <w:t>Discussion</w:t>
      </w:r>
    </w:p>
    <w:p w:rsidR="00EB6BF9" w:rsidRPr="009E02C1" w:rsidRDefault="00EB6BF9" w:rsidP="007F3800">
      <w:pPr>
        <w:spacing w:line="360" w:lineRule="auto"/>
        <w:ind w:firstLine="1440"/>
      </w:pPr>
    </w:p>
    <w:p w:rsidR="000C0224" w:rsidRDefault="003A382D" w:rsidP="007F3800">
      <w:pPr>
        <w:spacing w:line="360" w:lineRule="auto"/>
        <w:ind w:firstLine="1440"/>
      </w:pPr>
      <w:r w:rsidRPr="009E02C1">
        <w:t xml:space="preserve">ALJ </w:t>
      </w:r>
      <w:r w:rsidR="00015F58">
        <w:t>Jones</w:t>
      </w:r>
      <w:r w:rsidR="00822259">
        <w:t xml:space="preserve"> </w:t>
      </w:r>
      <w:r w:rsidR="00137CC5" w:rsidRPr="009E02C1">
        <w:t xml:space="preserve">reached </w:t>
      </w:r>
      <w:r w:rsidR="00015F58">
        <w:t>two</w:t>
      </w:r>
      <w:r w:rsidR="00822259">
        <w:t xml:space="preserve"> </w:t>
      </w:r>
      <w:r w:rsidR="00EB6BF9" w:rsidRPr="009E02C1">
        <w:t xml:space="preserve">Conclusions of Law.  </w:t>
      </w:r>
      <w:r w:rsidR="00E50518">
        <w:t xml:space="preserve">I.D. at </w:t>
      </w:r>
      <w:r w:rsidR="00015F58">
        <w:t>9-10</w:t>
      </w:r>
      <w:r w:rsidR="00E50518">
        <w:t xml:space="preserve">.  </w:t>
      </w:r>
      <w:r w:rsidR="00EB6BF9" w:rsidRPr="009E02C1">
        <w:t>The Conclusions of Law are incorporated herein by reference and are adopted without comment unless they are either expressly or by necessary implication rejected or mod</w:t>
      </w:r>
      <w:r w:rsidR="0099537F" w:rsidRPr="009E02C1">
        <w:t>ified by this Opinion and Order.</w:t>
      </w:r>
      <w:r w:rsidR="00A97ADD">
        <w:t xml:space="preserve">  </w:t>
      </w:r>
    </w:p>
    <w:p w:rsidR="008A0B72" w:rsidRDefault="008A0B72" w:rsidP="007F3800">
      <w:pPr>
        <w:spacing w:line="360" w:lineRule="auto"/>
      </w:pPr>
    </w:p>
    <w:p w:rsidR="00B15ABC" w:rsidRPr="00815E97" w:rsidRDefault="00B15ABC" w:rsidP="007F3800">
      <w:pPr>
        <w:tabs>
          <w:tab w:val="left" w:pos="-720"/>
        </w:tabs>
        <w:suppressAutoHyphens/>
        <w:spacing w:line="360" w:lineRule="auto"/>
        <w:ind w:firstLine="1440"/>
      </w:pPr>
      <w:r w:rsidRPr="00815E97">
        <w:t xml:space="preserve">Initially, we are reminded that we are not required to consider expressly or at great length each and every contention raised by a party to our proceedings.  Any argument that is not specifically addressed herein shall be deemed to have been duly considered and denied without further discussion. </w:t>
      </w:r>
      <w:r w:rsidR="00815E97" w:rsidRPr="00815E97">
        <w:t xml:space="preserve"> </w:t>
      </w:r>
      <w:hyperlink r:id="rId9" w:history="1">
        <w:r w:rsidR="0057613E">
          <w:rPr>
            <w:rStyle w:val="Emphasis"/>
            <w:color w:val="000000"/>
            <w:szCs w:val="26"/>
          </w:rPr>
          <w:t>Consolidated Rail Corp.</w:t>
        </w:r>
        <w:r w:rsidR="00815E97" w:rsidRPr="00815E97">
          <w:rPr>
            <w:rStyle w:val="Emphasis"/>
            <w:color w:val="000000"/>
            <w:szCs w:val="26"/>
          </w:rPr>
          <w:t xml:space="preserve"> v. Pa. PUC, </w:t>
        </w:r>
        <w:r w:rsidR="00815E97" w:rsidRPr="00815E97">
          <w:rPr>
            <w:rStyle w:val="Hyperlink"/>
            <w:color w:val="000000"/>
            <w:szCs w:val="26"/>
            <w:u w:val="none"/>
          </w:rPr>
          <w:t>625 A.2d 741 (Pa. Cmwlth. 1993);</w:t>
        </w:r>
      </w:hyperlink>
      <w:r w:rsidR="00815E97" w:rsidRPr="00815E97">
        <w:rPr>
          <w:color w:val="000000"/>
          <w:szCs w:val="26"/>
        </w:rPr>
        <w:t xml:space="preserve"> </w:t>
      </w:r>
      <w:r w:rsidR="00815E97" w:rsidRPr="00815E97">
        <w:rPr>
          <w:i/>
          <w:color w:val="000000"/>
          <w:szCs w:val="26"/>
        </w:rPr>
        <w:t xml:space="preserve">also </w:t>
      </w:r>
      <w:r w:rsidR="00815E97" w:rsidRPr="00815E97">
        <w:rPr>
          <w:rStyle w:val="Emphasis"/>
          <w:color w:val="000000"/>
          <w:szCs w:val="26"/>
        </w:rPr>
        <w:t xml:space="preserve">see, generally, </w:t>
      </w:r>
      <w:hyperlink r:id="rId10" w:history="1">
        <w:r w:rsidR="0057613E">
          <w:rPr>
            <w:rStyle w:val="Emphasis"/>
            <w:color w:val="000000"/>
            <w:szCs w:val="26"/>
          </w:rPr>
          <w:t>University of Pennsyl</w:t>
        </w:r>
        <w:r w:rsidR="00815E97" w:rsidRPr="00815E97">
          <w:rPr>
            <w:rStyle w:val="Emphasis"/>
            <w:color w:val="000000"/>
            <w:szCs w:val="26"/>
          </w:rPr>
          <w:t>vania v. Pa. PUC</w:t>
        </w:r>
        <w:r w:rsidR="00815E97" w:rsidRPr="00815E97">
          <w:rPr>
            <w:rStyle w:val="Hyperlink"/>
            <w:color w:val="000000"/>
            <w:szCs w:val="26"/>
            <w:u w:val="none"/>
          </w:rPr>
          <w:t>, 485 A.2d 1217 (Pa. Cmwlth. 1984).</w:t>
        </w:r>
      </w:hyperlink>
    </w:p>
    <w:p w:rsidR="000C3249" w:rsidRDefault="000C3249" w:rsidP="007F3800">
      <w:pPr>
        <w:spacing w:line="360" w:lineRule="auto"/>
        <w:ind w:firstLine="1440"/>
      </w:pPr>
    </w:p>
    <w:p w:rsidR="005A1311" w:rsidRPr="00313E28" w:rsidRDefault="00EA3571" w:rsidP="00AB3812">
      <w:pPr>
        <w:keepNext/>
        <w:spacing w:line="360" w:lineRule="auto"/>
        <w:ind w:firstLine="1440"/>
      </w:pPr>
      <w:r>
        <w:t xml:space="preserve">We note that the ALJ’s decision </w:t>
      </w:r>
      <w:r w:rsidR="005A1311">
        <w:t xml:space="preserve">in this case </w:t>
      </w:r>
      <w:r>
        <w:t>involved a</w:t>
      </w:r>
      <w:r w:rsidR="00B709AB">
        <w:t xml:space="preserve">n analysis of the </w:t>
      </w:r>
      <w:r w:rsidR="00B709AB" w:rsidRPr="00B709AB">
        <w:rPr>
          <w:i/>
        </w:rPr>
        <w:t xml:space="preserve">res judicata </w:t>
      </w:r>
      <w:r w:rsidR="00B709AB">
        <w:t>doctrine.</w:t>
      </w:r>
      <w:r w:rsidR="005A1311">
        <w:t xml:space="preserve">  </w:t>
      </w:r>
      <w:r w:rsidR="005A1311" w:rsidRPr="00313E28">
        <w:t xml:space="preserve">The doctrine of </w:t>
      </w:r>
      <w:r w:rsidR="005A1311" w:rsidRPr="00313E28">
        <w:rPr>
          <w:i/>
        </w:rPr>
        <w:t>res judicata</w:t>
      </w:r>
      <w:r w:rsidR="005A1311" w:rsidRPr="00313E28">
        <w:t xml:space="preserve"> prevents a suit between the same parties on the same cause of action after a court of competent jurisdiction has rendered a final judgment on the merits.  In order for the doctrine to prevail, all of the following four </w:t>
      </w:r>
      <w:r w:rsidR="005A1311">
        <w:t>requirements</w:t>
      </w:r>
      <w:r w:rsidR="005A1311" w:rsidRPr="00313E28">
        <w:t xml:space="preserve"> must be met:  “(1) identity of issues, (2) identity of causes of action, </w:t>
      </w:r>
      <w:r w:rsidR="00CC767E">
        <w:br/>
      </w:r>
      <w:r w:rsidR="005A1311" w:rsidRPr="00313E28">
        <w:t xml:space="preserve">(3) identity of persons and parties to the action, and (4) identity of the quality or capacity of the parties suing or sued.”  </w:t>
      </w:r>
      <w:r w:rsidR="00E75DC3">
        <w:rPr>
          <w:i/>
          <w:szCs w:val="26"/>
        </w:rPr>
        <w:t>Day v. Volkswagenwerk Aktiengesellschaft</w:t>
      </w:r>
      <w:r w:rsidR="00E75DC3">
        <w:rPr>
          <w:szCs w:val="26"/>
        </w:rPr>
        <w:t xml:space="preserve">, 318 Pa. Super. Ct. 225, 232, 464 A.2d 1313, 1316-17 (1983).   </w:t>
      </w:r>
    </w:p>
    <w:p w:rsidR="00843719" w:rsidRDefault="00B709AB" w:rsidP="007F3800">
      <w:pPr>
        <w:tabs>
          <w:tab w:val="left" w:pos="0"/>
        </w:tabs>
        <w:spacing w:line="360" w:lineRule="auto"/>
        <w:ind w:firstLine="1440"/>
        <w:rPr>
          <w:szCs w:val="24"/>
        </w:rPr>
      </w:pPr>
      <w:r>
        <w:t xml:space="preserve">  </w:t>
      </w:r>
      <w:r w:rsidR="00EA3571">
        <w:t xml:space="preserve"> </w:t>
      </w:r>
    </w:p>
    <w:p w:rsidR="00C83C30" w:rsidRDefault="00C83C30" w:rsidP="007F3800">
      <w:pPr>
        <w:spacing w:line="360" w:lineRule="auto"/>
        <w:ind w:firstLine="1440"/>
        <w:rPr>
          <w:szCs w:val="26"/>
        </w:rPr>
      </w:pPr>
      <w:r>
        <w:rPr>
          <w:szCs w:val="26"/>
        </w:rPr>
        <w:t xml:space="preserve">As part of her analysis, the ALJ compared the complaint filed at Docket No. F-2010-2171931 to the Complaint in this proceeding.  </w:t>
      </w:r>
      <w:r w:rsidRPr="00C83C30">
        <w:rPr>
          <w:i/>
          <w:szCs w:val="26"/>
        </w:rPr>
        <w:t>See</w:t>
      </w:r>
      <w:r>
        <w:rPr>
          <w:szCs w:val="26"/>
        </w:rPr>
        <w:t xml:space="preserve">, I.D. at 7-8.   </w:t>
      </w:r>
      <w:r w:rsidR="00A91941" w:rsidRPr="00C83C30">
        <w:rPr>
          <w:szCs w:val="26"/>
        </w:rPr>
        <w:t>In</w:t>
      </w:r>
      <w:r w:rsidR="00A91941">
        <w:rPr>
          <w:szCs w:val="26"/>
        </w:rPr>
        <w:t xml:space="preserve"> reaching a decision </w:t>
      </w:r>
      <w:r>
        <w:rPr>
          <w:szCs w:val="26"/>
        </w:rPr>
        <w:t xml:space="preserve">that the </w:t>
      </w:r>
      <w:r w:rsidRPr="00C83C30">
        <w:rPr>
          <w:i/>
          <w:szCs w:val="26"/>
        </w:rPr>
        <w:t>res judicata</w:t>
      </w:r>
      <w:r>
        <w:rPr>
          <w:szCs w:val="26"/>
        </w:rPr>
        <w:t xml:space="preserve"> doctrine applied to this Complaint</w:t>
      </w:r>
      <w:r w:rsidR="00436B55">
        <w:rPr>
          <w:szCs w:val="26"/>
        </w:rPr>
        <w:t>,</w:t>
      </w:r>
      <w:r w:rsidR="00A91941">
        <w:rPr>
          <w:szCs w:val="26"/>
        </w:rPr>
        <w:t xml:space="preserve"> the ALJ </w:t>
      </w:r>
      <w:r>
        <w:rPr>
          <w:szCs w:val="26"/>
        </w:rPr>
        <w:t xml:space="preserve">found the following:  </w:t>
      </w:r>
    </w:p>
    <w:p w:rsidR="00C83C30" w:rsidRDefault="00C83C30" w:rsidP="007F3800">
      <w:pPr>
        <w:spacing w:line="360" w:lineRule="auto"/>
        <w:ind w:firstLine="1440"/>
        <w:rPr>
          <w:szCs w:val="26"/>
        </w:rPr>
      </w:pPr>
    </w:p>
    <w:p w:rsidR="00646C78" w:rsidRPr="005C60AA" w:rsidRDefault="00646C78" w:rsidP="007F3800">
      <w:pPr>
        <w:overflowPunct/>
        <w:autoSpaceDE/>
        <w:autoSpaceDN/>
        <w:adjustRightInd/>
        <w:ind w:left="1440" w:right="1350"/>
        <w:textAlignment w:val="auto"/>
        <w:rPr>
          <w:szCs w:val="24"/>
        </w:rPr>
      </w:pPr>
      <w:r w:rsidRPr="005C60AA">
        <w:rPr>
          <w:szCs w:val="24"/>
        </w:rPr>
        <w:lastRenderedPageBreak/>
        <w:t xml:space="preserve">The identity of the thing sued is the same in both actions.  Complainant disputes the accuracy of his bills, and requests a determination of what classification he should be in as a customer; that is whether residential or commercial.  The cause of action is the same, which is that PGW violated Commission regulations through inaccurate and improper billing.  Each case involved the Complainant and PGW so the parties involved are the same.  Finally, the parties involved are acting in the same capacities; Complainant is the customer in both proceedings and PGW is the Respondent, public utility, in both proceedings.  </w:t>
      </w:r>
    </w:p>
    <w:p w:rsidR="00646C78" w:rsidRPr="005C60AA" w:rsidRDefault="00646C78" w:rsidP="007F3800">
      <w:pPr>
        <w:overflowPunct/>
        <w:autoSpaceDE/>
        <w:autoSpaceDN/>
        <w:adjustRightInd/>
        <w:spacing w:line="360" w:lineRule="auto"/>
        <w:ind w:firstLine="1440"/>
        <w:textAlignment w:val="auto"/>
        <w:rPr>
          <w:szCs w:val="24"/>
        </w:rPr>
      </w:pPr>
    </w:p>
    <w:p w:rsidR="003E33CD" w:rsidRDefault="005B27B5" w:rsidP="003E33CD">
      <w:pPr>
        <w:spacing w:line="360" w:lineRule="auto"/>
        <w:rPr>
          <w:szCs w:val="26"/>
        </w:rPr>
      </w:pPr>
      <w:r>
        <w:rPr>
          <w:szCs w:val="26"/>
        </w:rPr>
        <w:t>I.D. at 9.  The ALJ also stated that the Commission had entered a Final Order at Docket No. F-2010-2171931, which had not been reopened or reversed on appeal.  The ALJ indicated that, pursuant to 66 Pa. C.S. § 316</w:t>
      </w:r>
      <w:r w:rsidR="005601E1">
        <w:rPr>
          <w:szCs w:val="26"/>
        </w:rPr>
        <w:t>,</w:t>
      </w:r>
      <w:r w:rsidR="005601E1">
        <w:rPr>
          <w:rStyle w:val="FootnoteReference"/>
          <w:szCs w:val="26"/>
        </w:rPr>
        <w:footnoteReference w:id="2"/>
      </w:r>
      <w:r>
        <w:rPr>
          <w:szCs w:val="26"/>
        </w:rPr>
        <w:t xml:space="preserve"> the Final Order was conclusive for all of the Parties affected.  </w:t>
      </w:r>
      <w:r>
        <w:rPr>
          <w:i/>
          <w:szCs w:val="26"/>
        </w:rPr>
        <w:t>Id</w:t>
      </w:r>
      <w:r>
        <w:rPr>
          <w:szCs w:val="26"/>
        </w:rPr>
        <w:t xml:space="preserve">.     </w:t>
      </w:r>
      <w:r w:rsidR="00C83C30">
        <w:rPr>
          <w:szCs w:val="26"/>
        </w:rPr>
        <w:t xml:space="preserve"> </w:t>
      </w:r>
    </w:p>
    <w:p w:rsidR="003E33CD" w:rsidRDefault="003E33CD" w:rsidP="003E33CD">
      <w:pPr>
        <w:spacing w:line="360" w:lineRule="auto"/>
        <w:rPr>
          <w:szCs w:val="26"/>
        </w:rPr>
      </w:pPr>
    </w:p>
    <w:p w:rsidR="003E33CD" w:rsidRDefault="00042A3A" w:rsidP="003E33CD">
      <w:pPr>
        <w:spacing w:line="360" w:lineRule="auto"/>
        <w:ind w:firstLine="1440"/>
        <w:rPr>
          <w:szCs w:val="24"/>
        </w:rPr>
      </w:pPr>
      <w:r w:rsidRPr="00FD3751">
        <w:rPr>
          <w:szCs w:val="24"/>
        </w:rPr>
        <w:t xml:space="preserve">While we agree that the Complaint should be dismissed, the dismissal should not be based on the doctrine of </w:t>
      </w:r>
      <w:r w:rsidRPr="00FD3751">
        <w:rPr>
          <w:i/>
          <w:szCs w:val="24"/>
        </w:rPr>
        <w:t>res judicata</w:t>
      </w:r>
      <w:r w:rsidRPr="00FD3751">
        <w:rPr>
          <w:szCs w:val="24"/>
        </w:rPr>
        <w:t>.</w:t>
      </w:r>
      <w:r w:rsidR="00FD3751">
        <w:rPr>
          <w:szCs w:val="24"/>
        </w:rPr>
        <w:t xml:space="preserve">  </w:t>
      </w:r>
      <w:r w:rsidR="00FD3751" w:rsidRPr="00FD3751">
        <w:rPr>
          <w:szCs w:val="24"/>
        </w:rPr>
        <w:t xml:space="preserve">The ALJ dismissed the instant case because another case brought by the </w:t>
      </w:r>
      <w:r w:rsidR="00FD3751">
        <w:rPr>
          <w:szCs w:val="24"/>
        </w:rPr>
        <w:t>C</w:t>
      </w:r>
      <w:r w:rsidR="00FD3751" w:rsidRPr="00FD3751">
        <w:rPr>
          <w:szCs w:val="24"/>
        </w:rPr>
        <w:t xml:space="preserve">omplainant, </w:t>
      </w:r>
      <w:r w:rsidR="00FD3751" w:rsidRPr="00FD3751">
        <w:rPr>
          <w:i/>
          <w:szCs w:val="24"/>
        </w:rPr>
        <w:t>Winston v. Philadelphia Gas Works,</w:t>
      </w:r>
      <w:r w:rsidR="00FD3751" w:rsidRPr="00FD3751">
        <w:rPr>
          <w:szCs w:val="24"/>
        </w:rPr>
        <w:t xml:space="preserve"> Docket No. F-2010-2171931 </w:t>
      </w:r>
      <w:r w:rsidR="00FD3751">
        <w:rPr>
          <w:szCs w:val="24"/>
        </w:rPr>
        <w:t xml:space="preserve">(Final Order </w:t>
      </w:r>
      <w:r w:rsidR="00FD3751" w:rsidRPr="00FD3751">
        <w:rPr>
          <w:szCs w:val="24"/>
        </w:rPr>
        <w:t>entered July 26, 2011</w:t>
      </w:r>
      <w:r w:rsidR="00FD3751">
        <w:rPr>
          <w:szCs w:val="24"/>
        </w:rPr>
        <w:t>),</w:t>
      </w:r>
      <w:r w:rsidR="00FD3751" w:rsidRPr="00FD3751">
        <w:rPr>
          <w:szCs w:val="24"/>
        </w:rPr>
        <w:t xml:space="preserve"> had been dismissed previously for failure to prosecute. </w:t>
      </w:r>
      <w:r w:rsidR="00830F2C">
        <w:rPr>
          <w:szCs w:val="24"/>
        </w:rPr>
        <w:t xml:space="preserve"> </w:t>
      </w:r>
      <w:r w:rsidR="00FD3751" w:rsidRPr="00FD3751">
        <w:rPr>
          <w:szCs w:val="24"/>
        </w:rPr>
        <w:t xml:space="preserve">While the four conditions referenced above were satisfied, the Order in the earlier litigation did not dismiss the matter with prejudice, nor was the case fully litigated on its merits. </w:t>
      </w:r>
      <w:r w:rsidR="00830F2C">
        <w:rPr>
          <w:szCs w:val="24"/>
        </w:rPr>
        <w:t xml:space="preserve"> </w:t>
      </w:r>
      <w:r w:rsidR="00FD3751" w:rsidRPr="00FD3751">
        <w:rPr>
          <w:szCs w:val="24"/>
        </w:rPr>
        <w:t xml:space="preserve">As such, the previous ruling was not a ruling </w:t>
      </w:r>
    </w:p>
    <w:p w:rsidR="003E33CD" w:rsidRDefault="003E33CD">
      <w:pPr>
        <w:overflowPunct/>
        <w:autoSpaceDE/>
        <w:autoSpaceDN/>
        <w:adjustRightInd/>
        <w:textAlignment w:val="auto"/>
        <w:rPr>
          <w:szCs w:val="24"/>
        </w:rPr>
      </w:pPr>
      <w:r>
        <w:rPr>
          <w:szCs w:val="24"/>
        </w:rPr>
        <w:br w:type="page"/>
      </w:r>
    </w:p>
    <w:p w:rsidR="00FD3751" w:rsidRDefault="00FD3751" w:rsidP="003E33CD">
      <w:pPr>
        <w:spacing w:line="360" w:lineRule="auto"/>
        <w:rPr>
          <w:szCs w:val="24"/>
        </w:rPr>
      </w:pPr>
      <w:r w:rsidRPr="00FD3751">
        <w:rPr>
          <w:szCs w:val="24"/>
        </w:rPr>
        <w:lastRenderedPageBreak/>
        <w:t>on the merits of the case.</w:t>
      </w:r>
      <w:r w:rsidRPr="00FD3751">
        <w:rPr>
          <w:rStyle w:val="FootnoteReference"/>
          <w:szCs w:val="24"/>
        </w:rPr>
        <w:footnoteReference w:id="3"/>
      </w:r>
      <w:r w:rsidRPr="00FD3751">
        <w:rPr>
          <w:szCs w:val="24"/>
        </w:rPr>
        <w:t xml:space="preserve">  Mr. Winston was free to again file this instant </w:t>
      </w:r>
      <w:r w:rsidR="0056407A">
        <w:rPr>
          <w:szCs w:val="24"/>
        </w:rPr>
        <w:t>C</w:t>
      </w:r>
      <w:r w:rsidRPr="00FD3751">
        <w:rPr>
          <w:szCs w:val="24"/>
        </w:rPr>
        <w:t xml:space="preserve">omplaint based on the same set of facts and arguments of law.  Since the doctrine of </w:t>
      </w:r>
      <w:r w:rsidRPr="00FD3751">
        <w:rPr>
          <w:i/>
          <w:szCs w:val="24"/>
        </w:rPr>
        <w:t>res judicata</w:t>
      </w:r>
      <w:r w:rsidRPr="00FD3751">
        <w:rPr>
          <w:szCs w:val="24"/>
        </w:rPr>
        <w:t xml:space="preserve"> does not apply, </w:t>
      </w:r>
      <w:r w:rsidR="0056407A">
        <w:rPr>
          <w:szCs w:val="24"/>
        </w:rPr>
        <w:t>PGW’s</w:t>
      </w:r>
      <w:r w:rsidRPr="00FD3751">
        <w:rPr>
          <w:szCs w:val="24"/>
        </w:rPr>
        <w:t xml:space="preserve"> Motion, on those grounds, was incorrectly granted.</w:t>
      </w:r>
    </w:p>
    <w:p w:rsidR="0056407A" w:rsidRPr="00FD3751" w:rsidRDefault="0056407A" w:rsidP="007F3800">
      <w:pPr>
        <w:spacing w:line="360" w:lineRule="auto"/>
        <w:ind w:firstLine="1440"/>
        <w:rPr>
          <w:szCs w:val="24"/>
        </w:rPr>
      </w:pPr>
    </w:p>
    <w:p w:rsidR="00FD3751" w:rsidRPr="00FD3751" w:rsidRDefault="00FD3751" w:rsidP="007F3800">
      <w:pPr>
        <w:tabs>
          <w:tab w:val="left" w:pos="1440"/>
        </w:tabs>
        <w:spacing w:line="360" w:lineRule="auto"/>
        <w:rPr>
          <w:szCs w:val="24"/>
        </w:rPr>
      </w:pPr>
      <w:r w:rsidRPr="00FD3751">
        <w:rPr>
          <w:szCs w:val="24"/>
        </w:rPr>
        <w:tab/>
        <w:t xml:space="preserve">Having found that this determination was in error, the proper remedy would ordinarily be to remand the matter. </w:t>
      </w:r>
      <w:r w:rsidR="0056407A">
        <w:rPr>
          <w:szCs w:val="24"/>
        </w:rPr>
        <w:t xml:space="preserve"> </w:t>
      </w:r>
      <w:r w:rsidRPr="00FD3751">
        <w:rPr>
          <w:szCs w:val="24"/>
        </w:rPr>
        <w:t xml:space="preserve">This case, however, provides unique circumstances. </w:t>
      </w:r>
      <w:r w:rsidR="0056407A">
        <w:rPr>
          <w:szCs w:val="24"/>
        </w:rPr>
        <w:t xml:space="preserve"> </w:t>
      </w:r>
      <w:r w:rsidRPr="00FD3751">
        <w:rPr>
          <w:szCs w:val="24"/>
        </w:rPr>
        <w:t xml:space="preserve">As the ALJ noted, it appears that </w:t>
      </w:r>
      <w:r w:rsidR="0056407A">
        <w:rPr>
          <w:szCs w:val="24"/>
        </w:rPr>
        <w:t xml:space="preserve">the </w:t>
      </w:r>
      <w:r w:rsidRPr="00FD3751">
        <w:rPr>
          <w:szCs w:val="24"/>
        </w:rPr>
        <w:t xml:space="preserve">Complainant is deceased. </w:t>
      </w:r>
      <w:r w:rsidR="0056407A">
        <w:rPr>
          <w:szCs w:val="24"/>
        </w:rPr>
        <w:t>PGW</w:t>
      </w:r>
      <w:r w:rsidRPr="00FD3751">
        <w:rPr>
          <w:szCs w:val="24"/>
        </w:rPr>
        <w:t xml:space="preserve"> stated that it had information that </w:t>
      </w:r>
      <w:r w:rsidR="0056407A">
        <w:rPr>
          <w:szCs w:val="24"/>
        </w:rPr>
        <w:t xml:space="preserve">the </w:t>
      </w:r>
      <w:r w:rsidRPr="00FD3751">
        <w:rPr>
          <w:szCs w:val="24"/>
        </w:rPr>
        <w:t>Complainant passed away on July 21, 2010</w:t>
      </w:r>
      <w:r w:rsidR="0056407A">
        <w:rPr>
          <w:szCs w:val="24"/>
        </w:rPr>
        <w:t>,</w:t>
      </w:r>
      <w:r w:rsidRPr="00FD3751">
        <w:rPr>
          <w:szCs w:val="24"/>
        </w:rPr>
        <w:t xml:space="preserve"> and that phone service to the </w:t>
      </w:r>
      <w:r w:rsidR="0056407A">
        <w:rPr>
          <w:szCs w:val="24"/>
        </w:rPr>
        <w:t>service address</w:t>
      </w:r>
      <w:r w:rsidRPr="00FD3751">
        <w:rPr>
          <w:szCs w:val="24"/>
        </w:rPr>
        <w:t xml:space="preserve"> </w:t>
      </w:r>
      <w:r w:rsidR="0056407A">
        <w:rPr>
          <w:szCs w:val="24"/>
        </w:rPr>
        <w:t>wa</w:t>
      </w:r>
      <w:r w:rsidRPr="00FD3751">
        <w:rPr>
          <w:szCs w:val="24"/>
        </w:rPr>
        <w:t xml:space="preserve">s disconnected and </w:t>
      </w:r>
      <w:r w:rsidR="005C60AA">
        <w:rPr>
          <w:szCs w:val="24"/>
        </w:rPr>
        <w:t>the</w:t>
      </w:r>
      <w:r w:rsidR="0056407A">
        <w:rPr>
          <w:szCs w:val="24"/>
        </w:rPr>
        <w:t xml:space="preserve"> </w:t>
      </w:r>
      <w:r w:rsidRPr="00FD3751">
        <w:rPr>
          <w:szCs w:val="24"/>
        </w:rPr>
        <w:t xml:space="preserve">gas service at the service address </w:t>
      </w:r>
      <w:r w:rsidR="0056407A">
        <w:rPr>
          <w:szCs w:val="24"/>
        </w:rPr>
        <w:t>wa</w:t>
      </w:r>
      <w:r w:rsidRPr="00FD3751">
        <w:rPr>
          <w:szCs w:val="24"/>
        </w:rPr>
        <w:t>s no longer in the Complainant</w:t>
      </w:r>
      <w:r w:rsidR="0056407A">
        <w:rPr>
          <w:szCs w:val="24"/>
        </w:rPr>
        <w:t>’s name</w:t>
      </w:r>
      <w:r w:rsidRPr="00FD3751">
        <w:rPr>
          <w:szCs w:val="24"/>
        </w:rPr>
        <w:t>.  The ALJ took notice of this information in her decision.</w:t>
      </w:r>
      <w:r w:rsidR="0056407A">
        <w:rPr>
          <w:szCs w:val="24"/>
        </w:rPr>
        <w:t xml:space="preserve">  </w:t>
      </w:r>
      <w:r w:rsidR="0056407A">
        <w:rPr>
          <w:i/>
          <w:szCs w:val="24"/>
        </w:rPr>
        <w:t>See</w:t>
      </w:r>
      <w:r w:rsidR="0056407A">
        <w:rPr>
          <w:szCs w:val="24"/>
        </w:rPr>
        <w:t>, I.D. at 3.</w:t>
      </w:r>
      <w:r w:rsidRPr="00FD3751">
        <w:rPr>
          <w:szCs w:val="24"/>
        </w:rPr>
        <w:t xml:space="preserve"> </w:t>
      </w:r>
      <w:r w:rsidR="0056407A">
        <w:rPr>
          <w:szCs w:val="24"/>
        </w:rPr>
        <w:t xml:space="preserve"> </w:t>
      </w:r>
      <w:r w:rsidRPr="00FD3751">
        <w:rPr>
          <w:szCs w:val="24"/>
        </w:rPr>
        <w:t>Therefore, in the interest of judicial economy and in an effort to ensure the protection of Mr. Winston’s due process rights or that of his estate, we will dismiss this matter again</w:t>
      </w:r>
      <w:r w:rsidR="0056407A">
        <w:rPr>
          <w:szCs w:val="24"/>
        </w:rPr>
        <w:t>,</w:t>
      </w:r>
      <w:r w:rsidRPr="00FD3751">
        <w:rPr>
          <w:szCs w:val="24"/>
        </w:rPr>
        <w:t xml:space="preserve"> without prejudice. </w:t>
      </w:r>
    </w:p>
    <w:p w:rsidR="00042A3A" w:rsidRPr="00FB4ED7" w:rsidRDefault="00042A3A" w:rsidP="001C3C16">
      <w:pPr>
        <w:pStyle w:val="BodyText"/>
        <w:ind w:firstLine="1440"/>
        <w:jc w:val="left"/>
        <w:rPr>
          <w:szCs w:val="26"/>
        </w:rPr>
      </w:pPr>
    </w:p>
    <w:p w:rsidR="00EB6BF9" w:rsidRPr="00117773" w:rsidRDefault="00EB6BF9" w:rsidP="005A025D">
      <w:pPr>
        <w:pStyle w:val="BodyText"/>
        <w:jc w:val="center"/>
        <w:rPr>
          <w:b/>
        </w:rPr>
      </w:pPr>
      <w:r w:rsidRPr="00117773">
        <w:rPr>
          <w:b/>
        </w:rPr>
        <w:t>Conclusion</w:t>
      </w:r>
    </w:p>
    <w:p w:rsidR="00A4385E" w:rsidRDefault="00A4385E" w:rsidP="00A4385E">
      <w:pPr>
        <w:spacing w:line="360" w:lineRule="auto"/>
        <w:ind w:firstLine="1440"/>
        <w:rPr>
          <w:szCs w:val="26"/>
        </w:rPr>
      </w:pPr>
    </w:p>
    <w:p w:rsidR="00A4385E" w:rsidRDefault="00A4385E" w:rsidP="00A4385E">
      <w:pPr>
        <w:spacing w:line="360" w:lineRule="auto"/>
        <w:ind w:firstLine="1440"/>
      </w:pPr>
      <w:r>
        <w:rPr>
          <w:szCs w:val="26"/>
        </w:rPr>
        <w:t xml:space="preserve">Based upon the foregoing discussion, we shall </w:t>
      </w:r>
      <w:r w:rsidR="00DE0B4C">
        <w:rPr>
          <w:szCs w:val="26"/>
        </w:rPr>
        <w:t>modify the Initial Decision</w:t>
      </w:r>
      <w:r w:rsidR="00007068">
        <w:rPr>
          <w:szCs w:val="26"/>
        </w:rPr>
        <w:t>,</w:t>
      </w:r>
      <w:r>
        <w:rPr>
          <w:szCs w:val="26"/>
        </w:rPr>
        <w:t xml:space="preserve"> consistent with th</w:t>
      </w:r>
      <w:r w:rsidR="00B47F20">
        <w:rPr>
          <w:szCs w:val="26"/>
        </w:rPr>
        <w:t>is Opinion and Order</w:t>
      </w:r>
      <w:r>
        <w:t xml:space="preserve">; </w:t>
      </w:r>
      <w:r>
        <w:rPr>
          <w:b/>
        </w:rPr>
        <w:t>THEREFORE,</w:t>
      </w:r>
      <w:r>
        <w:t xml:space="preserve"> </w:t>
      </w:r>
    </w:p>
    <w:p w:rsidR="005A68E6" w:rsidRDefault="005A68E6" w:rsidP="00A4385E">
      <w:pPr>
        <w:spacing w:line="360" w:lineRule="auto"/>
        <w:ind w:firstLine="1440"/>
        <w:rPr>
          <w:szCs w:val="26"/>
        </w:rPr>
      </w:pPr>
    </w:p>
    <w:p w:rsidR="00724EFA" w:rsidRDefault="00724EFA" w:rsidP="00A4385E">
      <w:pPr>
        <w:ind w:firstLine="1440"/>
        <w:rPr>
          <w:b/>
          <w:szCs w:val="26"/>
        </w:rPr>
      </w:pPr>
    </w:p>
    <w:p w:rsidR="00724EFA" w:rsidRDefault="00724EFA" w:rsidP="00A4385E">
      <w:pPr>
        <w:ind w:firstLine="1440"/>
        <w:rPr>
          <w:b/>
          <w:szCs w:val="26"/>
        </w:rPr>
      </w:pPr>
    </w:p>
    <w:p w:rsidR="00724EFA" w:rsidRDefault="00724EFA" w:rsidP="00A4385E">
      <w:pPr>
        <w:ind w:firstLine="1440"/>
        <w:rPr>
          <w:b/>
          <w:szCs w:val="26"/>
        </w:rPr>
      </w:pPr>
    </w:p>
    <w:p w:rsidR="00A4385E" w:rsidRDefault="00A4385E" w:rsidP="00A4385E">
      <w:pPr>
        <w:ind w:firstLine="1440"/>
        <w:rPr>
          <w:b/>
          <w:szCs w:val="26"/>
        </w:rPr>
      </w:pPr>
      <w:r>
        <w:rPr>
          <w:b/>
          <w:szCs w:val="26"/>
        </w:rPr>
        <w:lastRenderedPageBreak/>
        <w:t>IT IS ORDERED:</w:t>
      </w:r>
    </w:p>
    <w:p w:rsidR="005A68E6" w:rsidRPr="00CE7F23" w:rsidRDefault="005A68E6" w:rsidP="00A4385E">
      <w:pPr>
        <w:ind w:firstLine="1440"/>
        <w:rPr>
          <w:b/>
          <w:szCs w:val="26"/>
        </w:rPr>
      </w:pPr>
    </w:p>
    <w:p w:rsidR="00A4385E" w:rsidRDefault="00A4385E" w:rsidP="00A4385E">
      <w:pPr>
        <w:rPr>
          <w:szCs w:val="26"/>
        </w:rPr>
      </w:pPr>
    </w:p>
    <w:p w:rsidR="00A4385E" w:rsidRDefault="00007068" w:rsidP="00007068">
      <w:pPr>
        <w:widowControl w:val="0"/>
        <w:numPr>
          <w:ilvl w:val="0"/>
          <w:numId w:val="5"/>
        </w:numPr>
        <w:tabs>
          <w:tab w:val="clear" w:pos="2160"/>
          <w:tab w:val="num" w:pos="0"/>
        </w:tabs>
        <w:overflowPunct/>
        <w:autoSpaceDE/>
        <w:autoSpaceDN/>
        <w:adjustRightInd/>
        <w:spacing w:line="360" w:lineRule="auto"/>
        <w:ind w:left="0" w:firstLine="1440"/>
        <w:textAlignment w:val="auto"/>
        <w:rPr>
          <w:szCs w:val="26"/>
        </w:rPr>
      </w:pPr>
      <w:r>
        <w:rPr>
          <w:szCs w:val="26"/>
        </w:rPr>
        <w:t>That the</w:t>
      </w:r>
      <w:r w:rsidR="00A4385E">
        <w:rPr>
          <w:szCs w:val="26"/>
        </w:rPr>
        <w:t xml:space="preserve"> Initial Decision</w:t>
      </w:r>
      <w:r w:rsidR="00B47F20">
        <w:rPr>
          <w:szCs w:val="26"/>
        </w:rPr>
        <w:t xml:space="preserve"> issued by </w:t>
      </w:r>
      <w:r w:rsidR="00A4385E">
        <w:rPr>
          <w:szCs w:val="26"/>
        </w:rPr>
        <w:t xml:space="preserve">Administrative Law Judge </w:t>
      </w:r>
      <w:r w:rsidR="009B5931">
        <w:rPr>
          <w:szCs w:val="26"/>
        </w:rPr>
        <w:t>Angela T. Jones</w:t>
      </w:r>
      <w:r w:rsidR="001C3C16">
        <w:rPr>
          <w:szCs w:val="26"/>
        </w:rPr>
        <w:t xml:space="preserve"> </w:t>
      </w:r>
      <w:r w:rsidR="00B47F20">
        <w:rPr>
          <w:szCs w:val="26"/>
        </w:rPr>
        <w:t xml:space="preserve">on </w:t>
      </w:r>
      <w:r w:rsidR="009B5931">
        <w:rPr>
          <w:szCs w:val="26"/>
        </w:rPr>
        <w:t>February 10</w:t>
      </w:r>
      <w:r w:rsidR="00B47F20">
        <w:rPr>
          <w:szCs w:val="26"/>
        </w:rPr>
        <w:t>,</w:t>
      </w:r>
      <w:r w:rsidR="009B5931">
        <w:rPr>
          <w:szCs w:val="26"/>
        </w:rPr>
        <w:t xml:space="preserve"> 2012,</w:t>
      </w:r>
      <w:r w:rsidR="00B47F20">
        <w:rPr>
          <w:szCs w:val="26"/>
        </w:rPr>
        <w:t xml:space="preserve"> </w:t>
      </w:r>
      <w:r w:rsidR="00A4385E">
        <w:rPr>
          <w:szCs w:val="26"/>
        </w:rPr>
        <w:t xml:space="preserve">is </w:t>
      </w:r>
      <w:r w:rsidR="00DE0B4C">
        <w:rPr>
          <w:szCs w:val="26"/>
        </w:rPr>
        <w:t>modified</w:t>
      </w:r>
      <w:r w:rsidR="00A4385E">
        <w:rPr>
          <w:szCs w:val="26"/>
        </w:rPr>
        <w:t>, consistent with this Opinion and Order.</w:t>
      </w:r>
    </w:p>
    <w:p w:rsidR="004533A5" w:rsidRDefault="004533A5" w:rsidP="00DE0B4C">
      <w:pPr>
        <w:spacing w:line="360" w:lineRule="auto"/>
        <w:rPr>
          <w:szCs w:val="26"/>
        </w:rPr>
      </w:pPr>
    </w:p>
    <w:p w:rsidR="00DE0B4C" w:rsidRDefault="00DE0B4C" w:rsidP="00DE0B4C">
      <w:pPr>
        <w:spacing w:line="360" w:lineRule="auto"/>
        <w:rPr>
          <w:szCs w:val="26"/>
        </w:rPr>
      </w:pPr>
      <w:r w:rsidRPr="00DE0B4C">
        <w:rPr>
          <w:szCs w:val="26"/>
        </w:rPr>
        <w:tab/>
      </w:r>
      <w:r w:rsidRPr="00DE0B4C">
        <w:rPr>
          <w:szCs w:val="26"/>
        </w:rPr>
        <w:tab/>
      </w:r>
      <w:r w:rsidR="004533A5">
        <w:rPr>
          <w:szCs w:val="26"/>
        </w:rPr>
        <w:t>2</w:t>
      </w:r>
      <w:r>
        <w:rPr>
          <w:szCs w:val="26"/>
        </w:rPr>
        <w:t>.</w:t>
      </w:r>
      <w:r>
        <w:rPr>
          <w:szCs w:val="26"/>
        </w:rPr>
        <w:tab/>
        <w:t xml:space="preserve">That the Complaint filed on </w:t>
      </w:r>
      <w:r w:rsidR="005262B6">
        <w:rPr>
          <w:szCs w:val="26"/>
        </w:rPr>
        <w:t>June</w:t>
      </w:r>
      <w:r w:rsidR="000C7672">
        <w:rPr>
          <w:szCs w:val="26"/>
        </w:rPr>
        <w:t xml:space="preserve"> 1, 2010</w:t>
      </w:r>
      <w:r>
        <w:rPr>
          <w:szCs w:val="26"/>
        </w:rPr>
        <w:t xml:space="preserve">, by </w:t>
      </w:r>
      <w:r w:rsidR="000C7672">
        <w:rPr>
          <w:szCs w:val="26"/>
        </w:rPr>
        <w:t>R</w:t>
      </w:r>
      <w:r w:rsidR="005262B6">
        <w:rPr>
          <w:szCs w:val="26"/>
        </w:rPr>
        <w:t>oy Winston</w:t>
      </w:r>
      <w:r>
        <w:rPr>
          <w:szCs w:val="26"/>
        </w:rPr>
        <w:t xml:space="preserve"> against </w:t>
      </w:r>
      <w:r w:rsidR="000C7672">
        <w:t>P</w:t>
      </w:r>
      <w:r w:rsidR="005262B6">
        <w:t>hiladelphia</w:t>
      </w:r>
      <w:r w:rsidR="000C7672">
        <w:t xml:space="preserve"> Gas </w:t>
      </w:r>
      <w:r w:rsidR="005262B6">
        <w:t>Works,</w:t>
      </w:r>
      <w:r>
        <w:rPr>
          <w:szCs w:val="26"/>
        </w:rPr>
        <w:t xml:space="preserve"> at Docket No. C-201</w:t>
      </w:r>
      <w:r w:rsidR="000C7672">
        <w:rPr>
          <w:szCs w:val="26"/>
        </w:rPr>
        <w:t>0</w:t>
      </w:r>
      <w:r>
        <w:rPr>
          <w:szCs w:val="26"/>
        </w:rPr>
        <w:t>-</w:t>
      </w:r>
      <w:r w:rsidR="005262B6">
        <w:rPr>
          <w:szCs w:val="26"/>
        </w:rPr>
        <w:t>2</w:t>
      </w:r>
      <w:r w:rsidR="000C7672">
        <w:rPr>
          <w:szCs w:val="26"/>
        </w:rPr>
        <w:t>1</w:t>
      </w:r>
      <w:r w:rsidR="005262B6">
        <w:rPr>
          <w:szCs w:val="26"/>
        </w:rPr>
        <w:t>81504</w:t>
      </w:r>
      <w:r w:rsidR="004163E6">
        <w:rPr>
          <w:szCs w:val="26"/>
        </w:rPr>
        <w:t>, is dismissed</w:t>
      </w:r>
      <w:r w:rsidR="005262B6">
        <w:rPr>
          <w:szCs w:val="26"/>
        </w:rPr>
        <w:t xml:space="preserve"> without prejudice</w:t>
      </w:r>
      <w:r w:rsidR="004163E6">
        <w:rPr>
          <w:szCs w:val="26"/>
        </w:rPr>
        <w:t>.</w:t>
      </w:r>
    </w:p>
    <w:p w:rsidR="004D0B3F" w:rsidRDefault="004D0B3F" w:rsidP="00DE0B4C">
      <w:pPr>
        <w:spacing w:line="360" w:lineRule="auto"/>
        <w:rPr>
          <w:szCs w:val="26"/>
        </w:rPr>
      </w:pPr>
    </w:p>
    <w:p w:rsidR="00A4385E" w:rsidRDefault="004163E6" w:rsidP="00DE7824">
      <w:pPr>
        <w:spacing w:line="360" w:lineRule="auto"/>
        <w:rPr>
          <w:szCs w:val="26"/>
        </w:rPr>
      </w:pPr>
      <w:r>
        <w:rPr>
          <w:szCs w:val="26"/>
        </w:rPr>
        <w:tab/>
      </w:r>
      <w:r>
        <w:rPr>
          <w:szCs w:val="26"/>
        </w:rPr>
        <w:tab/>
      </w:r>
      <w:r w:rsidR="005262B6">
        <w:rPr>
          <w:szCs w:val="26"/>
        </w:rPr>
        <w:t>3</w:t>
      </w:r>
      <w:r>
        <w:rPr>
          <w:szCs w:val="26"/>
        </w:rPr>
        <w:t>.</w:t>
      </w:r>
      <w:r>
        <w:rPr>
          <w:szCs w:val="26"/>
        </w:rPr>
        <w:tab/>
        <w:t>That th</w:t>
      </w:r>
      <w:r w:rsidR="005262B6">
        <w:rPr>
          <w:szCs w:val="26"/>
        </w:rPr>
        <w:t>is</w:t>
      </w:r>
      <w:r>
        <w:rPr>
          <w:szCs w:val="26"/>
        </w:rPr>
        <w:t xml:space="preserve"> </w:t>
      </w:r>
      <w:r w:rsidR="0052031E">
        <w:rPr>
          <w:szCs w:val="26"/>
        </w:rPr>
        <w:t>proceeding</w:t>
      </w:r>
      <w:r>
        <w:rPr>
          <w:szCs w:val="26"/>
        </w:rPr>
        <w:t xml:space="preserve"> shall be marked closed.</w:t>
      </w:r>
    </w:p>
    <w:p w:rsidR="004163E6" w:rsidRPr="00027664" w:rsidRDefault="00956CBB" w:rsidP="00A4385E">
      <w:pPr>
        <w:rPr>
          <w:szCs w:val="26"/>
        </w:rPr>
      </w:pPr>
      <w:bookmarkStart w:id="2" w:name="_GoBack"/>
      <w:r w:rsidRPr="00A4345F">
        <w:rPr>
          <w:noProof/>
        </w:rPr>
        <w:drawing>
          <wp:anchor distT="0" distB="0" distL="114300" distR="114300" simplePos="0" relativeHeight="251659264" behindDoc="1" locked="0" layoutInCell="1" allowOverlap="1" wp14:anchorId="17E7E51E" wp14:editId="364D7702">
            <wp:simplePos x="0" y="0"/>
            <wp:positionH relativeFrom="column">
              <wp:posOffset>3051810</wp:posOffset>
            </wp:positionH>
            <wp:positionV relativeFrom="paragraph">
              <wp:posOffset>113665</wp:posOffset>
            </wp:positionV>
            <wp:extent cx="2200275" cy="838200"/>
            <wp:effectExtent l="0" t="0" r="9525" b="0"/>
            <wp:wrapNone/>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2"/>
    </w:p>
    <w:p w:rsidR="00EB6BF9" w:rsidRDefault="00EB6BF9" w:rsidP="00AB2393">
      <w:pPr>
        <w:tabs>
          <w:tab w:val="left" w:pos="-720"/>
        </w:tabs>
        <w:ind w:firstLine="5040"/>
        <w:rPr>
          <w:b/>
        </w:rPr>
      </w:pPr>
      <w:r>
        <w:rPr>
          <w:b/>
        </w:rPr>
        <w:t>BY THE COMMISSION,</w:t>
      </w:r>
    </w:p>
    <w:p w:rsidR="00DE2C29" w:rsidRPr="00201435" w:rsidRDefault="00DE2C29" w:rsidP="00AB2393">
      <w:pPr>
        <w:tabs>
          <w:tab w:val="left" w:pos="-720"/>
        </w:tabs>
        <w:ind w:firstLine="5040"/>
      </w:pPr>
    </w:p>
    <w:p w:rsidR="00EB6BF9" w:rsidRPr="00A86514" w:rsidRDefault="00EB6BF9" w:rsidP="00FD1DAD">
      <w:pPr>
        <w:tabs>
          <w:tab w:val="left" w:pos="-720"/>
        </w:tabs>
      </w:pPr>
    </w:p>
    <w:p w:rsidR="00EB6BF9" w:rsidRPr="00201435" w:rsidRDefault="0091054F" w:rsidP="00AB2393">
      <w:pPr>
        <w:tabs>
          <w:tab w:val="left" w:pos="-720"/>
        </w:tabs>
        <w:ind w:firstLine="5040"/>
        <w:rPr>
          <w:b/>
        </w:rPr>
      </w:pPr>
      <w:r>
        <w:t>Rosemary Chiavetta</w:t>
      </w:r>
    </w:p>
    <w:p w:rsidR="00EB6BF9" w:rsidRDefault="00EB6BF9" w:rsidP="00AB2393">
      <w:pPr>
        <w:tabs>
          <w:tab w:val="left" w:pos="-720"/>
        </w:tabs>
        <w:ind w:firstLine="5040"/>
      </w:pPr>
      <w:r>
        <w:t>Secretary</w:t>
      </w:r>
    </w:p>
    <w:p w:rsidR="00DE2C29" w:rsidRDefault="00DE2C29" w:rsidP="00AB2393">
      <w:pPr>
        <w:tabs>
          <w:tab w:val="left" w:pos="-720"/>
        </w:tabs>
        <w:ind w:firstLine="5040"/>
      </w:pPr>
    </w:p>
    <w:p w:rsidR="00EB6BF9" w:rsidRDefault="00EB6BF9" w:rsidP="00FD1DAD">
      <w:pPr>
        <w:tabs>
          <w:tab w:val="left" w:pos="-720"/>
        </w:tabs>
      </w:pPr>
      <w:r>
        <w:t>(SEAL)</w:t>
      </w:r>
    </w:p>
    <w:p w:rsidR="00DE2C29" w:rsidRDefault="00DE2C29" w:rsidP="00FD1DAD">
      <w:pPr>
        <w:tabs>
          <w:tab w:val="left" w:pos="-720"/>
        </w:tabs>
      </w:pPr>
    </w:p>
    <w:p w:rsidR="00EB6BF9" w:rsidRDefault="00194634" w:rsidP="00FD1DAD">
      <w:pPr>
        <w:tabs>
          <w:tab w:val="left" w:pos="-720"/>
        </w:tabs>
      </w:pPr>
      <w:r>
        <w:t xml:space="preserve">ORDER </w:t>
      </w:r>
      <w:r w:rsidR="00033EF0">
        <w:t>ADOPTED:</w:t>
      </w:r>
      <w:r w:rsidR="004163E6">
        <w:t xml:space="preserve">  </w:t>
      </w:r>
      <w:r w:rsidR="005262B6">
        <w:t>March</w:t>
      </w:r>
      <w:r w:rsidR="00987BE3">
        <w:t xml:space="preserve"> 2</w:t>
      </w:r>
      <w:r w:rsidR="005262B6">
        <w:t>9</w:t>
      </w:r>
      <w:r w:rsidR="00987BE3">
        <w:t>, 2012</w:t>
      </w:r>
      <w:r w:rsidR="00033EF0">
        <w:t xml:space="preserve"> </w:t>
      </w:r>
      <w:r w:rsidR="00ED37B7">
        <w:tab/>
      </w:r>
    </w:p>
    <w:p w:rsidR="00DE2C29" w:rsidRDefault="00DE2C29" w:rsidP="00FD1DAD">
      <w:pPr>
        <w:tabs>
          <w:tab w:val="left" w:pos="-720"/>
        </w:tabs>
      </w:pPr>
    </w:p>
    <w:p w:rsidR="001D5895" w:rsidRPr="00EB6BF9" w:rsidRDefault="00C349D3" w:rsidP="00FD1DAD">
      <w:pPr>
        <w:tabs>
          <w:tab w:val="left" w:pos="-720"/>
        </w:tabs>
      </w:pPr>
      <w:r>
        <w:t>ORDER ENTERED:</w:t>
      </w:r>
      <w:r w:rsidR="008F2810">
        <w:t xml:space="preserve">  </w:t>
      </w:r>
      <w:r w:rsidR="00956CBB">
        <w:t>April 16, 2012</w:t>
      </w:r>
    </w:p>
    <w:sectPr w:rsidR="001D5895" w:rsidRPr="00EB6BF9" w:rsidSect="00537FE4">
      <w:footerReference w:type="even" r:id="rId12"/>
      <w:footerReference w:type="default" r:id="rId13"/>
      <w:pgSz w:w="12240" w:h="15840"/>
      <w:pgMar w:top="1440" w:right="153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F9" w:rsidRDefault="00A75DF9">
      <w:r>
        <w:separator/>
      </w:r>
    </w:p>
  </w:endnote>
  <w:endnote w:type="continuationSeparator" w:id="0">
    <w:p w:rsidR="00A75DF9" w:rsidRDefault="00A7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DA" w:rsidRDefault="00705D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705DDA" w:rsidRDefault="00705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DDA" w:rsidRPr="006618C4" w:rsidRDefault="00705DDA">
    <w:pPr>
      <w:pStyle w:val="Footer"/>
      <w:framePr w:wrap="around" w:vAnchor="text" w:hAnchor="margin" w:xAlign="center" w:y="1"/>
      <w:rPr>
        <w:rStyle w:val="PageNumber"/>
        <w:sz w:val="24"/>
        <w:szCs w:val="24"/>
      </w:rPr>
    </w:pPr>
    <w:r w:rsidRPr="006618C4">
      <w:rPr>
        <w:rStyle w:val="PageNumber"/>
        <w:sz w:val="24"/>
        <w:szCs w:val="24"/>
      </w:rPr>
      <w:fldChar w:fldCharType="begin"/>
    </w:r>
    <w:r w:rsidRPr="006618C4">
      <w:rPr>
        <w:rStyle w:val="PageNumber"/>
        <w:sz w:val="24"/>
        <w:szCs w:val="24"/>
      </w:rPr>
      <w:instrText xml:space="preserve">PAGE  </w:instrText>
    </w:r>
    <w:r w:rsidRPr="006618C4">
      <w:rPr>
        <w:rStyle w:val="PageNumber"/>
        <w:sz w:val="24"/>
        <w:szCs w:val="24"/>
      </w:rPr>
      <w:fldChar w:fldCharType="separate"/>
    </w:r>
    <w:r w:rsidR="00956CBB">
      <w:rPr>
        <w:rStyle w:val="PageNumber"/>
        <w:noProof/>
        <w:sz w:val="24"/>
        <w:szCs w:val="24"/>
      </w:rPr>
      <w:t>7</w:t>
    </w:r>
    <w:r w:rsidRPr="006618C4">
      <w:rPr>
        <w:rStyle w:val="PageNumber"/>
        <w:sz w:val="24"/>
        <w:szCs w:val="24"/>
      </w:rPr>
      <w:fldChar w:fldCharType="end"/>
    </w:r>
  </w:p>
  <w:p w:rsidR="00705DDA" w:rsidRPr="00D379CF" w:rsidRDefault="00705DDA" w:rsidP="00C60B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F9" w:rsidRDefault="00A75DF9">
      <w:r>
        <w:separator/>
      </w:r>
    </w:p>
  </w:footnote>
  <w:footnote w:type="continuationSeparator" w:id="0">
    <w:p w:rsidR="00A75DF9" w:rsidRDefault="00A75DF9">
      <w:r>
        <w:continuationSeparator/>
      </w:r>
    </w:p>
  </w:footnote>
  <w:footnote w:id="1">
    <w:p w:rsidR="00EB6A77" w:rsidRPr="009905BA" w:rsidRDefault="00EB6A77" w:rsidP="002225F1">
      <w:pPr>
        <w:pStyle w:val="FootnoteText"/>
        <w:ind w:firstLine="720"/>
        <w:rPr>
          <w:sz w:val="26"/>
        </w:rPr>
      </w:pPr>
      <w:r w:rsidRPr="009905BA">
        <w:rPr>
          <w:rStyle w:val="FootnoteReference"/>
          <w:sz w:val="26"/>
        </w:rPr>
        <w:footnoteRef/>
      </w:r>
      <w:r w:rsidRPr="009905BA">
        <w:rPr>
          <w:sz w:val="26"/>
        </w:rPr>
        <w:t xml:space="preserve"> </w:t>
      </w:r>
      <w:r w:rsidRPr="009905BA">
        <w:rPr>
          <w:sz w:val="26"/>
        </w:rPr>
        <w:tab/>
        <w:t>The service address has a pool hall and grocery store on the first floor and a residence above the first floor.</w:t>
      </w:r>
    </w:p>
  </w:footnote>
  <w:footnote w:id="2">
    <w:p w:rsidR="005601E1" w:rsidRPr="005601E1" w:rsidRDefault="005601E1" w:rsidP="005601E1">
      <w:pPr>
        <w:pStyle w:val="FootnoteText"/>
        <w:ind w:firstLine="720"/>
        <w:rPr>
          <w:sz w:val="26"/>
        </w:rPr>
      </w:pPr>
      <w:r w:rsidRPr="005601E1">
        <w:rPr>
          <w:rStyle w:val="FootnoteReference"/>
          <w:sz w:val="26"/>
        </w:rPr>
        <w:footnoteRef/>
      </w:r>
      <w:r w:rsidRPr="005601E1">
        <w:rPr>
          <w:sz w:val="26"/>
        </w:rPr>
        <w:t xml:space="preserve"> </w:t>
      </w:r>
      <w:r w:rsidRPr="005601E1">
        <w:rPr>
          <w:sz w:val="26"/>
        </w:rPr>
        <w:tab/>
        <w:t>Pursuant to 66 Pa. C.S. § 316, “[w]</w:t>
      </w:r>
      <w:r w:rsidRPr="005601E1">
        <w:rPr>
          <w:color w:val="000000"/>
          <w:sz w:val="26"/>
          <w:szCs w:val="18"/>
        </w:rPr>
        <w:t>henever the commission shall make any rule, regulation, finding, determination or order, the same shall be prima facie evidence of the facts found and shall remain conclusive upon all parties affected thereby, unless set aside, annulled or modified on judicial review.</w:t>
      </w:r>
      <w:r>
        <w:rPr>
          <w:color w:val="000000"/>
          <w:sz w:val="26"/>
          <w:szCs w:val="18"/>
        </w:rPr>
        <w:t>”</w:t>
      </w:r>
    </w:p>
  </w:footnote>
  <w:footnote w:id="3">
    <w:p w:rsidR="00830F2C" w:rsidRDefault="00830F2C" w:rsidP="00FD3751">
      <w:pPr>
        <w:pStyle w:val="FootnoteText"/>
        <w:rPr>
          <w:rFonts w:ascii="Century Schoolbook" w:hAnsi="Century Schoolbook"/>
        </w:rPr>
      </w:pPr>
    </w:p>
    <w:p w:rsidR="00FD3751" w:rsidRPr="00830F2C" w:rsidRDefault="00FD3751" w:rsidP="00830F2C">
      <w:pPr>
        <w:pStyle w:val="FootnoteText"/>
        <w:ind w:firstLine="720"/>
        <w:rPr>
          <w:sz w:val="26"/>
        </w:rPr>
      </w:pPr>
      <w:r w:rsidRPr="00830F2C">
        <w:rPr>
          <w:rStyle w:val="FootnoteReference"/>
          <w:sz w:val="26"/>
        </w:rPr>
        <w:footnoteRef/>
      </w:r>
      <w:r w:rsidRPr="00830F2C">
        <w:rPr>
          <w:sz w:val="26"/>
        </w:rPr>
        <w:t xml:space="preserve"> </w:t>
      </w:r>
      <w:r w:rsidR="00830F2C">
        <w:rPr>
          <w:sz w:val="26"/>
        </w:rPr>
        <w:tab/>
      </w:r>
      <w:r w:rsidRPr="00830F2C">
        <w:rPr>
          <w:sz w:val="26"/>
        </w:rPr>
        <w:t xml:space="preserve">The law is unsettled about whether a dismissal without an actual fact finding can constitute dismissal on the merits. </w:t>
      </w:r>
      <w:r w:rsidR="00830F2C">
        <w:rPr>
          <w:sz w:val="26"/>
        </w:rPr>
        <w:t xml:space="preserve"> </w:t>
      </w:r>
      <w:r w:rsidRPr="00830F2C">
        <w:rPr>
          <w:sz w:val="26"/>
        </w:rPr>
        <w:t>In at least one instance</w:t>
      </w:r>
      <w:r w:rsidR="00830F2C">
        <w:rPr>
          <w:sz w:val="26"/>
        </w:rPr>
        <w:t>,</w:t>
      </w:r>
      <w:r w:rsidRPr="00830F2C">
        <w:rPr>
          <w:sz w:val="26"/>
        </w:rPr>
        <w:t xml:space="preserve"> a court has held that a dismissal </w:t>
      </w:r>
      <w:r w:rsidRPr="00830F2C">
        <w:rPr>
          <w:i/>
          <w:sz w:val="26"/>
        </w:rPr>
        <w:t>with prejudice</w:t>
      </w:r>
      <w:r w:rsidRPr="00830F2C">
        <w:rPr>
          <w:sz w:val="26"/>
        </w:rPr>
        <w:t xml:space="preserve"> is an adjudication “on the merits” for the purposes of applying the doctrine of </w:t>
      </w:r>
      <w:r w:rsidRPr="00830F2C">
        <w:rPr>
          <w:i/>
          <w:sz w:val="26"/>
        </w:rPr>
        <w:t>res judicata</w:t>
      </w:r>
      <w:r w:rsidRPr="00830F2C">
        <w:rPr>
          <w:sz w:val="26"/>
        </w:rPr>
        <w:t xml:space="preserve">. </w:t>
      </w:r>
      <w:r w:rsidR="00830F2C">
        <w:rPr>
          <w:sz w:val="26"/>
        </w:rPr>
        <w:t xml:space="preserve"> </w:t>
      </w:r>
      <w:r w:rsidRPr="00830F2C">
        <w:rPr>
          <w:sz w:val="26"/>
        </w:rPr>
        <w:t xml:space="preserve">The court reasoned that, since a dismissal with prejudice disposes of the claimant’s rights to pursue any further remedy on his claim, such action was in essence an action on the merits of the case.  </w:t>
      </w:r>
      <w:r w:rsidRPr="00830F2C">
        <w:rPr>
          <w:i/>
          <w:sz w:val="26"/>
        </w:rPr>
        <w:t>See</w:t>
      </w:r>
      <w:r w:rsidR="00CC767E">
        <w:rPr>
          <w:i/>
          <w:sz w:val="26"/>
        </w:rPr>
        <w:t>,</w:t>
      </w:r>
      <w:r w:rsidRPr="00830F2C">
        <w:rPr>
          <w:sz w:val="26"/>
        </w:rPr>
        <w:t xml:space="preserve"> </w:t>
      </w:r>
      <w:r w:rsidRPr="00830F2C">
        <w:rPr>
          <w:i/>
          <w:sz w:val="26"/>
        </w:rPr>
        <w:t>Sebrell v. Philadelphia Police Dep</w:t>
      </w:r>
      <w:r w:rsidR="00830F2C">
        <w:rPr>
          <w:i/>
          <w:sz w:val="26"/>
        </w:rPr>
        <w:t>’</w:t>
      </w:r>
      <w:r w:rsidRPr="00830F2C">
        <w:rPr>
          <w:i/>
          <w:sz w:val="26"/>
        </w:rPr>
        <w:t>t</w:t>
      </w:r>
      <w:r w:rsidRPr="00830F2C">
        <w:rPr>
          <w:sz w:val="26"/>
        </w:rPr>
        <w:t xml:space="preserve">, </w:t>
      </w:r>
      <w:r w:rsidR="004A4338">
        <w:rPr>
          <w:sz w:val="26"/>
        </w:rPr>
        <w:t xml:space="preserve">159 F. App’x 371, </w:t>
      </w:r>
      <w:r w:rsidRPr="00830F2C">
        <w:rPr>
          <w:sz w:val="26"/>
        </w:rPr>
        <w:t>2005 U.S. App. Lexis 27296</w:t>
      </w:r>
      <w:r w:rsidR="004A4338">
        <w:rPr>
          <w:sz w:val="26"/>
        </w:rPr>
        <w:t xml:space="preserve"> (3d Cir. 2005).</w:t>
      </w:r>
      <w:r w:rsidRPr="00830F2C">
        <w:rPr>
          <w:sz w:val="26"/>
        </w:rPr>
        <w:t xml:space="preserve">  Under </w:t>
      </w:r>
      <w:r w:rsidRPr="00AB3812">
        <w:rPr>
          <w:i/>
          <w:sz w:val="26"/>
        </w:rPr>
        <w:t>Sebrell</w:t>
      </w:r>
      <w:r w:rsidRPr="00830F2C">
        <w:rPr>
          <w:sz w:val="26"/>
        </w:rPr>
        <w:t xml:space="preserve">, this case should not have been dismissed based upon the doctrine of </w:t>
      </w:r>
      <w:r w:rsidRPr="00830F2C">
        <w:rPr>
          <w:i/>
          <w:sz w:val="26"/>
        </w:rPr>
        <w:t>res judicata</w:t>
      </w:r>
      <w:r w:rsidRPr="00830F2C">
        <w:rPr>
          <w:sz w:val="26"/>
        </w:rPr>
        <w:t xml:space="preserve"> because it was not dismissed “with prejudice” but rather merely “dismissed.”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1322E"/>
    <w:multiLevelType w:val="hybridMultilevel"/>
    <w:tmpl w:val="5F887800"/>
    <w:lvl w:ilvl="0" w:tplc="673CD6D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E1F215C"/>
    <w:multiLevelType w:val="hybridMultilevel"/>
    <w:tmpl w:val="941A304A"/>
    <w:lvl w:ilvl="0" w:tplc="2F44D0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30154DF7"/>
    <w:multiLevelType w:val="hybridMultilevel"/>
    <w:tmpl w:val="740EAF8E"/>
    <w:lvl w:ilvl="0" w:tplc="DDBC2DCC">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895"/>
    <w:rsid w:val="00001067"/>
    <w:rsid w:val="00001598"/>
    <w:rsid w:val="00003511"/>
    <w:rsid w:val="0000396B"/>
    <w:rsid w:val="0000448C"/>
    <w:rsid w:val="00004F83"/>
    <w:rsid w:val="00007068"/>
    <w:rsid w:val="00010930"/>
    <w:rsid w:val="00012277"/>
    <w:rsid w:val="00012511"/>
    <w:rsid w:val="0001513D"/>
    <w:rsid w:val="00015438"/>
    <w:rsid w:val="00015F58"/>
    <w:rsid w:val="00016B0B"/>
    <w:rsid w:val="000171B7"/>
    <w:rsid w:val="000212DD"/>
    <w:rsid w:val="0002455E"/>
    <w:rsid w:val="00025BCA"/>
    <w:rsid w:val="0002735C"/>
    <w:rsid w:val="00027455"/>
    <w:rsid w:val="00031927"/>
    <w:rsid w:val="0003280C"/>
    <w:rsid w:val="00033EF0"/>
    <w:rsid w:val="000346DD"/>
    <w:rsid w:val="0003555B"/>
    <w:rsid w:val="000356D0"/>
    <w:rsid w:val="000421EA"/>
    <w:rsid w:val="000429BE"/>
    <w:rsid w:val="00042A3A"/>
    <w:rsid w:val="00044EF7"/>
    <w:rsid w:val="00046DC5"/>
    <w:rsid w:val="000478C8"/>
    <w:rsid w:val="000534A0"/>
    <w:rsid w:val="00054A37"/>
    <w:rsid w:val="0005503E"/>
    <w:rsid w:val="00060AC4"/>
    <w:rsid w:val="00061A7C"/>
    <w:rsid w:val="0006256E"/>
    <w:rsid w:val="00062B8A"/>
    <w:rsid w:val="0006310D"/>
    <w:rsid w:val="0006431F"/>
    <w:rsid w:val="000643FB"/>
    <w:rsid w:val="00064413"/>
    <w:rsid w:val="0006575D"/>
    <w:rsid w:val="00066856"/>
    <w:rsid w:val="00066954"/>
    <w:rsid w:val="00070288"/>
    <w:rsid w:val="000724B7"/>
    <w:rsid w:val="00073402"/>
    <w:rsid w:val="000764ED"/>
    <w:rsid w:val="00077260"/>
    <w:rsid w:val="000776C0"/>
    <w:rsid w:val="000827CA"/>
    <w:rsid w:val="000834B4"/>
    <w:rsid w:val="00084260"/>
    <w:rsid w:val="0008431D"/>
    <w:rsid w:val="00084A9B"/>
    <w:rsid w:val="00087139"/>
    <w:rsid w:val="00090702"/>
    <w:rsid w:val="00091894"/>
    <w:rsid w:val="00091C04"/>
    <w:rsid w:val="0009360E"/>
    <w:rsid w:val="00093A10"/>
    <w:rsid w:val="00094FD3"/>
    <w:rsid w:val="00095467"/>
    <w:rsid w:val="0009643C"/>
    <w:rsid w:val="00096D38"/>
    <w:rsid w:val="0009719D"/>
    <w:rsid w:val="000A03EF"/>
    <w:rsid w:val="000A1477"/>
    <w:rsid w:val="000A3527"/>
    <w:rsid w:val="000A3659"/>
    <w:rsid w:val="000A3F60"/>
    <w:rsid w:val="000A47BF"/>
    <w:rsid w:val="000A4A94"/>
    <w:rsid w:val="000A628D"/>
    <w:rsid w:val="000A7484"/>
    <w:rsid w:val="000B1929"/>
    <w:rsid w:val="000B1F1C"/>
    <w:rsid w:val="000B36DD"/>
    <w:rsid w:val="000B3839"/>
    <w:rsid w:val="000B5AD1"/>
    <w:rsid w:val="000B779F"/>
    <w:rsid w:val="000C0224"/>
    <w:rsid w:val="000C1CEE"/>
    <w:rsid w:val="000C3249"/>
    <w:rsid w:val="000C5F16"/>
    <w:rsid w:val="000C7672"/>
    <w:rsid w:val="000D03DA"/>
    <w:rsid w:val="000D1242"/>
    <w:rsid w:val="000D1F8D"/>
    <w:rsid w:val="000D214D"/>
    <w:rsid w:val="000D2FAA"/>
    <w:rsid w:val="000D3A01"/>
    <w:rsid w:val="000D42F0"/>
    <w:rsid w:val="000D4AD4"/>
    <w:rsid w:val="000D62A3"/>
    <w:rsid w:val="000D74FD"/>
    <w:rsid w:val="000D7869"/>
    <w:rsid w:val="000E0D9A"/>
    <w:rsid w:val="000E14FC"/>
    <w:rsid w:val="000E36A5"/>
    <w:rsid w:val="000E6117"/>
    <w:rsid w:val="000E6728"/>
    <w:rsid w:val="000E755D"/>
    <w:rsid w:val="000E7F63"/>
    <w:rsid w:val="000F006B"/>
    <w:rsid w:val="000F0DA7"/>
    <w:rsid w:val="000F2DDA"/>
    <w:rsid w:val="000F3C8C"/>
    <w:rsid w:val="000F5595"/>
    <w:rsid w:val="000F73FC"/>
    <w:rsid w:val="00100E06"/>
    <w:rsid w:val="00101A97"/>
    <w:rsid w:val="0010246C"/>
    <w:rsid w:val="0010370E"/>
    <w:rsid w:val="00103BD1"/>
    <w:rsid w:val="00103D52"/>
    <w:rsid w:val="001049BE"/>
    <w:rsid w:val="00106962"/>
    <w:rsid w:val="00107F51"/>
    <w:rsid w:val="00110324"/>
    <w:rsid w:val="00110694"/>
    <w:rsid w:val="001121BC"/>
    <w:rsid w:val="00112C34"/>
    <w:rsid w:val="00113721"/>
    <w:rsid w:val="001150A1"/>
    <w:rsid w:val="0011756F"/>
    <w:rsid w:val="00117773"/>
    <w:rsid w:val="00117ADE"/>
    <w:rsid w:val="00121B8C"/>
    <w:rsid w:val="00124AEA"/>
    <w:rsid w:val="0012549B"/>
    <w:rsid w:val="00125DC0"/>
    <w:rsid w:val="00133861"/>
    <w:rsid w:val="00133878"/>
    <w:rsid w:val="00135770"/>
    <w:rsid w:val="00135D68"/>
    <w:rsid w:val="00135D77"/>
    <w:rsid w:val="00136050"/>
    <w:rsid w:val="00136208"/>
    <w:rsid w:val="00137CC5"/>
    <w:rsid w:val="00141AB9"/>
    <w:rsid w:val="00141D77"/>
    <w:rsid w:val="00142726"/>
    <w:rsid w:val="0014333F"/>
    <w:rsid w:val="00144609"/>
    <w:rsid w:val="00145AC2"/>
    <w:rsid w:val="00150D08"/>
    <w:rsid w:val="0015145A"/>
    <w:rsid w:val="00151623"/>
    <w:rsid w:val="0015190E"/>
    <w:rsid w:val="00152B89"/>
    <w:rsid w:val="00152E1B"/>
    <w:rsid w:val="00155E13"/>
    <w:rsid w:val="001561DB"/>
    <w:rsid w:val="00156282"/>
    <w:rsid w:val="00156BAE"/>
    <w:rsid w:val="0016453B"/>
    <w:rsid w:val="00164AC8"/>
    <w:rsid w:val="00165639"/>
    <w:rsid w:val="00166FF6"/>
    <w:rsid w:val="00170FA1"/>
    <w:rsid w:val="00171155"/>
    <w:rsid w:val="00171B1D"/>
    <w:rsid w:val="00171DEF"/>
    <w:rsid w:val="001725A0"/>
    <w:rsid w:val="0017376D"/>
    <w:rsid w:val="00175563"/>
    <w:rsid w:val="00175F7D"/>
    <w:rsid w:val="001768B0"/>
    <w:rsid w:val="00176BC1"/>
    <w:rsid w:val="00177638"/>
    <w:rsid w:val="00180D35"/>
    <w:rsid w:val="001822F2"/>
    <w:rsid w:val="00183ED3"/>
    <w:rsid w:val="0018400B"/>
    <w:rsid w:val="001860A4"/>
    <w:rsid w:val="001862B0"/>
    <w:rsid w:val="00186BCD"/>
    <w:rsid w:val="00187193"/>
    <w:rsid w:val="00187ABA"/>
    <w:rsid w:val="0019300F"/>
    <w:rsid w:val="00193C2D"/>
    <w:rsid w:val="00194634"/>
    <w:rsid w:val="00194832"/>
    <w:rsid w:val="00195BC2"/>
    <w:rsid w:val="0019620D"/>
    <w:rsid w:val="00196CB1"/>
    <w:rsid w:val="00196F1E"/>
    <w:rsid w:val="001A013B"/>
    <w:rsid w:val="001A04AC"/>
    <w:rsid w:val="001A0D34"/>
    <w:rsid w:val="001A0E3F"/>
    <w:rsid w:val="001A1D6C"/>
    <w:rsid w:val="001A22FC"/>
    <w:rsid w:val="001A2524"/>
    <w:rsid w:val="001A3845"/>
    <w:rsid w:val="001A47A9"/>
    <w:rsid w:val="001B01C8"/>
    <w:rsid w:val="001B3387"/>
    <w:rsid w:val="001B3B69"/>
    <w:rsid w:val="001B4734"/>
    <w:rsid w:val="001B5943"/>
    <w:rsid w:val="001C13F2"/>
    <w:rsid w:val="001C1B63"/>
    <w:rsid w:val="001C2894"/>
    <w:rsid w:val="001C3C16"/>
    <w:rsid w:val="001C42D5"/>
    <w:rsid w:val="001C436B"/>
    <w:rsid w:val="001C4490"/>
    <w:rsid w:val="001C6A14"/>
    <w:rsid w:val="001C756F"/>
    <w:rsid w:val="001D19F7"/>
    <w:rsid w:val="001D1BF7"/>
    <w:rsid w:val="001D1DED"/>
    <w:rsid w:val="001D1FA9"/>
    <w:rsid w:val="001D21D1"/>
    <w:rsid w:val="001D2D34"/>
    <w:rsid w:val="001D35D3"/>
    <w:rsid w:val="001D4C63"/>
    <w:rsid w:val="001D5895"/>
    <w:rsid w:val="001D6408"/>
    <w:rsid w:val="001D77B5"/>
    <w:rsid w:val="001E092E"/>
    <w:rsid w:val="001E1014"/>
    <w:rsid w:val="001E6C88"/>
    <w:rsid w:val="001E74E1"/>
    <w:rsid w:val="001E77ED"/>
    <w:rsid w:val="001F03FC"/>
    <w:rsid w:val="001F1CA1"/>
    <w:rsid w:val="001F2B4E"/>
    <w:rsid w:val="001F44EF"/>
    <w:rsid w:val="00201435"/>
    <w:rsid w:val="00201FBB"/>
    <w:rsid w:val="00207229"/>
    <w:rsid w:val="00212855"/>
    <w:rsid w:val="00212A82"/>
    <w:rsid w:val="002136D3"/>
    <w:rsid w:val="00215D11"/>
    <w:rsid w:val="0021679E"/>
    <w:rsid w:val="00220059"/>
    <w:rsid w:val="00220AB9"/>
    <w:rsid w:val="00221165"/>
    <w:rsid w:val="002225F1"/>
    <w:rsid w:val="00222656"/>
    <w:rsid w:val="00224052"/>
    <w:rsid w:val="00230A68"/>
    <w:rsid w:val="002346B7"/>
    <w:rsid w:val="00234F6D"/>
    <w:rsid w:val="00237891"/>
    <w:rsid w:val="00237C85"/>
    <w:rsid w:val="00237D75"/>
    <w:rsid w:val="002425E0"/>
    <w:rsid w:val="002431EB"/>
    <w:rsid w:val="002437DF"/>
    <w:rsid w:val="00243814"/>
    <w:rsid w:val="00244CA2"/>
    <w:rsid w:val="0024638C"/>
    <w:rsid w:val="0024644A"/>
    <w:rsid w:val="00247258"/>
    <w:rsid w:val="00251C98"/>
    <w:rsid w:val="00251F27"/>
    <w:rsid w:val="00253152"/>
    <w:rsid w:val="0025361E"/>
    <w:rsid w:val="00254470"/>
    <w:rsid w:val="00256151"/>
    <w:rsid w:val="00256334"/>
    <w:rsid w:val="002608DA"/>
    <w:rsid w:val="002608E3"/>
    <w:rsid w:val="00261C13"/>
    <w:rsid w:val="00261F12"/>
    <w:rsid w:val="00263201"/>
    <w:rsid w:val="00263890"/>
    <w:rsid w:val="002655FC"/>
    <w:rsid w:val="00266815"/>
    <w:rsid w:val="002706F1"/>
    <w:rsid w:val="00270F7E"/>
    <w:rsid w:val="00272254"/>
    <w:rsid w:val="0027336F"/>
    <w:rsid w:val="00273E10"/>
    <w:rsid w:val="0027490F"/>
    <w:rsid w:val="00274C62"/>
    <w:rsid w:val="00275ADC"/>
    <w:rsid w:val="0027610D"/>
    <w:rsid w:val="002761C1"/>
    <w:rsid w:val="00276375"/>
    <w:rsid w:val="00276830"/>
    <w:rsid w:val="002779E8"/>
    <w:rsid w:val="00277A3F"/>
    <w:rsid w:val="00280DAC"/>
    <w:rsid w:val="00282440"/>
    <w:rsid w:val="002831D6"/>
    <w:rsid w:val="00283705"/>
    <w:rsid w:val="00286D71"/>
    <w:rsid w:val="002871A9"/>
    <w:rsid w:val="00287574"/>
    <w:rsid w:val="00290846"/>
    <w:rsid w:val="0029442D"/>
    <w:rsid w:val="00296039"/>
    <w:rsid w:val="00297F6A"/>
    <w:rsid w:val="002A05AC"/>
    <w:rsid w:val="002A1364"/>
    <w:rsid w:val="002A1B1F"/>
    <w:rsid w:val="002A25AA"/>
    <w:rsid w:val="002A40CC"/>
    <w:rsid w:val="002A46B7"/>
    <w:rsid w:val="002A532F"/>
    <w:rsid w:val="002A6BB2"/>
    <w:rsid w:val="002B01DF"/>
    <w:rsid w:val="002B09C9"/>
    <w:rsid w:val="002B0F4E"/>
    <w:rsid w:val="002B0FA3"/>
    <w:rsid w:val="002B14DB"/>
    <w:rsid w:val="002B27A6"/>
    <w:rsid w:val="002B3591"/>
    <w:rsid w:val="002B3AAC"/>
    <w:rsid w:val="002B3C64"/>
    <w:rsid w:val="002B6866"/>
    <w:rsid w:val="002B7FCE"/>
    <w:rsid w:val="002C0DFB"/>
    <w:rsid w:val="002C1D11"/>
    <w:rsid w:val="002C1FA1"/>
    <w:rsid w:val="002C2292"/>
    <w:rsid w:val="002C7F5B"/>
    <w:rsid w:val="002D00EB"/>
    <w:rsid w:val="002D17F4"/>
    <w:rsid w:val="002D2A56"/>
    <w:rsid w:val="002D3D8E"/>
    <w:rsid w:val="002D5870"/>
    <w:rsid w:val="002D59E5"/>
    <w:rsid w:val="002D7491"/>
    <w:rsid w:val="002E2CE0"/>
    <w:rsid w:val="002E305A"/>
    <w:rsid w:val="002E517D"/>
    <w:rsid w:val="002E5559"/>
    <w:rsid w:val="002E64ED"/>
    <w:rsid w:val="002E72DF"/>
    <w:rsid w:val="002F094B"/>
    <w:rsid w:val="002F09E6"/>
    <w:rsid w:val="002F2005"/>
    <w:rsid w:val="002F25F6"/>
    <w:rsid w:val="002F3080"/>
    <w:rsid w:val="002F3580"/>
    <w:rsid w:val="002F3F0C"/>
    <w:rsid w:val="002F4EBC"/>
    <w:rsid w:val="002F616E"/>
    <w:rsid w:val="002F67FF"/>
    <w:rsid w:val="0030125B"/>
    <w:rsid w:val="00301316"/>
    <w:rsid w:val="00301B73"/>
    <w:rsid w:val="00302035"/>
    <w:rsid w:val="003046B2"/>
    <w:rsid w:val="00307B3B"/>
    <w:rsid w:val="00310355"/>
    <w:rsid w:val="00312382"/>
    <w:rsid w:val="003130C1"/>
    <w:rsid w:val="003130D3"/>
    <w:rsid w:val="003131FF"/>
    <w:rsid w:val="00313B04"/>
    <w:rsid w:val="003148F5"/>
    <w:rsid w:val="0031502B"/>
    <w:rsid w:val="0031570E"/>
    <w:rsid w:val="00316FF1"/>
    <w:rsid w:val="00320409"/>
    <w:rsid w:val="00320DD5"/>
    <w:rsid w:val="00321363"/>
    <w:rsid w:val="00321E6D"/>
    <w:rsid w:val="00322AA5"/>
    <w:rsid w:val="00322CD9"/>
    <w:rsid w:val="003238B1"/>
    <w:rsid w:val="003243E3"/>
    <w:rsid w:val="003244AC"/>
    <w:rsid w:val="00324B27"/>
    <w:rsid w:val="00324C58"/>
    <w:rsid w:val="00327077"/>
    <w:rsid w:val="0032782D"/>
    <w:rsid w:val="0033054C"/>
    <w:rsid w:val="003307E4"/>
    <w:rsid w:val="0033192B"/>
    <w:rsid w:val="00332306"/>
    <w:rsid w:val="003364D1"/>
    <w:rsid w:val="003372AB"/>
    <w:rsid w:val="003402C6"/>
    <w:rsid w:val="003416D8"/>
    <w:rsid w:val="00342F7C"/>
    <w:rsid w:val="003441BD"/>
    <w:rsid w:val="00345A76"/>
    <w:rsid w:val="003474B4"/>
    <w:rsid w:val="00352A30"/>
    <w:rsid w:val="00352E14"/>
    <w:rsid w:val="00353435"/>
    <w:rsid w:val="00353CC4"/>
    <w:rsid w:val="00354095"/>
    <w:rsid w:val="0035568B"/>
    <w:rsid w:val="00355991"/>
    <w:rsid w:val="00355AF0"/>
    <w:rsid w:val="00355C87"/>
    <w:rsid w:val="0035639B"/>
    <w:rsid w:val="00357B4F"/>
    <w:rsid w:val="00361351"/>
    <w:rsid w:val="00361CD9"/>
    <w:rsid w:val="003634D4"/>
    <w:rsid w:val="00363D88"/>
    <w:rsid w:val="00366563"/>
    <w:rsid w:val="00366BCE"/>
    <w:rsid w:val="00367487"/>
    <w:rsid w:val="00367D20"/>
    <w:rsid w:val="00372C47"/>
    <w:rsid w:val="00374741"/>
    <w:rsid w:val="003755FF"/>
    <w:rsid w:val="00377EE0"/>
    <w:rsid w:val="00380259"/>
    <w:rsid w:val="00380B82"/>
    <w:rsid w:val="00380DCA"/>
    <w:rsid w:val="003824A2"/>
    <w:rsid w:val="00383A58"/>
    <w:rsid w:val="003851C9"/>
    <w:rsid w:val="00387272"/>
    <w:rsid w:val="003876B0"/>
    <w:rsid w:val="00390EC5"/>
    <w:rsid w:val="00393F07"/>
    <w:rsid w:val="00394B3E"/>
    <w:rsid w:val="0039585D"/>
    <w:rsid w:val="00396689"/>
    <w:rsid w:val="003974D0"/>
    <w:rsid w:val="003A1EEF"/>
    <w:rsid w:val="003A382D"/>
    <w:rsid w:val="003A7A08"/>
    <w:rsid w:val="003B165D"/>
    <w:rsid w:val="003B4146"/>
    <w:rsid w:val="003B4680"/>
    <w:rsid w:val="003B56D0"/>
    <w:rsid w:val="003B736A"/>
    <w:rsid w:val="003C01A3"/>
    <w:rsid w:val="003C0EBE"/>
    <w:rsid w:val="003C28B4"/>
    <w:rsid w:val="003C394F"/>
    <w:rsid w:val="003C48C3"/>
    <w:rsid w:val="003C4E1F"/>
    <w:rsid w:val="003C4E35"/>
    <w:rsid w:val="003C536B"/>
    <w:rsid w:val="003C7488"/>
    <w:rsid w:val="003C799F"/>
    <w:rsid w:val="003D05D8"/>
    <w:rsid w:val="003D25EC"/>
    <w:rsid w:val="003D26A2"/>
    <w:rsid w:val="003D2A51"/>
    <w:rsid w:val="003D330F"/>
    <w:rsid w:val="003D4080"/>
    <w:rsid w:val="003D601B"/>
    <w:rsid w:val="003D78C6"/>
    <w:rsid w:val="003E0D11"/>
    <w:rsid w:val="003E33CD"/>
    <w:rsid w:val="003E50C5"/>
    <w:rsid w:val="003E50D4"/>
    <w:rsid w:val="003E53AB"/>
    <w:rsid w:val="003E6531"/>
    <w:rsid w:val="003E71E6"/>
    <w:rsid w:val="003E7424"/>
    <w:rsid w:val="003E76ED"/>
    <w:rsid w:val="003E7B98"/>
    <w:rsid w:val="003F1B3F"/>
    <w:rsid w:val="003F25FF"/>
    <w:rsid w:val="003F300D"/>
    <w:rsid w:val="003F3B10"/>
    <w:rsid w:val="003F44CF"/>
    <w:rsid w:val="003F4A5F"/>
    <w:rsid w:val="003F5049"/>
    <w:rsid w:val="003F6200"/>
    <w:rsid w:val="003F6B83"/>
    <w:rsid w:val="003F6BEE"/>
    <w:rsid w:val="003F6CB8"/>
    <w:rsid w:val="003F7366"/>
    <w:rsid w:val="003F7CC0"/>
    <w:rsid w:val="0040303F"/>
    <w:rsid w:val="00403207"/>
    <w:rsid w:val="00403452"/>
    <w:rsid w:val="00403520"/>
    <w:rsid w:val="00404F7C"/>
    <w:rsid w:val="00406392"/>
    <w:rsid w:val="00406B87"/>
    <w:rsid w:val="00413680"/>
    <w:rsid w:val="004140B5"/>
    <w:rsid w:val="00414436"/>
    <w:rsid w:val="00414697"/>
    <w:rsid w:val="004163E6"/>
    <w:rsid w:val="00417F99"/>
    <w:rsid w:val="004232D3"/>
    <w:rsid w:val="0042382F"/>
    <w:rsid w:val="00423D15"/>
    <w:rsid w:val="004255A5"/>
    <w:rsid w:val="00426FF9"/>
    <w:rsid w:val="00430CBA"/>
    <w:rsid w:val="00432E86"/>
    <w:rsid w:val="00435D03"/>
    <w:rsid w:val="00436B55"/>
    <w:rsid w:val="0043726B"/>
    <w:rsid w:val="00437569"/>
    <w:rsid w:val="00442B89"/>
    <w:rsid w:val="00443EB0"/>
    <w:rsid w:val="0044651B"/>
    <w:rsid w:val="00450BEE"/>
    <w:rsid w:val="00450C02"/>
    <w:rsid w:val="004511E5"/>
    <w:rsid w:val="004511FD"/>
    <w:rsid w:val="00451DD0"/>
    <w:rsid w:val="00452A75"/>
    <w:rsid w:val="00453053"/>
    <w:rsid w:val="004533A5"/>
    <w:rsid w:val="00454070"/>
    <w:rsid w:val="004546FD"/>
    <w:rsid w:val="00455153"/>
    <w:rsid w:val="00455892"/>
    <w:rsid w:val="00456DFB"/>
    <w:rsid w:val="00457490"/>
    <w:rsid w:val="00460329"/>
    <w:rsid w:val="00461815"/>
    <w:rsid w:val="00461E1B"/>
    <w:rsid w:val="004622B7"/>
    <w:rsid w:val="00462615"/>
    <w:rsid w:val="00465FAC"/>
    <w:rsid w:val="004670A8"/>
    <w:rsid w:val="00467C59"/>
    <w:rsid w:val="004711CE"/>
    <w:rsid w:val="00471F51"/>
    <w:rsid w:val="00475BC7"/>
    <w:rsid w:val="00477945"/>
    <w:rsid w:val="004816B9"/>
    <w:rsid w:val="00482668"/>
    <w:rsid w:val="004829FB"/>
    <w:rsid w:val="00483380"/>
    <w:rsid w:val="00483502"/>
    <w:rsid w:val="004844B5"/>
    <w:rsid w:val="00484D41"/>
    <w:rsid w:val="0048540B"/>
    <w:rsid w:val="004856AA"/>
    <w:rsid w:val="00487C4E"/>
    <w:rsid w:val="00491328"/>
    <w:rsid w:val="00491900"/>
    <w:rsid w:val="00494C95"/>
    <w:rsid w:val="0049500C"/>
    <w:rsid w:val="004965CE"/>
    <w:rsid w:val="00496B15"/>
    <w:rsid w:val="004A4338"/>
    <w:rsid w:val="004A5066"/>
    <w:rsid w:val="004A6D5D"/>
    <w:rsid w:val="004A736F"/>
    <w:rsid w:val="004A75A4"/>
    <w:rsid w:val="004A7ACE"/>
    <w:rsid w:val="004B2BC4"/>
    <w:rsid w:val="004B30FD"/>
    <w:rsid w:val="004B322B"/>
    <w:rsid w:val="004B4369"/>
    <w:rsid w:val="004B46AD"/>
    <w:rsid w:val="004B4B05"/>
    <w:rsid w:val="004B57B4"/>
    <w:rsid w:val="004B5BA9"/>
    <w:rsid w:val="004B61AB"/>
    <w:rsid w:val="004B6662"/>
    <w:rsid w:val="004C1624"/>
    <w:rsid w:val="004C1725"/>
    <w:rsid w:val="004C1A4E"/>
    <w:rsid w:val="004C1EB7"/>
    <w:rsid w:val="004C2E51"/>
    <w:rsid w:val="004C4D4F"/>
    <w:rsid w:val="004C6629"/>
    <w:rsid w:val="004C6701"/>
    <w:rsid w:val="004C7ED8"/>
    <w:rsid w:val="004D0B3F"/>
    <w:rsid w:val="004D15B7"/>
    <w:rsid w:val="004D3D1E"/>
    <w:rsid w:val="004D4521"/>
    <w:rsid w:val="004D4D2F"/>
    <w:rsid w:val="004D5080"/>
    <w:rsid w:val="004D5B79"/>
    <w:rsid w:val="004D6A41"/>
    <w:rsid w:val="004E1FCD"/>
    <w:rsid w:val="004E281A"/>
    <w:rsid w:val="004E3E15"/>
    <w:rsid w:val="004E5CAC"/>
    <w:rsid w:val="004E69E8"/>
    <w:rsid w:val="004F0428"/>
    <w:rsid w:val="004F2857"/>
    <w:rsid w:val="004F4F44"/>
    <w:rsid w:val="004F510C"/>
    <w:rsid w:val="004F6EF8"/>
    <w:rsid w:val="004F706A"/>
    <w:rsid w:val="004F7841"/>
    <w:rsid w:val="0050386D"/>
    <w:rsid w:val="00506106"/>
    <w:rsid w:val="005067E0"/>
    <w:rsid w:val="005100FA"/>
    <w:rsid w:val="0051079C"/>
    <w:rsid w:val="00510899"/>
    <w:rsid w:val="00512565"/>
    <w:rsid w:val="00512F9E"/>
    <w:rsid w:val="00513175"/>
    <w:rsid w:val="00514214"/>
    <w:rsid w:val="0052031E"/>
    <w:rsid w:val="0052290F"/>
    <w:rsid w:val="00524B65"/>
    <w:rsid w:val="00526259"/>
    <w:rsid w:val="005262B6"/>
    <w:rsid w:val="00526D27"/>
    <w:rsid w:val="00526FB9"/>
    <w:rsid w:val="00530609"/>
    <w:rsid w:val="00530EC1"/>
    <w:rsid w:val="005321A0"/>
    <w:rsid w:val="00532B80"/>
    <w:rsid w:val="00536B1F"/>
    <w:rsid w:val="0053760A"/>
    <w:rsid w:val="00537FE4"/>
    <w:rsid w:val="005425FA"/>
    <w:rsid w:val="005449FE"/>
    <w:rsid w:val="00545677"/>
    <w:rsid w:val="0054685D"/>
    <w:rsid w:val="00551097"/>
    <w:rsid w:val="0055172E"/>
    <w:rsid w:val="00552BB8"/>
    <w:rsid w:val="005564A1"/>
    <w:rsid w:val="005568A3"/>
    <w:rsid w:val="00556A16"/>
    <w:rsid w:val="005601E1"/>
    <w:rsid w:val="00560354"/>
    <w:rsid w:val="0056098B"/>
    <w:rsid w:val="00562283"/>
    <w:rsid w:val="0056240E"/>
    <w:rsid w:val="0056407A"/>
    <w:rsid w:val="005643B9"/>
    <w:rsid w:val="00565037"/>
    <w:rsid w:val="005701EB"/>
    <w:rsid w:val="00570B94"/>
    <w:rsid w:val="005711CF"/>
    <w:rsid w:val="0057212B"/>
    <w:rsid w:val="00572233"/>
    <w:rsid w:val="005729C7"/>
    <w:rsid w:val="0057367C"/>
    <w:rsid w:val="00573EFE"/>
    <w:rsid w:val="0057413C"/>
    <w:rsid w:val="00574C45"/>
    <w:rsid w:val="00574F03"/>
    <w:rsid w:val="00575F2C"/>
    <w:rsid w:val="0057613E"/>
    <w:rsid w:val="005765CD"/>
    <w:rsid w:val="005778FC"/>
    <w:rsid w:val="00580167"/>
    <w:rsid w:val="00581D46"/>
    <w:rsid w:val="00582249"/>
    <w:rsid w:val="005844F9"/>
    <w:rsid w:val="00584EC9"/>
    <w:rsid w:val="0058543F"/>
    <w:rsid w:val="00587AF7"/>
    <w:rsid w:val="00594716"/>
    <w:rsid w:val="00594F53"/>
    <w:rsid w:val="005954F4"/>
    <w:rsid w:val="00595614"/>
    <w:rsid w:val="005977A1"/>
    <w:rsid w:val="005A025D"/>
    <w:rsid w:val="005A037F"/>
    <w:rsid w:val="005A0CF4"/>
    <w:rsid w:val="005A1311"/>
    <w:rsid w:val="005A2180"/>
    <w:rsid w:val="005A53D2"/>
    <w:rsid w:val="005A547B"/>
    <w:rsid w:val="005A68E6"/>
    <w:rsid w:val="005A71FA"/>
    <w:rsid w:val="005B1EF7"/>
    <w:rsid w:val="005B27B5"/>
    <w:rsid w:val="005B5AD1"/>
    <w:rsid w:val="005B6109"/>
    <w:rsid w:val="005B6947"/>
    <w:rsid w:val="005B6D34"/>
    <w:rsid w:val="005B7A41"/>
    <w:rsid w:val="005B7C74"/>
    <w:rsid w:val="005C07D8"/>
    <w:rsid w:val="005C089F"/>
    <w:rsid w:val="005C2092"/>
    <w:rsid w:val="005C60AA"/>
    <w:rsid w:val="005C76B5"/>
    <w:rsid w:val="005C77E4"/>
    <w:rsid w:val="005C78AA"/>
    <w:rsid w:val="005C7955"/>
    <w:rsid w:val="005C7B58"/>
    <w:rsid w:val="005D3CE4"/>
    <w:rsid w:val="005D43EC"/>
    <w:rsid w:val="005D47D8"/>
    <w:rsid w:val="005D4CF7"/>
    <w:rsid w:val="005D726C"/>
    <w:rsid w:val="005E00C6"/>
    <w:rsid w:val="005E0283"/>
    <w:rsid w:val="005E35E7"/>
    <w:rsid w:val="005E3CCB"/>
    <w:rsid w:val="005E495D"/>
    <w:rsid w:val="005E5CEF"/>
    <w:rsid w:val="005F12F5"/>
    <w:rsid w:val="005F367E"/>
    <w:rsid w:val="005F3F17"/>
    <w:rsid w:val="005F52EF"/>
    <w:rsid w:val="005F5948"/>
    <w:rsid w:val="00600645"/>
    <w:rsid w:val="00600FF4"/>
    <w:rsid w:val="00601BBB"/>
    <w:rsid w:val="006050E5"/>
    <w:rsid w:val="0060550F"/>
    <w:rsid w:val="006056E5"/>
    <w:rsid w:val="00607CDD"/>
    <w:rsid w:val="00611AB1"/>
    <w:rsid w:val="00611F7B"/>
    <w:rsid w:val="00612B5F"/>
    <w:rsid w:val="00614B62"/>
    <w:rsid w:val="00616228"/>
    <w:rsid w:val="00621488"/>
    <w:rsid w:val="0062150F"/>
    <w:rsid w:val="006218B4"/>
    <w:rsid w:val="00621D58"/>
    <w:rsid w:val="006249F8"/>
    <w:rsid w:val="00624F97"/>
    <w:rsid w:val="0062546F"/>
    <w:rsid w:val="00625CCC"/>
    <w:rsid w:val="006261ED"/>
    <w:rsid w:val="00626AFC"/>
    <w:rsid w:val="006271B5"/>
    <w:rsid w:val="00630242"/>
    <w:rsid w:val="006304EC"/>
    <w:rsid w:val="0063055F"/>
    <w:rsid w:val="00630896"/>
    <w:rsid w:val="0063129E"/>
    <w:rsid w:val="006357D8"/>
    <w:rsid w:val="00636E3D"/>
    <w:rsid w:val="00637265"/>
    <w:rsid w:val="00637DB2"/>
    <w:rsid w:val="00641952"/>
    <w:rsid w:val="00641EC2"/>
    <w:rsid w:val="00642FDA"/>
    <w:rsid w:val="00643011"/>
    <w:rsid w:val="00643DF1"/>
    <w:rsid w:val="00645B50"/>
    <w:rsid w:val="00646C78"/>
    <w:rsid w:val="00646D37"/>
    <w:rsid w:val="006531C1"/>
    <w:rsid w:val="00654CF8"/>
    <w:rsid w:val="006618C4"/>
    <w:rsid w:val="00662106"/>
    <w:rsid w:val="0066324B"/>
    <w:rsid w:val="00664E0E"/>
    <w:rsid w:val="00666106"/>
    <w:rsid w:val="00666422"/>
    <w:rsid w:val="006714D5"/>
    <w:rsid w:val="00673A4E"/>
    <w:rsid w:val="0067540F"/>
    <w:rsid w:val="006803DA"/>
    <w:rsid w:val="00680AE4"/>
    <w:rsid w:val="006828CD"/>
    <w:rsid w:val="00683E78"/>
    <w:rsid w:val="00683F75"/>
    <w:rsid w:val="00684CE3"/>
    <w:rsid w:val="006872B7"/>
    <w:rsid w:val="00690622"/>
    <w:rsid w:val="0069290A"/>
    <w:rsid w:val="00693294"/>
    <w:rsid w:val="006970B3"/>
    <w:rsid w:val="006A1482"/>
    <w:rsid w:val="006A16AB"/>
    <w:rsid w:val="006A4EE6"/>
    <w:rsid w:val="006A6618"/>
    <w:rsid w:val="006A7D55"/>
    <w:rsid w:val="006B2FB4"/>
    <w:rsid w:val="006B4527"/>
    <w:rsid w:val="006B481E"/>
    <w:rsid w:val="006B6D26"/>
    <w:rsid w:val="006B7637"/>
    <w:rsid w:val="006C0B54"/>
    <w:rsid w:val="006C21C2"/>
    <w:rsid w:val="006C2E4F"/>
    <w:rsid w:val="006C4CB3"/>
    <w:rsid w:val="006C5C25"/>
    <w:rsid w:val="006C76D0"/>
    <w:rsid w:val="006D0711"/>
    <w:rsid w:val="006D3D7F"/>
    <w:rsid w:val="006D4974"/>
    <w:rsid w:val="006D6134"/>
    <w:rsid w:val="006E012A"/>
    <w:rsid w:val="006E0445"/>
    <w:rsid w:val="006E0678"/>
    <w:rsid w:val="006E0DC8"/>
    <w:rsid w:val="006E2AB2"/>
    <w:rsid w:val="006E3811"/>
    <w:rsid w:val="006E4AD2"/>
    <w:rsid w:val="006E52AF"/>
    <w:rsid w:val="006E65C7"/>
    <w:rsid w:val="006E699F"/>
    <w:rsid w:val="006E69DB"/>
    <w:rsid w:val="006E6D1F"/>
    <w:rsid w:val="006F03B7"/>
    <w:rsid w:val="006F1825"/>
    <w:rsid w:val="006F46A2"/>
    <w:rsid w:val="006F49BE"/>
    <w:rsid w:val="006F4D9F"/>
    <w:rsid w:val="006F5BF3"/>
    <w:rsid w:val="006F5D39"/>
    <w:rsid w:val="006F6B86"/>
    <w:rsid w:val="006F7173"/>
    <w:rsid w:val="006F74AE"/>
    <w:rsid w:val="006F7A22"/>
    <w:rsid w:val="00701AED"/>
    <w:rsid w:val="00703A44"/>
    <w:rsid w:val="007040FA"/>
    <w:rsid w:val="00704C3A"/>
    <w:rsid w:val="00705DDA"/>
    <w:rsid w:val="00706469"/>
    <w:rsid w:val="007074AD"/>
    <w:rsid w:val="00710159"/>
    <w:rsid w:val="0071186B"/>
    <w:rsid w:val="00712418"/>
    <w:rsid w:val="00712C4B"/>
    <w:rsid w:val="007147DC"/>
    <w:rsid w:val="00715B15"/>
    <w:rsid w:val="0072179F"/>
    <w:rsid w:val="00721CC1"/>
    <w:rsid w:val="007238DA"/>
    <w:rsid w:val="00724AD7"/>
    <w:rsid w:val="00724BBE"/>
    <w:rsid w:val="00724D4F"/>
    <w:rsid w:val="00724EFA"/>
    <w:rsid w:val="0072506E"/>
    <w:rsid w:val="00725D38"/>
    <w:rsid w:val="007264E9"/>
    <w:rsid w:val="00726AD6"/>
    <w:rsid w:val="0072703C"/>
    <w:rsid w:val="00727C66"/>
    <w:rsid w:val="007307FA"/>
    <w:rsid w:val="00731138"/>
    <w:rsid w:val="0073173B"/>
    <w:rsid w:val="00732A4E"/>
    <w:rsid w:val="00732C4D"/>
    <w:rsid w:val="00734004"/>
    <w:rsid w:val="00734FDA"/>
    <w:rsid w:val="00735A7B"/>
    <w:rsid w:val="00736276"/>
    <w:rsid w:val="00737C5D"/>
    <w:rsid w:val="007409CF"/>
    <w:rsid w:val="00741AA3"/>
    <w:rsid w:val="0074218F"/>
    <w:rsid w:val="0074428B"/>
    <w:rsid w:val="007458D2"/>
    <w:rsid w:val="00746326"/>
    <w:rsid w:val="00746E4E"/>
    <w:rsid w:val="00747CC2"/>
    <w:rsid w:val="00750B57"/>
    <w:rsid w:val="007527A4"/>
    <w:rsid w:val="00752FEB"/>
    <w:rsid w:val="00754576"/>
    <w:rsid w:val="00755148"/>
    <w:rsid w:val="007553BE"/>
    <w:rsid w:val="007561D4"/>
    <w:rsid w:val="00756ADF"/>
    <w:rsid w:val="007606D3"/>
    <w:rsid w:val="0076159A"/>
    <w:rsid w:val="00762882"/>
    <w:rsid w:val="00763BF0"/>
    <w:rsid w:val="007644D0"/>
    <w:rsid w:val="007648E8"/>
    <w:rsid w:val="00765E36"/>
    <w:rsid w:val="0076784D"/>
    <w:rsid w:val="00770036"/>
    <w:rsid w:val="007705C8"/>
    <w:rsid w:val="00771566"/>
    <w:rsid w:val="00773F91"/>
    <w:rsid w:val="00774B01"/>
    <w:rsid w:val="00775704"/>
    <w:rsid w:val="0077604B"/>
    <w:rsid w:val="007762C7"/>
    <w:rsid w:val="0077655F"/>
    <w:rsid w:val="00776A58"/>
    <w:rsid w:val="00777A50"/>
    <w:rsid w:val="007823DE"/>
    <w:rsid w:val="00782702"/>
    <w:rsid w:val="00783851"/>
    <w:rsid w:val="00783B93"/>
    <w:rsid w:val="007851D9"/>
    <w:rsid w:val="00785813"/>
    <w:rsid w:val="00785DD5"/>
    <w:rsid w:val="00787EF2"/>
    <w:rsid w:val="0079131B"/>
    <w:rsid w:val="007917C1"/>
    <w:rsid w:val="00792CB5"/>
    <w:rsid w:val="0079381F"/>
    <w:rsid w:val="00793EDA"/>
    <w:rsid w:val="00795BA3"/>
    <w:rsid w:val="00795F21"/>
    <w:rsid w:val="00796290"/>
    <w:rsid w:val="00797A7F"/>
    <w:rsid w:val="007A0226"/>
    <w:rsid w:val="007A166F"/>
    <w:rsid w:val="007A251A"/>
    <w:rsid w:val="007A3526"/>
    <w:rsid w:val="007A45C3"/>
    <w:rsid w:val="007A60E7"/>
    <w:rsid w:val="007A795D"/>
    <w:rsid w:val="007B0F4F"/>
    <w:rsid w:val="007B3262"/>
    <w:rsid w:val="007B3F98"/>
    <w:rsid w:val="007B41FD"/>
    <w:rsid w:val="007B678D"/>
    <w:rsid w:val="007B715A"/>
    <w:rsid w:val="007C0BD2"/>
    <w:rsid w:val="007C383E"/>
    <w:rsid w:val="007C7F45"/>
    <w:rsid w:val="007D05FE"/>
    <w:rsid w:val="007D1B5E"/>
    <w:rsid w:val="007D1CA6"/>
    <w:rsid w:val="007D204A"/>
    <w:rsid w:val="007D48F1"/>
    <w:rsid w:val="007D4C01"/>
    <w:rsid w:val="007D5399"/>
    <w:rsid w:val="007D5576"/>
    <w:rsid w:val="007D65FF"/>
    <w:rsid w:val="007D6E82"/>
    <w:rsid w:val="007D757A"/>
    <w:rsid w:val="007E35F1"/>
    <w:rsid w:val="007E633D"/>
    <w:rsid w:val="007E6C6A"/>
    <w:rsid w:val="007F0D4A"/>
    <w:rsid w:val="007F3800"/>
    <w:rsid w:val="007F608C"/>
    <w:rsid w:val="00800717"/>
    <w:rsid w:val="00801A6E"/>
    <w:rsid w:val="0080437E"/>
    <w:rsid w:val="00804B35"/>
    <w:rsid w:val="00807E4D"/>
    <w:rsid w:val="00810CE7"/>
    <w:rsid w:val="00810EDB"/>
    <w:rsid w:val="00811B0F"/>
    <w:rsid w:val="00812020"/>
    <w:rsid w:val="00812E7D"/>
    <w:rsid w:val="00813003"/>
    <w:rsid w:val="008136A7"/>
    <w:rsid w:val="00814318"/>
    <w:rsid w:val="00814402"/>
    <w:rsid w:val="00814F77"/>
    <w:rsid w:val="00815E97"/>
    <w:rsid w:val="00816B65"/>
    <w:rsid w:val="00821212"/>
    <w:rsid w:val="00821416"/>
    <w:rsid w:val="00822187"/>
    <w:rsid w:val="00822259"/>
    <w:rsid w:val="00823E07"/>
    <w:rsid w:val="00824005"/>
    <w:rsid w:val="008263D8"/>
    <w:rsid w:val="00826580"/>
    <w:rsid w:val="00827BCD"/>
    <w:rsid w:val="0083068A"/>
    <w:rsid w:val="00830F2C"/>
    <w:rsid w:val="008310A7"/>
    <w:rsid w:val="0083130C"/>
    <w:rsid w:val="0083150E"/>
    <w:rsid w:val="00831DB6"/>
    <w:rsid w:val="00833611"/>
    <w:rsid w:val="00834BD5"/>
    <w:rsid w:val="00834F61"/>
    <w:rsid w:val="00835281"/>
    <w:rsid w:val="00835482"/>
    <w:rsid w:val="008373B8"/>
    <w:rsid w:val="008416B7"/>
    <w:rsid w:val="00843719"/>
    <w:rsid w:val="00844632"/>
    <w:rsid w:val="00845EE6"/>
    <w:rsid w:val="00846080"/>
    <w:rsid w:val="00851517"/>
    <w:rsid w:val="0085391D"/>
    <w:rsid w:val="0085581B"/>
    <w:rsid w:val="00855B23"/>
    <w:rsid w:val="008562DD"/>
    <w:rsid w:val="0085774B"/>
    <w:rsid w:val="00862735"/>
    <w:rsid w:val="00863657"/>
    <w:rsid w:val="00863E43"/>
    <w:rsid w:val="00864022"/>
    <w:rsid w:val="00864322"/>
    <w:rsid w:val="008656BE"/>
    <w:rsid w:val="00865FE5"/>
    <w:rsid w:val="00866D4A"/>
    <w:rsid w:val="00870190"/>
    <w:rsid w:val="00870FCA"/>
    <w:rsid w:val="0087151C"/>
    <w:rsid w:val="008715C8"/>
    <w:rsid w:val="008722F1"/>
    <w:rsid w:val="00872F85"/>
    <w:rsid w:val="008733E3"/>
    <w:rsid w:val="00873530"/>
    <w:rsid w:val="00873AAE"/>
    <w:rsid w:val="008746F1"/>
    <w:rsid w:val="00874AE4"/>
    <w:rsid w:val="00874FC3"/>
    <w:rsid w:val="00882736"/>
    <w:rsid w:val="0088473B"/>
    <w:rsid w:val="00884AB0"/>
    <w:rsid w:val="00885875"/>
    <w:rsid w:val="0088682E"/>
    <w:rsid w:val="00890261"/>
    <w:rsid w:val="00890A54"/>
    <w:rsid w:val="00891E10"/>
    <w:rsid w:val="008971F7"/>
    <w:rsid w:val="008978DF"/>
    <w:rsid w:val="008A0B72"/>
    <w:rsid w:val="008A21B9"/>
    <w:rsid w:val="008A27C7"/>
    <w:rsid w:val="008A7896"/>
    <w:rsid w:val="008B0AD8"/>
    <w:rsid w:val="008B1201"/>
    <w:rsid w:val="008B1215"/>
    <w:rsid w:val="008B63CB"/>
    <w:rsid w:val="008B7233"/>
    <w:rsid w:val="008C08CE"/>
    <w:rsid w:val="008C0DF6"/>
    <w:rsid w:val="008C115F"/>
    <w:rsid w:val="008C52C4"/>
    <w:rsid w:val="008C6616"/>
    <w:rsid w:val="008C6C60"/>
    <w:rsid w:val="008C7771"/>
    <w:rsid w:val="008D1478"/>
    <w:rsid w:val="008D1C4E"/>
    <w:rsid w:val="008D27AF"/>
    <w:rsid w:val="008D3DF4"/>
    <w:rsid w:val="008D6031"/>
    <w:rsid w:val="008E133C"/>
    <w:rsid w:val="008E195F"/>
    <w:rsid w:val="008E19A4"/>
    <w:rsid w:val="008E1F6C"/>
    <w:rsid w:val="008E235D"/>
    <w:rsid w:val="008E3109"/>
    <w:rsid w:val="008E6ED8"/>
    <w:rsid w:val="008E7529"/>
    <w:rsid w:val="008F06D9"/>
    <w:rsid w:val="008F1CC7"/>
    <w:rsid w:val="008F2810"/>
    <w:rsid w:val="008F3282"/>
    <w:rsid w:val="008F6310"/>
    <w:rsid w:val="008F68DE"/>
    <w:rsid w:val="008F6FAA"/>
    <w:rsid w:val="00900A37"/>
    <w:rsid w:val="00902394"/>
    <w:rsid w:val="00902503"/>
    <w:rsid w:val="00902938"/>
    <w:rsid w:val="00903961"/>
    <w:rsid w:val="00906297"/>
    <w:rsid w:val="0090678C"/>
    <w:rsid w:val="00907F25"/>
    <w:rsid w:val="0091054F"/>
    <w:rsid w:val="00911076"/>
    <w:rsid w:val="00911AE6"/>
    <w:rsid w:val="00911B87"/>
    <w:rsid w:val="0091459E"/>
    <w:rsid w:val="009153A4"/>
    <w:rsid w:val="00915CB0"/>
    <w:rsid w:val="0091758A"/>
    <w:rsid w:val="00920B99"/>
    <w:rsid w:val="00921008"/>
    <w:rsid w:val="00922710"/>
    <w:rsid w:val="0092494A"/>
    <w:rsid w:val="00925ADF"/>
    <w:rsid w:val="0092629A"/>
    <w:rsid w:val="00926688"/>
    <w:rsid w:val="00927DA4"/>
    <w:rsid w:val="009308B6"/>
    <w:rsid w:val="009310BD"/>
    <w:rsid w:val="0093119E"/>
    <w:rsid w:val="0093206D"/>
    <w:rsid w:val="0093207E"/>
    <w:rsid w:val="00932A65"/>
    <w:rsid w:val="009346ED"/>
    <w:rsid w:val="0093519A"/>
    <w:rsid w:val="00935D12"/>
    <w:rsid w:val="00940334"/>
    <w:rsid w:val="009419B6"/>
    <w:rsid w:val="00941EC4"/>
    <w:rsid w:val="0094268B"/>
    <w:rsid w:val="00943037"/>
    <w:rsid w:val="009445B8"/>
    <w:rsid w:val="0094485A"/>
    <w:rsid w:val="009459A3"/>
    <w:rsid w:val="009478B7"/>
    <w:rsid w:val="00950727"/>
    <w:rsid w:val="00952E54"/>
    <w:rsid w:val="009565ED"/>
    <w:rsid w:val="00956607"/>
    <w:rsid w:val="009566BC"/>
    <w:rsid w:val="00956CBB"/>
    <w:rsid w:val="0096037D"/>
    <w:rsid w:val="0096082B"/>
    <w:rsid w:val="0096150B"/>
    <w:rsid w:val="00964490"/>
    <w:rsid w:val="009651A9"/>
    <w:rsid w:val="00967290"/>
    <w:rsid w:val="00967504"/>
    <w:rsid w:val="009710BD"/>
    <w:rsid w:val="0097246A"/>
    <w:rsid w:val="0097266F"/>
    <w:rsid w:val="009727B6"/>
    <w:rsid w:val="00975C4B"/>
    <w:rsid w:val="00976D53"/>
    <w:rsid w:val="00977173"/>
    <w:rsid w:val="009809CE"/>
    <w:rsid w:val="00984458"/>
    <w:rsid w:val="00986DBE"/>
    <w:rsid w:val="00986EFA"/>
    <w:rsid w:val="00987107"/>
    <w:rsid w:val="00987BE3"/>
    <w:rsid w:val="0099051E"/>
    <w:rsid w:val="009905BA"/>
    <w:rsid w:val="00990612"/>
    <w:rsid w:val="0099152A"/>
    <w:rsid w:val="00993093"/>
    <w:rsid w:val="009931D4"/>
    <w:rsid w:val="00994C60"/>
    <w:rsid w:val="00994F0C"/>
    <w:rsid w:val="00994FD1"/>
    <w:rsid w:val="0099537F"/>
    <w:rsid w:val="00996D6E"/>
    <w:rsid w:val="009A0EC0"/>
    <w:rsid w:val="009A2249"/>
    <w:rsid w:val="009A2CAD"/>
    <w:rsid w:val="009A2F5D"/>
    <w:rsid w:val="009A307E"/>
    <w:rsid w:val="009A369D"/>
    <w:rsid w:val="009A3EE4"/>
    <w:rsid w:val="009A4445"/>
    <w:rsid w:val="009A5052"/>
    <w:rsid w:val="009A6464"/>
    <w:rsid w:val="009A7453"/>
    <w:rsid w:val="009B04BA"/>
    <w:rsid w:val="009B390F"/>
    <w:rsid w:val="009B55A9"/>
    <w:rsid w:val="009B5931"/>
    <w:rsid w:val="009C0B1D"/>
    <w:rsid w:val="009C15C7"/>
    <w:rsid w:val="009C4292"/>
    <w:rsid w:val="009C6665"/>
    <w:rsid w:val="009C7013"/>
    <w:rsid w:val="009D08A4"/>
    <w:rsid w:val="009D1A92"/>
    <w:rsid w:val="009D2637"/>
    <w:rsid w:val="009D31F0"/>
    <w:rsid w:val="009D4E1B"/>
    <w:rsid w:val="009D574E"/>
    <w:rsid w:val="009D5992"/>
    <w:rsid w:val="009D5A8A"/>
    <w:rsid w:val="009D5D05"/>
    <w:rsid w:val="009D5EBE"/>
    <w:rsid w:val="009D7479"/>
    <w:rsid w:val="009E02C1"/>
    <w:rsid w:val="009E05F1"/>
    <w:rsid w:val="009E24E1"/>
    <w:rsid w:val="009E2B36"/>
    <w:rsid w:val="009E5520"/>
    <w:rsid w:val="009E554C"/>
    <w:rsid w:val="009E5F90"/>
    <w:rsid w:val="009E5F9D"/>
    <w:rsid w:val="009E689E"/>
    <w:rsid w:val="009E7BC1"/>
    <w:rsid w:val="009F18C6"/>
    <w:rsid w:val="009F223C"/>
    <w:rsid w:val="009F36FA"/>
    <w:rsid w:val="009F3B9B"/>
    <w:rsid w:val="009F4F65"/>
    <w:rsid w:val="009F607D"/>
    <w:rsid w:val="009F6CCE"/>
    <w:rsid w:val="009F7ADA"/>
    <w:rsid w:val="00A01E63"/>
    <w:rsid w:val="00A03D93"/>
    <w:rsid w:val="00A06F6D"/>
    <w:rsid w:val="00A07317"/>
    <w:rsid w:val="00A10CE7"/>
    <w:rsid w:val="00A16DFE"/>
    <w:rsid w:val="00A22693"/>
    <w:rsid w:val="00A23238"/>
    <w:rsid w:val="00A2388B"/>
    <w:rsid w:val="00A2413E"/>
    <w:rsid w:val="00A258A7"/>
    <w:rsid w:val="00A26740"/>
    <w:rsid w:val="00A26801"/>
    <w:rsid w:val="00A30C5D"/>
    <w:rsid w:val="00A31F28"/>
    <w:rsid w:val="00A327D4"/>
    <w:rsid w:val="00A35B81"/>
    <w:rsid w:val="00A36248"/>
    <w:rsid w:val="00A36CEA"/>
    <w:rsid w:val="00A41D02"/>
    <w:rsid w:val="00A420BD"/>
    <w:rsid w:val="00A4238C"/>
    <w:rsid w:val="00A4241E"/>
    <w:rsid w:val="00A42B97"/>
    <w:rsid w:val="00A4385E"/>
    <w:rsid w:val="00A43866"/>
    <w:rsid w:val="00A44F27"/>
    <w:rsid w:val="00A464BD"/>
    <w:rsid w:val="00A46FBD"/>
    <w:rsid w:val="00A4716F"/>
    <w:rsid w:val="00A50051"/>
    <w:rsid w:val="00A506C3"/>
    <w:rsid w:val="00A51584"/>
    <w:rsid w:val="00A529DF"/>
    <w:rsid w:val="00A53AA1"/>
    <w:rsid w:val="00A53C96"/>
    <w:rsid w:val="00A55C1B"/>
    <w:rsid w:val="00A5788F"/>
    <w:rsid w:val="00A57D87"/>
    <w:rsid w:val="00A613FD"/>
    <w:rsid w:val="00A6160D"/>
    <w:rsid w:val="00A616F6"/>
    <w:rsid w:val="00A64226"/>
    <w:rsid w:val="00A6470E"/>
    <w:rsid w:val="00A6486C"/>
    <w:rsid w:val="00A65DCC"/>
    <w:rsid w:val="00A71AD2"/>
    <w:rsid w:val="00A72F5C"/>
    <w:rsid w:val="00A740CA"/>
    <w:rsid w:val="00A75033"/>
    <w:rsid w:val="00A75DF9"/>
    <w:rsid w:val="00A76D10"/>
    <w:rsid w:val="00A7795A"/>
    <w:rsid w:val="00A81A65"/>
    <w:rsid w:val="00A820C9"/>
    <w:rsid w:val="00A86514"/>
    <w:rsid w:val="00A907D5"/>
    <w:rsid w:val="00A91941"/>
    <w:rsid w:val="00A919AE"/>
    <w:rsid w:val="00A942C1"/>
    <w:rsid w:val="00A95D7D"/>
    <w:rsid w:val="00A95DAA"/>
    <w:rsid w:val="00A9638E"/>
    <w:rsid w:val="00A966A7"/>
    <w:rsid w:val="00A97ADD"/>
    <w:rsid w:val="00A97BD2"/>
    <w:rsid w:val="00AA0ED1"/>
    <w:rsid w:val="00AA32E9"/>
    <w:rsid w:val="00AA3A67"/>
    <w:rsid w:val="00AA4160"/>
    <w:rsid w:val="00AA4773"/>
    <w:rsid w:val="00AA4DE4"/>
    <w:rsid w:val="00AA62F4"/>
    <w:rsid w:val="00AA6874"/>
    <w:rsid w:val="00AA7D3B"/>
    <w:rsid w:val="00AB0867"/>
    <w:rsid w:val="00AB0B0B"/>
    <w:rsid w:val="00AB0CF5"/>
    <w:rsid w:val="00AB1196"/>
    <w:rsid w:val="00AB2393"/>
    <w:rsid w:val="00AB3812"/>
    <w:rsid w:val="00AB54BD"/>
    <w:rsid w:val="00AB5D04"/>
    <w:rsid w:val="00AC1647"/>
    <w:rsid w:val="00AC16C7"/>
    <w:rsid w:val="00AC255D"/>
    <w:rsid w:val="00AC30D3"/>
    <w:rsid w:val="00AC3908"/>
    <w:rsid w:val="00AC3DF2"/>
    <w:rsid w:val="00AC6D43"/>
    <w:rsid w:val="00AC7D43"/>
    <w:rsid w:val="00AD0181"/>
    <w:rsid w:val="00AD06BE"/>
    <w:rsid w:val="00AD1E37"/>
    <w:rsid w:val="00AD2E5C"/>
    <w:rsid w:val="00AD34CE"/>
    <w:rsid w:val="00AD3B01"/>
    <w:rsid w:val="00AD5531"/>
    <w:rsid w:val="00AD58B1"/>
    <w:rsid w:val="00AD69BB"/>
    <w:rsid w:val="00AE27B7"/>
    <w:rsid w:val="00AE67DF"/>
    <w:rsid w:val="00AF2D94"/>
    <w:rsid w:val="00AF3CFA"/>
    <w:rsid w:val="00AF56DF"/>
    <w:rsid w:val="00B00B4C"/>
    <w:rsid w:val="00B06024"/>
    <w:rsid w:val="00B0629F"/>
    <w:rsid w:val="00B066AA"/>
    <w:rsid w:val="00B06F47"/>
    <w:rsid w:val="00B07038"/>
    <w:rsid w:val="00B07644"/>
    <w:rsid w:val="00B07702"/>
    <w:rsid w:val="00B07795"/>
    <w:rsid w:val="00B14A84"/>
    <w:rsid w:val="00B15ABC"/>
    <w:rsid w:val="00B16F69"/>
    <w:rsid w:val="00B20B0E"/>
    <w:rsid w:val="00B23209"/>
    <w:rsid w:val="00B25443"/>
    <w:rsid w:val="00B25F3A"/>
    <w:rsid w:val="00B261D9"/>
    <w:rsid w:val="00B30563"/>
    <w:rsid w:val="00B310BA"/>
    <w:rsid w:val="00B311AF"/>
    <w:rsid w:val="00B3228D"/>
    <w:rsid w:val="00B332F4"/>
    <w:rsid w:val="00B337CE"/>
    <w:rsid w:val="00B33DC5"/>
    <w:rsid w:val="00B33FE8"/>
    <w:rsid w:val="00B3434A"/>
    <w:rsid w:val="00B36DA8"/>
    <w:rsid w:val="00B36E7B"/>
    <w:rsid w:val="00B37EFE"/>
    <w:rsid w:val="00B4100A"/>
    <w:rsid w:val="00B413A1"/>
    <w:rsid w:val="00B419AE"/>
    <w:rsid w:val="00B419B2"/>
    <w:rsid w:val="00B41F6E"/>
    <w:rsid w:val="00B43EF7"/>
    <w:rsid w:val="00B44620"/>
    <w:rsid w:val="00B455A2"/>
    <w:rsid w:val="00B46CA6"/>
    <w:rsid w:val="00B46DC6"/>
    <w:rsid w:val="00B47311"/>
    <w:rsid w:val="00B475CF"/>
    <w:rsid w:val="00B47B73"/>
    <w:rsid w:val="00B47F20"/>
    <w:rsid w:val="00B502EC"/>
    <w:rsid w:val="00B503E1"/>
    <w:rsid w:val="00B50B71"/>
    <w:rsid w:val="00B52637"/>
    <w:rsid w:val="00B52CF3"/>
    <w:rsid w:val="00B536FD"/>
    <w:rsid w:val="00B53AEF"/>
    <w:rsid w:val="00B55A95"/>
    <w:rsid w:val="00B563A1"/>
    <w:rsid w:val="00B56E46"/>
    <w:rsid w:val="00B574D0"/>
    <w:rsid w:val="00B57966"/>
    <w:rsid w:val="00B6039B"/>
    <w:rsid w:val="00B60BFF"/>
    <w:rsid w:val="00B6251C"/>
    <w:rsid w:val="00B62AFA"/>
    <w:rsid w:val="00B632E7"/>
    <w:rsid w:val="00B63B1F"/>
    <w:rsid w:val="00B63BA6"/>
    <w:rsid w:val="00B64ED7"/>
    <w:rsid w:val="00B66AB8"/>
    <w:rsid w:val="00B67FC8"/>
    <w:rsid w:val="00B709AB"/>
    <w:rsid w:val="00B71BBD"/>
    <w:rsid w:val="00B73117"/>
    <w:rsid w:val="00B74327"/>
    <w:rsid w:val="00B75512"/>
    <w:rsid w:val="00B76C96"/>
    <w:rsid w:val="00B80810"/>
    <w:rsid w:val="00B814F3"/>
    <w:rsid w:val="00B81D01"/>
    <w:rsid w:val="00B83CBF"/>
    <w:rsid w:val="00B83E12"/>
    <w:rsid w:val="00B858D1"/>
    <w:rsid w:val="00B85B5D"/>
    <w:rsid w:val="00B86BA1"/>
    <w:rsid w:val="00B87A0F"/>
    <w:rsid w:val="00B87FA0"/>
    <w:rsid w:val="00B90898"/>
    <w:rsid w:val="00B92826"/>
    <w:rsid w:val="00B93E7C"/>
    <w:rsid w:val="00B94B02"/>
    <w:rsid w:val="00B968B2"/>
    <w:rsid w:val="00B97910"/>
    <w:rsid w:val="00BA1E07"/>
    <w:rsid w:val="00BA216F"/>
    <w:rsid w:val="00BA22BE"/>
    <w:rsid w:val="00BA26B2"/>
    <w:rsid w:val="00BA3259"/>
    <w:rsid w:val="00BA5374"/>
    <w:rsid w:val="00BA5ABD"/>
    <w:rsid w:val="00BA5F83"/>
    <w:rsid w:val="00BA65B6"/>
    <w:rsid w:val="00BA6B58"/>
    <w:rsid w:val="00BA6D4E"/>
    <w:rsid w:val="00BA7263"/>
    <w:rsid w:val="00BA7B4B"/>
    <w:rsid w:val="00BB052F"/>
    <w:rsid w:val="00BB0A3C"/>
    <w:rsid w:val="00BB2406"/>
    <w:rsid w:val="00BB5F44"/>
    <w:rsid w:val="00BB7A0A"/>
    <w:rsid w:val="00BC185A"/>
    <w:rsid w:val="00BC24A3"/>
    <w:rsid w:val="00BC2935"/>
    <w:rsid w:val="00BC2BA1"/>
    <w:rsid w:val="00BC3456"/>
    <w:rsid w:val="00BC39AF"/>
    <w:rsid w:val="00BC43E9"/>
    <w:rsid w:val="00BC5BB4"/>
    <w:rsid w:val="00BC74BA"/>
    <w:rsid w:val="00BC7932"/>
    <w:rsid w:val="00BD0675"/>
    <w:rsid w:val="00BD12AF"/>
    <w:rsid w:val="00BD18D9"/>
    <w:rsid w:val="00BD78EB"/>
    <w:rsid w:val="00BE0D49"/>
    <w:rsid w:val="00BE2B42"/>
    <w:rsid w:val="00BE4BFD"/>
    <w:rsid w:val="00BE4FF5"/>
    <w:rsid w:val="00BE7B10"/>
    <w:rsid w:val="00BF7436"/>
    <w:rsid w:val="00C00EA6"/>
    <w:rsid w:val="00C013F8"/>
    <w:rsid w:val="00C02525"/>
    <w:rsid w:val="00C034EA"/>
    <w:rsid w:val="00C044AD"/>
    <w:rsid w:val="00C0579E"/>
    <w:rsid w:val="00C05DD3"/>
    <w:rsid w:val="00C102DB"/>
    <w:rsid w:val="00C10830"/>
    <w:rsid w:val="00C15039"/>
    <w:rsid w:val="00C1505F"/>
    <w:rsid w:val="00C158C4"/>
    <w:rsid w:val="00C1763B"/>
    <w:rsid w:val="00C201B2"/>
    <w:rsid w:val="00C234FD"/>
    <w:rsid w:val="00C23B89"/>
    <w:rsid w:val="00C24CA1"/>
    <w:rsid w:val="00C2664E"/>
    <w:rsid w:val="00C26B7D"/>
    <w:rsid w:val="00C271B2"/>
    <w:rsid w:val="00C324A8"/>
    <w:rsid w:val="00C33A7A"/>
    <w:rsid w:val="00C33F62"/>
    <w:rsid w:val="00C348A5"/>
    <w:rsid w:val="00C349D3"/>
    <w:rsid w:val="00C35200"/>
    <w:rsid w:val="00C35779"/>
    <w:rsid w:val="00C35B91"/>
    <w:rsid w:val="00C37433"/>
    <w:rsid w:val="00C37B6F"/>
    <w:rsid w:val="00C41410"/>
    <w:rsid w:val="00C41DB3"/>
    <w:rsid w:val="00C42C20"/>
    <w:rsid w:val="00C45875"/>
    <w:rsid w:val="00C45F48"/>
    <w:rsid w:val="00C462FF"/>
    <w:rsid w:val="00C46CD6"/>
    <w:rsid w:val="00C47ABE"/>
    <w:rsid w:val="00C50313"/>
    <w:rsid w:val="00C52A05"/>
    <w:rsid w:val="00C5373B"/>
    <w:rsid w:val="00C54A06"/>
    <w:rsid w:val="00C54F37"/>
    <w:rsid w:val="00C552D1"/>
    <w:rsid w:val="00C557F1"/>
    <w:rsid w:val="00C561BA"/>
    <w:rsid w:val="00C5706D"/>
    <w:rsid w:val="00C60BBD"/>
    <w:rsid w:val="00C61383"/>
    <w:rsid w:val="00C62F90"/>
    <w:rsid w:val="00C638A0"/>
    <w:rsid w:val="00C63AD4"/>
    <w:rsid w:val="00C6448A"/>
    <w:rsid w:val="00C64891"/>
    <w:rsid w:val="00C64F0C"/>
    <w:rsid w:val="00C65AC9"/>
    <w:rsid w:val="00C71047"/>
    <w:rsid w:val="00C71289"/>
    <w:rsid w:val="00C7212B"/>
    <w:rsid w:val="00C72F29"/>
    <w:rsid w:val="00C73525"/>
    <w:rsid w:val="00C7403D"/>
    <w:rsid w:val="00C7481E"/>
    <w:rsid w:val="00C7578B"/>
    <w:rsid w:val="00C75946"/>
    <w:rsid w:val="00C75BA1"/>
    <w:rsid w:val="00C76799"/>
    <w:rsid w:val="00C76EB8"/>
    <w:rsid w:val="00C7761F"/>
    <w:rsid w:val="00C80038"/>
    <w:rsid w:val="00C80DDD"/>
    <w:rsid w:val="00C81148"/>
    <w:rsid w:val="00C82196"/>
    <w:rsid w:val="00C83C30"/>
    <w:rsid w:val="00C83D9F"/>
    <w:rsid w:val="00C84F81"/>
    <w:rsid w:val="00C85861"/>
    <w:rsid w:val="00C860B6"/>
    <w:rsid w:val="00C91098"/>
    <w:rsid w:val="00C92187"/>
    <w:rsid w:val="00C92441"/>
    <w:rsid w:val="00C95606"/>
    <w:rsid w:val="00C968C0"/>
    <w:rsid w:val="00C96939"/>
    <w:rsid w:val="00C97B8E"/>
    <w:rsid w:val="00C97D74"/>
    <w:rsid w:val="00CA0DCD"/>
    <w:rsid w:val="00CA1556"/>
    <w:rsid w:val="00CA2301"/>
    <w:rsid w:val="00CA500D"/>
    <w:rsid w:val="00CA7695"/>
    <w:rsid w:val="00CB15C0"/>
    <w:rsid w:val="00CB22F2"/>
    <w:rsid w:val="00CB2DB4"/>
    <w:rsid w:val="00CB3491"/>
    <w:rsid w:val="00CB3F1C"/>
    <w:rsid w:val="00CB444E"/>
    <w:rsid w:val="00CB4498"/>
    <w:rsid w:val="00CB4839"/>
    <w:rsid w:val="00CB5643"/>
    <w:rsid w:val="00CB58D9"/>
    <w:rsid w:val="00CB6E37"/>
    <w:rsid w:val="00CB7C9D"/>
    <w:rsid w:val="00CC0A49"/>
    <w:rsid w:val="00CC1715"/>
    <w:rsid w:val="00CC3623"/>
    <w:rsid w:val="00CC36B5"/>
    <w:rsid w:val="00CC3FFF"/>
    <w:rsid w:val="00CC40D9"/>
    <w:rsid w:val="00CC508D"/>
    <w:rsid w:val="00CC767E"/>
    <w:rsid w:val="00CC7852"/>
    <w:rsid w:val="00CD26BD"/>
    <w:rsid w:val="00CD28A5"/>
    <w:rsid w:val="00CD2D55"/>
    <w:rsid w:val="00CD36FF"/>
    <w:rsid w:val="00CD433B"/>
    <w:rsid w:val="00CD5879"/>
    <w:rsid w:val="00CD6778"/>
    <w:rsid w:val="00CD7EC4"/>
    <w:rsid w:val="00CE05E6"/>
    <w:rsid w:val="00CE0793"/>
    <w:rsid w:val="00CE2907"/>
    <w:rsid w:val="00CE52EF"/>
    <w:rsid w:val="00CE66F9"/>
    <w:rsid w:val="00CF014F"/>
    <w:rsid w:val="00CF1017"/>
    <w:rsid w:val="00CF2745"/>
    <w:rsid w:val="00CF3EFE"/>
    <w:rsid w:val="00CF417A"/>
    <w:rsid w:val="00CF4DF3"/>
    <w:rsid w:val="00CF4FB7"/>
    <w:rsid w:val="00CF6915"/>
    <w:rsid w:val="00CF75C5"/>
    <w:rsid w:val="00CF7DD6"/>
    <w:rsid w:val="00D006DC"/>
    <w:rsid w:val="00D02BAF"/>
    <w:rsid w:val="00D035CE"/>
    <w:rsid w:val="00D03723"/>
    <w:rsid w:val="00D04946"/>
    <w:rsid w:val="00D0629D"/>
    <w:rsid w:val="00D07FAA"/>
    <w:rsid w:val="00D118CA"/>
    <w:rsid w:val="00D12DBD"/>
    <w:rsid w:val="00D1360D"/>
    <w:rsid w:val="00D145E5"/>
    <w:rsid w:val="00D14F2B"/>
    <w:rsid w:val="00D14F6A"/>
    <w:rsid w:val="00D2083E"/>
    <w:rsid w:val="00D20A09"/>
    <w:rsid w:val="00D241FF"/>
    <w:rsid w:val="00D25758"/>
    <w:rsid w:val="00D262E7"/>
    <w:rsid w:val="00D26E3E"/>
    <w:rsid w:val="00D2724F"/>
    <w:rsid w:val="00D3016C"/>
    <w:rsid w:val="00D309FC"/>
    <w:rsid w:val="00D320AF"/>
    <w:rsid w:val="00D328D2"/>
    <w:rsid w:val="00D32D12"/>
    <w:rsid w:val="00D32F7F"/>
    <w:rsid w:val="00D33351"/>
    <w:rsid w:val="00D35601"/>
    <w:rsid w:val="00D379CF"/>
    <w:rsid w:val="00D4225A"/>
    <w:rsid w:val="00D43FF7"/>
    <w:rsid w:val="00D44139"/>
    <w:rsid w:val="00D4413C"/>
    <w:rsid w:val="00D44CAF"/>
    <w:rsid w:val="00D452CA"/>
    <w:rsid w:val="00D4557F"/>
    <w:rsid w:val="00D4650B"/>
    <w:rsid w:val="00D4693A"/>
    <w:rsid w:val="00D46F3B"/>
    <w:rsid w:val="00D4786A"/>
    <w:rsid w:val="00D506F4"/>
    <w:rsid w:val="00D51DC8"/>
    <w:rsid w:val="00D52396"/>
    <w:rsid w:val="00D52C09"/>
    <w:rsid w:val="00D53C6A"/>
    <w:rsid w:val="00D53D4F"/>
    <w:rsid w:val="00D55393"/>
    <w:rsid w:val="00D55D3F"/>
    <w:rsid w:val="00D60E13"/>
    <w:rsid w:val="00D6359F"/>
    <w:rsid w:val="00D63D7B"/>
    <w:rsid w:val="00D64B7E"/>
    <w:rsid w:val="00D65F48"/>
    <w:rsid w:val="00D66427"/>
    <w:rsid w:val="00D66470"/>
    <w:rsid w:val="00D70841"/>
    <w:rsid w:val="00D7170A"/>
    <w:rsid w:val="00D71918"/>
    <w:rsid w:val="00D72931"/>
    <w:rsid w:val="00D72B5B"/>
    <w:rsid w:val="00D73457"/>
    <w:rsid w:val="00D73AC2"/>
    <w:rsid w:val="00D74B33"/>
    <w:rsid w:val="00D75992"/>
    <w:rsid w:val="00D7728E"/>
    <w:rsid w:val="00D77B48"/>
    <w:rsid w:val="00D82B68"/>
    <w:rsid w:val="00D838AA"/>
    <w:rsid w:val="00D83CDC"/>
    <w:rsid w:val="00D8435D"/>
    <w:rsid w:val="00D84AEA"/>
    <w:rsid w:val="00D8576D"/>
    <w:rsid w:val="00D85D97"/>
    <w:rsid w:val="00D8640B"/>
    <w:rsid w:val="00D9148E"/>
    <w:rsid w:val="00D92342"/>
    <w:rsid w:val="00D94934"/>
    <w:rsid w:val="00D95D00"/>
    <w:rsid w:val="00D961F1"/>
    <w:rsid w:val="00D96329"/>
    <w:rsid w:val="00D96425"/>
    <w:rsid w:val="00D9785B"/>
    <w:rsid w:val="00D97EE6"/>
    <w:rsid w:val="00DA0CD9"/>
    <w:rsid w:val="00DA157E"/>
    <w:rsid w:val="00DA1DFF"/>
    <w:rsid w:val="00DA2A2D"/>
    <w:rsid w:val="00DA2BD4"/>
    <w:rsid w:val="00DA2F6E"/>
    <w:rsid w:val="00DA335A"/>
    <w:rsid w:val="00DA6099"/>
    <w:rsid w:val="00DB028D"/>
    <w:rsid w:val="00DB029D"/>
    <w:rsid w:val="00DB0B0E"/>
    <w:rsid w:val="00DB2664"/>
    <w:rsid w:val="00DB4658"/>
    <w:rsid w:val="00DB4B72"/>
    <w:rsid w:val="00DB5626"/>
    <w:rsid w:val="00DB5E9A"/>
    <w:rsid w:val="00DB6009"/>
    <w:rsid w:val="00DB6871"/>
    <w:rsid w:val="00DC066E"/>
    <w:rsid w:val="00DC19E7"/>
    <w:rsid w:val="00DC38AF"/>
    <w:rsid w:val="00DC467E"/>
    <w:rsid w:val="00DC6C36"/>
    <w:rsid w:val="00DD1FA2"/>
    <w:rsid w:val="00DD4B39"/>
    <w:rsid w:val="00DD554B"/>
    <w:rsid w:val="00DD747A"/>
    <w:rsid w:val="00DE0B4C"/>
    <w:rsid w:val="00DE2005"/>
    <w:rsid w:val="00DE2C29"/>
    <w:rsid w:val="00DE2FAB"/>
    <w:rsid w:val="00DE3907"/>
    <w:rsid w:val="00DE4CCA"/>
    <w:rsid w:val="00DE51A4"/>
    <w:rsid w:val="00DE5858"/>
    <w:rsid w:val="00DE6942"/>
    <w:rsid w:val="00DE6A62"/>
    <w:rsid w:val="00DE7628"/>
    <w:rsid w:val="00DE7824"/>
    <w:rsid w:val="00DF1443"/>
    <w:rsid w:val="00DF294A"/>
    <w:rsid w:val="00DF2C2F"/>
    <w:rsid w:val="00DF529C"/>
    <w:rsid w:val="00DF5E52"/>
    <w:rsid w:val="00DF609D"/>
    <w:rsid w:val="00DF6D7E"/>
    <w:rsid w:val="00DF76A4"/>
    <w:rsid w:val="00DF7971"/>
    <w:rsid w:val="00E00217"/>
    <w:rsid w:val="00E030C3"/>
    <w:rsid w:val="00E04B5B"/>
    <w:rsid w:val="00E0528B"/>
    <w:rsid w:val="00E05D05"/>
    <w:rsid w:val="00E05F30"/>
    <w:rsid w:val="00E07488"/>
    <w:rsid w:val="00E07B8B"/>
    <w:rsid w:val="00E1008E"/>
    <w:rsid w:val="00E10C7B"/>
    <w:rsid w:val="00E124BE"/>
    <w:rsid w:val="00E1388F"/>
    <w:rsid w:val="00E13A17"/>
    <w:rsid w:val="00E13F49"/>
    <w:rsid w:val="00E13F92"/>
    <w:rsid w:val="00E15C37"/>
    <w:rsid w:val="00E16952"/>
    <w:rsid w:val="00E16B02"/>
    <w:rsid w:val="00E203C4"/>
    <w:rsid w:val="00E205FD"/>
    <w:rsid w:val="00E22339"/>
    <w:rsid w:val="00E227F3"/>
    <w:rsid w:val="00E2517C"/>
    <w:rsid w:val="00E256D4"/>
    <w:rsid w:val="00E25CB4"/>
    <w:rsid w:val="00E27733"/>
    <w:rsid w:val="00E30AF8"/>
    <w:rsid w:val="00E32931"/>
    <w:rsid w:val="00E330CE"/>
    <w:rsid w:val="00E33265"/>
    <w:rsid w:val="00E344FF"/>
    <w:rsid w:val="00E3470D"/>
    <w:rsid w:val="00E34C3B"/>
    <w:rsid w:val="00E36025"/>
    <w:rsid w:val="00E400F1"/>
    <w:rsid w:val="00E40823"/>
    <w:rsid w:val="00E413E2"/>
    <w:rsid w:val="00E41A8F"/>
    <w:rsid w:val="00E4459C"/>
    <w:rsid w:val="00E46909"/>
    <w:rsid w:val="00E46A28"/>
    <w:rsid w:val="00E50518"/>
    <w:rsid w:val="00E511C0"/>
    <w:rsid w:val="00E5367F"/>
    <w:rsid w:val="00E5382A"/>
    <w:rsid w:val="00E55D73"/>
    <w:rsid w:val="00E602CD"/>
    <w:rsid w:val="00E6070F"/>
    <w:rsid w:val="00E6279A"/>
    <w:rsid w:val="00E6361E"/>
    <w:rsid w:val="00E6409B"/>
    <w:rsid w:val="00E644BA"/>
    <w:rsid w:val="00E64988"/>
    <w:rsid w:val="00E65422"/>
    <w:rsid w:val="00E67A56"/>
    <w:rsid w:val="00E67FCA"/>
    <w:rsid w:val="00E71791"/>
    <w:rsid w:val="00E74100"/>
    <w:rsid w:val="00E74C0B"/>
    <w:rsid w:val="00E75253"/>
    <w:rsid w:val="00E758C9"/>
    <w:rsid w:val="00E7590D"/>
    <w:rsid w:val="00E75DC3"/>
    <w:rsid w:val="00E800AD"/>
    <w:rsid w:val="00E81525"/>
    <w:rsid w:val="00E817B5"/>
    <w:rsid w:val="00E819D1"/>
    <w:rsid w:val="00E81BE1"/>
    <w:rsid w:val="00E82219"/>
    <w:rsid w:val="00E82942"/>
    <w:rsid w:val="00E83A19"/>
    <w:rsid w:val="00E84574"/>
    <w:rsid w:val="00E974DA"/>
    <w:rsid w:val="00E975DB"/>
    <w:rsid w:val="00E97C12"/>
    <w:rsid w:val="00EA1476"/>
    <w:rsid w:val="00EA1801"/>
    <w:rsid w:val="00EA237E"/>
    <w:rsid w:val="00EA2495"/>
    <w:rsid w:val="00EA3200"/>
    <w:rsid w:val="00EA3571"/>
    <w:rsid w:val="00EA3597"/>
    <w:rsid w:val="00EA4E11"/>
    <w:rsid w:val="00EA58CF"/>
    <w:rsid w:val="00EA65D7"/>
    <w:rsid w:val="00EB0927"/>
    <w:rsid w:val="00EB092A"/>
    <w:rsid w:val="00EB0989"/>
    <w:rsid w:val="00EB3049"/>
    <w:rsid w:val="00EB37FC"/>
    <w:rsid w:val="00EB40B9"/>
    <w:rsid w:val="00EB6A77"/>
    <w:rsid w:val="00EB6BF9"/>
    <w:rsid w:val="00EB73E1"/>
    <w:rsid w:val="00EB77E0"/>
    <w:rsid w:val="00EB7DF8"/>
    <w:rsid w:val="00EB7E8C"/>
    <w:rsid w:val="00EC2B9F"/>
    <w:rsid w:val="00EC2D78"/>
    <w:rsid w:val="00EC3B34"/>
    <w:rsid w:val="00EC59FB"/>
    <w:rsid w:val="00EC7455"/>
    <w:rsid w:val="00EC781D"/>
    <w:rsid w:val="00ED1F6F"/>
    <w:rsid w:val="00ED27EE"/>
    <w:rsid w:val="00ED37B7"/>
    <w:rsid w:val="00ED6CFF"/>
    <w:rsid w:val="00ED77D2"/>
    <w:rsid w:val="00EE00AE"/>
    <w:rsid w:val="00EE1899"/>
    <w:rsid w:val="00EE4497"/>
    <w:rsid w:val="00EE524E"/>
    <w:rsid w:val="00EE52F7"/>
    <w:rsid w:val="00EE62E5"/>
    <w:rsid w:val="00EE63A7"/>
    <w:rsid w:val="00EE64A9"/>
    <w:rsid w:val="00EE64DE"/>
    <w:rsid w:val="00EE7E64"/>
    <w:rsid w:val="00EE7F3E"/>
    <w:rsid w:val="00EF0FA5"/>
    <w:rsid w:val="00EF133F"/>
    <w:rsid w:val="00EF1D0A"/>
    <w:rsid w:val="00EF341F"/>
    <w:rsid w:val="00EF4A3E"/>
    <w:rsid w:val="00EF653F"/>
    <w:rsid w:val="00F00555"/>
    <w:rsid w:val="00F03A2C"/>
    <w:rsid w:val="00F04F2F"/>
    <w:rsid w:val="00F06C58"/>
    <w:rsid w:val="00F10323"/>
    <w:rsid w:val="00F11C05"/>
    <w:rsid w:val="00F146BD"/>
    <w:rsid w:val="00F15BBC"/>
    <w:rsid w:val="00F15DFF"/>
    <w:rsid w:val="00F16E9B"/>
    <w:rsid w:val="00F171BC"/>
    <w:rsid w:val="00F212F8"/>
    <w:rsid w:val="00F218B7"/>
    <w:rsid w:val="00F248A2"/>
    <w:rsid w:val="00F25697"/>
    <w:rsid w:val="00F25F40"/>
    <w:rsid w:val="00F2613F"/>
    <w:rsid w:val="00F26886"/>
    <w:rsid w:val="00F30408"/>
    <w:rsid w:val="00F33E65"/>
    <w:rsid w:val="00F3507F"/>
    <w:rsid w:val="00F3514E"/>
    <w:rsid w:val="00F36639"/>
    <w:rsid w:val="00F3678D"/>
    <w:rsid w:val="00F41308"/>
    <w:rsid w:val="00F416F7"/>
    <w:rsid w:val="00F443B7"/>
    <w:rsid w:val="00F446BC"/>
    <w:rsid w:val="00F44756"/>
    <w:rsid w:val="00F4482C"/>
    <w:rsid w:val="00F4538C"/>
    <w:rsid w:val="00F45E7E"/>
    <w:rsid w:val="00F46E1B"/>
    <w:rsid w:val="00F5022F"/>
    <w:rsid w:val="00F52BDB"/>
    <w:rsid w:val="00F5395D"/>
    <w:rsid w:val="00F54A47"/>
    <w:rsid w:val="00F55651"/>
    <w:rsid w:val="00F572CA"/>
    <w:rsid w:val="00F57B59"/>
    <w:rsid w:val="00F61498"/>
    <w:rsid w:val="00F6149A"/>
    <w:rsid w:val="00F615F1"/>
    <w:rsid w:val="00F61D0C"/>
    <w:rsid w:val="00F62310"/>
    <w:rsid w:val="00F644B6"/>
    <w:rsid w:val="00F65076"/>
    <w:rsid w:val="00F66D7D"/>
    <w:rsid w:val="00F67A86"/>
    <w:rsid w:val="00F67E62"/>
    <w:rsid w:val="00F71748"/>
    <w:rsid w:val="00F7360D"/>
    <w:rsid w:val="00F73A53"/>
    <w:rsid w:val="00F73ECB"/>
    <w:rsid w:val="00F762DC"/>
    <w:rsid w:val="00F77386"/>
    <w:rsid w:val="00F7742F"/>
    <w:rsid w:val="00F77E7F"/>
    <w:rsid w:val="00F831B2"/>
    <w:rsid w:val="00F83927"/>
    <w:rsid w:val="00F83CF9"/>
    <w:rsid w:val="00F86B99"/>
    <w:rsid w:val="00F86E6A"/>
    <w:rsid w:val="00F87A19"/>
    <w:rsid w:val="00F9002F"/>
    <w:rsid w:val="00F90E71"/>
    <w:rsid w:val="00F9192E"/>
    <w:rsid w:val="00F93274"/>
    <w:rsid w:val="00F93524"/>
    <w:rsid w:val="00F93D5A"/>
    <w:rsid w:val="00F93D8A"/>
    <w:rsid w:val="00F93ED0"/>
    <w:rsid w:val="00F93F74"/>
    <w:rsid w:val="00F9492B"/>
    <w:rsid w:val="00F954B1"/>
    <w:rsid w:val="00F9737E"/>
    <w:rsid w:val="00F97600"/>
    <w:rsid w:val="00FA10D1"/>
    <w:rsid w:val="00FA13AC"/>
    <w:rsid w:val="00FA1C15"/>
    <w:rsid w:val="00FA2953"/>
    <w:rsid w:val="00FA2F2C"/>
    <w:rsid w:val="00FA4EC6"/>
    <w:rsid w:val="00FA5327"/>
    <w:rsid w:val="00FA7358"/>
    <w:rsid w:val="00FA77EF"/>
    <w:rsid w:val="00FA7BED"/>
    <w:rsid w:val="00FB06AD"/>
    <w:rsid w:val="00FB0A4B"/>
    <w:rsid w:val="00FB0EDE"/>
    <w:rsid w:val="00FB1E3A"/>
    <w:rsid w:val="00FB23EA"/>
    <w:rsid w:val="00FB2559"/>
    <w:rsid w:val="00FB2D6F"/>
    <w:rsid w:val="00FB39DF"/>
    <w:rsid w:val="00FB3C28"/>
    <w:rsid w:val="00FB4AC6"/>
    <w:rsid w:val="00FB4ED7"/>
    <w:rsid w:val="00FB6CE4"/>
    <w:rsid w:val="00FB7793"/>
    <w:rsid w:val="00FB7AB4"/>
    <w:rsid w:val="00FC0ADD"/>
    <w:rsid w:val="00FC16C5"/>
    <w:rsid w:val="00FC1A5E"/>
    <w:rsid w:val="00FC1C70"/>
    <w:rsid w:val="00FC341D"/>
    <w:rsid w:val="00FC3FDE"/>
    <w:rsid w:val="00FC76A4"/>
    <w:rsid w:val="00FC77FF"/>
    <w:rsid w:val="00FC7F0B"/>
    <w:rsid w:val="00FD1DAD"/>
    <w:rsid w:val="00FD26C4"/>
    <w:rsid w:val="00FD2740"/>
    <w:rsid w:val="00FD3751"/>
    <w:rsid w:val="00FD5CC2"/>
    <w:rsid w:val="00FD74F9"/>
    <w:rsid w:val="00FD7AE4"/>
    <w:rsid w:val="00FD7C10"/>
    <w:rsid w:val="00FE06C1"/>
    <w:rsid w:val="00FE0B0C"/>
    <w:rsid w:val="00FE1FC2"/>
    <w:rsid w:val="00FE2F1D"/>
    <w:rsid w:val="00FE432F"/>
    <w:rsid w:val="00FE5407"/>
    <w:rsid w:val="00FE60D7"/>
    <w:rsid w:val="00FE63D5"/>
    <w:rsid w:val="00FE7131"/>
    <w:rsid w:val="00FF016A"/>
    <w:rsid w:val="00FF02B2"/>
    <w:rsid w:val="00FF21FA"/>
    <w:rsid w:val="00FF268E"/>
    <w:rsid w:val="00FF79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basedOn w:val="Normal"/>
    <w:link w:val="FootnoteTextChar"/>
    <w:uiPriority w:val="99"/>
    <w:semiHidden/>
    <w:rsid w:val="00E81BE1"/>
    <w:pPr>
      <w:overflowPunct/>
      <w:autoSpaceDE/>
      <w:autoSpaceDN/>
      <w:adjustRightInd/>
      <w:textAlignment w:val="auto"/>
    </w:pPr>
    <w:rPr>
      <w:sz w:val="20"/>
    </w:rPr>
  </w:style>
  <w:style w:type="character" w:styleId="FootnoteReference">
    <w:name w:val="footnote reference"/>
    <w:uiPriority w:val="99"/>
    <w:semiHidden/>
    <w:rsid w:val="00E81BE1"/>
    <w:rPr>
      <w:vertAlign w:val="superscript"/>
    </w:rPr>
  </w:style>
  <w:style w:type="paragraph" w:styleId="NormalWeb">
    <w:name w:val="Normal (Web)"/>
    <w:basedOn w:val="Normal"/>
    <w:uiPriority w:val="99"/>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15E97"/>
    <w:rPr>
      <w:color w:val="0000FF"/>
      <w:u w:val="single"/>
    </w:rPr>
  </w:style>
  <w:style w:type="character" w:styleId="Emphasis">
    <w:name w:val="Emphasis"/>
    <w:qFormat/>
    <w:rsid w:val="00815E97"/>
    <w:rPr>
      <w:i/>
      <w:iCs/>
    </w:rPr>
  </w:style>
  <w:style w:type="character" w:customStyle="1" w:styleId="FootnoteTextChar">
    <w:name w:val="Footnote Text Char"/>
    <w:link w:val="FootnoteText"/>
    <w:uiPriority w:val="99"/>
    <w:semiHidden/>
    <w:rsid w:val="00FB4ED7"/>
  </w:style>
  <w:style w:type="character" w:styleId="CommentReference">
    <w:name w:val="annotation reference"/>
    <w:rsid w:val="000C3249"/>
    <w:rPr>
      <w:sz w:val="16"/>
      <w:szCs w:val="16"/>
    </w:rPr>
  </w:style>
  <w:style w:type="paragraph" w:styleId="CommentText">
    <w:name w:val="annotation text"/>
    <w:basedOn w:val="Normal"/>
    <w:link w:val="CommentTextChar"/>
    <w:rsid w:val="000C3249"/>
    <w:rPr>
      <w:sz w:val="20"/>
    </w:rPr>
  </w:style>
  <w:style w:type="character" w:customStyle="1" w:styleId="CommentTextChar">
    <w:name w:val="Comment Text Char"/>
    <w:basedOn w:val="DefaultParagraphFont"/>
    <w:link w:val="CommentText"/>
    <w:rsid w:val="000C3249"/>
  </w:style>
  <w:style w:type="paragraph" w:styleId="CommentSubject">
    <w:name w:val="annotation subject"/>
    <w:basedOn w:val="CommentText"/>
    <w:next w:val="CommentText"/>
    <w:link w:val="CommentSubjectChar"/>
    <w:rsid w:val="000C3249"/>
    <w:rPr>
      <w:b/>
      <w:bCs/>
    </w:rPr>
  </w:style>
  <w:style w:type="character" w:customStyle="1" w:styleId="CommentSubjectChar">
    <w:name w:val="Comment Subject Char"/>
    <w:link w:val="CommentSubject"/>
    <w:rsid w:val="000C3249"/>
    <w:rPr>
      <w:b/>
      <w:bCs/>
    </w:rPr>
  </w:style>
  <w:style w:type="paragraph" w:styleId="Revision">
    <w:name w:val="Revision"/>
    <w:hidden/>
    <w:uiPriority w:val="99"/>
    <w:semiHidden/>
    <w:rsid w:val="001725A0"/>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sz w:val="26"/>
    </w:rPr>
  </w:style>
  <w:style w:type="paragraph" w:styleId="Heading1">
    <w:name w:val="heading 1"/>
    <w:basedOn w:val="Normal"/>
    <w:next w:val="Normal"/>
    <w:qFormat/>
    <w:pPr>
      <w:keepNext/>
      <w:spacing w:before="240" w:after="60"/>
      <w:outlineLvl w:val="0"/>
    </w:pPr>
    <w:rPr>
      <w:kern w:val="28"/>
      <w:sz w:val="24"/>
    </w:rPr>
  </w:style>
  <w:style w:type="paragraph" w:styleId="Heading2">
    <w:name w:val="heading 2"/>
    <w:basedOn w:val="Normal"/>
    <w:next w:val="Normal"/>
    <w:qFormat/>
    <w:pPr>
      <w:keepNext/>
      <w:spacing w:before="240" w:after="60"/>
      <w:outlineLvl w:val="1"/>
    </w:pPr>
    <w:rPr>
      <w:sz w:val="24"/>
    </w:rPr>
  </w:style>
  <w:style w:type="paragraph" w:styleId="Heading3">
    <w:name w:val="heading 3"/>
    <w:basedOn w:val="Normal"/>
    <w:next w:val="Normal"/>
    <w:qFormat/>
    <w:pPr>
      <w:keepNext/>
      <w:spacing w:before="240" w:after="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
    <w:name w:val="Heading4"/>
    <w:basedOn w:val="TOC1"/>
    <w:pPr>
      <w:suppressAutoHyphens/>
      <w:spacing w:before="480"/>
      <w:ind w:left="720" w:right="720" w:hanging="720"/>
    </w:pPr>
    <w:rPr>
      <w:spacing w:val="-3"/>
      <w:sz w:val="24"/>
    </w:rPr>
  </w:style>
  <w:style w:type="paragraph" w:styleId="TOC1">
    <w:name w:val="toc 1"/>
    <w:basedOn w:val="Normal"/>
    <w:next w:val="Normal"/>
    <w:semiHidden/>
    <w:pPr>
      <w:tabs>
        <w:tab w:val="right" w:leader="dot" w:pos="9360"/>
      </w:tabs>
    </w:pPr>
  </w:style>
  <w:style w:type="paragraph" w:customStyle="1" w:styleId="Heading5">
    <w:name w:val="Heading5"/>
    <w:basedOn w:val="TOC1"/>
    <w:pPr>
      <w:suppressAutoHyphens/>
      <w:spacing w:before="480"/>
      <w:ind w:left="720" w:right="720" w:hanging="720"/>
    </w:pPr>
    <w:rPr>
      <w:spacing w:val="-3"/>
      <w:sz w:val="24"/>
    </w:rPr>
  </w:style>
  <w:style w:type="paragraph" w:customStyle="1" w:styleId="Heading6">
    <w:name w:val="Heading6"/>
    <w:basedOn w:val="TOC1"/>
    <w:pPr>
      <w:suppressAutoHyphens/>
      <w:spacing w:before="480"/>
      <w:ind w:left="720" w:right="720" w:hanging="720"/>
    </w:pPr>
    <w:rPr>
      <w:spacing w:val="-3"/>
      <w:sz w:val="24"/>
    </w:rPr>
  </w:style>
  <w:style w:type="paragraph" w:customStyle="1" w:styleId="doubleindent-5">
    <w:name w:val="double indent - .5&quot;"/>
    <w:basedOn w:val="Normal"/>
    <w:pPr>
      <w:ind w:left="720" w:right="720"/>
      <w:jc w:val="both"/>
    </w:pPr>
  </w:style>
  <w:style w:type="paragraph" w:customStyle="1" w:styleId="doubleindent-1">
    <w:name w:val="double indent - 1&quot;"/>
    <w:basedOn w:val="Normal"/>
    <w:pPr>
      <w:ind w:left="1440" w:right="1440"/>
      <w:jc w:val="both"/>
    </w:pPr>
  </w:style>
  <w:style w:type="paragraph" w:customStyle="1" w:styleId="numberedindent">
    <w:name w:val="numbered indent"/>
    <w:basedOn w:val="Normal"/>
    <w:pPr>
      <w:spacing w:after="240"/>
      <w:ind w:left="1440" w:hanging="144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1B3387"/>
    <w:rPr>
      <w:rFonts w:ascii="Tahoma" w:hAnsi="Tahoma" w:cs="Tahoma"/>
      <w:sz w:val="16"/>
      <w:szCs w:val="16"/>
    </w:rPr>
  </w:style>
  <w:style w:type="paragraph" w:styleId="Header">
    <w:name w:val="header"/>
    <w:basedOn w:val="Normal"/>
    <w:rsid w:val="006F1825"/>
    <w:pPr>
      <w:tabs>
        <w:tab w:val="center" w:pos="4320"/>
        <w:tab w:val="right" w:pos="8640"/>
      </w:tabs>
    </w:pPr>
  </w:style>
  <w:style w:type="paragraph" w:styleId="BodyText">
    <w:name w:val="Body Text"/>
    <w:basedOn w:val="Normal"/>
    <w:rsid w:val="00D9785B"/>
    <w:pPr>
      <w:overflowPunct/>
      <w:autoSpaceDE/>
      <w:autoSpaceDN/>
      <w:adjustRightInd/>
      <w:spacing w:line="360" w:lineRule="auto"/>
      <w:jc w:val="both"/>
      <w:textAlignment w:val="auto"/>
    </w:pPr>
    <w:rPr>
      <w:rFonts w:eastAsia="SimSun"/>
    </w:rPr>
  </w:style>
  <w:style w:type="paragraph" w:styleId="FootnoteText">
    <w:name w:val="footnote text"/>
    <w:basedOn w:val="Normal"/>
    <w:link w:val="FootnoteTextChar"/>
    <w:uiPriority w:val="99"/>
    <w:semiHidden/>
    <w:rsid w:val="00E81BE1"/>
    <w:pPr>
      <w:overflowPunct/>
      <w:autoSpaceDE/>
      <w:autoSpaceDN/>
      <w:adjustRightInd/>
      <w:textAlignment w:val="auto"/>
    </w:pPr>
    <w:rPr>
      <w:sz w:val="20"/>
    </w:rPr>
  </w:style>
  <w:style w:type="character" w:styleId="FootnoteReference">
    <w:name w:val="footnote reference"/>
    <w:uiPriority w:val="99"/>
    <w:semiHidden/>
    <w:rsid w:val="00E81BE1"/>
    <w:rPr>
      <w:vertAlign w:val="superscript"/>
    </w:rPr>
  </w:style>
  <w:style w:type="paragraph" w:styleId="NormalWeb">
    <w:name w:val="Normal (Web)"/>
    <w:basedOn w:val="Normal"/>
    <w:uiPriority w:val="99"/>
    <w:rsid w:val="00750B57"/>
    <w:pPr>
      <w:overflowPunct/>
      <w:autoSpaceDE/>
      <w:autoSpaceDN/>
      <w:adjustRightInd/>
      <w:spacing w:before="100" w:beforeAutospacing="1" w:after="100" w:afterAutospacing="1"/>
      <w:textAlignment w:val="auto"/>
    </w:pPr>
    <w:rPr>
      <w:sz w:val="24"/>
      <w:szCs w:val="24"/>
    </w:rPr>
  </w:style>
  <w:style w:type="table" w:styleId="TableGrid">
    <w:name w:val="Table Grid"/>
    <w:basedOn w:val="TableNormal"/>
    <w:rsid w:val="00B310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15E97"/>
    <w:rPr>
      <w:color w:val="0000FF"/>
      <w:u w:val="single"/>
    </w:rPr>
  </w:style>
  <w:style w:type="character" w:styleId="Emphasis">
    <w:name w:val="Emphasis"/>
    <w:qFormat/>
    <w:rsid w:val="00815E97"/>
    <w:rPr>
      <w:i/>
      <w:iCs/>
    </w:rPr>
  </w:style>
  <w:style w:type="character" w:customStyle="1" w:styleId="FootnoteTextChar">
    <w:name w:val="Footnote Text Char"/>
    <w:link w:val="FootnoteText"/>
    <w:uiPriority w:val="99"/>
    <w:semiHidden/>
    <w:rsid w:val="00FB4ED7"/>
  </w:style>
  <w:style w:type="character" w:styleId="CommentReference">
    <w:name w:val="annotation reference"/>
    <w:rsid w:val="000C3249"/>
    <w:rPr>
      <w:sz w:val="16"/>
      <w:szCs w:val="16"/>
    </w:rPr>
  </w:style>
  <w:style w:type="paragraph" w:styleId="CommentText">
    <w:name w:val="annotation text"/>
    <w:basedOn w:val="Normal"/>
    <w:link w:val="CommentTextChar"/>
    <w:rsid w:val="000C3249"/>
    <w:rPr>
      <w:sz w:val="20"/>
    </w:rPr>
  </w:style>
  <w:style w:type="character" w:customStyle="1" w:styleId="CommentTextChar">
    <w:name w:val="Comment Text Char"/>
    <w:basedOn w:val="DefaultParagraphFont"/>
    <w:link w:val="CommentText"/>
    <w:rsid w:val="000C3249"/>
  </w:style>
  <w:style w:type="paragraph" w:styleId="CommentSubject">
    <w:name w:val="annotation subject"/>
    <w:basedOn w:val="CommentText"/>
    <w:next w:val="CommentText"/>
    <w:link w:val="CommentSubjectChar"/>
    <w:rsid w:val="000C3249"/>
    <w:rPr>
      <w:b/>
      <w:bCs/>
    </w:rPr>
  </w:style>
  <w:style w:type="character" w:customStyle="1" w:styleId="CommentSubjectChar">
    <w:name w:val="Comment Subject Char"/>
    <w:link w:val="CommentSubject"/>
    <w:rsid w:val="000C3249"/>
    <w:rPr>
      <w:b/>
      <w:bCs/>
    </w:rPr>
  </w:style>
  <w:style w:type="paragraph" w:styleId="Revision">
    <w:name w:val="Revision"/>
    <w:hidden/>
    <w:uiPriority w:val="99"/>
    <w:semiHidden/>
    <w:rsid w:val="001725A0"/>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410719">
      <w:bodyDiv w:val="1"/>
      <w:marLeft w:val="0"/>
      <w:marRight w:val="0"/>
      <w:marTop w:val="0"/>
      <w:marBottom w:val="0"/>
      <w:divBdr>
        <w:top w:val="none" w:sz="0" w:space="0" w:color="auto"/>
        <w:left w:val="none" w:sz="0" w:space="0" w:color="auto"/>
        <w:bottom w:val="none" w:sz="0" w:space="0" w:color="auto"/>
        <w:right w:val="none" w:sz="0" w:space="0" w:color="auto"/>
      </w:divBdr>
      <w:divsChild>
        <w:div w:id="255938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4740071">
      <w:bodyDiv w:val="1"/>
      <w:marLeft w:val="0"/>
      <w:marRight w:val="0"/>
      <w:marTop w:val="0"/>
      <w:marBottom w:val="0"/>
      <w:divBdr>
        <w:top w:val="none" w:sz="0" w:space="0" w:color="auto"/>
        <w:left w:val="none" w:sz="0" w:space="0" w:color="auto"/>
        <w:bottom w:val="none" w:sz="0" w:space="0" w:color="auto"/>
        <w:right w:val="none" w:sz="0" w:space="0" w:color="auto"/>
      </w:divBdr>
    </w:div>
    <w:div w:id="963389680">
      <w:bodyDiv w:val="1"/>
      <w:marLeft w:val="0"/>
      <w:marRight w:val="0"/>
      <w:marTop w:val="0"/>
      <w:marBottom w:val="0"/>
      <w:divBdr>
        <w:top w:val="none" w:sz="0" w:space="0" w:color="auto"/>
        <w:left w:val="none" w:sz="0" w:space="0" w:color="auto"/>
        <w:bottom w:val="none" w:sz="0" w:space="0" w:color="auto"/>
        <w:right w:val="none" w:sz="0" w:space="0" w:color="auto"/>
      </w:divBdr>
      <w:divsChild>
        <w:div w:id="1541355355">
          <w:marLeft w:val="150"/>
          <w:marRight w:val="150"/>
          <w:marTop w:val="150"/>
          <w:marBottom w:val="150"/>
          <w:divBdr>
            <w:top w:val="none" w:sz="0" w:space="0" w:color="auto"/>
            <w:left w:val="none" w:sz="0" w:space="0" w:color="auto"/>
            <w:bottom w:val="none" w:sz="0" w:space="0" w:color="auto"/>
            <w:right w:val="none" w:sz="0" w:space="0" w:color="auto"/>
          </w:divBdr>
          <w:divsChild>
            <w:div w:id="1460143086">
              <w:marLeft w:val="0"/>
              <w:marRight w:val="0"/>
              <w:marTop w:val="0"/>
              <w:marBottom w:val="0"/>
              <w:divBdr>
                <w:top w:val="none" w:sz="0" w:space="0" w:color="auto"/>
                <w:left w:val="none" w:sz="0" w:space="0" w:color="auto"/>
                <w:bottom w:val="none" w:sz="0" w:space="0" w:color="auto"/>
                <w:right w:val="none" w:sz="0" w:space="0" w:color="auto"/>
              </w:divBdr>
              <w:divsChild>
                <w:div w:id="1010839234">
                  <w:marLeft w:val="0"/>
                  <w:marRight w:val="0"/>
                  <w:marTop w:val="0"/>
                  <w:marBottom w:val="0"/>
                  <w:divBdr>
                    <w:top w:val="none" w:sz="0" w:space="0" w:color="auto"/>
                    <w:left w:val="none" w:sz="0" w:space="0" w:color="auto"/>
                    <w:bottom w:val="none" w:sz="0" w:space="0" w:color="auto"/>
                    <w:right w:val="none" w:sz="0" w:space="0" w:color="auto"/>
                  </w:divBdr>
                  <w:divsChild>
                    <w:div w:id="53018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jmcclintoc\Documents\AppData\Local\Microsoft\AppData\Local\Microsoft\AppData\Local\Microsoft\Windows\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4" Type="http://schemas.microsoft.com/office/2007/relationships/stylesWithEffects" Target="stylesWithEffects.xml"/><Relationship Id="rId9" Type="http://schemas.openxmlformats.org/officeDocument/2006/relationships/hyperlink" Target="file://C:\Users\jmcclintoc\Documents\AppData\Local\Microsoft\AppData\Local\Microsoft\AppData\Local\Microsoft\Windows\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1AA0F-538F-41E7-98AC-3A0F389A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1591</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Template-for Review</vt:lpstr>
    </vt:vector>
  </TitlesOfParts>
  <Company>Pa Public Utility Commission</Company>
  <LinksUpToDate>false</LinksUpToDate>
  <CharactersWithSpaces>10639</CharactersWithSpaces>
  <SharedDoc>false</SharedDoc>
  <HLinks>
    <vt:vector size="12" baseType="variant">
      <vt:variant>
        <vt:i4>4653124</vt:i4>
      </vt:variant>
      <vt:variant>
        <vt:i4>3</vt:i4>
      </vt:variant>
      <vt:variant>
        <vt:i4>0</vt:i4>
      </vt:variant>
      <vt:variant>
        <vt:i4>5</vt:i4>
      </vt:variant>
      <vt:variant>
        <vt:lpwstr>../AppData/Local/Microsoft/AppData/Local/Microsoft/AppData/Local/Microsoft/Windows/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vt:lpwstr>
      </vt:variant>
      <vt:variant>
        <vt:lpwstr/>
      </vt:variant>
      <vt:variant>
        <vt:i4>4653124</vt:i4>
      </vt:variant>
      <vt:variant>
        <vt:i4>0</vt:i4>
      </vt:variant>
      <vt:variant>
        <vt:i4>0</vt:i4>
      </vt:variant>
      <vt:variant>
        <vt:i4>5</vt:i4>
      </vt:variant>
      <vt:variant>
        <vt:lpwstr>../AppData/Local/Microsoft/AppData/Local/Microsoft/AppData/Local/Microsoft/Windows/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Template-for Review</dc:title>
  <dc:creator>MAHER</dc:creator>
  <cp:lastModifiedBy>Farner, Joyce</cp:lastModifiedBy>
  <cp:revision>11</cp:revision>
  <cp:lastPrinted>2012-04-16T11:18:00Z</cp:lastPrinted>
  <dcterms:created xsi:type="dcterms:W3CDTF">2012-04-05T19:29:00Z</dcterms:created>
  <dcterms:modified xsi:type="dcterms:W3CDTF">2012-04-16T11:19:00Z</dcterms:modified>
</cp:coreProperties>
</file>