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D5" w:rsidRPr="00CB3C66" w:rsidRDefault="00CE22D5" w:rsidP="00CE22D5">
      <w:pPr>
        <w:jc w:val="center"/>
        <w:rPr>
          <w:b/>
        </w:rPr>
      </w:pPr>
      <w:r w:rsidRPr="00CB3C66">
        <w:rPr>
          <w:b/>
        </w:rPr>
        <w:t>BEFORE THE</w:t>
      </w:r>
    </w:p>
    <w:p w:rsidR="00CE22D5" w:rsidRDefault="00CE22D5" w:rsidP="00CE22D5">
      <w:pPr>
        <w:pStyle w:val="TxBrc2"/>
        <w:spacing w:line="240" w:lineRule="auto"/>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CE22D5" w:rsidRDefault="00CE22D5" w:rsidP="00CE22D5">
      <w:pPr>
        <w:rPr>
          <w:b/>
          <w:bCs/>
        </w:rPr>
      </w:pPr>
    </w:p>
    <w:p w:rsidR="00CE22D5" w:rsidRDefault="00CE22D5" w:rsidP="00CE22D5">
      <w:pPr>
        <w:rPr>
          <w:b/>
          <w:bCs/>
        </w:rPr>
      </w:pPr>
    </w:p>
    <w:p w:rsidR="00CE22D5" w:rsidRDefault="00CE22D5" w:rsidP="00CE22D5">
      <w:pPr>
        <w:rPr>
          <w:b/>
          <w:bCs/>
        </w:rPr>
      </w:pPr>
    </w:p>
    <w:p w:rsidR="00CE22D5" w:rsidRDefault="00CE22D5" w:rsidP="00CE22D5">
      <w:pPr>
        <w:pStyle w:val="TxBrp3"/>
        <w:spacing w:line="240" w:lineRule="auto"/>
      </w:pPr>
      <w:r>
        <w:t>Ronald Pellegrino</w:t>
      </w:r>
      <w:r>
        <w:tab/>
      </w:r>
      <w:r>
        <w:tab/>
      </w:r>
      <w:r>
        <w:tab/>
      </w:r>
      <w:r>
        <w:tab/>
      </w:r>
      <w:r>
        <w:tab/>
        <w:t>:</w:t>
      </w:r>
    </w:p>
    <w:p w:rsidR="00CE22D5" w:rsidRDefault="00CE22D5" w:rsidP="00CE22D5">
      <w:pPr>
        <w:pStyle w:val="TxBrp3"/>
        <w:spacing w:line="240" w:lineRule="auto"/>
      </w:pPr>
      <w:r>
        <w:tab/>
      </w:r>
      <w:r>
        <w:tab/>
      </w:r>
      <w:r>
        <w:tab/>
      </w:r>
      <w:r>
        <w:tab/>
      </w:r>
      <w:r>
        <w:tab/>
      </w:r>
      <w:r>
        <w:tab/>
      </w:r>
      <w:r>
        <w:tab/>
      </w:r>
      <w:r>
        <w:tab/>
        <w:t>:</w:t>
      </w:r>
    </w:p>
    <w:p w:rsidR="00CE22D5" w:rsidRDefault="00CE22D5" w:rsidP="00CE22D5">
      <w:pPr>
        <w:pStyle w:val="TxBrt1"/>
        <w:tabs>
          <w:tab w:val="left" w:pos="720"/>
          <w:tab w:val="left" w:pos="5040"/>
          <w:tab w:val="left" w:pos="6514"/>
        </w:tabs>
        <w:spacing w:line="240" w:lineRule="auto"/>
      </w:pPr>
      <w:r>
        <w:tab/>
        <w:t>v.</w:t>
      </w:r>
      <w:r>
        <w:tab/>
        <w:t>:</w:t>
      </w:r>
      <w:r>
        <w:tab/>
        <w:t>C-2012-2285455</w:t>
      </w:r>
    </w:p>
    <w:p w:rsidR="00CE22D5" w:rsidRDefault="00CE22D5" w:rsidP="00CE22D5">
      <w:pPr>
        <w:pStyle w:val="TxBrt1"/>
        <w:tabs>
          <w:tab w:val="left" w:pos="720"/>
          <w:tab w:val="left" w:pos="5040"/>
          <w:tab w:val="left" w:pos="6514"/>
        </w:tabs>
        <w:spacing w:line="240" w:lineRule="auto"/>
      </w:pPr>
      <w:r>
        <w:tab/>
      </w:r>
      <w:r>
        <w:tab/>
        <w:t>:</w:t>
      </w:r>
    </w:p>
    <w:p w:rsidR="00CE22D5" w:rsidRDefault="00CE22D5" w:rsidP="00CE22D5">
      <w:pPr>
        <w:pStyle w:val="TxBrp3"/>
        <w:spacing w:line="240" w:lineRule="auto"/>
      </w:pPr>
      <w:r>
        <w:t>Aqua Pennsylvania, Inc.</w:t>
      </w:r>
      <w:r>
        <w:tab/>
      </w:r>
      <w:r>
        <w:tab/>
      </w:r>
      <w:r>
        <w:tab/>
      </w:r>
      <w:r>
        <w:tab/>
        <w:t>:</w:t>
      </w:r>
    </w:p>
    <w:p w:rsidR="00CE22D5" w:rsidRDefault="00CE22D5" w:rsidP="00CE22D5">
      <w:pPr>
        <w:pStyle w:val="TxBrp3"/>
        <w:spacing w:line="240" w:lineRule="auto"/>
      </w:pPr>
      <w:r>
        <w:tab/>
      </w:r>
      <w:r>
        <w:tab/>
      </w:r>
      <w:r>
        <w:tab/>
      </w:r>
      <w:r>
        <w:tab/>
      </w:r>
      <w:r>
        <w:tab/>
      </w:r>
      <w:r>
        <w:tab/>
      </w:r>
      <w:r>
        <w:tab/>
      </w:r>
      <w:r>
        <w:tab/>
      </w:r>
      <w:r>
        <w:tab/>
      </w:r>
      <w:r>
        <w:tab/>
      </w:r>
      <w:r>
        <w:tab/>
      </w:r>
      <w:r>
        <w:tab/>
      </w:r>
    </w:p>
    <w:p w:rsidR="00CE22D5" w:rsidRDefault="00CE22D5" w:rsidP="00CE22D5">
      <w:pPr>
        <w:tabs>
          <w:tab w:val="left" w:pos="204"/>
        </w:tabs>
      </w:pPr>
    </w:p>
    <w:p w:rsidR="00CE22D5" w:rsidRDefault="00CE22D5" w:rsidP="00CE22D5">
      <w:pPr>
        <w:tabs>
          <w:tab w:val="left" w:pos="204"/>
        </w:tabs>
      </w:pPr>
    </w:p>
    <w:p w:rsidR="00CE22D5" w:rsidRDefault="00CE22D5" w:rsidP="00CE22D5">
      <w:pPr>
        <w:tabs>
          <w:tab w:val="left" w:pos="204"/>
        </w:tabs>
      </w:pPr>
    </w:p>
    <w:p w:rsidR="00CE22D5" w:rsidRDefault="00CE22D5" w:rsidP="00CE22D5">
      <w:pPr>
        <w:tabs>
          <w:tab w:val="left" w:pos="204"/>
        </w:tabs>
        <w:jc w:val="center"/>
        <w:rPr>
          <w:b/>
          <w:bCs/>
          <w:u w:val="single"/>
        </w:rPr>
      </w:pPr>
      <w:r>
        <w:rPr>
          <w:b/>
          <w:bCs/>
          <w:u w:val="single"/>
        </w:rPr>
        <w:t xml:space="preserve">ORDER GRANTING COMPLAINANT’S MOTION FOR </w:t>
      </w:r>
    </w:p>
    <w:p w:rsidR="00CE22D5" w:rsidRDefault="00CE22D5" w:rsidP="00CE22D5">
      <w:pPr>
        <w:tabs>
          <w:tab w:val="left" w:pos="204"/>
        </w:tabs>
        <w:jc w:val="center"/>
        <w:rPr>
          <w:b/>
          <w:bCs/>
          <w:u w:val="single"/>
        </w:rPr>
      </w:pPr>
      <w:r>
        <w:rPr>
          <w:b/>
          <w:bCs/>
          <w:u w:val="single"/>
        </w:rPr>
        <w:t>CONTINUANCE OF HEARING</w:t>
      </w:r>
    </w:p>
    <w:p w:rsidR="00CE22D5" w:rsidRDefault="00CE22D5" w:rsidP="00CE22D5">
      <w:pPr>
        <w:tabs>
          <w:tab w:val="left" w:pos="204"/>
        </w:tabs>
        <w:jc w:val="center"/>
        <w:rPr>
          <w:b/>
          <w:bCs/>
        </w:rPr>
      </w:pPr>
    </w:p>
    <w:p w:rsidR="00CE22D5" w:rsidRPr="00D57B83" w:rsidRDefault="00CE22D5" w:rsidP="00CE22D5">
      <w:pPr>
        <w:jc w:val="center"/>
      </w:pPr>
      <w:r w:rsidRPr="00D57B83">
        <w:t>Before</w:t>
      </w:r>
    </w:p>
    <w:p w:rsidR="00CE22D5" w:rsidRDefault="00CE22D5" w:rsidP="00CE22D5">
      <w:pPr>
        <w:jc w:val="center"/>
      </w:pPr>
      <w:r>
        <w:t>David A. Alexander</w:t>
      </w:r>
    </w:p>
    <w:p w:rsidR="00CE22D5" w:rsidRDefault="00CE22D5" w:rsidP="00CE22D5">
      <w:pPr>
        <w:tabs>
          <w:tab w:val="left" w:pos="204"/>
        </w:tabs>
        <w:jc w:val="center"/>
      </w:pPr>
      <w:r>
        <w:t>Special Agent</w:t>
      </w:r>
    </w:p>
    <w:p w:rsidR="00CE22D5" w:rsidRDefault="00CE22D5" w:rsidP="00CE22D5">
      <w:pPr>
        <w:tabs>
          <w:tab w:val="left" w:pos="204"/>
        </w:tabs>
        <w:jc w:val="center"/>
      </w:pPr>
    </w:p>
    <w:p w:rsidR="00CE22D5" w:rsidRPr="000170CA" w:rsidRDefault="00CE22D5" w:rsidP="00CE22D5">
      <w:pPr>
        <w:tabs>
          <w:tab w:val="left" w:pos="204"/>
        </w:tabs>
        <w:jc w:val="center"/>
        <w:rPr>
          <w:u w:val="single"/>
        </w:rPr>
      </w:pPr>
      <w:r w:rsidRPr="000170CA">
        <w:rPr>
          <w:u w:val="single"/>
        </w:rPr>
        <w:t>HISTORY OF THE PROCEEDING</w:t>
      </w:r>
    </w:p>
    <w:p w:rsidR="00CE22D5" w:rsidRDefault="00CE22D5" w:rsidP="00CE22D5">
      <w:pPr>
        <w:tabs>
          <w:tab w:val="left" w:pos="204"/>
        </w:tabs>
      </w:pPr>
    </w:p>
    <w:p w:rsidR="00CE22D5" w:rsidRDefault="00CE22D5" w:rsidP="00CE22D5">
      <w:pPr>
        <w:tabs>
          <w:tab w:val="left" w:pos="204"/>
        </w:tabs>
        <w:spacing w:line="360" w:lineRule="auto"/>
      </w:pPr>
    </w:p>
    <w:p w:rsidR="00CE22D5" w:rsidRDefault="00CE22D5" w:rsidP="00CE22D5">
      <w:pPr>
        <w:tabs>
          <w:tab w:val="left" w:pos="204"/>
        </w:tabs>
        <w:spacing w:line="360" w:lineRule="auto"/>
        <w:ind w:firstLine="1440"/>
      </w:pPr>
      <w:r>
        <w:t>By Telephone Hearing Notice dated March 1, 2012, the above captioned case was assigned to me and an Initial Telephone Hearing was scheduled for Friday, April 27, 2012, at 2:00 p.m.</w:t>
      </w:r>
    </w:p>
    <w:p w:rsidR="00CE22D5" w:rsidRDefault="00CE22D5" w:rsidP="00CE22D5">
      <w:pPr>
        <w:tabs>
          <w:tab w:val="left" w:pos="204"/>
        </w:tabs>
        <w:spacing w:line="360" w:lineRule="auto"/>
      </w:pPr>
    </w:p>
    <w:p w:rsidR="00CE22D5" w:rsidRDefault="00CE22D5" w:rsidP="00CE22D5">
      <w:pPr>
        <w:tabs>
          <w:tab w:val="left" w:pos="204"/>
        </w:tabs>
        <w:spacing w:line="360" w:lineRule="auto"/>
        <w:ind w:firstLine="1440"/>
      </w:pPr>
      <w:r>
        <w:t>On Monday, April 9, 2012, I received a Request for a Continuance from the Complainant for the above referenced matter.  Mr. Pellegrino requested the continuation in the hearing due to a family medical matter that is scheduled to take place the day of the hearing.  There was no indication in his Motion that Mr. Pellegrino contacted Respondent or its counsel.  On April 12, 2012, I contacted counsel for Respondent regarding the continuance and she indicated that Respondent did not oppose the request.</w:t>
      </w:r>
    </w:p>
    <w:p w:rsidR="00CE22D5" w:rsidRDefault="00CE22D5" w:rsidP="00CE22D5">
      <w:pPr>
        <w:tabs>
          <w:tab w:val="left" w:pos="204"/>
        </w:tabs>
        <w:spacing w:line="360" w:lineRule="auto"/>
        <w:ind w:firstLine="1440"/>
      </w:pPr>
    </w:p>
    <w:p w:rsidR="00CE22D5" w:rsidRDefault="00CE22D5" w:rsidP="00CE22D5">
      <w:pPr>
        <w:tabs>
          <w:tab w:val="left" w:pos="204"/>
        </w:tabs>
        <w:spacing w:line="360" w:lineRule="auto"/>
        <w:ind w:firstLine="1440"/>
      </w:pPr>
      <w:r>
        <w:t xml:space="preserve">Because the Motion adheres to the provisions of 52 </w:t>
      </w:r>
      <w:smartTag w:uri="urn:schemas-microsoft-com:office:smarttags" w:element="place">
        <w:smartTag w:uri="urn:schemas-microsoft-com:office:smarttags" w:element="State">
          <w:r>
            <w:t>Pa.</w:t>
          </w:r>
        </w:smartTag>
      </w:smartTag>
      <w:r>
        <w:t xml:space="preserve"> Code § 1.15(b), as it was submitted in writing more than five (5) days prior to the hearing and the Respondent did not oppose the request, I conclude that the request for continuation of the </w:t>
      </w:r>
      <w:r>
        <w:lastRenderedPageBreak/>
        <w:t xml:space="preserve">scheduled hearing is reasonable and I will grant the Motion.  </w:t>
      </w:r>
    </w:p>
    <w:p w:rsidR="00CE22D5" w:rsidRDefault="00CE22D5" w:rsidP="00CE22D5">
      <w:pPr>
        <w:tabs>
          <w:tab w:val="left" w:pos="204"/>
        </w:tabs>
        <w:spacing w:line="360" w:lineRule="auto"/>
        <w:ind w:firstLine="1440"/>
      </w:pPr>
    </w:p>
    <w:p w:rsidR="00CE22D5" w:rsidRDefault="00CE22D5" w:rsidP="00CE22D5">
      <w:pPr>
        <w:tabs>
          <w:tab w:val="left" w:pos="204"/>
        </w:tabs>
        <w:spacing w:line="360" w:lineRule="auto"/>
        <w:ind w:firstLine="1440"/>
      </w:pPr>
      <w:r>
        <w:t>I urge both parties to use this additional time to attempt to resolve this matter in an affable manner.  Should this matter not be settled, a Telephone Hearing Notice confirming a new hearing date will be issued.</w:t>
      </w:r>
    </w:p>
    <w:p w:rsidR="00CE22D5" w:rsidRDefault="00CE22D5" w:rsidP="00CE22D5">
      <w:pPr>
        <w:tabs>
          <w:tab w:val="left" w:pos="204"/>
        </w:tabs>
        <w:spacing w:line="360" w:lineRule="auto"/>
        <w:ind w:firstLine="1440"/>
      </w:pPr>
    </w:p>
    <w:p w:rsidR="00CE22D5" w:rsidRDefault="00CE22D5" w:rsidP="00CE22D5">
      <w:pPr>
        <w:tabs>
          <w:tab w:val="left" w:pos="204"/>
        </w:tabs>
        <w:spacing w:line="360" w:lineRule="auto"/>
        <w:ind w:firstLine="1440"/>
      </w:pPr>
      <w:r>
        <w:t xml:space="preserve">THEREFORE, </w:t>
      </w:r>
    </w:p>
    <w:p w:rsidR="00CE22D5" w:rsidRDefault="00CE22D5" w:rsidP="00CE22D5">
      <w:pPr>
        <w:tabs>
          <w:tab w:val="left" w:pos="204"/>
        </w:tabs>
        <w:spacing w:line="360" w:lineRule="auto"/>
        <w:ind w:firstLine="1440"/>
      </w:pPr>
    </w:p>
    <w:p w:rsidR="00CE22D5" w:rsidRDefault="00CE22D5" w:rsidP="00CE22D5">
      <w:pPr>
        <w:tabs>
          <w:tab w:val="left" w:pos="204"/>
        </w:tabs>
        <w:spacing w:line="360" w:lineRule="auto"/>
        <w:ind w:firstLine="1440"/>
      </w:pPr>
      <w:r>
        <w:t>IT IS ORDERED:</w:t>
      </w:r>
    </w:p>
    <w:p w:rsidR="00CE22D5" w:rsidRDefault="00CE22D5" w:rsidP="00CE22D5">
      <w:pPr>
        <w:tabs>
          <w:tab w:val="left" w:pos="204"/>
        </w:tabs>
        <w:spacing w:line="360" w:lineRule="auto"/>
        <w:ind w:firstLine="1440"/>
      </w:pPr>
    </w:p>
    <w:p w:rsidR="00CE22D5" w:rsidRDefault="00CE22D5" w:rsidP="00CE22D5">
      <w:pPr>
        <w:tabs>
          <w:tab w:val="left" w:pos="204"/>
        </w:tabs>
        <w:spacing w:line="360" w:lineRule="auto"/>
        <w:ind w:firstLine="1440"/>
      </w:pPr>
      <w:r>
        <w:t>1.</w:t>
      </w:r>
      <w:r>
        <w:tab/>
        <w:t>That Ronald Pellegrino Motion for Continuance of Hearing on the matter of Ronald Pellegrino v. Aqua Pennsylvania, Inc., at Docket No.  C-2011-2285455 is granted.</w:t>
      </w:r>
    </w:p>
    <w:p w:rsidR="00CE22D5" w:rsidRDefault="00CE22D5" w:rsidP="00CE22D5">
      <w:pPr>
        <w:tabs>
          <w:tab w:val="left" w:pos="204"/>
        </w:tabs>
        <w:spacing w:line="360" w:lineRule="auto"/>
        <w:ind w:firstLine="1440"/>
      </w:pPr>
    </w:p>
    <w:p w:rsidR="00CE22D5" w:rsidRDefault="00CE22D5" w:rsidP="00CE22D5">
      <w:pPr>
        <w:tabs>
          <w:tab w:val="left" w:pos="204"/>
        </w:tabs>
        <w:spacing w:line="360" w:lineRule="auto"/>
        <w:ind w:firstLine="1440"/>
      </w:pPr>
      <w:r>
        <w:t>2.</w:t>
      </w:r>
      <w:r>
        <w:tab/>
        <w:t>Should this matter not be resolved by the parties, a Telephone Hearing Notice confirming a new hearing date will be issued.</w:t>
      </w:r>
    </w:p>
    <w:p w:rsidR="00CE22D5" w:rsidRDefault="00CE22D5" w:rsidP="00CE22D5">
      <w:pPr>
        <w:tabs>
          <w:tab w:val="left" w:pos="204"/>
        </w:tabs>
        <w:spacing w:line="360" w:lineRule="auto"/>
        <w:ind w:firstLine="1440"/>
      </w:pPr>
    </w:p>
    <w:p w:rsidR="00CE22D5" w:rsidRDefault="00CE22D5" w:rsidP="00CE22D5">
      <w:pPr>
        <w:spacing w:line="360" w:lineRule="auto"/>
      </w:pPr>
      <w:r>
        <w:t xml:space="preserve">Dated:  </w:t>
      </w:r>
      <w:r w:rsidRPr="000A4654">
        <w:rPr>
          <w:u w:val="single"/>
        </w:rPr>
        <w:t>April 12</w:t>
      </w:r>
      <w:r w:rsidRPr="00813DB0">
        <w:rPr>
          <w:u w:val="single"/>
        </w:rPr>
        <w:t>, 2012</w:t>
      </w:r>
      <w:r>
        <w:tab/>
      </w:r>
      <w:r>
        <w:tab/>
      </w:r>
      <w:r>
        <w:tab/>
        <w:t>___________________________</w:t>
      </w:r>
    </w:p>
    <w:p w:rsidR="00CE22D5" w:rsidRDefault="00CE22D5" w:rsidP="00CE22D5">
      <w:r>
        <w:tab/>
      </w:r>
      <w:r>
        <w:tab/>
      </w:r>
      <w:r>
        <w:tab/>
      </w:r>
      <w:r>
        <w:tab/>
      </w:r>
      <w:r>
        <w:tab/>
      </w:r>
      <w:r>
        <w:tab/>
        <w:t>David A. Alexander</w:t>
      </w:r>
    </w:p>
    <w:p w:rsidR="00CE22D5" w:rsidRDefault="00CE22D5" w:rsidP="00CE22D5">
      <w:r>
        <w:tab/>
      </w:r>
      <w:r>
        <w:tab/>
      </w:r>
      <w:r>
        <w:tab/>
      </w:r>
      <w:r>
        <w:tab/>
      </w:r>
      <w:r>
        <w:tab/>
      </w:r>
      <w:r>
        <w:tab/>
        <w:t>Special Agent</w:t>
      </w:r>
    </w:p>
    <w:p w:rsidR="00CE22D5" w:rsidRDefault="00CE22D5" w:rsidP="00CE22D5"/>
    <w:p w:rsidR="00CE22D5" w:rsidRDefault="00CE22D5" w:rsidP="00CE22D5"/>
    <w:p w:rsidR="00CE22D5" w:rsidRDefault="00CE22D5" w:rsidP="00CE22D5"/>
    <w:p w:rsidR="00CE22D5" w:rsidRDefault="00CE22D5" w:rsidP="00CE22D5"/>
    <w:p w:rsidR="00CE22D5" w:rsidRDefault="00CE22D5" w:rsidP="00CE22D5"/>
    <w:p w:rsidR="00CE22D5" w:rsidRDefault="00CE22D5" w:rsidP="00CE22D5"/>
    <w:p w:rsidR="00CE22D5" w:rsidRDefault="00CE22D5" w:rsidP="00CE22D5"/>
    <w:p w:rsidR="00ED4D9F" w:rsidRDefault="00ED4D9F">
      <w:pPr>
        <w:sectPr w:rsidR="00ED4D9F">
          <w:footerReference w:type="even" r:id="rId7"/>
          <w:footerReference w:type="default" r:id="rId8"/>
          <w:pgSz w:w="12240" w:h="15840"/>
          <w:pgMar w:top="1440" w:right="1800" w:bottom="1440" w:left="1800" w:header="720" w:footer="720" w:gutter="0"/>
          <w:cols w:space="720"/>
          <w:docGrid w:linePitch="360"/>
        </w:sectPr>
      </w:pPr>
    </w:p>
    <w:p w:rsidR="00ED4D9F" w:rsidRDefault="00ED4D9F" w:rsidP="00ED4D9F">
      <w:pPr>
        <w:rPr>
          <w:rFonts w:ascii="Microsoft Sans Serif"/>
          <w:b/>
          <w:u w:val="single"/>
        </w:rPr>
      </w:pPr>
      <w:r>
        <w:rPr>
          <w:rFonts w:ascii="Microsoft Sans Serif"/>
          <w:b/>
          <w:u w:val="single"/>
        </w:rPr>
        <w:lastRenderedPageBreak/>
        <w:t>C-2012-2285455 - RONALD PELLEGRINO, SR. v. AQUA PENNSYLVANIA, INC.</w:t>
      </w:r>
      <w:r>
        <w:rPr>
          <w:rFonts w:ascii="Microsoft Sans Serif"/>
          <w:b/>
          <w:u w:val="single"/>
        </w:rPr>
        <w:cr/>
      </w:r>
    </w:p>
    <w:p w:rsidR="00ED4D9F" w:rsidRDefault="00ED4D9F" w:rsidP="00ED4D9F">
      <w:pPr>
        <w:rPr>
          <w:rFonts w:ascii="Microsoft Sans Serif"/>
        </w:rPr>
      </w:pPr>
      <w:r>
        <w:rPr>
          <w:rFonts w:ascii="Microsoft Sans Serif"/>
          <w:b/>
          <w:u w:val="single"/>
        </w:rPr>
        <w:cr/>
      </w:r>
      <w:r>
        <w:rPr>
          <w:rFonts w:ascii="Microsoft Sans Serif"/>
        </w:rPr>
        <w:t>RONALD PELLEGRINO SR</w:t>
      </w:r>
      <w:r>
        <w:rPr>
          <w:rFonts w:ascii="Microsoft Sans Serif"/>
        </w:rPr>
        <w:cr/>
        <w:t>201 KELLY LANE</w:t>
      </w:r>
      <w:r>
        <w:rPr>
          <w:rFonts w:ascii="Microsoft Sans Serif"/>
        </w:rPr>
        <w:cr/>
        <w:t>DOWNINGTOWN PA  19335</w:t>
      </w:r>
      <w:r>
        <w:rPr>
          <w:rFonts w:ascii="Microsoft Sans Serif"/>
        </w:rPr>
        <w:cr/>
      </w:r>
      <w:r w:rsidRPr="00625CF1">
        <w:rPr>
          <w:rFonts w:ascii="Microsoft Sans Serif"/>
          <w:b/>
        </w:rPr>
        <w:t>484.889.8131</w:t>
      </w:r>
      <w:r>
        <w:rPr>
          <w:rFonts w:ascii="Microsoft Sans Serif"/>
        </w:rPr>
        <w:cr/>
      </w:r>
    </w:p>
    <w:p w:rsidR="00ED4D9F" w:rsidRDefault="00ED4D9F" w:rsidP="00ED4D9F">
      <w:pPr>
        <w:rPr>
          <w:rFonts w:ascii="Microsoft Sans Serif"/>
        </w:rPr>
      </w:pPr>
      <w:r>
        <w:rPr>
          <w:rFonts w:ascii="Microsoft Sans Serif"/>
        </w:rPr>
        <w:t>MARY MCFALL HOPPER ESQUIRE</w:t>
      </w:r>
      <w:r>
        <w:rPr>
          <w:rFonts w:ascii="Microsoft Sans Serif"/>
        </w:rPr>
        <w:cr/>
        <w:t>AQUA PENNSYLVANIA INC</w:t>
      </w:r>
      <w:r>
        <w:rPr>
          <w:rFonts w:ascii="Microsoft Sans Serif"/>
        </w:rPr>
        <w:cr/>
        <w:t>762 W LANCASTER AVENUE</w:t>
      </w:r>
      <w:r>
        <w:rPr>
          <w:rFonts w:ascii="Microsoft Sans Serif"/>
        </w:rPr>
        <w:cr/>
        <w:t>BRYN MAWR PA  19010</w:t>
      </w:r>
      <w:r>
        <w:rPr>
          <w:rFonts w:ascii="Microsoft Sans Serif"/>
        </w:rPr>
        <w:cr/>
      </w:r>
      <w:r w:rsidRPr="00625CF1">
        <w:rPr>
          <w:rFonts w:ascii="Microsoft Sans Serif"/>
          <w:b/>
        </w:rPr>
        <w:t>610.645.1170</w:t>
      </w:r>
      <w:r>
        <w:rPr>
          <w:rFonts w:ascii="Microsoft Sans Serif"/>
        </w:rPr>
        <w:cr/>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6F" w:rsidRDefault="0041726F">
      <w:r>
        <w:separator/>
      </w:r>
    </w:p>
  </w:endnote>
  <w:endnote w:type="continuationSeparator" w:id="0">
    <w:p w:rsidR="0041726F" w:rsidRDefault="0041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CE22D5" w:rsidP="004E0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0EBE" w:rsidRDefault="00417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CE22D5" w:rsidP="004E0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D9F">
      <w:rPr>
        <w:rStyle w:val="PageNumber"/>
        <w:noProof/>
      </w:rPr>
      <w:t>3</w:t>
    </w:r>
    <w:r>
      <w:rPr>
        <w:rStyle w:val="PageNumber"/>
      </w:rPr>
      <w:fldChar w:fldCharType="end"/>
    </w:r>
  </w:p>
  <w:p w:rsidR="007C0EBE" w:rsidRDefault="0041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6F" w:rsidRDefault="0041726F">
      <w:r>
        <w:separator/>
      </w:r>
    </w:p>
  </w:footnote>
  <w:footnote w:type="continuationSeparator" w:id="0">
    <w:p w:rsidR="0041726F" w:rsidRDefault="00417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D5"/>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1726F"/>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3124"/>
    <w:rsid w:val="00CA63C6"/>
    <w:rsid w:val="00CA6DD2"/>
    <w:rsid w:val="00CB469D"/>
    <w:rsid w:val="00CB4AB8"/>
    <w:rsid w:val="00CC085F"/>
    <w:rsid w:val="00CC1386"/>
    <w:rsid w:val="00CC4751"/>
    <w:rsid w:val="00CC63F0"/>
    <w:rsid w:val="00CC6AF1"/>
    <w:rsid w:val="00CD1243"/>
    <w:rsid w:val="00CD3A39"/>
    <w:rsid w:val="00CD59C0"/>
    <w:rsid w:val="00CD7C9A"/>
    <w:rsid w:val="00CE22D5"/>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4D9F"/>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CE22D5"/>
    <w:pPr>
      <w:spacing w:line="240" w:lineRule="atLeast"/>
    </w:pPr>
  </w:style>
  <w:style w:type="paragraph" w:customStyle="1" w:styleId="TxBrc2">
    <w:name w:val="TxBr_c2"/>
    <w:basedOn w:val="Normal"/>
    <w:rsid w:val="00CE22D5"/>
    <w:pPr>
      <w:spacing w:line="240" w:lineRule="atLeast"/>
      <w:jc w:val="center"/>
    </w:pPr>
  </w:style>
  <w:style w:type="paragraph" w:customStyle="1" w:styleId="TxBrp3">
    <w:name w:val="TxBr_p3"/>
    <w:basedOn w:val="Normal"/>
    <w:rsid w:val="00CE22D5"/>
    <w:pPr>
      <w:tabs>
        <w:tab w:val="left" w:pos="204"/>
      </w:tabs>
      <w:spacing w:line="419" w:lineRule="atLeast"/>
    </w:pPr>
  </w:style>
  <w:style w:type="paragraph" w:styleId="Footer">
    <w:name w:val="footer"/>
    <w:basedOn w:val="Normal"/>
    <w:link w:val="FooterChar"/>
    <w:rsid w:val="00CE22D5"/>
    <w:pPr>
      <w:tabs>
        <w:tab w:val="center" w:pos="4320"/>
        <w:tab w:val="right" w:pos="8640"/>
      </w:tabs>
    </w:pPr>
  </w:style>
  <w:style w:type="character" w:customStyle="1" w:styleId="FooterChar">
    <w:name w:val="Footer Char"/>
    <w:basedOn w:val="DefaultParagraphFont"/>
    <w:link w:val="Footer"/>
    <w:rsid w:val="00CE22D5"/>
    <w:rPr>
      <w:rFonts w:ascii="Times New Roman" w:eastAsia="Times New Roman" w:hAnsi="Times New Roman" w:cs="Times New Roman"/>
      <w:sz w:val="24"/>
      <w:szCs w:val="24"/>
    </w:rPr>
  </w:style>
  <w:style w:type="character" w:styleId="PageNumber">
    <w:name w:val="page number"/>
    <w:basedOn w:val="DefaultParagraphFont"/>
    <w:rsid w:val="00CE2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CE22D5"/>
    <w:pPr>
      <w:spacing w:line="240" w:lineRule="atLeast"/>
    </w:pPr>
  </w:style>
  <w:style w:type="paragraph" w:customStyle="1" w:styleId="TxBrc2">
    <w:name w:val="TxBr_c2"/>
    <w:basedOn w:val="Normal"/>
    <w:rsid w:val="00CE22D5"/>
    <w:pPr>
      <w:spacing w:line="240" w:lineRule="atLeast"/>
      <w:jc w:val="center"/>
    </w:pPr>
  </w:style>
  <w:style w:type="paragraph" w:customStyle="1" w:styleId="TxBrp3">
    <w:name w:val="TxBr_p3"/>
    <w:basedOn w:val="Normal"/>
    <w:rsid w:val="00CE22D5"/>
    <w:pPr>
      <w:tabs>
        <w:tab w:val="left" w:pos="204"/>
      </w:tabs>
      <w:spacing w:line="419" w:lineRule="atLeast"/>
    </w:pPr>
  </w:style>
  <w:style w:type="paragraph" w:styleId="Footer">
    <w:name w:val="footer"/>
    <w:basedOn w:val="Normal"/>
    <w:link w:val="FooterChar"/>
    <w:rsid w:val="00CE22D5"/>
    <w:pPr>
      <w:tabs>
        <w:tab w:val="center" w:pos="4320"/>
        <w:tab w:val="right" w:pos="8640"/>
      </w:tabs>
    </w:pPr>
  </w:style>
  <w:style w:type="character" w:customStyle="1" w:styleId="FooterChar">
    <w:name w:val="Footer Char"/>
    <w:basedOn w:val="DefaultParagraphFont"/>
    <w:link w:val="Footer"/>
    <w:rsid w:val="00CE22D5"/>
    <w:rPr>
      <w:rFonts w:ascii="Times New Roman" w:eastAsia="Times New Roman" w:hAnsi="Times New Roman" w:cs="Times New Roman"/>
      <w:sz w:val="24"/>
      <w:szCs w:val="24"/>
    </w:rPr>
  </w:style>
  <w:style w:type="character" w:styleId="PageNumber">
    <w:name w:val="page number"/>
    <w:basedOn w:val="DefaultParagraphFont"/>
    <w:rsid w:val="00CE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325</Words>
  <Characters>1854</Characters>
  <Application>Microsoft Office Word</Application>
  <DocSecurity>0</DocSecurity>
  <Lines>15</Lines>
  <Paragraphs>4</Paragraphs>
  <ScaleCrop>false</ScaleCrop>
  <Company>Pa Public Utility Commission</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dcterms:created xsi:type="dcterms:W3CDTF">2012-04-16T14:50:00Z</dcterms:created>
  <dcterms:modified xsi:type="dcterms:W3CDTF">2012-04-16T14:52:00Z</dcterms:modified>
</cp:coreProperties>
</file>