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F64" w:rsidRPr="00A03D6F" w:rsidRDefault="00D52F64" w:rsidP="0034230C">
      <w:pPr>
        <w:pStyle w:val="Title"/>
        <w:tabs>
          <w:tab w:val="clear" w:pos="360"/>
          <w:tab w:val="left" w:pos="0"/>
        </w:tabs>
      </w:pPr>
      <w:r w:rsidRPr="00A03D6F">
        <w:t>BEFORE THE</w:t>
      </w:r>
    </w:p>
    <w:p w:rsidR="00D52F64" w:rsidRPr="00A03D6F" w:rsidRDefault="00D52F64" w:rsidP="00A03D6F">
      <w:pPr>
        <w:tabs>
          <w:tab w:val="left" w:pos="0"/>
        </w:tabs>
        <w:spacing w:line="233" w:lineRule="auto"/>
        <w:jc w:val="center"/>
        <w:rPr>
          <w:b/>
          <w:sz w:val="24"/>
        </w:rPr>
      </w:pPr>
      <w:r w:rsidRPr="00A03D6F">
        <w:rPr>
          <w:b/>
          <w:sz w:val="24"/>
        </w:rPr>
        <w:t>PENNSYLVANIA PUBLIC UTILITY COMMISSION</w:t>
      </w:r>
    </w:p>
    <w:p w:rsidR="00D52F64" w:rsidRPr="00A03D6F" w:rsidRDefault="00D52F64" w:rsidP="00A03D6F">
      <w:pPr>
        <w:tabs>
          <w:tab w:val="left" w:pos="0"/>
        </w:tabs>
        <w:spacing w:line="233" w:lineRule="auto"/>
        <w:jc w:val="both"/>
        <w:rPr>
          <w:b/>
          <w:sz w:val="24"/>
        </w:rPr>
      </w:pPr>
    </w:p>
    <w:p w:rsidR="00D52F64" w:rsidRPr="00A03D6F" w:rsidRDefault="00D52F64" w:rsidP="00A03D6F">
      <w:pPr>
        <w:tabs>
          <w:tab w:val="left" w:pos="0"/>
        </w:tabs>
        <w:spacing w:line="233" w:lineRule="auto"/>
        <w:jc w:val="both"/>
        <w:rPr>
          <w:b/>
          <w:sz w:val="24"/>
        </w:rPr>
      </w:pPr>
    </w:p>
    <w:p w:rsidR="00D52F64" w:rsidRPr="00A03D6F" w:rsidRDefault="00D52F64" w:rsidP="00A03D6F">
      <w:pPr>
        <w:tabs>
          <w:tab w:val="left" w:pos="0"/>
        </w:tabs>
        <w:spacing w:line="233" w:lineRule="auto"/>
        <w:jc w:val="both"/>
        <w:rPr>
          <w:b/>
          <w:sz w:val="24"/>
        </w:rPr>
      </w:pPr>
    </w:p>
    <w:p w:rsidR="00233407" w:rsidRPr="00A03D6F" w:rsidRDefault="00233407" w:rsidP="00233407">
      <w:pPr>
        <w:tabs>
          <w:tab w:val="left" w:pos="0"/>
        </w:tabs>
        <w:jc w:val="both"/>
        <w:rPr>
          <w:b/>
          <w:sz w:val="24"/>
        </w:rPr>
      </w:pPr>
      <w:r>
        <w:rPr>
          <w:sz w:val="24"/>
        </w:rPr>
        <w:t>Tryphena Thelmon</w:t>
      </w:r>
      <w:r w:rsidRPr="00A03D6F">
        <w:rPr>
          <w:sz w:val="24"/>
        </w:rPr>
        <w:tab/>
      </w:r>
      <w:r w:rsidRPr="00A03D6F">
        <w:rPr>
          <w:sz w:val="24"/>
        </w:rPr>
        <w:tab/>
      </w:r>
      <w:r w:rsidRPr="00A03D6F">
        <w:rPr>
          <w:sz w:val="24"/>
        </w:rPr>
        <w:tab/>
      </w:r>
      <w:r w:rsidRPr="00A03D6F">
        <w:rPr>
          <w:sz w:val="24"/>
        </w:rPr>
        <w:tab/>
      </w:r>
      <w:r w:rsidRPr="00A03D6F">
        <w:rPr>
          <w:sz w:val="24"/>
        </w:rPr>
        <w:tab/>
      </w:r>
      <w:r w:rsidRPr="00A03D6F">
        <w:rPr>
          <w:b/>
          <w:sz w:val="24"/>
        </w:rPr>
        <w:t>:</w:t>
      </w:r>
    </w:p>
    <w:p w:rsidR="00233407" w:rsidRPr="00A03D6F" w:rsidRDefault="00233407" w:rsidP="00233407">
      <w:pPr>
        <w:tabs>
          <w:tab w:val="left" w:pos="0"/>
        </w:tabs>
        <w:jc w:val="both"/>
        <w:rPr>
          <w:sz w:val="24"/>
        </w:rPr>
      </w:pPr>
      <w:r w:rsidRPr="00A03D6F">
        <w:rPr>
          <w:b/>
          <w:sz w:val="24"/>
        </w:rPr>
        <w:tab/>
      </w:r>
      <w:r w:rsidRPr="00A03D6F">
        <w:rPr>
          <w:b/>
          <w:sz w:val="24"/>
        </w:rPr>
        <w:tab/>
      </w:r>
      <w:r w:rsidRPr="00A03D6F">
        <w:rPr>
          <w:b/>
          <w:sz w:val="24"/>
        </w:rPr>
        <w:tab/>
      </w:r>
      <w:r w:rsidRPr="00A03D6F">
        <w:rPr>
          <w:b/>
          <w:sz w:val="24"/>
        </w:rPr>
        <w:tab/>
      </w:r>
      <w:r w:rsidRPr="00A03D6F">
        <w:rPr>
          <w:b/>
          <w:sz w:val="24"/>
        </w:rPr>
        <w:tab/>
      </w:r>
      <w:r w:rsidRPr="00A03D6F">
        <w:rPr>
          <w:b/>
          <w:sz w:val="24"/>
        </w:rPr>
        <w:tab/>
      </w:r>
      <w:r w:rsidRPr="00A03D6F">
        <w:rPr>
          <w:b/>
          <w:sz w:val="24"/>
        </w:rPr>
        <w:tab/>
        <w:t>:</w:t>
      </w:r>
    </w:p>
    <w:p w:rsidR="00233407" w:rsidRPr="00A03D6F" w:rsidRDefault="00233407" w:rsidP="00233407">
      <w:pPr>
        <w:tabs>
          <w:tab w:val="left" w:pos="0"/>
        </w:tabs>
        <w:jc w:val="both"/>
        <w:rPr>
          <w:sz w:val="24"/>
        </w:rPr>
      </w:pPr>
      <w:r w:rsidRPr="00A03D6F">
        <w:rPr>
          <w:sz w:val="24"/>
        </w:rPr>
        <w:tab/>
        <w:t>v.</w:t>
      </w:r>
      <w:r w:rsidRPr="00A03D6F">
        <w:rPr>
          <w:sz w:val="24"/>
        </w:rPr>
        <w:tab/>
      </w:r>
      <w:r w:rsidRPr="00A03D6F">
        <w:rPr>
          <w:sz w:val="24"/>
        </w:rPr>
        <w:tab/>
      </w:r>
      <w:r w:rsidRPr="00A03D6F">
        <w:rPr>
          <w:sz w:val="24"/>
        </w:rPr>
        <w:tab/>
      </w:r>
      <w:r w:rsidRPr="00A03D6F">
        <w:rPr>
          <w:sz w:val="24"/>
        </w:rPr>
        <w:tab/>
      </w:r>
      <w:r w:rsidRPr="00A03D6F">
        <w:rPr>
          <w:sz w:val="24"/>
        </w:rPr>
        <w:tab/>
      </w:r>
      <w:r w:rsidRPr="00A03D6F">
        <w:rPr>
          <w:sz w:val="24"/>
        </w:rPr>
        <w:tab/>
      </w:r>
      <w:r w:rsidRPr="00A03D6F">
        <w:rPr>
          <w:b/>
          <w:sz w:val="24"/>
        </w:rPr>
        <w:t>:</w:t>
      </w:r>
      <w:r w:rsidRPr="00A03D6F">
        <w:rPr>
          <w:sz w:val="24"/>
        </w:rPr>
        <w:tab/>
      </w:r>
      <w:r w:rsidRPr="00A03D6F">
        <w:rPr>
          <w:sz w:val="24"/>
        </w:rPr>
        <w:tab/>
      </w:r>
      <w:r>
        <w:rPr>
          <w:sz w:val="24"/>
        </w:rPr>
        <w:t>F-2011-2260033</w:t>
      </w:r>
    </w:p>
    <w:p w:rsidR="00233407" w:rsidRPr="00A03D6F" w:rsidRDefault="00233407" w:rsidP="00233407">
      <w:pPr>
        <w:tabs>
          <w:tab w:val="left" w:pos="0"/>
        </w:tabs>
        <w:jc w:val="both"/>
        <w:rPr>
          <w:sz w:val="24"/>
        </w:rPr>
      </w:pPr>
      <w:r w:rsidRPr="00A03D6F">
        <w:rPr>
          <w:sz w:val="24"/>
        </w:rPr>
        <w:tab/>
      </w:r>
      <w:r w:rsidRPr="00A03D6F">
        <w:rPr>
          <w:sz w:val="24"/>
        </w:rPr>
        <w:tab/>
      </w:r>
      <w:r w:rsidRPr="00A03D6F">
        <w:rPr>
          <w:sz w:val="24"/>
        </w:rPr>
        <w:tab/>
      </w:r>
      <w:r w:rsidRPr="00A03D6F">
        <w:rPr>
          <w:sz w:val="24"/>
        </w:rPr>
        <w:tab/>
      </w:r>
      <w:r w:rsidRPr="00A03D6F">
        <w:rPr>
          <w:sz w:val="24"/>
        </w:rPr>
        <w:tab/>
      </w:r>
      <w:r w:rsidRPr="00A03D6F">
        <w:rPr>
          <w:sz w:val="24"/>
        </w:rPr>
        <w:tab/>
      </w:r>
      <w:r w:rsidRPr="00A03D6F">
        <w:rPr>
          <w:sz w:val="24"/>
        </w:rPr>
        <w:tab/>
      </w:r>
      <w:r w:rsidRPr="00A03D6F">
        <w:rPr>
          <w:b/>
          <w:sz w:val="24"/>
        </w:rPr>
        <w:t>:</w:t>
      </w:r>
    </w:p>
    <w:p w:rsidR="00233407" w:rsidRPr="00A03D6F" w:rsidRDefault="00233407" w:rsidP="00233407">
      <w:pPr>
        <w:tabs>
          <w:tab w:val="left" w:pos="0"/>
        </w:tabs>
        <w:jc w:val="both"/>
        <w:rPr>
          <w:b/>
          <w:sz w:val="24"/>
        </w:rPr>
      </w:pPr>
      <w:r>
        <w:rPr>
          <w:sz w:val="24"/>
        </w:rPr>
        <w:t>PECO Energy Company</w:t>
      </w:r>
      <w:r w:rsidRPr="00A03D6F">
        <w:rPr>
          <w:sz w:val="24"/>
        </w:rPr>
        <w:tab/>
      </w:r>
      <w:r w:rsidRPr="00A03D6F">
        <w:rPr>
          <w:sz w:val="24"/>
        </w:rPr>
        <w:tab/>
      </w:r>
      <w:r w:rsidRPr="00A03D6F">
        <w:rPr>
          <w:sz w:val="24"/>
        </w:rPr>
        <w:tab/>
      </w:r>
      <w:r w:rsidRPr="00A03D6F">
        <w:rPr>
          <w:sz w:val="24"/>
        </w:rPr>
        <w:tab/>
      </w:r>
      <w:r w:rsidRPr="00A03D6F">
        <w:rPr>
          <w:b/>
          <w:sz w:val="24"/>
        </w:rPr>
        <w:t>:</w:t>
      </w:r>
    </w:p>
    <w:p w:rsidR="00233407" w:rsidRPr="00A03D6F" w:rsidRDefault="00233407" w:rsidP="00233407">
      <w:pPr>
        <w:tabs>
          <w:tab w:val="left" w:pos="0"/>
        </w:tabs>
        <w:jc w:val="both"/>
        <w:rPr>
          <w:b/>
          <w:sz w:val="24"/>
        </w:rPr>
      </w:pPr>
    </w:p>
    <w:p w:rsidR="00233407" w:rsidRPr="00A03D6F" w:rsidRDefault="00233407" w:rsidP="00233407">
      <w:pPr>
        <w:tabs>
          <w:tab w:val="left" w:pos="0"/>
        </w:tabs>
        <w:jc w:val="both"/>
        <w:rPr>
          <w:b/>
          <w:sz w:val="24"/>
        </w:rPr>
      </w:pPr>
    </w:p>
    <w:p w:rsidR="00233407" w:rsidRPr="00A03D6F" w:rsidRDefault="00233407" w:rsidP="00233407">
      <w:pPr>
        <w:tabs>
          <w:tab w:val="left" w:pos="0"/>
        </w:tabs>
        <w:jc w:val="center"/>
        <w:rPr>
          <w:b/>
          <w:sz w:val="24"/>
          <w:u w:val="single"/>
        </w:rPr>
      </w:pPr>
    </w:p>
    <w:p w:rsidR="00233407" w:rsidRDefault="00233407" w:rsidP="00233407">
      <w:pPr>
        <w:jc w:val="center"/>
        <w:rPr>
          <w:b/>
          <w:sz w:val="24"/>
          <w:szCs w:val="24"/>
          <w:u w:val="single"/>
        </w:rPr>
      </w:pPr>
      <w:r>
        <w:rPr>
          <w:b/>
          <w:sz w:val="24"/>
          <w:szCs w:val="24"/>
          <w:u w:val="single"/>
        </w:rPr>
        <w:t>INITIAL DECISION</w:t>
      </w:r>
    </w:p>
    <w:p w:rsidR="00233407" w:rsidRDefault="00233407" w:rsidP="00233407">
      <w:pPr>
        <w:jc w:val="center"/>
        <w:rPr>
          <w:sz w:val="24"/>
          <w:szCs w:val="24"/>
        </w:rPr>
      </w:pPr>
    </w:p>
    <w:p w:rsidR="00233407" w:rsidRDefault="00233407" w:rsidP="00233407">
      <w:pPr>
        <w:jc w:val="center"/>
        <w:rPr>
          <w:sz w:val="24"/>
          <w:szCs w:val="24"/>
        </w:rPr>
      </w:pPr>
    </w:p>
    <w:p w:rsidR="00233407" w:rsidRDefault="00233407" w:rsidP="00233407">
      <w:pPr>
        <w:jc w:val="center"/>
        <w:rPr>
          <w:sz w:val="24"/>
          <w:szCs w:val="24"/>
        </w:rPr>
      </w:pPr>
      <w:r>
        <w:rPr>
          <w:sz w:val="24"/>
          <w:szCs w:val="24"/>
        </w:rPr>
        <w:t>Before</w:t>
      </w:r>
    </w:p>
    <w:p w:rsidR="00233407" w:rsidRDefault="00233407" w:rsidP="00233407">
      <w:pPr>
        <w:jc w:val="center"/>
        <w:rPr>
          <w:sz w:val="24"/>
          <w:szCs w:val="24"/>
        </w:rPr>
      </w:pPr>
      <w:r>
        <w:rPr>
          <w:sz w:val="24"/>
          <w:szCs w:val="24"/>
        </w:rPr>
        <w:t>Mary D. Long</w:t>
      </w:r>
    </w:p>
    <w:p w:rsidR="00233407" w:rsidRDefault="00233407" w:rsidP="00233407">
      <w:pPr>
        <w:jc w:val="center"/>
        <w:rPr>
          <w:sz w:val="24"/>
          <w:szCs w:val="24"/>
        </w:rPr>
      </w:pPr>
      <w:r>
        <w:rPr>
          <w:sz w:val="24"/>
          <w:szCs w:val="24"/>
        </w:rPr>
        <w:t>Administrative Law Judge</w:t>
      </w:r>
    </w:p>
    <w:p w:rsidR="00233407" w:rsidRDefault="00233407" w:rsidP="00233407">
      <w:pPr>
        <w:rPr>
          <w:sz w:val="24"/>
          <w:szCs w:val="24"/>
        </w:rPr>
      </w:pPr>
    </w:p>
    <w:p w:rsidR="00233407" w:rsidRDefault="00233407" w:rsidP="00233407">
      <w:pPr>
        <w:rPr>
          <w:sz w:val="24"/>
          <w:szCs w:val="24"/>
        </w:rPr>
      </w:pPr>
    </w:p>
    <w:p w:rsidR="00233407" w:rsidRDefault="00233407" w:rsidP="00233407">
      <w:pPr>
        <w:spacing w:line="360" w:lineRule="auto"/>
        <w:rPr>
          <w:sz w:val="24"/>
          <w:szCs w:val="24"/>
        </w:rPr>
      </w:pPr>
      <w:r>
        <w:rPr>
          <w:sz w:val="24"/>
          <w:szCs w:val="24"/>
        </w:rPr>
        <w:tab/>
      </w:r>
      <w:r>
        <w:rPr>
          <w:sz w:val="24"/>
          <w:szCs w:val="24"/>
        </w:rPr>
        <w:tab/>
        <w:t>This decision dismisse</w:t>
      </w:r>
      <w:r w:rsidR="003223D6">
        <w:rPr>
          <w:sz w:val="24"/>
          <w:szCs w:val="24"/>
        </w:rPr>
        <w:t>s</w:t>
      </w:r>
      <w:r>
        <w:rPr>
          <w:sz w:val="24"/>
          <w:szCs w:val="24"/>
        </w:rPr>
        <w:t xml:space="preserve"> the formal complaint of Tryphena Thelmon which sought a new payment arrangement for the arrearage on her account.  Ms. Thelmon is ineligible for a Commission</w:t>
      </w:r>
      <w:r w:rsidR="007530F3">
        <w:rPr>
          <w:sz w:val="24"/>
          <w:szCs w:val="24"/>
        </w:rPr>
        <w:t>-</w:t>
      </w:r>
      <w:r>
        <w:rPr>
          <w:sz w:val="24"/>
          <w:szCs w:val="24"/>
        </w:rPr>
        <w:t>ordered payment arrangement because she has already been awarded an agreement.</w:t>
      </w:r>
    </w:p>
    <w:p w:rsidR="00233407" w:rsidRDefault="00233407" w:rsidP="00233407">
      <w:pPr>
        <w:spacing w:line="360" w:lineRule="auto"/>
        <w:rPr>
          <w:sz w:val="24"/>
          <w:szCs w:val="24"/>
        </w:rPr>
      </w:pPr>
    </w:p>
    <w:p w:rsidR="00233407" w:rsidRDefault="00233407" w:rsidP="00233407">
      <w:pPr>
        <w:spacing w:line="360" w:lineRule="auto"/>
        <w:jc w:val="center"/>
        <w:rPr>
          <w:sz w:val="24"/>
          <w:szCs w:val="24"/>
          <w:u w:val="single"/>
        </w:rPr>
      </w:pPr>
      <w:r w:rsidRPr="000079C9">
        <w:rPr>
          <w:sz w:val="24"/>
          <w:szCs w:val="24"/>
          <w:u w:val="single"/>
        </w:rPr>
        <w:t>HISTORY OF THE PROCEEDINGS</w:t>
      </w:r>
    </w:p>
    <w:p w:rsidR="00233407" w:rsidRPr="000079C9" w:rsidRDefault="00233407" w:rsidP="00233407">
      <w:pPr>
        <w:spacing w:line="360" w:lineRule="auto"/>
        <w:jc w:val="center"/>
        <w:rPr>
          <w:sz w:val="24"/>
          <w:szCs w:val="24"/>
          <w:u w:val="single"/>
        </w:rPr>
      </w:pPr>
    </w:p>
    <w:p w:rsidR="00233407" w:rsidRDefault="00233407" w:rsidP="00233407">
      <w:pPr>
        <w:spacing w:line="360" w:lineRule="auto"/>
        <w:rPr>
          <w:sz w:val="24"/>
          <w:szCs w:val="24"/>
        </w:rPr>
      </w:pPr>
      <w:r>
        <w:rPr>
          <w:sz w:val="24"/>
          <w:szCs w:val="24"/>
        </w:rPr>
        <w:tab/>
      </w:r>
      <w:r>
        <w:rPr>
          <w:sz w:val="24"/>
          <w:szCs w:val="24"/>
        </w:rPr>
        <w:tab/>
        <w:t>On August 29, 2011, Tryphena Thelmon (Complainant) filed a formal complaint against PECO Energy Company (PECO).</w:t>
      </w:r>
      <w:r>
        <w:rPr>
          <w:rStyle w:val="FootnoteReference"/>
          <w:sz w:val="24"/>
          <w:szCs w:val="24"/>
        </w:rPr>
        <w:footnoteReference w:id="1"/>
      </w:r>
      <w:r>
        <w:rPr>
          <w:sz w:val="24"/>
          <w:szCs w:val="24"/>
        </w:rPr>
        <w:t xml:space="preserve">  In her complaint she states that she does not have sufficient funds to have her electricity service reconnected, that the late-payment fees charged by PECO seem “excessive” and that she would like a payment plan. </w:t>
      </w:r>
      <w:r w:rsidR="00507797">
        <w:rPr>
          <w:sz w:val="24"/>
          <w:szCs w:val="24"/>
        </w:rPr>
        <w:t xml:space="preserve"> </w:t>
      </w:r>
      <w:r>
        <w:rPr>
          <w:sz w:val="24"/>
          <w:szCs w:val="24"/>
        </w:rPr>
        <w:t>PECO filed an answer on September 19, 2011, stating that the late fees charged on the Complainant’s account are consistent with its tariff and that the Complainant had defaulted on a Commission payment arrangement granted in July 2010.</w:t>
      </w:r>
    </w:p>
    <w:p w:rsidR="00233407" w:rsidRDefault="00233407" w:rsidP="00233407">
      <w:pPr>
        <w:spacing w:line="360" w:lineRule="auto"/>
        <w:rPr>
          <w:sz w:val="24"/>
          <w:szCs w:val="24"/>
        </w:rPr>
      </w:pPr>
    </w:p>
    <w:p w:rsidR="00233407" w:rsidRDefault="00233407" w:rsidP="00233407">
      <w:pPr>
        <w:spacing w:line="360" w:lineRule="auto"/>
        <w:rPr>
          <w:sz w:val="24"/>
          <w:szCs w:val="24"/>
        </w:rPr>
      </w:pPr>
      <w:r>
        <w:rPr>
          <w:sz w:val="24"/>
          <w:szCs w:val="24"/>
        </w:rPr>
        <w:lastRenderedPageBreak/>
        <w:tab/>
      </w:r>
      <w:r>
        <w:rPr>
          <w:sz w:val="24"/>
          <w:szCs w:val="24"/>
        </w:rPr>
        <w:tab/>
        <w:t>On January 4, 2012</w:t>
      </w:r>
      <w:r w:rsidR="00260486">
        <w:rPr>
          <w:sz w:val="24"/>
          <w:szCs w:val="24"/>
        </w:rPr>
        <w:t>,</w:t>
      </w:r>
      <w:r>
        <w:rPr>
          <w:sz w:val="24"/>
          <w:szCs w:val="24"/>
        </w:rPr>
        <w:t xml:space="preserve"> this matter was assigned to me and scheduled for hearing on February 27, 2012.  I issued my usual prehearing order on January 5, 2012</w:t>
      </w:r>
      <w:r w:rsidR="00F85983">
        <w:rPr>
          <w:sz w:val="24"/>
          <w:szCs w:val="24"/>
        </w:rPr>
        <w:t>,</w:t>
      </w:r>
      <w:r>
        <w:rPr>
          <w:sz w:val="24"/>
          <w:szCs w:val="24"/>
        </w:rPr>
        <w:t xml:space="preserve"> which outlined the procedures to be used for the hearing.  </w:t>
      </w:r>
    </w:p>
    <w:p w:rsidR="00233407" w:rsidRDefault="00233407" w:rsidP="00233407">
      <w:pPr>
        <w:spacing w:line="360" w:lineRule="auto"/>
        <w:rPr>
          <w:sz w:val="24"/>
          <w:szCs w:val="24"/>
        </w:rPr>
      </w:pPr>
    </w:p>
    <w:p w:rsidR="00233407" w:rsidRDefault="00233407" w:rsidP="00233407">
      <w:pPr>
        <w:spacing w:line="360" w:lineRule="auto"/>
        <w:rPr>
          <w:sz w:val="24"/>
          <w:szCs w:val="24"/>
        </w:rPr>
      </w:pPr>
      <w:r>
        <w:rPr>
          <w:sz w:val="24"/>
          <w:szCs w:val="24"/>
        </w:rPr>
        <w:tab/>
      </w:r>
      <w:r>
        <w:rPr>
          <w:sz w:val="24"/>
          <w:szCs w:val="24"/>
        </w:rPr>
        <w:tab/>
        <w:t xml:space="preserve">The hearing convened as scheduled on February 27, 2012.  The Complainant appeared </w:t>
      </w:r>
      <w:r w:rsidRPr="005C1D87">
        <w:rPr>
          <w:i/>
          <w:sz w:val="24"/>
          <w:szCs w:val="24"/>
        </w:rPr>
        <w:t>pro se</w:t>
      </w:r>
      <w:r>
        <w:rPr>
          <w:sz w:val="24"/>
          <w:szCs w:val="24"/>
        </w:rPr>
        <w:t>.  She offered her own testimony but did not present any exhibits for admission into the record.  Tishekia Williams, Esquire appeared on behalf of PECO.  PECO offered the testimony of one witness.  PECO also identified five exhibits, PECO Ex</w:t>
      </w:r>
      <w:r w:rsidR="00F85983">
        <w:rPr>
          <w:sz w:val="24"/>
          <w:szCs w:val="24"/>
        </w:rPr>
        <w:t>s</w:t>
      </w:r>
      <w:r>
        <w:rPr>
          <w:sz w:val="24"/>
          <w:szCs w:val="24"/>
        </w:rPr>
        <w:t>. 1 through 5, which were admitted into the record without objection.  PECO did not provide the July 20, 2010 BCS decision granting the Complainant a payment arrangement at the hearing, but submitted it as a late-filed exhibit, PECO Ex. 6, by le</w:t>
      </w:r>
      <w:r w:rsidR="00507797">
        <w:rPr>
          <w:sz w:val="24"/>
          <w:szCs w:val="24"/>
        </w:rPr>
        <w:t xml:space="preserve">tter dated February 27, 2012.  </w:t>
      </w:r>
      <w:r>
        <w:rPr>
          <w:sz w:val="24"/>
          <w:szCs w:val="24"/>
        </w:rPr>
        <w:t>By interim order dated February 29, 2012, the Complainant was directed to provide any objection to the admission of PECO Ex. 6 within ten days of the order.  No objections were received.  By order dated March 27, 2012, PECO Ex. 6 was admitted into the record and the record was closed.  The hearing generated a 34-page transcript.</w:t>
      </w:r>
    </w:p>
    <w:p w:rsidR="00233407" w:rsidRDefault="00233407" w:rsidP="00233407">
      <w:pPr>
        <w:spacing w:line="360" w:lineRule="auto"/>
        <w:rPr>
          <w:sz w:val="24"/>
          <w:szCs w:val="24"/>
        </w:rPr>
      </w:pPr>
    </w:p>
    <w:p w:rsidR="00233407" w:rsidRDefault="00233407" w:rsidP="00233407">
      <w:pPr>
        <w:spacing w:line="360" w:lineRule="auto"/>
        <w:rPr>
          <w:sz w:val="24"/>
          <w:szCs w:val="24"/>
        </w:rPr>
      </w:pPr>
      <w:r>
        <w:rPr>
          <w:sz w:val="24"/>
          <w:szCs w:val="24"/>
        </w:rPr>
        <w:tab/>
      </w:r>
      <w:r>
        <w:rPr>
          <w:sz w:val="24"/>
          <w:szCs w:val="24"/>
        </w:rPr>
        <w:tab/>
        <w:t>After full consideration of the record in this case I make the following:</w:t>
      </w:r>
    </w:p>
    <w:p w:rsidR="00233407" w:rsidRDefault="00233407" w:rsidP="00233407">
      <w:pPr>
        <w:spacing w:line="360" w:lineRule="auto"/>
        <w:rPr>
          <w:sz w:val="24"/>
          <w:szCs w:val="24"/>
        </w:rPr>
      </w:pPr>
    </w:p>
    <w:p w:rsidR="00233407" w:rsidRDefault="00233407" w:rsidP="00233407">
      <w:pPr>
        <w:spacing w:line="360" w:lineRule="auto"/>
        <w:jc w:val="center"/>
        <w:rPr>
          <w:sz w:val="24"/>
          <w:szCs w:val="24"/>
          <w:u w:val="single"/>
        </w:rPr>
      </w:pPr>
      <w:r w:rsidRPr="000079C9">
        <w:rPr>
          <w:sz w:val="24"/>
          <w:szCs w:val="24"/>
          <w:u w:val="single"/>
        </w:rPr>
        <w:t>FINDINGS OF FACT</w:t>
      </w:r>
    </w:p>
    <w:p w:rsidR="00233407" w:rsidRPr="00233407" w:rsidRDefault="00233407" w:rsidP="00233407">
      <w:pPr>
        <w:tabs>
          <w:tab w:val="left" w:pos="1440"/>
        </w:tabs>
        <w:spacing w:line="360" w:lineRule="auto"/>
        <w:jc w:val="center"/>
        <w:rPr>
          <w:sz w:val="24"/>
          <w:szCs w:val="24"/>
          <w:u w:val="single"/>
        </w:rPr>
      </w:pPr>
    </w:p>
    <w:p w:rsidR="00233407" w:rsidRPr="00233407" w:rsidRDefault="00233407" w:rsidP="00233407">
      <w:pPr>
        <w:pStyle w:val="ListParagraph"/>
        <w:numPr>
          <w:ilvl w:val="0"/>
          <w:numId w:val="10"/>
        </w:numPr>
        <w:spacing w:line="360" w:lineRule="auto"/>
        <w:ind w:firstLine="1440"/>
        <w:rPr>
          <w:sz w:val="24"/>
          <w:szCs w:val="24"/>
        </w:rPr>
      </w:pPr>
      <w:r w:rsidRPr="00233407">
        <w:rPr>
          <w:sz w:val="24"/>
          <w:szCs w:val="24"/>
        </w:rPr>
        <w:t>The Complainant resides with her daughter at 2307 Graysferry Avenue, Apartment 3 in Philadelphia</w:t>
      </w:r>
      <w:r w:rsidR="00FF6B7E">
        <w:rPr>
          <w:sz w:val="24"/>
          <w:szCs w:val="24"/>
        </w:rPr>
        <w:t xml:space="preserve">, </w:t>
      </w:r>
      <w:r w:rsidRPr="00233407">
        <w:rPr>
          <w:sz w:val="24"/>
          <w:szCs w:val="24"/>
        </w:rPr>
        <w:t xml:space="preserve">Pennsylvania. </w:t>
      </w:r>
      <w:r w:rsidR="007530F3">
        <w:rPr>
          <w:sz w:val="24"/>
          <w:szCs w:val="24"/>
        </w:rPr>
        <w:t xml:space="preserve"> </w:t>
      </w:r>
      <w:r w:rsidRPr="00233407">
        <w:rPr>
          <w:sz w:val="24"/>
          <w:szCs w:val="24"/>
        </w:rPr>
        <w:t xml:space="preserve">(Complaint; N.T. 7, 16) </w:t>
      </w:r>
    </w:p>
    <w:p w:rsidR="00233407" w:rsidRPr="00233407" w:rsidRDefault="00233407" w:rsidP="00233407">
      <w:pPr>
        <w:pStyle w:val="ListParagraph"/>
        <w:spacing w:line="360" w:lineRule="auto"/>
        <w:ind w:left="1440"/>
        <w:rPr>
          <w:sz w:val="24"/>
          <w:szCs w:val="24"/>
        </w:rPr>
      </w:pPr>
    </w:p>
    <w:p w:rsidR="00233407" w:rsidRPr="00233407" w:rsidRDefault="00233407" w:rsidP="00233407">
      <w:pPr>
        <w:pStyle w:val="ListParagraph"/>
        <w:numPr>
          <w:ilvl w:val="0"/>
          <w:numId w:val="10"/>
        </w:numPr>
        <w:spacing w:line="360" w:lineRule="auto"/>
        <w:ind w:firstLine="1440"/>
        <w:rPr>
          <w:sz w:val="24"/>
          <w:szCs w:val="24"/>
        </w:rPr>
      </w:pPr>
      <w:r w:rsidRPr="00233407">
        <w:rPr>
          <w:sz w:val="24"/>
          <w:szCs w:val="24"/>
        </w:rPr>
        <w:t>She currently works in the finance office of Catholic Charities and earns $2,900</w:t>
      </w:r>
      <w:r w:rsidR="003223D6">
        <w:rPr>
          <w:sz w:val="24"/>
          <w:szCs w:val="24"/>
        </w:rPr>
        <w:t>.00</w:t>
      </w:r>
      <w:r w:rsidRPr="00233407">
        <w:rPr>
          <w:sz w:val="24"/>
          <w:szCs w:val="24"/>
        </w:rPr>
        <w:t xml:space="preserve"> to $3,000</w:t>
      </w:r>
      <w:r w:rsidR="003223D6">
        <w:rPr>
          <w:sz w:val="24"/>
          <w:szCs w:val="24"/>
        </w:rPr>
        <w:t>.00</w:t>
      </w:r>
      <w:r w:rsidRPr="00233407">
        <w:rPr>
          <w:sz w:val="24"/>
          <w:szCs w:val="24"/>
        </w:rPr>
        <w:t xml:space="preserve"> per month.  She has no other sources of income. </w:t>
      </w:r>
      <w:r w:rsidR="007530F3">
        <w:rPr>
          <w:sz w:val="24"/>
          <w:szCs w:val="24"/>
        </w:rPr>
        <w:t xml:space="preserve"> </w:t>
      </w:r>
      <w:r w:rsidRPr="00233407">
        <w:rPr>
          <w:sz w:val="24"/>
          <w:szCs w:val="24"/>
        </w:rPr>
        <w:t>(N.T. 8, 16)</w:t>
      </w:r>
    </w:p>
    <w:p w:rsidR="00233407" w:rsidRPr="00233407" w:rsidRDefault="00233407" w:rsidP="00233407">
      <w:pPr>
        <w:pStyle w:val="ListParagraph"/>
        <w:spacing w:line="360" w:lineRule="auto"/>
        <w:rPr>
          <w:sz w:val="24"/>
          <w:szCs w:val="24"/>
        </w:rPr>
      </w:pPr>
    </w:p>
    <w:p w:rsidR="00233407" w:rsidRPr="00233407" w:rsidRDefault="00233407" w:rsidP="00233407">
      <w:pPr>
        <w:pStyle w:val="ListParagraph"/>
        <w:numPr>
          <w:ilvl w:val="0"/>
          <w:numId w:val="10"/>
        </w:numPr>
        <w:spacing w:line="360" w:lineRule="auto"/>
        <w:ind w:firstLine="1440"/>
        <w:rPr>
          <w:sz w:val="24"/>
          <w:szCs w:val="24"/>
        </w:rPr>
      </w:pPr>
      <w:r w:rsidRPr="00233407">
        <w:rPr>
          <w:sz w:val="24"/>
          <w:szCs w:val="24"/>
        </w:rPr>
        <w:t xml:space="preserve">At the time of the hearing the Complainant did not have electricity service.  Her service was terminated in July 2011. </w:t>
      </w:r>
      <w:r w:rsidR="007530F3">
        <w:rPr>
          <w:sz w:val="24"/>
          <w:szCs w:val="24"/>
        </w:rPr>
        <w:t xml:space="preserve"> </w:t>
      </w:r>
      <w:r w:rsidRPr="00233407">
        <w:rPr>
          <w:sz w:val="24"/>
          <w:szCs w:val="24"/>
        </w:rPr>
        <w:t>(N.T. 7, 12, 27)</w:t>
      </w:r>
    </w:p>
    <w:p w:rsidR="00233407" w:rsidRPr="00233407" w:rsidRDefault="00233407" w:rsidP="00233407">
      <w:pPr>
        <w:pStyle w:val="ListParagraph"/>
        <w:spacing w:line="360" w:lineRule="auto"/>
        <w:rPr>
          <w:sz w:val="24"/>
          <w:szCs w:val="24"/>
        </w:rPr>
      </w:pPr>
    </w:p>
    <w:p w:rsidR="00233407" w:rsidRPr="00233407" w:rsidRDefault="00233407" w:rsidP="00233407">
      <w:pPr>
        <w:pStyle w:val="ListParagraph"/>
        <w:tabs>
          <w:tab w:val="left" w:pos="1350"/>
        </w:tabs>
        <w:spacing w:line="360" w:lineRule="auto"/>
        <w:ind w:left="1440"/>
        <w:rPr>
          <w:sz w:val="24"/>
          <w:szCs w:val="24"/>
        </w:rPr>
      </w:pPr>
    </w:p>
    <w:p w:rsidR="00233407" w:rsidRPr="00233407" w:rsidRDefault="00233407" w:rsidP="00233407">
      <w:pPr>
        <w:pStyle w:val="ListParagraph"/>
        <w:numPr>
          <w:ilvl w:val="0"/>
          <w:numId w:val="10"/>
        </w:numPr>
        <w:spacing w:line="360" w:lineRule="auto"/>
        <w:ind w:firstLine="1440"/>
        <w:rPr>
          <w:sz w:val="24"/>
          <w:szCs w:val="24"/>
        </w:rPr>
      </w:pPr>
      <w:r w:rsidRPr="00233407">
        <w:rPr>
          <w:sz w:val="24"/>
          <w:szCs w:val="24"/>
        </w:rPr>
        <w:lastRenderedPageBreak/>
        <w:t xml:space="preserve">She has not made any payments on her account since October or November of 2011, when she received a final bill from PECO.  She was unable to access PECO’s website to pay it on-line. </w:t>
      </w:r>
      <w:r w:rsidR="007530F3">
        <w:rPr>
          <w:sz w:val="24"/>
          <w:szCs w:val="24"/>
        </w:rPr>
        <w:t xml:space="preserve"> </w:t>
      </w:r>
      <w:r w:rsidRPr="00233407">
        <w:rPr>
          <w:sz w:val="24"/>
          <w:szCs w:val="24"/>
        </w:rPr>
        <w:t>(N.T. 8-10)</w:t>
      </w:r>
    </w:p>
    <w:p w:rsidR="00233407" w:rsidRPr="00233407" w:rsidRDefault="00233407" w:rsidP="00233407">
      <w:pPr>
        <w:pStyle w:val="ListParagraph"/>
        <w:tabs>
          <w:tab w:val="left" w:pos="1350"/>
        </w:tabs>
        <w:spacing w:line="360" w:lineRule="auto"/>
        <w:ind w:left="1440"/>
        <w:rPr>
          <w:sz w:val="24"/>
          <w:szCs w:val="24"/>
        </w:rPr>
      </w:pPr>
    </w:p>
    <w:p w:rsidR="00233407" w:rsidRPr="00233407" w:rsidRDefault="00233407" w:rsidP="00233407">
      <w:pPr>
        <w:pStyle w:val="ListParagraph"/>
        <w:numPr>
          <w:ilvl w:val="0"/>
          <w:numId w:val="10"/>
        </w:numPr>
        <w:spacing w:line="360" w:lineRule="auto"/>
        <w:ind w:firstLine="1440"/>
        <w:rPr>
          <w:sz w:val="24"/>
          <w:szCs w:val="24"/>
        </w:rPr>
      </w:pPr>
      <w:r w:rsidRPr="00233407">
        <w:rPr>
          <w:sz w:val="24"/>
          <w:szCs w:val="24"/>
        </w:rPr>
        <w:t>She stated that issues in her past made it difficult for her to keep up with her utility bills, but now she believes that she could pay $200</w:t>
      </w:r>
      <w:r w:rsidR="003223D6">
        <w:rPr>
          <w:sz w:val="24"/>
          <w:szCs w:val="24"/>
        </w:rPr>
        <w:t>.00</w:t>
      </w:r>
      <w:r w:rsidRPr="00233407">
        <w:rPr>
          <w:sz w:val="24"/>
          <w:szCs w:val="24"/>
        </w:rPr>
        <w:t xml:space="preserve"> or $250</w:t>
      </w:r>
      <w:r w:rsidR="003223D6">
        <w:rPr>
          <w:sz w:val="24"/>
          <w:szCs w:val="24"/>
        </w:rPr>
        <w:t>.00</w:t>
      </w:r>
      <w:r w:rsidRPr="00233407">
        <w:rPr>
          <w:sz w:val="24"/>
          <w:szCs w:val="24"/>
        </w:rPr>
        <w:t xml:space="preserve"> per month, if she could have her service restored. </w:t>
      </w:r>
      <w:r w:rsidR="007530F3">
        <w:rPr>
          <w:sz w:val="24"/>
          <w:szCs w:val="24"/>
        </w:rPr>
        <w:t xml:space="preserve"> </w:t>
      </w:r>
      <w:r w:rsidRPr="00233407">
        <w:rPr>
          <w:sz w:val="24"/>
          <w:szCs w:val="24"/>
        </w:rPr>
        <w:t>(N.T. 16)</w:t>
      </w:r>
    </w:p>
    <w:p w:rsidR="00233407" w:rsidRPr="00233407" w:rsidRDefault="00233407" w:rsidP="00233407">
      <w:pPr>
        <w:pStyle w:val="ListParagraph"/>
        <w:spacing w:line="360" w:lineRule="auto"/>
        <w:rPr>
          <w:sz w:val="24"/>
          <w:szCs w:val="24"/>
        </w:rPr>
      </w:pPr>
    </w:p>
    <w:p w:rsidR="00233407" w:rsidRPr="00233407" w:rsidRDefault="00233407" w:rsidP="00233407">
      <w:pPr>
        <w:pStyle w:val="ListParagraph"/>
        <w:numPr>
          <w:ilvl w:val="0"/>
          <w:numId w:val="10"/>
        </w:numPr>
        <w:spacing w:line="360" w:lineRule="auto"/>
        <w:ind w:firstLine="1440"/>
        <w:rPr>
          <w:sz w:val="24"/>
          <w:szCs w:val="24"/>
        </w:rPr>
      </w:pPr>
      <w:r w:rsidRPr="00233407">
        <w:rPr>
          <w:sz w:val="24"/>
          <w:szCs w:val="24"/>
        </w:rPr>
        <w:t xml:space="preserve">The balance on the Complainant’s account is $5,547.58.  A final bill was rendered in </w:t>
      </w:r>
      <w:r w:rsidR="00507797">
        <w:rPr>
          <w:sz w:val="24"/>
          <w:szCs w:val="24"/>
        </w:rPr>
        <w:t>that amount on August 29, 2011.</w:t>
      </w:r>
      <w:r w:rsidRPr="00233407">
        <w:rPr>
          <w:sz w:val="24"/>
          <w:szCs w:val="24"/>
        </w:rPr>
        <w:t xml:space="preserve"> </w:t>
      </w:r>
      <w:r w:rsidR="007530F3">
        <w:rPr>
          <w:sz w:val="24"/>
          <w:szCs w:val="24"/>
        </w:rPr>
        <w:t xml:space="preserve"> </w:t>
      </w:r>
      <w:r w:rsidRPr="00233407">
        <w:rPr>
          <w:sz w:val="24"/>
          <w:szCs w:val="24"/>
        </w:rPr>
        <w:t>(N.T. 19-20; PECO Ex. 1)</w:t>
      </w:r>
    </w:p>
    <w:p w:rsidR="00233407" w:rsidRPr="00233407" w:rsidRDefault="00233407" w:rsidP="00233407">
      <w:pPr>
        <w:pStyle w:val="ListParagraph"/>
        <w:spacing w:line="360" w:lineRule="auto"/>
        <w:rPr>
          <w:sz w:val="24"/>
          <w:szCs w:val="24"/>
        </w:rPr>
      </w:pPr>
    </w:p>
    <w:p w:rsidR="00233407" w:rsidRPr="00233407" w:rsidRDefault="00233407" w:rsidP="00233407">
      <w:pPr>
        <w:pStyle w:val="ListParagraph"/>
        <w:numPr>
          <w:ilvl w:val="0"/>
          <w:numId w:val="10"/>
        </w:numPr>
        <w:spacing w:line="360" w:lineRule="auto"/>
        <w:ind w:firstLine="1440"/>
        <w:rPr>
          <w:sz w:val="24"/>
          <w:szCs w:val="24"/>
        </w:rPr>
      </w:pPr>
      <w:r w:rsidRPr="00233407">
        <w:rPr>
          <w:sz w:val="24"/>
          <w:szCs w:val="24"/>
        </w:rPr>
        <w:t xml:space="preserve">PECO assesses a late fee when a customer does </w:t>
      </w:r>
      <w:r w:rsidR="00F85983">
        <w:rPr>
          <w:sz w:val="24"/>
          <w:szCs w:val="24"/>
        </w:rPr>
        <w:t xml:space="preserve">not </w:t>
      </w:r>
      <w:r w:rsidRPr="00233407">
        <w:rPr>
          <w:sz w:val="24"/>
          <w:szCs w:val="24"/>
        </w:rPr>
        <w:t xml:space="preserve">make a full payment of the balance due. </w:t>
      </w:r>
      <w:r w:rsidR="007530F3">
        <w:rPr>
          <w:sz w:val="24"/>
          <w:szCs w:val="24"/>
        </w:rPr>
        <w:t xml:space="preserve"> </w:t>
      </w:r>
      <w:r w:rsidRPr="00233407">
        <w:rPr>
          <w:sz w:val="24"/>
          <w:szCs w:val="24"/>
        </w:rPr>
        <w:t>(N.T. 21, 28; PECO Ex. 5)</w:t>
      </w:r>
    </w:p>
    <w:p w:rsidR="00233407" w:rsidRPr="00233407" w:rsidRDefault="00233407" w:rsidP="00233407">
      <w:pPr>
        <w:pStyle w:val="ListParagraph"/>
        <w:spacing w:line="360" w:lineRule="auto"/>
        <w:rPr>
          <w:sz w:val="24"/>
          <w:szCs w:val="24"/>
        </w:rPr>
      </w:pPr>
    </w:p>
    <w:p w:rsidR="00233407" w:rsidRPr="00233407" w:rsidRDefault="00233407" w:rsidP="00233407">
      <w:pPr>
        <w:pStyle w:val="ListParagraph"/>
        <w:numPr>
          <w:ilvl w:val="0"/>
          <w:numId w:val="10"/>
        </w:numPr>
        <w:spacing w:line="360" w:lineRule="auto"/>
        <w:ind w:firstLine="1440"/>
        <w:rPr>
          <w:sz w:val="24"/>
          <w:szCs w:val="24"/>
        </w:rPr>
      </w:pPr>
      <w:r w:rsidRPr="00233407">
        <w:rPr>
          <w:sz w:val="24"/>
          <w:szCs w:val="24"/>
        </w:rPr>
        <w:t>On July 20, 2010</w:t>
      </w:r>
      <w:r w:rsidR="00F85983">
        <w:rPr>
          <w:sz w:val="24"/>
          <w:szCs w:val="24"/>
        </w:rPr>
        <w:t>,</w:t>
      </w:r>
      <w:r w:rsidRPr="00233407">
        <w:rPr>
          <w:sz w:val="24"/>
          <w:szCs w:val="24"/>
        </w:rPr>
        <w:t xml:space="preserve"> the Commission granted the Complainant a payment agreement on the balance of $4,152.81, with installments of $174.00 toward the arrearage plus a budget amount of $59.00.  That agreement was not kept. </w:t>
      </w:r>
      <w:r w:rsidR="007530F3">
        <w:rPr>
          <w:sz w:val="24"/>
          <w:szCs w:val="24"/>
        </w:rPr>
        <w:t xml:space="preserve"> </w:t>
      </w:r>
      <w:r w:rsidRPr="00233407">
        <w:rPr>
          <w:sz w:val="24"/>
          <w:szCs w:val="24"/>
        </w:rPr>
        <w:t>(N.T. 22; PECO Ex. 6)</w:t>
      </w:r>
    </w:p>
    <w:p w:rsidR="00233407" w:rsidRPr="00233407" w:rsidRDefault="00233407" w:rsidP="00233407">
      <w:pPr>
        <w:pStyle w:val="ListParagraph"/>
        <w:spacing w:line="360" w:lineRule="auto"/>
        <w:rPr>
          <w:sz w:val="24"/>
          <w:szCs w:val="24"/>
        </w:rPr>
      </w:pPr>
    </w:p>
    <w:p w:rsidR="00233407" w:rsidRPr="00233407" w:rsidRDefault="00233407" w:rsidP="00233407">
      <w:pPr>
        <w:pStyle w:val="ListParagraph"/>
        <w:numPr>
          <w:ilvl w:val="0"/>
          <w:numId w:val="10"/>
        </w:numPr>
        <w:spacing w:line="360" w:lineRule="auto"/>
        <w:ind w:firstLine="1440"/>
        <w:rPr>
          <w:sz w:val="24"/>
          <w:szCs w:val="24"/>
        </w:rPr>
      </w:pPr>
      <w:r w:rsidRPr="00233407">
        <w:rPr>
          <w:sz w:val="24"/>
          <w:szCs w:val="24"/>
        </w:rPr>
        <w:t xml:space="preserve">The Complainant’s gross monthly income reported to PECO in April 2010 was $3,340.00 per month. </w:t>
      </w:r>
      <w:r w:rsidR="007530F3">
        <w:rPr>
          <w:sz w:val="24"/>
          <w:szCs w:val="24"/>
        </w:rPr>
        <w:t xml:space="preserve"> </w:t>
      </w:r>
      <w:r w:rsidRPr="00233407">
        <w:rPr>
          <w:sz w:val="24"/>
          <w:szCs w:val="24"/>
        </w:rPr>
        <w:t>(PECO Ex. 3; N.T. 23)</w:t>
      </w:r>
    </w:p>
    <w:p w:rsidR="00233407" w:rsidRPr="00233407" w:rsidRDefault="00233407" w:rsidP="00233407">
      <w:pPr>
        <w:pStyle w:val="ListParagraph"/>
        <w:spacing w:line="360" w:lineRule="auto"/>
        <w:rPr>
          <w:sz w:val="24"/>
          <w:szCs w:val="24"/>
        </w:rPr>
      </w:pPr>
    </w:p>
    <w:p w:rsidR="00233407" w:rsidRPr="00233407" w:rsidRDefault="00233407" w:rsidP="00233407">
      <w:pPr>
        <w:pStyle w:val="ListParagraph"/>
        <w:numPr>
          <w:ilvl w:val="0"/>
          <w:numId w:val="10"/>
        </w:numPr>
        <w:spacing w:line="360" w:lineRule="auto"/>
        <w:ind w:firstLine="1440"/>
        <w:rPr>
          <w:sz w:val="24"/>
          <w:szCs w:val="24"/>
        </w:rPr>
      </w:pPr>
      <w:r w:rsidRPr="00233407">
        <w:rPr>
          <w:sz w:val="24"/>
          <w:szCs w:val="24"/>
        </w:rPr>
        <w:t xml:space="preserve">Her account activity statement shows that since September 2010, when her first payment was due pursuant to terms of the July 2010 BCS payment agreement, she has only made six payments totaling $258.98. </w:t>
      </w:r>
      <w:r w:rsidR="007530F3">
        <w:rPr>
          <w:sz w:val="24"/>
          <w:szCs w:val="24"/>
        </w:rPr>
        <w:t xml:space="preserve"> </w:t>
      </w:r>
      <w:r w:rsidRPr="00233407">
        <w:rPr>
          <w:sz w:val="24"/>
          <w:szCs w:val="24"/>
        </w:rPr>
        <w:t>(PECO Ex. 1)</w:t>
      </w:r>
    </w:p>
    <w:p w:rsidR="00233407" w:rsidRPr="007F1E08" w:rsidRDefault="00233407" w:rsidP="00233407">
      <w:pPr>
        <w:pStyle w:val="ListParagraph"/>
        <w:spacing w:line="360" w:lineRule="auto"/>
        <w:rPr>
          <w:szCs w:val="24"/>
        </w:rPr>
      </w:pPr>
    </w:p>
    <w:p w:rsidR="00233407" w:rsidRDefault="00233407" w:rsidP="00233407">
      <w:pPr>
        <w:spacing w:line="360" w:lineRule="auto"/>
        <w:jc w:val="center"/>
        <w:rPr>
          <w:sz w:val="24"/>
          <w:szCs w:val="24"/>
          <w:u w:val="single"/>
        </w:rPr>
      </w:pPr>
      <w:r w:rsidRPr="000079C9">
        <w:rPr>
          <w:sz w:val="24"/>
          <w:szCs w:val="24"/>
          <w:u w:val="single"/>
        </w:rPr>
        <w:t>DISCUSSION</w:t>
      </w:r>
    </w:p>
    <w:p w:rsidR="00233407" w:rsidRPr="000079C9" w:rsidRDefault="00233407" w:rsidP="00233407">
      <w:pPr>
        <w:spacing w:line="360" w:lineRule="auto"/>
        <w:jc w:val="center"/>
        <w:rPr>
          <w:sz w:val="24"/>
          <w:szCs w:val="24"/>
          <w:u w:val="single"/>
        </w:rPr>
      </w:pPr>
    </w:p>
    <w:p w:rsidR="00233407" w:rsidRDefault="00233407" w:rsidP="00233407">
      <w:pPr>
        <w:spacing w:line="360" w:lineRule="auto"/>
        <w:ind w:firstLine="1440"/>
        <w:rPr>
          <w:sz w:val="24"/>
          <w:szCs w:val="24"/>
        </w:rPr>
      </w:pPr>
      <w:r w:rsidRPr="00035CC2">
        <w:rPr>
          <w:sz w:val="24"/>
          <w:szCs w:val="24"/>
        </w:rPr>
        <w:t xml:space="preserve">Section 701 of the Public Utility Code (Code), provides that any person may complain, in writing, about any act or thing done or omitted to be done by a public utility in violation, or claimed violation, of any law which the Commission has the jurisdiction to </w:t>
      </w:r>
      <w:r w:rsidRPr="00035CC2">
        <w:rPr>
          <w:sz w:val="24"/>
          <w:szCs w:val="24"/>
        </w:rPr>
        <w:lastRenderedPageBreak/>
        <w:t>administer, or of any regulation or order of the Commission.</w:t>
      </w:r>
      <w:r w:rsidRPr="00035CC2">
        <w:rPr>
          <w:rStyle w:val="FootnoteReference"/>
          <w:sz w:val="24"/>
          <w:szCs w:val="24"/>
        </w:rPr>
        <w:footnoteReference w:id="2"/>
      </w:r>
      <w:r w:rsidRPr="00035CC2">
        <w:rPr>
          <w:sz w:val="24"/>
          <w:szCs w:val="24"/>
        </w:rPr>
        <w:t xml:space="preserve">  A person seeking affirmative relief from the Commission has the burden of proof.</w:t>
      </w:r>
      <w:r w:rsidRPr="00035CC2">
        <w:rPr>
          <w:rStyle w:val="FootnoteReference"/>
          <w:sz w:val="24"/>
          <w:szCs w:val="24"/>
        </w:rPr>
        <w:footnoteReference w:id="3"/>
      </w:r>
    </w:p>
    <w:p w:rsidR="00233407" w:rsidRPr="00035CC2" w:rsidRDefault="00233407" w:rsidP="00233407">
      <w:pPr>
        <w:spacing w:line="360" w:lineRule="auto"/>
        <w:ind w:firstLine="1440"/>
        <w:rPr>
          <w:sz w:val="24"/>
          <w:szCs w:val="24"/>
        </w:rPr>
      </w:pPr>
    </w:p>
    <w:p w:rsidR="00233407" w:rsidRDefault="00233407" w:rsidP="00233407">
      <w:pPr>
        <w:spacing w:line="360" w:lineRule="auto"/>
        <w:ind w:firstLine="1440"/>
        <w:rPr>
          <w:sz w:val="24"/>
          <w:szCs w:val="24"/>
        </w:rPr>
      </w:pPr>
      <w:r w:rsidRPr="00035CC2">
        <w:rPr>
          <w:sz w:val="24"/>
          <w:szCs w:val="24"/>
        </w:rPr>
        <w:t xml:space="preserve">In this matter, the Complainant is the party seeking affirmative relief from the Commission; therefore, </w:t>
      </w:r>
      <w:r>
        <w:rPr>
          <w:sz w:val="24"/>
          <w:szCs w:val="24"/>
        </w:rPr>
        <w:t>s</w:t>
      </w:r>
      <w:r w:rsidRPr="00035CC2">
        <w:rPr>
          <w:sz w:val="24"/>
          <w:szCs w:val="24"/>
        </w:rPr>
        <w:t>he has the burden of proof.  This means that</w:t>
      </w:r>
      <w:r>
        <w:rPr>
          <w:sz w:val="24"/>
          <w:szCs w:val="24"/>
        </w:rPr>
        <w:t xml:space="preserve"> </w:t>
      </w:r>
      <w:r w:rsidRPr="00035CC2">
        <w:rPr>
          <w:sz w:val="24"/>
          <w:szCs w:val="24"/>
        </w:rPr>
        <w:t xml:space="preserve">she has the duty to establish a fact by a preponderance of the evidence, and must show that </w:t>
      </w:r>
      <w:r>
        <w:rPr>
          <w:sz w:val="24"/>
          <w:szCs w:val="24"/>
        </w:rPr>
        <w:t xml:space="preserve">PECO </w:t>
      </w:r>
      <w:r w:rsidRPr="00035CC2">
        <w:rPr>
          <w:sz w:val="24"/>
          <w:szCs w:val="24"/>
        </w:rPr>
        <w:t>has violated the Public Utility Code or Commission regulations.</w:t>
      </w:r>
      <w:r w:rsidRPr="00035CC2">
        <w:rPr>
          <w:rStyle w:val="FootnoteReference"/>
          <w:sz w:val="24"/>
          <w:szCs w:val="24"/>
        </w:rPr>
        <w:footnoteReference w:id="4"/>
      </w:r>
      <w:r w:rsidRPr="00035CC2">
        <w:rPr>
          <w:sz w:val="24"/>
          <w:szCs w:val="24"/>
        </w:rPr>
        <w:t xml:space="preserve"> </w:t>
      </w:r>
    </w:p>
    <w:p w:rsidR="00233407" w:rsidRDefault="00233407" w:rsidP="00233407">
      <w:pPr>
        <w:spacing w:line="360" w:lineRule="auto"/>
        <w:ind w:firstLine="1440"/>
        <w:rPr>
          <w:sz w:val="24"/>
          <w:szCs w:val="24"/>
        </w:rPr>
      </w:pPr>
    </w:p>
    <w:p w:rsidR="00233407" w:rsidRDefault="00233407" w:rsidP="00233407">
      <w:pPr>
        <w:spacing w:line="360" w:lineRule="auto"/>
        <w:ind w:firstLine="1440"/>
        <w:rPr>
          <w:sz w:val="24"/>
          <w:szCs w:val="24"/>
        </w:rPr>
      </w:pPr>
      <w:r>
        <w:rPr>
          <w:sz w:val="24"/>
          <w:szCs w:val="24"/>
        </w:rPr>
        <w:t xml:space="preserve">The Complainant does not dispute the amount of her bills.  In her complaint she contended that the late fees were too high, but she offered no evidence to dispute PECO’s evidence that the late fees were properly calculated in accordance with PECO’s tariff.  Therefore, </w:t>
      </w:r>
      <w:r w:rsidRPr="004B204F">
        <w:rPr>
          <w:sz w:val="24"/>
          <w:szCs w:val="24"/>
        </w:rPr>
        <w:t>the Complainant has failed in her burden of proving that there were incorrect charges on her bill.</w:t>
      </w:r>
    </w:p>
    <w:p w:rsidR="00233407" w:rsidRPr="004B204F" w:rsidRDefault="00233407" w:rsidP="00233407">
      <w:pPr>
        <w:spacing w:line="360" w:lineRule="auto"/>
        <w:ind w:firstLine="1440"/>
        <w:rPr>
          <w:sz w:val="24"/>
          <w:szCs w:val="24"/>
        </w:rPr>
      </w:pPr>
    </w:p>
    <w:p w:rsidR="00233407" w:rsidRDefault="00233407" w:rsidP="00233407">
      <w:pPr>
        <w:spacing w:line="360" w:lineRule="auto"/>
        <w:ind w:firstLine="1440"/>
        <w:rPr>
          <w:sz w:val="24"/>
          <w:szCs w:val="24"/>
        </w:rPr>
      </w:pPr>
      <w:r w:rsidRPr="004B204F">
        <w:rPr>
          <w:sz w:val="24"/>
          <w:szCs w:val="24"/>
        </w:rPr>
        <w:t>Turning to the Complainant’s request for a payment agreement, Chapter 14</w:t>
      </w:r>
      <w:r>
        <w:rPr>
          <w:sz w:val="24"/>
          <w:szCs w:val="24"/>
        </w:rPr>
        <w:t xml:space="preserve"> of the Public Utility Code</w:t>
      </w:r>
      <w:r w:rsidRPr="004B204F">
        <w:rPr>
          <w:sz w:val="24"/>
          <w:szCs w:val="24"/>
        </w:rPr>
        <w:t xml:space="preserve"> provides that in certain circumstances a customer may be permitted to amortize the amount due on a utility account.</w:t>
      </w:r>
      <w:r w:rsidRPr="004B204F">
        <w:rPr>
          <w:rStyle w:val="FootnoteReference"/>
          <w:sz w:val="24"/>
          <w:szCs w:val="24"/>
        </w:rPr>
        <w:footnoteReference w:id="5"/>
      </w:r>
      <w:r w:rsidRPr="004B204F">
        <w:rPr>
          <w:sz w:val="24"/>
          <w:szCs w:val="24"/>
        </w:rPr>
        <w:t xml:space="preserve">  </w:t>
      </w:r>
      <w:r>
        <w:rPr>
          <w:sz w:val="24"/>
          <w:szCs w:val="24"/>
        </w:rPr>
        <w:t>However, t</w:t>
      </w:r>
      <w:r w:rsidRPr="004B204F">
        <w:rPr>
          <w:sz w:val="24"/>
          <w:szCs w:val="24"/>
        </w:rPr>
        <w:t>he Commission is authorized to order one payment agreement per customer.</w:t>
      </w:r>
      <w:r w:rsidRPr="004B204F">
        <w:rPr>
          <w:rStyle w:val="FootnoteReference"/>
          <w:sz w:val="24"/>
          <w:szCs w:val="24"/>
        </w:rPr>
        <w:footnoteReference w:id="6"/>
      </w:r>
      <w:r w:rsidRPr="004B204F">
        <w:rPr>
          <w:sz w:val="24"/>
          <w:szCs w:val="24"/>
        </w:rPr>
        <w:t xml:space="preserve">  </w:t>
      </w:r>
      <w:r>
        <w:rPr>
          <w:sz w:val="24"/>
          <w:szCs w:val="24"/>
        </w:rPr>
        <w:t xml:space="preserve">The Complainant was given a payment arrangement by the Commission in July 2010. </w:t>
      </w:r>
      <w:r w:rsidR="00507797">
        <w:rPr>
          <w:sz w:val="24"/>
          <w:szCs w:val="24"/>
        </w:rPr>
        <w:t xml:space="preserve"> </w:t>
      </w:r>
      <w:r>
        <w:rPr>
          <w:sz w:val="24"/>
          <w:szCs w:val="24"/>
        </w:rPr>
        <w:t xml:space="preserve">That arrangement required her to pay a budget amount of $59.00 plus $174.00 toward her arrearage. </w:t>
      </w:r>
      <w:r w:rsidR="00507797">
        <w:rPr>
          <w:sz w:val="24"/>
          <w:szCs w:val="24"/>
        </w:rPr>
        <w:t xml:space="preserve"> </w:t>
      </w:r>
      <w:r>
        <w:rPr>
          <w:sz w:val="24"/>
          <w:szCs w:val="24"/>
        </w:rPr>
        <w:t>She failed to comply with that arrangement.  Her account activity statement shows that from September 2010 when her first payment was due pursuant to terms of the July 2010</w:t>
      </w:r>
      <w:r w:rsidR="00FF6B7E">
        <w:rPr>
          <w:sz w:val="24"/>
          <w:szCs w:val="24"/>
        </w:rPr>
        <w:t xml:space="preserve"> BCS payment agreement</w:t>
      </w:r>
      <w:r>
        <w:rPr>
          <w:sz w:val="24"/>
          <w:szCs w:val="24"/>
        </w:rPr>
        <w:t>, she made six payments totaling $258.98, and has not made any payments on her past due balance since November 2011.  She did not appeal the July 2010 BCS payment arrangement.  Therefore the Commission is precluded by the specific language of Section 1405(d) of the Public Utility Code from awarding the Complainant another payment agreement:</w:t>
      </w:r>
    </w:p>
    <w:p w:rsidR="00233407" w:rsidRDefault="00233407" w:rsidP="00233407">
      <w:pPr>
        <w:spacing w:line="360" w:lineRule="auto"/>
        <w:ind w:firstLine="1440"/>
        <w:rPr>
          <w:sz w:val="24"/>
          <w:szCs w:val="24"/>
        </w:rPr>
      </w:pPr>
    </w:p>
    <w:p w:rsidR="00233407" w:rsidRDefault="00233407" w:rsidP="00233407">
      <w:pPr>
        <w:ind w:left="1440" w:right="1440"/>
        <w:rPr>
          <w:sz w:val="24"/>
          <w:szCs w:val="24"/>
        </w:rPr>
      </w:pPr>
      <w:r>
        <w:rPr>
          <w:sz w:val="24"/>
          <w:szCs w:val="24"/>
        </w:rPr>
        <w:t>Absent a change in income, the commission shall not establish or order a public utility to establish a second or subsequent payment agreement if a customer has defaulted on a previous payment agreement. . . . .</w:t>
      </w:r>
      <w:r>
        <w:rPr>
          <w:rStyle w:val="FootnoteReference"/>
          <w:sz w:val="24"/>
          <w:szCs w:val="24"/>
        </w:rPr>
        <w:footnoteReference w:id="7"/>
      </w:r>
    </w:p>
    <w:p w:rsidR="00233407" w:rsidRPr="004B204F" w:rsidRDefault="00233407" w:rsidP="00233407">
      <w:pPr>
        <w:spacing w:line="360" w:lineRule="auto"/>
        <w:ind w:left="1440" w:right="1440"/>
        <w:rPr>
          <w:sz w:val="24"/>
          <w:szCs w:val="24"/>
        </w:rPr>
      </w:pPr>
    </w:p>
    <w:p w:rsidR="00233407" w:rsidRDefault="00233407" w:rsidP="00233407">
      <w:pPr>
        <w:spacing w:line="360" w:lineRule="auto"/>
        <w:rPr>
          <w:sz w:val="24"/>
          <w:szCs w:val="24"/>
        </w:rPr>
      </w:pPr>
      <w:r>
        <w:rPr>
          <w:sz w:val="24"/>
          <w:szCs w:val="24"/>
        </w:rPr>
        <w:t>The Complainant has not alleged any change in income or other circumstances that would permit the award of an additional payment agreement.  In 2010, her reported gross monthly income was $3,343.00, which placed her in the Level 3 income bracket under Chapter 14.</w:t>
      </w:r>
      <w:r>
        <w:rPr>
          <w:rStyle w:val="FootnoteReference"/>
          <w:sz w:val="24"/>
          <w:szCs w:val="24"/>
        </w:rPr>
        <w:footnoteReference w:id="8"/>
      </w:r>
      <w:r>
        <w:rPr>
          <w:sz w:val="24"/>
          <w:szCs w:val="24"/>
        </w:rPr>
        <w:t xml:space="preserve">  Her income has</w:t>
      </w:r>
      <w:r w:rsidR="00FF6B7E">
        <w:rPr>
          <w:sz w:val="24"/>
          <w:szCs w:val="24"/>
        </w:rPr>
        <w:t xml:space="preserve"> been</w:t>
      </w:r>
      <w:r>
        <w:rPr>
          <w:sz w:val="24"/>
          <w:szCs w:val="24"/>
        </w:rPr>
        <w:t xml:space="preserve"> reduced to $2,900</w:t>
      </w:r>
      <w:r w:rsidR="003223D6">
        <w:rPr>
          <w:sz w:val="24"/>
          <w:szCs w:val="24"/>
        </w:rPr>
        <w:t>.00</w:t>
      </w:r>
      <w:r>
        <w:rPr>
          <w:sz w:val="24"/>
          <w:szCs w:val="24"/>
        </w:rPr>
        <w:t xml:space="preserve"> to $3,000</w:t>
      </w:r>
      <w:r w:rsidR="003223D6">
        <w:rPr>
          <w:sz w:val="24"/>
          <w:szCs w:val="24"/>
        </w:rPr>
        <w:t>.00</w:t>
      </w:r>
      <w:r>
        <w:rPr>
          <w:sz w:val="24"/>
          <w:szCs w:val="24"/>
        </w:rPr>
        <w:t xml:space="preserve"> per month which places her in the Level 2 income bracket under Chapter 14.</w:t>
      </w:r>
      <w:r>
        <w:rPr>
          <w:rStyle w:val="FootnoteReference"/>
          <w:sz w:val="24"/>
          <w:szCs w:val="24"/>
        </w:rPr>
        <w:footnoteReference w:id="9"/>
      </w:r>
      <w:r>
        <w:rPr>
          <w:sz w:val="24"/>
          <w:szCs w:val="24"/>
        </w:rPr>
        <w:t xml:space="preserve"> </w:t>
      </w:r>
      <w:r w:rsidR="00507797">
        <w:rPr>
          <w:sz w:val="24"/>
          <w:szCs w:val="24"/>
        </w:rPr>
        <w:t xml:space="preserve"> </w:t>
      </w:r>
      <w:r>
        <w:rPr>
          <w:sz w:val="24"/>
          <w:szCs w:val="24"/>
        </w:rPr>
        <w:t>It appears that in establishing her 2010 payment arrangement BCS calculated her monthly payment based on the Level 2 income bracket</w:t>
      </w:r>
      <w:r w:rsidR="00F85983">
        <w:rPr>
          <w:sz w:val="24"/>
          <w:szCs w:val="24"/>
        </w:rPr>
        <w:t>;</w:t>
      </w:r>
      <w:r>
        <w:rPr>
          <w:sz w:val="24"/>
          <w:szCs w:val="24"/>
        </w:rPr>
        <w:t xml:space="preserve"> therefore, for the purposes of Chapter 14, the Complainant has not alleged a significant change in income which would justify a further Commission-ordered payment arrangement.  Therefore her complaint is dismissed.</w:t>
      </w:r>
    </w:p>
    <w:p w:rsidR="00233407" w:rsidRDefault="00233407" w:rsidP="00233407">
      <w:pPr>
        <w:spacing w:line="360" w:lineRule="auto"/>
        <w:rPr>
          <w:sz w:val="24"/>
          <w:szCs w:val="24"/>
        </w:rPr>
      </w:pPr>
    </w:p>
    <w:p w:rsidR="00233407" w:rsidRDefault="00233407" w:rsidP="00233407">
      <w:pPr>
        <w:spacing w:line="360" w:lineRule="auto"/>
        <w:jc w:val="center"/>
        <w:rPr>
          <w:sz w:val="24"/>
          <w:szCs w:val="24"/>
          <w:u w:val="single"/>
        </w:rPr>
      </w:pPr>
      <w:r w:rsidRPr="003D38CF">
        <w:rPr>
          <w:sz w:val="24"/>
          <w:szCs w:val="24"/>
          <w:u w:val="single"/>
        </w:rPr>
        <w:t>CONCLUSIONS OF LAW</w:t>
      </w:r>
    </w:p>
    <w:p w:rsidR="00233407" w:rsidRPr="003D38CF" w:rsidRDefault="00233407" w:rsidP="00233407">
      <w:pPr>
        <w:spacing w:line="360" w:lineRule="auto"/>
        <w:jc w:val="center"/>
        <w:rPr>
          <w:sz w:val="24"/>
          <w:szCs w:val="24"/>
          <w:u w:val="single"/>
        </w:rPr>
      </w:pPr>
    </w:p>
    <w:p w:rsidR="00233407" w:rsidRPr="007F1E08" w:rsidRDefault="00233407" w:rsidP="00233407">
      <w:pPr>
        <w:pStyle w:val="ListParagraph"/>
        <w:numPr>
          <w:ilvl w:val="0"/>
          <w:numId w:val="11"/>
        </w:numPr>
        <w:spacing w:line="360" w:lineRule="auto"/>
        <w:ind w:left="0" w:firstLine="1440"/>
        <w:rPr>
          <w:sz w:val="24"/>
          <w:szCs w:val="24"/>
        </w:rPr>
      </w:pPr>
      <w:r w:rsidRPr="007F1E08">
        <w:rPr>
          <w:sz w:val="24"/>
          <w:szCs w:val="24"/>
        </w:rPr>
        <w:t>The Commission has jurisdiction of the parties and the subject matter of this complaint.</w:t>
      </w:r>
    </w:p>
    <w:p w:rsidR="00233407" w:rsidRPr="007F1E08" w:rsidRDefault="00233407" w:rsidP="00233407">
      <w:pPr>
        <w:pStyle w:val="ListParagraph"/>
        <w:spacing w:line="360" w:lineRule="auto"/>
        <w:ind w:left="0" w:firstLine="1440"/>
        <w:rPr>
          <w:sz w:val="24"/>
          <w:szCs w:val="24"/>
        </w:rPr>
      </w:pPr>
    </w:p>
    <w:p w:rsidR="00233407" w:rsidRPr="007F1E08" w:rsidRDefault="00233407" w:rsidP="00233407">
      <w:pPr>
        <w:pStyle w:val="ListParagraph"/>
        <w:numPr>
          <w:ilvl w:val="0"/>
          <w:numId w:val="11"/>
        </w:numPr>
        <w:spacing w:line="360" w:lineRule="auto"/>
        <w:ind w:left="0" w:firstLine="1440"/>
        <w:rPr>
          <w:sz w:val="24"/>
          <w:szCs w:val="24"/>
        </w:rPr>
      </w:pPr>
      <w:r w:rsidRPr="007F1E08">
        <w:rPr>
          <w:sz w:val="24"/>
          <w:szCs w:val="24"/>
        </w:rPr>
        <w:t>The Complainant bears the burden of proof.</w:t>
      </w:r>
    </w:p>
    <w:p w:rsidR="00233407" w:rsidRPr="007F1E08" w:rsidRDefault="00233407" w:rsidP="00233407">
      <w:pPr>
        <w:pStyle w:val="ListParagraph"/>
        <w:spacing w:line="360" w:lineRule="auto"/>
        <w:ind w:left="0" w:firstLine="1440"/>
        <w:rPr>
          <w:szCs w:val="24"/>
        </w:rPr>
      </w:pPr>
    </w:p>
    <w:p w:rsidR="00233407" w:rsidRPr="007F1E08" w:rsidRDefault="00233407" w:rsidP="00233407">
      <w:pPr>
        <w:pStyle w:val="ListParagraph"/>
        <w:numPr>
          <w:ilvl w:val="0"/>
          <w:numId w:val="11"/>
        </w:numPr>
        <w:spacing w:line="360" w:lineRule="auto"/>
        <w:ind w:left="0" w:firstLine="1440"/>
        <w:rPr>
          <w:sz w:val="24"/>
          <w:szCs w:val="24"/>
        </w:rPr>
      </w:pPr>
      <w:r w:rsidRPr="007F1E08">
        <w:rPr>
          <w:sz w:val="24"/>
          <w:szCs w:val="24"/>
        </w:rPr>
        <w:t>The Complainant failed to satisfy her burden of proving that PECO violated any requirement of the Public Utility Code or its regulations.</w:t>
      </w:r>
    </w:p>
    <w:p w:rsidR="00233407" w:rsidRPr="007F1E08" w:rsidRDefault="00233407" w:rsidP="00233407">
      <w:pPr>
        <w:pStyle w:val="ListParagraph"/>
        <w:spacing w:line="360" w:lineRule="auto"/>
        <w:ind w:left="0" w:firstLine="1440"/>
        <w:rPr>
          <w:sz w:val="24"/>
          <w:szCs w:val="24"/>
        </w:rPr>
      </w:pPr>
    </w:p>
    <w:p w:rsidR="00233407" w:rsidRPr="007F1E08" w:rsidRDefault="00233407" w:rsidP="00233407">
      <w:pPr>
        <w:pStyle w:val="ListParagraph"/>
        <w:numPr>
          <w:ilvl w:val="0"/>
          <w:numId w:val="11"/>
        </w:numPr>
        <w:spacing w:line="360" w:lineRule="auto"/>
        <w:ind w:left="0" w:firstLine="1440"/>
        <w:rPr>
          <w:sz w:val="24"/>
          <w:szCs w:val="24"/>
        </w:rPr>
      </w:pPr>
      <w:r w:rsidRPr="007F1E08">
        <w:rPr>
          <w:sz w:val="24"/>
          <w:szCs w:val="24"/>
        </w:rPr>
        <w:t>The Complainant has failed to satisfy her burden of proving that she is entitled to a second payment arrangement from the Commission.</w:t>
      </w:r>
    </w:p>
    <w:p w:rsidR="00233407" w:rsidRDefault="00233407" w:rsidP="00233407">
      <w:pPr>
        <w:spacing w:line="360" w:lineRule="auto"/>
        <w:rPr>
          <w:sz w:val="24"/>
          <w:szCs w:val="24"/>
          <w:u w:val="single"/>
        </w:rPr>
      </w:pPr>
      <w:r>
        <w:rPr>
          <w:sz w:val="24"/>
          <w:szCs w:val="24"/>
          <w:u w:val="single"/>
        </w:rPr>
        <w:lastRenderedPageBreak/>
        <w:br w:type="page"/>
      </w:r>
    </w:p>
    <w:p w:rsidR="00233407" w:rsidRDefault="00233407" w:rsidP="00233407">
      <w:pPr>
        <w:spacing w:line="360" w:lineRule="auto"/>
        <w:jc w:val="center"/>
        <w:rPr>
          <w:sz w:val="24"/>
          <w:szCs w:val="24"/>
          <w:u w:val="single"/>
        </w:rPr>
      </w:pPr>
      <w:r w:rsidRPr="000115FC">
        <w:rPr>
          <w:sz w:val="24"/>
          <w:szCs w:val="24"/>
          <w:u w:val="single"/>
        </w:rPr>
        <w:lastRenderedPageBreak/>
        <w:t>ORDER</w:t>
      </w:r>
    </w:p>
    <w:p w:rsidR="00233407" w:rsidRPr="000115FC" w:rsidRDefault="00233407" w:rsidP="00233407">
      <w:pPr>
        <w:spacing w:line="360" w:lineRule="auto"/>
        <w:jc w:val="center"/>
        <w:rPr>
          <w:sz w:val="24"/>
          <w:szCs w:val="24"/>
          <w:u w:val="single"/>
        </w:rPr>
      </w:pPr>
    </w:p>
    <w:p w:rsidR="00233407" w:rsidRDefault="00233407" w:rsidP="00233407">
      <w:pPr>
        <w:spacing w:line="360" w:lineRule="auto"/>
        <w:ind w:firstLine="1440"/>
        <w:rPr>
          <w:sz w:val="24"/>
          <w:szCs w:val="24"/>
        </w:rPr>
      </w:pPr>
    </w:p>
    <w:p w:rsidR="00233407" w:rsidRDefault="00233407" w:rsidP="00233407">
      <w:pPr>
        <w:spacing w:line="360" w:lineRule="auto"/>
        <w:ind w:firstLine="1440"/>
        <w:rPr>
          <w:sz w:val="24"/>
          <w:szCs w:val="24"/>
        </w:rPr>
      </w:pPr>
      <w:r>
        <w:rPr>
          <w:sz w:val="24"/>
          <w:szCs w:val="24"/>
        </w:rPr>
        <w:t>THEREFORE,</w:t>
      </w:r>
    </w:p>
    <w:p w:rsidR="00233407" w:rsidRDefault="00233407" w:rsidP="00233407">
      <w:pPr>
        <w:spacing w:line="360" w:lineRule="auto"/>
        <w:ind w:firstLine="1440"/>
        <w:rPr>
          <w:sz w:val="24"/>
          <w:szCs w:val="24"/>
        </w:rPr>
      </w:pPr>
    </w:p>
    <w:p w:rsidR="00233407" w:rsidRDefault="00233407" w:rsidP="00233407">
      <w:pPr>
        <w:spacing w:line="360" w:lineRule="auto"/>
        <w:ind w:firstLine="1440"/>
        <w:rPr>
          <w:sz w:val="24"/>
          <w:szCs w:val="24"/>
        </w:rPr>
      </w:pPr>
      <w:r>
        <w:rPr>
          <w:sz w:val="24"/>
          <w:szCs w:val="24"/>
        </w:rPr>
        <w:t>IT IS ORDERED:</w:t>
      </w:r>
    </w:p>
    <w:p w:rsidR="00233407" w:rsidRDefault="00233407" w:rsidP="00233407">
      <w:pPr>
        <w:spacing w:line="360" w:lineRule="auto"/>
        <w:ind w:firstLine="1440"/>
        <w:rPr>
          <w:sz w:val="24"/>
          <w:szCs w:val="24"/>
        </w:rPr>
      </w:pPr>
    </w:p>
    <w:p w:rsidR="00233407" w:rsidRDefault="00233407" w:rsidP="00233407">
      <w:pPr>
        <w:spacing w:line="360" w:lineRule="auto"/>
        <w:ind w:firstLine="1440"/>
        <w:rPr>
          <w:sz w:val="24"/>
          <w:szCs w:val="24"/>
        </w:rPr>
      </w:pPr>
      <w:r>
        <w:rPr>
          <w:sz w:val="24"/>
          <w:szCs w:val="24"/>
        </w:rPr>
        <w:t>That the complaint of Tryphena Thelmon against PECO Energy Company at Docket No. F-2011-2260033 is dismissed.</w:t>
      </w:r>
    </w:p>
    <w:p w:rsidR="00F06152" w:rsidRPr="00A03D6F" w:rsidRDefault="00F06152" w:rsidP="00CB3AB8">
      <w:pPr>
        <w:tabs>
          <w:tab w:val="left" w:pos="0"/>
        </w:tabs>
        <w:spacing w:line="360" w:lineRule="auto"/>
        <w:jc w:val="both"/>
        <w:rPr>
          <w:sz w:val="24"/>
        </w:rPr>
      </w:pPr>
    </w:p>
    <w:p w:rsidR="00D52F64" w:rsidRPr="00A03D6F" w:rsidRDefault="00D52F64" w:rsidP="00CB3AB8">
      <w:pPr>
        <w:tabs>
          <w:tab w:val="left" w:pos="0"/>
        </w:tabs>
        <w:spacing w:line="360" w:lineRule="auto"/>
        <w:jc w:val="both"/>
        <w:rPr>
          <w:sz w:val="24"/>
        </w:rPr>
      </w:pPr>
    </w:p>
    <w:p w:rsidR="00D52F64" w:rsidRPr="00A03D6F" w:rsidRDefault="00D52F64" w:rsidP="00A56C8F">
      <w:pPr>
        <w:tabs>
          <w:tab w:val="left" w:pos="0"/>
        </w:tabs>
        <w:jc w:val="both"/>
        <w:rPr>
          <w:sz w:val="24"/>
        </w:rPr>
      </w:pPr>
      <w:r w:rsidRPr="00A03D6F">
        <w:rPr>
          <w:sz w:val="24"/>
        </w:rPr>
        <w:t xml:space="preserve">Date:  </w:t>
      </w:r>
      <w:r w:rsidR="006967FF">
        <w:rPr>
          <w:sz w:val="24"/>
          <w:u w:val="single"/>
        </w:rPr>
        <w:t>April 1</w:t>
      </w:r>
      <w:r w:rsidR="00233407">
        <w:rPr>
          <w:sz w:val="24"/>
          <w:u w:val="single"/>
        </w:rPr>
        <w:t>7</w:t>
      </w:r>
      <w:r w:rsidR="00A46C79">
        <w:rPr>
          <w:sz w:val="24"/>
          <w:u w:val="single"/>
        </w:rPr>
        <w:t>,</w:t>
      </w:r>
      <w:r w:rsidR="00D42323">
        <w:rPr>
          <w:sz w:val="24"/>
          <w:u w:val="single"/>
        </w:rPr>
        <w:t xml:space="preserve"> 2012</w:t>
      </w:r>
      <w:r w:rsidR="003B4302" w:rsidRPr="00A03D6F">
        <w:rPr>
          <w:sz w:val="24"/>
        </w:rPr>
        <w:tab/>
      </w:r>
      <w:r w:rsidRPr="00A03D6F">
        <w:rPr>
          <w:sz w:val="24"/>
        </w:rPr>
        <w:tab/>
      </w:r>
      <w:r w:rsidR="006967FF">
        <w:rPr>
          <w:sz w:val="24"/>
        </w:rPr>
        <w:tab/>
      </w:r>
      <w:r w:rsidRPr="00A03D6F">
        <w:rPr>
          <w:sz w:val="24"/>
        </w:rPr>
        <w:tab/>
      </w:r>
      <w:r w:rsidRPr="00A03D6F">
        <w:rPr>
          <w:sz w:val="24"/>
        </w:rPr>
        <w:tab/>
        <w:t>_______________________________</w:t>
      </w:r>
    </w:p>
    <w:p w:rsidR="00D52F64" w:rsidRPr="00A03D6F" w:rsidRDefault="00D52F64" w:rsidP="00A56C8F">
      <w:pPr>
        <w:tabs>
          <w:tab w:val="left" w:pos="0"/>
        </w:tabs>
        <w:jc w:val="both"/>
        <w:rPr>
          <w:sz w:val="24"/>
        </w:rPr>
      </w:pPr>
      <w:r w:rsidRPr="00A03D6F">
        <w:rPr>
          <w:sz w:val="24"/>
        </w:rPr>
        <w:tab/>
      </w:r>
      <w:r w:rsidRPr="00A03D6F">
        <w:rPr>
          <w:sz w:val="24"/>
        </w:rPr>
        <w:tab/>
      </w:r>
      <w:r w:rsidRPr="00A03D6F">
        <w:rPr>
          <w:sz w:val="24"/>
        </w:rPr>
        <w:tab/>
      </w:r>
      <w:r w:rsidRPr="00A03D6F">
        <w:rPr>
          <w:sz w:val="24"/>
        </w:rPr>
        <w:tab/>
      </w:r>
      <w:r w:rsidRPr="00A03D6F">
        <w:rPr>
          <w:sz w:val="24"/>
        </w:rPr>
        <w:tab/>
      </w:r>
      <w:r w:rsidRPr="00A03D6F">
        <w:rPr>
          <w:sz w:val="24"/>
        </w:rPr>
        <w:tab/>
      </w:r>
      <w:r w:rsidRPr="00A03D6F">
        <w:rPr>
          <w:sz w:val="24"/>
        </w:rPr>
        <w:tab/>
      </w:r>
      <w:r w:rsidR="00D42323">
        <w:rPr>
          <w:sz w:val="24"/>
        </w:rPr>
        <w:t>Mary D. Long</w:t>
      </w:r>
    </w:p>
    <w:p w:rsidR="00D52F64" w:rsidRDefault="00D52F64" w:rsidP="00A56C8F">
      <w:pPr>
        <w:tabs>
          <w:tab w:val="left" w:pos="0"/>
        </w:tabs>
        <w:jc w:val="both"/>
        <w:rPr>
          <w:sz w:val="24"/>
        </w:rPr>
      </w:pPr>
      <w:r w:rsidRPr="00A03D6F">
        <w:rPr>
          <w:sz w:val="24"/>
        </w:rPr>
        <w:tab/>
      </w:r>
      <w:r w:rsidRPr="00A03D6F">
        <w:rPr>
          <w:sz w:val="24"/>
        </w:rPr>
        <w:tab/>
      </w:r>
      <w:r w:rsidRPr="00A03D6F">
        <w:rPr>
          <w:sz w:val="24"/>
        </w:rPr>
        <w:tab/>
      </w:r>
      <w:r w:rsidRPr="00A03D6F">
        <w:rPr>
          <w:sz w:val="24"/>
        </w:rPr>
        <w:tab/>
      </w:r>
      <w:r w:rsidRPr="00A03D6F">
        <w:rPr>
          <w:sz w:val="24"/>
        </w:rPr>
        <w:tab/>
      </w:r>
      <w:r w:rsidRPr="00A03D6F">
        <w:rPr>
          <w:sz w:val="24"/>
        </w:rPr>
        <w:tab/>
      </w:r>
      <w:r w:rsidRPr="00A03D6F">
        <w:rPr>
          <w:sz w:val="24"/>
        </w:rPr>
        <w:tab/>
        <w:t>Administrative Law Judge</w:t>
      </w:r>
    </w:p>
    <w:sectPr w:rsidR="00D52F64" w:rsidSect="00FC3BE9">
      <w:footerReference w:type="even" r:id="rId9"/>
      <w:footerReference w:type="default" r:id="rId10"/>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B23" w:rsidRDefault="00321B23">
      <w:r>
        <w:separator/>
      </w:r>
    </w:p>
  </w:endnote>
  <w:endnote w:type="continuationSeparator" w:id="0">
    <w:p w:rsidR="00321B23" w:rsidRDefault="00321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273" w:rsidRDefault="005F723F">
    <w:pPr>
      <w:pStyle w:val="Footer"/>
      <w:framePr w:wrap="around" w:vAnchor="text" w:hAnchor="margin" w:xAlign="center" w:y="1"/>
      <w:rPr>
        <w:rStyle w:val="PageNumber"/>
      </w:rPr>
    </w:pPr>
    <w:r>
      <w:rPr>
        <w:rStyle w:val="PageNumber"/>
      </w:rPr>
      <w:fldChar w:fldCharType="begin"/>
    </w:r>
    <w:r w:rsidR="00654273">
      <w:rPr>
        <w:rStyle w:val="PageNumber"/>
      </w:rPr>
      <w:instrText xml:space="preserve">PAGE  </w:instrText>
    </w:r>
    <w:r>
      <w:rPr>
        <w:rStyle w:val="PageNumber"/>
      </w:rPr>
      <w:fldChar w:fldCharType="separate"/>
    </w:r>
    <w:r w:rsidR="00654273">
      <w:rPr>
        <w:rStyle w:val="PageNumber"/>
        <w:noProof/>
      </w:rPr>
      <w:t>1</w:t>
    </w:r>
    <w:r>
      <w:rPr>
        <w:rStyle w:val="PageNumber"/>
      </w:rPr>
      <w:fldChar w:fldCharType="end"/>
    </w:r>
  </w:p>
  <w:p w:rsidR="00654273" w:rsidRDefault="006542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273" w:rsidRDefault="005F723F">
    <w:pPr>
      <w:pStyle w:val="Footer"/>
      <w:framePr w:wrap="around" w:vAnchor="text" w:hAnchor="margin" w:xAlign="center" w:y="1"/>
      <w:rPr>
        <w:rStyle w:val="PageNumber"/>
      </w:rPr>
    </w:pPr>
    <w:r>
      <w:rPr>
        <w:rStyle w:val="PageNumber"/>
      </w:rPr>
      <w:fldChar w:fldCharType="begin"/>
    </w:r>
    <w:r w:rsidR="00654273">
      <w:rPr>
        <w:rStyle w:val="PageNumber"/>
      </w:rPr>
      <w:instrText xml:space="preserve">PAGE  </w:instrText>
    </w:r>
    <w:r>
      <w:rPr>
        <w:rStyle w:val="PageNumber"/>
      </w:rPr>
      <w:fldChar w:fldCharType="separate"/>
    </w:r>
    <w:r w:rsidR="00BD3F25">
      <w:rPr>
        <w:rStyle w:val="PageNumber"/>
        <w:noProof/>
      </w:rPr>
      <w:t>5</w:t>
    </w:r>
    <w:r>
      <w:rPr>
        <w:rStyle w:val="PageNumber"/>
      </w:rPr>
      <w:fldChar w:fldCharType="end"/>
    </w:r>
  </w:p>
  <w:p w:rsidR="00654273" w:rsidRDefault="006542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B23" w:rsidRDefault="00321B23">
      <w:r>
        <w:separator/>
      </w:r>
    </w:p>
  </w:footnote>
  <w:footnote w:type="continuationSeparator" w:id="0">
    <w:p w:rsidR="00321B23" w:rsidRDefault="00321B23">
      <w:r>
        <w:continuationSeparator/>
      </w:r>
    </w:p>
  </w:footnote>
  <w:footnote w:id="1">
    <w:p w:rsidR="00233407" w:rsidRDefault="00233407" w:rsidP="00233407">
      <w:pPr>
        <w:pStyle w:val="FootnoteText"/>
        <w:ind w:firstLine="720"/>
      </w:pPr>
      <w:r>
        <w:rPr>
          <w:rStyle w:val="FootnoteReference"/>
        </w:rPr>
        <w:footnoteRef/>
      </w:r>
      <w:r>
        <w:t xml:space="preserve"> </w:t>
      </w:r>
      <w:r>
        <w:tab/>
        <w:t>This complaint was a timely appeal of BCS Decision 2866314.</w:t>
      </w:r>
    </w:p>
  </w:footnote>
  <w:footnote w:id="2">
    <w:p w:rsidR="00233407" w:rsidRDefault="00233407" w:rsidP="00233407">
      <w:pPr>
        <w:pStyle w:val="FootnoteText"/>
        <w:ind w:firstLine="720"/>
      </w:pPr>
      <w:r w:rsidRPr="00C81B96">
        <w:rPr>
          <w:rStyle w:val="FootnoteReference"/>
        </w:rPr>
        <w:footnoteRef/>
      </w:r>
      <w:r w:rsidRPr="00C81B96">
        <w:t xml:space="preserve"> </w:t>
      </w:r>
      <w:r>
        <w:tab/>
      </w:r>
      <w:r w:rsidRPr="00C81B96">
        <w:t>66 Pa. C.S. §</w:t>
      </w:r>
      <w:r>
        <w:t xml:space="preserve"> </w:t>
      </w:r>
      <w:r w:rsidRPr="00C81B96">
        <w:t>701.</w:t>
      </w:r>
    </w:p>
    <w:p w:rsidR="00233407" w:rsidRPr="00C81B96" w:rsidRDefault="00233407" w:rsidP="00233407">
      <w:pPr>
        <w:pStyle w:val="FootnoteText"/>
        <w:ind w:firstLine="720"/>
      </w:pPr>
    </w:p>
  </w:footnote>
  <w:footnote w:id="3">
    <w:p w:rsidR="00233407" w:rsidRDefault="00233407" w:rsidP="00233407">
      <w:pPr>
        <w:pStyle w:val="FootnoteText"/>
        <w:ind w:firstLine="720"/>
      </w:pPr>
      <w:r w:rsidRPr="00C81B96">
        <w:rPr>
          <w:rStyle w:val="FootnoteReference"/>
        </w:rPr>
        <w:footnoteRef/>
      </w:r>
      <w:r w:rsidRPr="00C81B96">
        <w:t xml:space="preserve"> </w:t>
      </w:r>
      <w:r>
        <w:tab/>
      </w:r>
      <w:r w:rsidRPr="00C81B96">
        <w:t>66 Pa. C.S. §</w:t>
      </w:r>
      <w:r>
        <w:t xml:space="preserve"> </w:t>
      </w:r>
      <w:r w:rsidRPr="00C81B96">
        <w:t>332(a).</w:t>
      </w:r>
    </w:p>
    <w:p w:rsidR="00233407" w:rsidRPr="00C81B96" w:rsidRDefault="00233407" w:rsidP="00233407">
      <w:pPr>
        <w:pStyle w:val="FootnoteText"/>
        <w:ind w:firstLine="720"/>
      </w:pPr>
    </w:p>
  </w:footnote>
  <w:footnote w:id="4">
    <w:p w:rsidR="00233407" w:rsidRDefault="00233407" w:rsidP="00233407">
      <w:pPr>
        <w:pStyle w:val="FootnoteText"/>
        <w:ind w:firstLine="720"/>
      </w:pPr>
      <w:r w:rsidRPr="00C81B96">
        <w:rPr>
          <w:rStyle w:val="FootnoteReference"/>
        </w:rPr>
        <w:footnoteRef/>
      </w:r>
      <w:r w:rsidRPr="00C81B96">
        <w:t xml:space="preserve"> </w:t>
      </w:r>
      <w:r>
        <w:tab/>
      </w:r>
      <w:r w:rsidRPr="000637F9">
        <w:rPr>
          <w:i/>
        </w:rPr>
        <w:t>Se-Ling Hosiery, Inc. v. Margulies</w:t>
      </w:r>
      <w:r w:rsidRPr="00C81B96">
        <w:t xml:space="preserve">, 364 Pa. 45, 70 A.2d 854 (1950); </w:t>
      </w:r>
      <w:r w:rsidRPr="000637F9">
        <w:rPr>
          <w:i/>
        </w:rPr>
        <w:t>Feinstein v. Philadelphia Suburban Water Company</w:t>
      </w:r>
      <w:r w:rsidRPr="000213A4">
        <w:t>,</w:t>
      </w:r>
      <w:r w:rsidRPr="00C81B96">
        <w:t xml:space="preserve"> 50 PA PUC 300 (1976).</w:t>
      </w:r>
    </w:p>
    <w:p w:rsidR="00233407" w:rsidRPr="00C81B96" w:rsidRDefault="00233407" w:rsidP="00233407">
      <w:pPr>
        <w:pStyle w:val="FootnoteText"/>
        <w:ind w:firstLine="720"/>
      </w:pPr>
    </w:p>
  </w:footnote>
  <w:footnote w:id="5">
    <w:p w:rsidR="00233407" w:rsidRDefault="00233407" w:rsidP="00233407">
      <w:pPr>
        <w:pStyle w:val="FootnoteText"/>
      </w:pPr>
      <w:r>
        <w:tab/>
      </w:r>
      <w:r w:rsidRPr="00FA2394">
        <w:rPr>
          <w:rStyle w:val="FootnoteReference"/>
        </w:rPr>
        <w:footnoteRef/>
      </w:r>
      <w:r w:rsidRPr="00FA2394">
        <w:t xml:space="preserve"> </w:t>
      </w:r>
      <w:r w:rsidRPr="00FA2394">
        <w:tab/>
        <w:t>66 Pa. C.S. § 1402.</w:t>
      </w:r>
    </w:p>
    <w:p w:rsidR="00233407" w:rsidRPr="00FA2394" w:rsidRDefault="00233407" w:rsidP="00233407">
      <w:pPr>
        <w:pStyle w:val="FootnoteText"/>
      </w:pPr>
    </w:p>
  </w:footnote>
  <w:footnote w:id="6">
    <w:p w:rsidR="00233407" w:rsidRPr="00FA2394" w:rsidRDefault="00233407" w:rsidP="00233407">
      <w:pPr>
        <w:pStyle w:val="FootnoteText"/>
      </w:pPr>
      <w:r>
        <w:tab/>
      </w:r>
      <w:r w:rsidRPr="00FA2394">
        <w:rPr>
          <w:rStyle w:val="FootnoteReference"/>
        </w:rPr>
        <w:footnoteRef/>
      </w:r>
      <w:r w:rsidRPr="00FA2394">
        <w:t xml:space="preserve"> </w:t>
      </w:r>
      <w:r w:rsidRPr="00FA2394">
        <w:tab/>
        <w:t>66 Pa. C.S. § 1405(d).</w:t>
      </w:r>
    </w:p>
  </w:footnote>
  <w:footnote w:id="7">
    <w:p w:rsidR="00233407" w:rsidRDefault="00233407" w:rsidP="00233407">
      <w:pPr>
        <w:pStyle w:val="FootnoteText"/>
        <w:ind w:firstLine="720"/>
        <w:rPr>
          <w:i/>
        </w:rPr>
      </w:pPr>
      <w:r>
        <w:rPr>
          <w:rStyle w:val="FootnoteReference"/>
        </w:rPr>
        <w:footnoteRef/>
      </w:r>
      <w:r>
        <w:t xml:space="preserve">  </w:t>
      </w:r>
      <w:r>
        <w:tab/>
      </w:r>
      <w:r>
        <w:rPr>
          <w:i/>
        </w:rPr>
        <w:t>Id.</w:t>
      </w:r>
    </w:p>
    <w:p w:rsidR="00233407" w:rsidRPr="00F15657" w:rsidRDefault="00233407" w:rsidP="00233407">
      <w:pPr>
        <w:pStyle w:val="FootnoteText"/>
        <w:ind w:firstLine="720"/>
        <w:rPr>
          <w:i/>
        </w:rPr>
      </w:pPr>
    </w:p>
  </w:footnote>
  <w:footnote w:id="8">
    <w:p w:rsidR="00233407" w:rsidRDefault="00233407" w:rsidP="00233407">
      <w:pPr>
        <w:pStyle w:val="FootnoteText"/>
        <w:ind w:firstLine="720"/>
      </w:pPr>
      <w:r>
        <w:rPr>
          <w:rStyle w:val="FootnoteReference"/>
        </w:rPr>
        <w:footnoteRef/>
      </w:r>
      <w:r>
        <w:t xml:space="preserve"> </w:t>
      </w:r>
      <w:r>
        <w:tab/>
        <w:t>Section 1405(b)(3) of Chapter 14 authorizes a payment arrangement of one year where a consumer’s gross monthly household income is between 250%-300% of the Federal poverty level.</w:t>
      </w:r>
    </w:p>
    <w:p w:rsidR="00233407" w:rsidRDefault="00233407" w:rsidP="00233407">
      <w:pPr>
        <w:pStyle w:val="FootnoteText"/>
        <w:ind w:firstLine="720"/>
      </w:pPr>
    </w:p>
  </w:footnote>
  <w:footnote w:id="9">
    <w:p w:rsidR="00233407" w:rsidRDefault="00233407" w:rsidP="00233407">
      <w:pPr>
        <w:pStyle w:val="FootnoteText"/>
        <w:ind w:firstLine="720"/>
      </w:pPr>
      <w:r>
        <w:rPr>
          <w:rStyle w:val="FootnoteReference"/>
        </w:rPr>
        <w:footnoteRef/>
      </w:r>
      <w:r>
        <w:t xml:space="preserve"> </w:t>
      </w:r>
      <w:r>
        <w:tab/>
        <w:t>Section 1405(b)(2) of Chapter 14 authorizes a payment arrangement of two years where a consumer’s gross monthly income is between 150%-</w:t>
      </w:r>
      <w:r w:rsidR="00BD3F25">
        <w:t>2</w:t>
      </w:r>
      <w:bookmarkStart w:id="0" w:name="_GoBack"/>
      <w:bookmarkEnd w:id="0"/>
      <w:r>
        <w:t>50% of the Federal poverty level.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F01F0"/>
    <w:multiLevelType w:val="hybridMultilevel"/>
    <w:tmpl w:val="14F8AF8E"/>
    <w:lvl w:ilvl="0" w:tplc="6E4E28E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FB452B"/>
    <w:multiLevelType w:val="hybridMultilevel"/>
    <w:tmpl w:val="6E004D3E"/>
    <w:lvl w:ilvl="0" w:tplc="AAA29E0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93687D"/>
    <w:multiLevelType w:val="hybridMultilevel"/>
    <w:tmpl w:val="FC201D5E"/>
    <w:lvl w:ilvl="0" w:tplc="B842626A">
      <w:start w:val="1"/>
      <w:numFmt w:val="decimal"/>
      <w:lvlText w:val="%1."/>
      <w:lvlJc w:val="left"/>
      <w:pPr>
        <w:tabs>
          <w:tab w:val="num" w:pos="1530"/>
        </w:tabs>
        <w:ind w:left="90" w:firstLine="1440"/>
      </w:pPr>
      <w:rPr>
        <w:rFonts w:ascii="Times New Roman" w:hAnsi="Times New Roman" w:hint="default"/>
        <w:b w:val="0"/>
        <w:i w:val="0"/>
        <w:sz w:val="24"/>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
    <w:nsid w:val="17067EB1"/>
    <w:multiLevelType w:val="hybridMultilevel"/>
    <w:tmpl w:val="7A44FB22"/>
    <w:lvl w:ilvl="0" w:tplc="42E26CC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6C9073D"/>
    <w:multiLevelType w:val="singleLevel"/>
    <w:tmpl w:val="0409000F"/>
    <w:lvl w:ilvl="0">
      <w:start w:val="1"/>
      <w:numFmt w:val="decimal"/>
      <w:lvlText w:val="%1."/>
      <w:lvlJc w:val="left"/>
      <w:pPr>
        <w:tabs>
          <w:tab w:val="num" w:pos="360"/>
        </w:tabs>
        <w:ind w:left="360" w:hanging="360"/>
      </w:pPr>
    </w:lvl>
  </w:abstractNum>
  <w:abstractNum w:abstractNumId="5">
    <w:nsid w:val="4F66445D"/>
    <w:multiLevelType w:val="singleLevel"/>
    <w:tmpl w:val="AFA251B6"/>
    <w:lvl w:ilvl="0">
      <w:start w:val="1"/>
      <w:numFmt w:val="decimal"/>
      <w:lvlText w:val="%1."/>
      <w:lvlJc w:val="left"/>
      <w:pPr>
        <w:tabs>
          <w:tab w:val="num" w:pos="2160"/>
        </w:tabs>
        <w:ind w:left="2160" w:hanging="720"/>
      </w:pPr>
    </w:lvl>
  </w:abstractNum>
  <w:abstractNum w:abstractNumId="6">
    <w:nsid w:val="52D20EA1"/>
    <w:multiLevelType w:val="hybridMultilevel"/>
    <w:tmpl w:val="9A041A2C"/>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
    <w:nsid w:val="54143EC4"/>
    <w:multiLevelType w:val="hybridMultilevel"/>
    <w:tmpl w:val="6AA249B2"/>
    <w:lvl w:ilvl="0" w:tplc="396400F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5C77789"/>
    <w:multiLevelType w:val="singleLevel"/>
    <w:tmpl w:val="356CC34E"/>
    <w:lvl w:ilvl="0">
      <w:start w:val="1"/>
      <w:numFmt w:val="decimal"/>
      <w:lvlText w:val="%1."/>
      <w:lvlJc w:val="left"/>
      <w:pPr>
        <w:tabs>
          <w:tab w:val="num" w:pos="2160"/>
        </w:tabs>
        <w:ind w:left="2160" w:hanging="720"/>
      </w:pPr>
      <w:rPr>
        <w:rFonts w:hint="default"/>
      </w:rPr>
    </w:lvl>
  </w:abstractNum>
  <w:abstractNum w:abstractNumId="9">
    <w:nsid w:val="72E9161F"/>
    <w:multiLevelType w:val="hybridMultilevel"/>
    <w:tmpl w:val="7D3A93AE"/>
    <w:lvl w:ilvl="0" w:tplc="CC3E03DA">
      <w:start w:val="1"/>
      <w:numFmt w:val="decimal"/>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517B7F"/>
    <w:multiLevelType w:val="hybridMultilevel"/>
    <w:tmpl w:val="9F4CCF72"/>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8"/>
  </w:num>
  <w:num w:numId="3">
    <w:abstractNumId w:val="5"/>
    <w:lvlOverride w:ilvl="0">
      <w:startOverride w:val="1"/>
    </w:lvlOverride>
  </w:num>
  <w:num w:numId="4">
    <w:abstractNumId w:val="10"/>
  </w:num>
  <w:num w:numId="5">
    <w:abstractNumId w:val="2"/>
  </w:num>
  <w:num w:numId="6">
    <w:abstractNumId w:val="6"/>
  </w:num>
  <w:num w:numId="7">
    <w:abstractNumId w:val="3"/>
  </w:num>
  <w:num w:numId="8">
    <w:abstractNumId w:val="1"/>
  </w:num>
  <w:num w:numId="9">
    <w:abstractNumId w:val="7"/>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w:compa"/>
  </w:docVars>
  <w:rsids>
    <w:rsidRoot w:val="00D52F64"/>
    <w:rsid w:val="00004554"/>
    <w:rsid w:val="00013C43"/>
    <w:rsid w:val="00014C4F"/>
    <w:rsid w:val="00037BE6"/>
    <w:rsid w:val="00056EE7"/>
    <w:rsid w:val="00081A14"/>
    <w:rsid w:val="000900E3"/>
    <w:rsid w:val="000A22F9"/>
    <w:rsid w:val="000D50F2"/>
    <w:rsid w:val="000E3342"/>
    <w:rsid w:val="000E7B2E"/>
    <w:rsid w:val="00103929"/>
    <w:rsid w:val="0012273D"/>
    <w:rsid w:val="0014181A"/>
    <w:rsid w:val="00150A2F"/>
    <w:rsid w:val="00184F2A"/>
    <w:rsid w:val="001902E3"/>
    <w:rsid w:val="0019400A"/>
    <w:rsid w:val="001B61F5"/>
    <w:rsid w:val="001D0030"/>
    <w:rsid w:val="001D0C89"/>
    <w:rsid w:val="001D1F7D"/>
    <w:rsid w:val="001D43E4"/>
    <w:rsid w:val="001D7F5A"/>
    <w:rsid w:val="001F11F8"/>
    <w:rsid w:val="001F27D0"/>
    <w:rsid w:val="001F31A2"/>
    <w:rsid w:val="001F65D7"/>
    <w:rsid w:val="00214B31"/>
    <w:rsid w:val="00215D02"/>
    <w:rsid w:val="0021685B"/>
    <w:rsid w:val="00221AD0"/>
    <w:rsid w:val="00233407"/>
    <w:rsid w:val="00243EA3"/>
    <w:rsid w:val="00260486"/>
    <w:rsid w:val="00283A1B"/>
    <w:rsid w:val="00293C4D"/>
    <w:rsid w:val="00295C93"/>
    <w:rsid w:val="002A6CBD"/>
    <w:rsid w:val="002A6DE7"/>
    <w:rsid w:val="002C5F54"/>
    <w:rsid w:val="002D29A7"/>
    <w:rsid w:val="002E06DD"/>
    <w:rsid w:val="002E35C7"/>
    <w:rsid w:val="00321B23"/>
    <w:rsid w:val="003223D6"/>
    <w:rsid w:val="0034230C"/>
    <w:rsid w:val="00361600"/>
    <w:rsid w:val="00394FB5"/>
    <w:rsid w:val="003B3FBC"/>
    <w:rsid w:val="003B4302"/>
    <w:rsid w:val="003D1D5E"/>
    <w:rsid w:val="003E4E24"/>
    <w:rsid w:val="003F0312"/>
    <w:rsid w:val="00402DE5"/>
    <w:rsid w:val="00412780"/>
    <w:rsid w:val="004344BF"/>
    <w:rsid w:val="004400F0"/>
    <w:rsid w:val="00477560"/>
    <w:rsid w:val="0049223C"/>
    <w:rsid w:val="004B020A"/>
    <w:rsid w:val="004B0B15"/>
    <w:rsid w:val="004B6464"/>
    <w:rsid w:val="004C2128"/>
    <w:rsid w:val="004C3DB4"/>
    <w:rsid w:val="004C4098"/>
    <w:rsid w:val="004C623B"/>
    <w:rsid w:val="004C70BF"/>
    <w:rsid w:val="004F3C7A"/>
    <w:rsid w:val="004F5506"/>
    <w:rsid w:val="004F587C"/>
    <w:rsid w:val="00507797"/>
    <w:rsid w:val="00520F7B"/>
    <w:rsid w:val="005353C8"/>
    <w:rsid w:val="00536E2B"/>
    <w:rsid w:val="005404D0"/>
    <w:rsid w:val="00542AD0"/>
    <w:rsid w:val="0056074E"/>
    <w:rsid w:val="00576552"/>
    <w:rsid w:val="00586FAE"/>
    <w:rsid w:val="00592F56"/>
    <w:rsid w:val="005F4513"/>
    <w:rsid w:val="005F723F"/>
    <w:rsid w:val="00600ECE"/>
    <w:rsid w:val="00605084"/>
    <w:rsid w:val="0060552C"/>
    <w:rsid w:val="00616199"/>
    <w:rsid w:val="00632227"/>
    <w:rsid w:val="00642B41"/>
    <w:rsid w:val="00654273"/>
    <w:rsid w:val="006568A2"/>
    <w:rsid w:val="006936E0"/>
    <w:rsid w:val="006954AE"/>
    <w:rsid w:val="006957FE"/>
    <w:rsid w:val="0069655D"/>
    <w:rsid w:val="006967FF"/>
    <w:rsid w:val="006F100D"/>
    <w:rsid w:val="00705C7F"/>
    <w:rsid w:val="00713AAF"/>
    <w:rsid w:val="00724559"/>
    <w:rsid w:val="0072627C"/>
    <w:rsid w:val="00733C17"/>
    <w:rsid w:val="0073521D"/>
    <w:rsid w:val="00740BA9"/>
    <w:rsid w:val="007530F3"/>
    <w:rsid w:val="00757BE9"/>
    <w:rsid w:val="0076287A"/>
    <w:rsid w:val="0077153E"/>
    <w:rsid w:val="0078531F"/>
    <w:rsid w:val="007A0BF6"/>
    <w:rsid w:val="007A0CC7"/>
    <w:rsid w:val="007B28B5"/>
    <w:rsid w:val="007C056D"/>
    <w:rsid w:val="007F42E6"/>
    <w:rsid w:val="00803743"/>
    <w:rsid w:val="0083156C"/>
    <w:rsid w:val="00835DEF"/>
    <w:rsid w:val="00837034"/>
    <w:rsid w:val="00837A2B"/>
    <w:rsid w:val="00850CFA"/>
    <w:rsid w:val="00851E6C"/>
    <w:rsid w:val="00864BFD"/>
    <w:rsid w:val="008659A1"/>
    <w:rsid w:val="008702A2"/>
    <w:rsid w:val="00896DBA"/>
    <w:rsid w:val="008A2D8B"/>
    <w:rsid w:val="008A3B75"/>
    <w:rsid w:val="008A4CCD"/>
    <w:rsid w:val="008B132B"/>
    <w:rsid w:val="008F41C8"/>
    <w:rsid w:val="0092156D"/>
    <w:rsid w:val="0093323E"/>
    <w:rsid w:val="00954BD4"/>
    <w:rsid w:val="00957EBC"/>
    <w:rsid w:val="00962636"/>
    <w:rsid w:val="00965663"/>
    <w:rsid w:val="00975953"/>
    <w:rsid w:val="00997F90"/>
    <w:rsid w:val="009B28AE"/>
    <w:rsid w:val="009B67B8"/>
    <w:rsid w:val="009B77DC"/>
    <w:rsid w:val="009D0C65"/>
    <w:rsid w:val="009D6EC6"/>
    <w:rsid w:val="00A0342E"/>
    <w:rsid w:val="00A03D6F"/>
    <w:rsid w:val="00A1622D"/>
    <w:rsid w:val="00A22ECD"/>
    <w:rsid w:val="00A23BE6"/>
    <w:rsid w:val="00A30925"/>
    <w:rsid w:val="00A46C79"/>
    <w:rsid w:val="00A53495"/>
    <w:rsid w:val="00A56C8F"/>
    <w:rsid w:val="00A7056A"/>
    <w:rsid w:val="00A750F3"/>
    <w:rsid w:val="00A779E7"/>
    <w:rsid w:val="00A806E3"/>
    <w:rsid w:val="00A845EE"/>
    <w:rsid w:val="00A93BCB"/>
    <w:rsid w:val="00AA28C9"/>
    <w:rsid w:val="00AB4152"/>
    <w:rsid w:val="00AC4E85"/>
    <w:rsid w:val="00B02B8A"/>
    <w:rsid w:val="00B51001"/>
    <w:rsid w:val="00B741DB"/>
    <w:rsid w:val="00B75065"/>
    <w:rsid w:val="00BA205F"/>
    <w:rsid w:val="00BA623E"/>
    <w:rsid w:val="00BD3F25"/>
    <w:rsid w:val="00BF5025"/>
    <w:rsid w:val="00BF574B"/>
    <w:rsid w:val="00C0610A"/>
    <w:rsid w:val="00C36F93"/>
    <w:rsid w:val="00C41CE3"/>
    <w:rsid w:val="00C529B6"/>
    <w:rsid w:val="00C81119"/>
    <w:rsid w:val="00C8269E"/>
    <w:rsid w:val="00CB1BE1"/>
    <w:rsid w:val="00CB2D7C"/>
    <w:rsid w:val="00CB340C"/>
    <w:rsid w:val="00CB3AB8"/>
    <w:rsid w:val="00CB52DC"/>
    <w:rsid w:val="00CB7FC5"/>
    <w:rsid w:val="00CE05C6"/>
    <w:rsid w:val="00D11CEF"/>
    <w:rsid w:val="00D31E41"/>
    <w:rsid w:val="00D33A87"/>
    <w:rsid w:val="00D42323"/>
    <w:rsid w:val="00D52F64"/>
    <w:rsid w:val="00D60E67"/>
    <w:rsid w:val="00D673A6"/>
    <w:rsid w:val="00D76BBD"/>
    <w:rsid w:val="00D77DE4"/>
    <w:rsid w:val="00D83B9E"/>
    <w:rsid w:val="00D858BF"/>
    <w:rsid w:val="00D87D5D"/>
    <w:rsid w:val="00D91969"/>
    <w:rsid w:val="00D9501D"/>
    <w:rsid w:val="00D9746A"/>
    <w:rsid w:val="00DB65A8"/>
    <w:rsid w:val="00DC0B72"/>
    <w:rsid w:val="00E06681"/>
    <w:rsid w:val="00E24F06"/>
    <w:rsid w:val="00E27781"/>
    <w:rsid w:val="00E736D2"/>
    <w:rsid w:val="00E94178"/>
    <w:rsid w:val="00EB78AF"/>
    <w:rsid w:val="00EE6B8F"/>
    <w:rsid w:val="00EF1E71"/>
    <w:rsid w:val="00F06152"/>
    <w:rsid w:val="00F55E18"/>
    <w:rsid w:val="00F800D0"/>
    <w:rsid w:val="00F84B20"/>
    <w:rsid w:val="00F85983"/>
    <w:rsid w:val="00FA4AA7"/>
    <w:rsid w:val="00FB2B57"/>
    <w:rsid w:val="00FB3EBA"/>
    <w:rsid w:val="00FB61D2"/>
    <w:rsid w:val="00FC3BE9"/>
    <w:rsid w:val="00FD7B3C"/>
    <w:rsid w:val="00FE10E5"/>
    <w:rsid w:val="00FE4E8F"/>
    <w:rsid w:val="00FE5375"/>
    <w:rsid w:val="00FE5F0F"/>
    <w:rsid w:val="00FF15E9"/>
    <w:rsid w:val="00FF1ADD"/>
    <w:rsid w:val="00FF6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00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900E3"/>
    <w:pPr>
      <w:tabs>
        <w:tab w:val="center" w:pos="4320"/>
        <w:tab w:val="right" w:pos="8640"/>
      </w:tabs>
    </w:pPr>
  </w:style>
  <w:style w:type="character" w:styleId="PageNumber">
    <w:name w:val="page number"/>
    <w:basedOn w:val="DefaultParagraphFont"/>
    <w:rsid w:val="000900E3"/>
  </w:style>
  <w:style w:type="paragraph" w:styleId="Title">
    <w:name w:val="Title"/>
    <w:basedOn w:val="Normal"/>
    <w:qFormat/>
    <w:rsid w:val="000900E3"/>
    <w:pPr>
      <w:tabs>
        <w:tab w:val="left" w:pos="360"/>
      </w:tabs>
      <w:spacing w:line="233" w:lineRule="auto"/>
      <w:jc w:val="center"/>
    </w:pPr>
    <w:rPr>
      <w:b/>
      <w:sz w:val="24"/>
    </w:rPr>
  </w:style>
  <w:style w:type="paragraph" w:customStyle="1" w:styleId="ParaTab1">
    <w:name w:val="ParaTab 1"/>
    <w:rsid w:val="0072627C"/>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qFormat/>
    <w:rsid w:val="0072627C"/>
    <w:pPr>
      <w:ind w:left="720"/>
      <w:contextualSpacing/>
    </w:pPr>
  </w:style>
  <w:style w:type="paragraph" w:styleId="BalloonText">
    <w:name w:val="Balloon Text"/>
    <w:basedOn w:val="Normal"/>
    <w:link w:val="BalloonTextChar"/>
    <w:rsid w:val="00D42323"/>
    <w:rPr>
      <w:rFonts w:ascii="Tahoma" w:hAnsi="Tahoma" w:cs="Tahoma"/>
      <w:sz w:val="16"/>
      <w:szCs w:val="16"/>
    </w:rPr>
  </w:style>
  <w:style w:type="character" w:customStyle="1" w:styleId="BalloonTextChar">
    <w:name w:val="Balloon Text Char"/>
    <w:basedOn w:val="DefaultParagraphFont"/>
    <w:link w:val="BalloonText"/>
    <w:rsid w:val="00D42323"/>
    <w:rPr>
      <w:rFonts w:ascii="Tahoma" w:hAnsi="Tahoma" w:cs="Tahoma"/>
      <w:sz w:val="16"/>
      <w:szCs w:val="16"/>
    </w:rPr>
  </w:style>
  <w:style w:type="paragraph" w:styleId="FootnoteText">
    <w:name w:val="footnote text"/>
    <w:aliases w:val="Car"/>
    <w:basedOn w:val="Normal"/>
    <w:link w:val="FootnoteTextChar"/>
    <w:uiPriority w:val="99"/>
    <w:qFormat/>
    <w:rsid w:val="00A46C79"/>
  </w:style>
  <w:style w:type="character" w:customStyle="1" w:styleId="FootnoteTextChar">
    <w:name w:val="Footnote Text Char"/>
    <w:aliases w:val="Car Char"/>
    <w:basedOn w:val="DefaultParagraphFont"/>
    <w:link w:val="FootnoteText"/>
    <w:uiPriority w:val="99"/>
    <w:rsid w:val="00A46C79"/>
  </w:style>
  <w:style w:type="character" w:styleId="FootnoteReference">
    <w:name w:val="footnote reference"/>
    <w:basedOn w:val="DefaultParagraphFont"/>
    <w:uiPriority w:val="99"/>
    <w:unhideWhenUsed/>
    <w:rsid w:val="00A46C79"/>
    <w:rPr>
      <w:rFonts w:ascii="Times New Roman" w:hAnsi="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00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900E3"/>
    <w:pPr>
      <w:tabs>
        <w:tab w:val="center" w:pos="4320"/>
        <w:tab w:val="right" w:pos="8640"/>
      </w:tabs>
    </w:pPr>
  </w:style>
  <w:style w:type="character" w:styleId="PageNumber">
    <w:name w:val="page number"/>
    <w:basedOn w:val="DefaultParagraphFont"/>
    <w:rsid w:val="000900E3"/>
  </w:style>
  <w:style w:type="paragraph" w:styleId="Title">
    <w:name w:val="Title"/>
    <w:basedOn w:val="Normal"/>
    <w:qFormat/>
    <w:rsid w:val="000900E3"/>
    <w:pPr>
      <w:tabs>
        <w:tab w:val="left" w:pos="360"/>
      </w:tabs>
      <w:spacing w:line="233" w:lineRule="auto"/>
      <w:jc w:val="center"/>
    </w:pPr>
    <w:rPr>
      <w:b/>
      <w:sz w:val="24"/>
    </w:rPr>
  </w:style>
  <w:style w:type="paragraph" w:customStyle="1" w:styleId="ParaTab1">
    <w:name w:val="ParaTab 1"/>
    <w:rsid w:val="0072627C"/>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qFormat/>
    <w:rsid w:val="0072627C"/>
    <w:pPr>
      <w:ind w:left="720"/>
      <w:contextualSpacing/>
    </w:pPr>
  </w:style>
  <w:style w:type="paragraph" w:styleId="BalloonText">
    <w:name w:val="Balloon Text"/>
    <w:basedOn w:val="Normal"/>
    <w:link w:val="BalloonTextChar"/>
    <w:rsid w:val="00D42323"/>
    <w:rPr>
      <w:rFonts w:ascii="Tahoma" w:hAnsi="Tahoma" w:cs="Tahoma"/>
      <w:sz w:val="16"/>
      <w:szCs w:val="16"/>
    </w:rPr>
  </w:style>
  <w:style w:type="character" w:customStyle="1" w:styleId="BalloonTextChar">
    <w:name w:val="Balloon Text Char"/>
    <w:basedOn w:val="DefaultParagraphFont"/>
    <w:link w:val="BalloonText"/>
    <w:rsid w:val="00D42323"/>
    <w:rPr>
      <w:rFonts w:ascii="Tahoma" w:hAnsi="Tahoma" w:cs="Tahoma"/>
      <w:sz w:val="16"/>
      <w:szCs w:val="16"/>
    </w:rPr>
  </w:style>
  <w:style w:type="paragraph" w:styleId="FootnoteText">
    <w:name w:val="footnote text"/>
    <w:aliases w:val="Car"/>
    <w:basedOn w:val="Normal"/>
    <w:link w:val="FootnoteTextChar"/>
    <w:uiPriority w:val="99"/>
    <w:qFormat/>
    <w:rsid w:val="00A46C79"/>
  </w:style>
  <w:style w:type="character" w:customStyle="1" w:styleId="FootnoteTextChar">
    <w:name w:val="Footnote Text Char"/>
    <w:aliases w:val="Car Char"/>
    <w:basedOn w:val="DefaultParagraphFont"/>
    <w:link w:val="FootnoteText"/>
    <w:uiPriority w:val="99"/>
    <w:rsid w:val="00A46C79"/>
  </w:style>
  <w:style w:type="character" w:styleId="FootnoteReference">
    <w:name w:val="footnote reference"/>
    <w:basedOn w:val="DefaultParagraphFont"/>
    <w:uiPriority w:val="99"/>
    <w:unhideWhenUsed/>
    <w:rsid w:val="00A46C79"/>
    <w:rPr>
      <w:rFonts w:ascii="Times New Roman" w:hAnsi="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92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E89E0-CF44-4BFF-A1D9-A4E8FB294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1162</Words>
  <Characters>6625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7772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bfaccenda</cp:lastModifiedBy>
  <cp:revision>7</cp:revision>
  <cp:lastPrinted>2012-04-17T18:35:00Z</cp:lastPrinted>
  <dcterms:created xsi:type="dcterms:W3CDTF">2012-04-17T17:56:00Z</dcterms:created>
  <dcterms:modified xsi:type="dcterms:W3CDTF">2012-04-18T16:36:00Z</dcterms:modified>
</cp:coreProperties>
</file>