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0F4" w:rsidRDefault="00FF50F4" w:rsidP="00FF50F4">
      <w:pPr>
        <w:pStyle w:val="Title"/>
        <w:tabs>
          <w:tab w:val="clear" w:pos="360"/>
          <w:tab w:val="left" w:pos="0"/>
        </w:tabs>
      </w:pPr>
      <w:r>
        <w:t>BEFORE THE</w:t>
      </w:r>
    </w:p>
    <w:p w:rsidR="00FF50F4" w:rsidRDefault="00FF50F4" w:rsidP="00FF50F4">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FF50F4" w:rsidRDefault="00FF50F4" w:rsidP="00FF50F4">
      <w:pPr>
        <w:tabs>
          <w:tab w:val="left" w:pos="0"/>
        </w:tabs>
        <w:spacing w:line="233" w:lineRule="auto"/>
        <w:jc w:val="both"/>
        <w:rPr>
          <w:b/>
        </w:rPr>
      </w:pPr>
    </w:p>
    <w:p w:rsidR="00FF50F4" w:rsidRDefault="00FF50F4" w:rsidP="00FF50F4">
      <w:pPr>
        <w:tabs>
          <w:tab w:val="left" w:pos="0"/>
        </w:tabs>
        <w:spacing w:line="233" w:lineRule="auto"/>
        <w:jc w:val="both"/>
        <w:rPr>
          <w:b/>
        </w:rPr>
      </w:pPr>
    </w:p>
    <w:p w:rsidR="00FF50F4" w:rsidRDefault="00FF50F4" w:rsidP="00FF50F4">
      <w:pPr>
        <w:tabs>
          <w:tab w:val="left" w:pos="0"/>
        </w:tabs>
        <w:spacing w:line="233" w:lineRule="auto"/>
        <w:jc w:val="both"/>
        <w:rPr>
          <w:b/>
        </w:rPr>
      </w:pPr>
    </w:p>
    <w:p w:rsidR="003A6194" w:rsidRPr="005764D2" w:rsidRDefault="003A6194" w:rsidP="003A6194">
      <w:pPr>
        <w:tabs>
          <w:tab w:val="left" w:pos="0"/>
        </w:tabs>
        <w:spacing w:line="240" w:lineRule="auto"/>
        <w:jc w:val="both"/>
      </w:pPr>
      <w:r>
        <w:t>L. Richard Adamovich</w:t>
      </w:r>
      <w:r>
        <w:tab/>
      </w:r>
      <w:r w:rsidRPr="00A03D6F">
        <w:tab/>
      </w:r>
      <w:r w:rsidRPr="00A03D6F">
        <w:tab/>
      </w:r>
      <w:r w:rsidRPr="00A03D6F">
        <w:tab/>
      </w:r>
      <w:r w:rsidRPr="005764D2">
        <w:t>:</w:t>
      </w:r>
    </w:p>
    <w:p w:rsidR="003A6194" w:rsidRPr="005764D2" w:rsidRDefault="003A6194" w:rsidP="003A6194">
      <w:pPr>
        <w:tabs>
          <w:tab w:val="left" w:pos="0"/>
        </w:tabs>
        <w:spacing w:line="240" w:lineRule="auto"/>
        <w:jc w:val="both"/>
      </w:pPr>
      <w:r w:rsidRPr="005764D2">
        <w:tab/>
      </w:r>
      <w:r w:rsidRPr="005764D2">
        <w:tab/>
      </w:r>
      <w:r w:rsidRPr="005764D2">
        <w:tab/>
      </w:r>
      <w:r w:rsidRPr="005764D2">
        <w:tab/>
      </w:r>
      <w:r w:rsidRPr="005764D2">
        <w:tab/>
      </w:r>
      <w:r w:rsidRPr="005764D2">
        <w:tab/>
      </w:r>
      <w:r w:rsidRPr="005764D2">
        <w:tab/>
        <w:t>:</w:t>
      </w:r>
    </w:p>
    <w:p w:rsidR="003A6194" w:rsidRPr="005764D2" w:rsidRDefault="003A6194" w:rsidP="003A6194">
      <w:pPr>
        <w:tabs>
          <w:tab w:val="left" w:pos="0"/>
        </w:tabs>
        <w:spacing w:line="240" w:lineRule="auto"/>
        <w:jc w:val="both"/>
      </w:pPr>
      <w:r w:rsidRPr="005764D2">
        <w:tab/>
        <w:t>v.</w:t>
      </w:r>
      <w:r w:rsidRPr="005764D2">
        <w:tab/>
      </w:r>
      <w:r w:rsidRPr="005764D2">
        <w:tab/>
      </w:r>
      <w:r w:rsidRPr="005764D2">
        <w:tab/>
      </w:r>
      <w:r w:rsidRPr="005764D2">
        <w:tab/>
      </w:r>
      <w:r w:rsidRPr="005764D2">
        <w:tab/>
      </w:r>
      <w:r w:rsidRPr="005764D2">
        <w:tab/>
        <w:t>:</w:t>
      </w:r>
      <w:r w:rsidRPr="005764D2">
        <w:tab/>
      </w:r>
      <w:r w:rsidRPr="005764D2">
        <w:tab/>
        <w:t>C-2011-2256848</w:t>
      </w:r>
    </w:p>
    <w:p w:rsidR="003A6194" w:rsidRPr="005764D2" w:rsidRDefault="003A6194" w:rsidP="003A6194">
      <w:pPr>
        <w:tabs>
          <w:tab w:val="left" w:pos="0"/>
        </w:tabs>
        <w:spacing w:line="240" w:lineRule="auto"/>
        <w:jc w:val="both"/>
      </w:pPr>
      <w:r w:rsidRPr="005764D2">
        <w:tab/>
      </w:r>
      <w:r w:rsidRPr="005764D2">
        <w:tab/>
      </w:r>
      <w:r w:rsidRPr="005764D2">
        <w:tab/>
      </w:r>
      <w:r w:rsidRPr="005764D2">
        <w:tab/>
      </w:r>
      <w:r w:rsidRPr="005764D2">
        <w:tab/>
      </w:r>
      <w:r w:rsidRPr="005764D2">
        <w:tab/>
      </w:r>
      <w:r w:rsidRPr="005764D2">
        <w:tab/>
        <w:t>:</w:t>
      </w:r>
    </w:p>
    <w:p w:rsidR="003A6194" w:rsidRPr="005764D2" w:rsidRDefault="003A6194" w:rsidP="003A6194">
      <w:pPr>
        <w:tabs>
          <w:tab w:val="left" w:pos="0"/>
        </w:tabs>
        <w:spacing w:line="240" w:lineRule="auto"/>
        <w:jc w:val="both"/>
      </w:pPr>
      <w:r w:rsidRPr="005764D2">
        <w:t>West Penn Power Company</w:t>
      </w:r>
      <w:r w:rsidRPr="005764D2">
        <w:tab/>
      </w:r>
      <w:r w:rsidRPr="005764D2">
        <w:tab/>
      </w:r>
      <w:r w:rsidRPr="005764D2">
        <w:tab/>
      </w:r>
      <w:r w:rsidRPr="005764D2">
        <w:tab/>
        <w:t>:</w:t>
      </w:r>
    </w:p>
    <w:p w:rsidR="003A6194" w:rsidRPr="00A03D6F" w:rsidRDefault="003A6194" w:rsidP="003A6194">
      <w:pPr>
        <w:tabs>
          <w:tab w:val="left" w:pos="0"/>
        </w:tabs>
        <w:spacing w:line="240" w:lineRule="auto"/>
        <w:jc w:val="both"/>
        <w:rPr>
          <w:b/>
        </w:rPr>
      </w:pPr>
    </w:p>
    <w:p w:rsidR="003A6194" w:rsidRDefault="003A6194" w:rsidP="003A6194">
      <w:pPr>
        <w:tabs>
          <w:tab w:val="left" w:pos="0"/>
        </w:tabs>
        <w:spacing w:line="240" w:lineRule="auto"/>
        <w:jc w:val="both"/>
        <w:rPr>
          <w:b/>
        </w:rPr>
      </w:pPr>
    </w:p>
    <w:p w:rsidR="003A6194" w:rsidRDefault="003A6194" w:rsidP="003A6194">
      <w:pPr>
        <w:tabs>
          <w:tab w:val="left" w:pos="0"/>
        </w:tabs>
        <w:spacing w:line="240" w:lineRule="auto"/>
        <w:jc w:val="both"/>
      </w:pPr>
      <w:r>
        <w:t>Michael T. Salanick</w:t>
      </w:r>
      <w:r>
        <w:tab/>
      </w:r>
      <w:r>
        <w:tab/>
      </w:r>
      <w:r>
        <w:tab/>
      </w:r>
      <w:r>
        <w:tab/>
      </w:r>
      <w:r>
        <w:tab/>
        <w:t>:</w:t>
      </w:r>
      <w:r>
        <w:tab/>
      </w:r>
      <w:r>
        <w:tab/>
      </w:r>
      <w:r>
        <w:tab/>
      </w:r>
      <w:r>
        <w:tab/>
      </w:r>
    </w:p>
    <w:p w:rsidR="003A6194" w:rsidRDefault="003A6194" w:rsidP="003A6194">
      <w:pPr>
        <w:tabs>
          <w:tab w:val="left" w:pos="0"/>
        </w:tabs>
        <w:spacing w:line="240" w:lineRule="auto"/>
        <w:jc w:val="both"/>
      </w:pPr>
      <w:r>
        <w:tab/>
      </w:r>
      <w:r>
        <w:tab/>
      </w:r>
      <w:r>
        <w:tab/>
      </w:r>
      <w:r>
        <w:tab/>
      </w:r>
      <w:r>
        <w:tab/>
      </w:r>
      <w:r>
        <w:tab/>
      </w:r>
      <w:r>
        <w:tab/>
        <w:t>:</w:t>
      </w:r>
      <w:r>
        <w:tab/>
      </w:r>
      <w:r>
        <w:tab/>
      </w:r>
      <w:r>
        <w:tab/>
      </w:r>
      <w:r>
        <w:tab/>
      </w:r>
      <w:r>
        <w:tab/>
      </w:r>
      <w:r>
        <w:tab/>
      </w:r>
      <w:r>
        <w:tab/>
        <w:t>v.</w:t>
      </w:r>
      <w:r>
        <w:tab/>
      </w:r>
      <w:r>
        <w:tab/>
      </w:r>
      <w:r>
        <w:tab/>
      </w:r>
      <w:r>
        <w:tab/>
      </w:r>
      <w:r>
        <w:tab/>
      </w:r>
      <w:r>
        <w:tab/>
        <w:t>:</w:t>
      </w:r>
      <w:r>
        <w:tab/>
      </w:r>
      <w:r>
        <w:tab/>
        <w:t>C-2011-2247926</w:t>
      </w:r>
    </w:p>
    <w:p w:rsidR="003A6194" w:rsidRDefault="003A6194" w:rsidP="003A6194">
      <w:pPr>
        <w:tabs>
          <w:tab w:val="left" w:pos="0"/>
        </w:tabs>
        <w:spacing w:line="240" w:lineRule="auto"/>
        <w:jc w:val="both"/>
      </w:pPr>
      <w:r>
        <w:tab/>
      </w:r>
      <w:r>
        <w:tab/>
      </w:r>
      <w:r>
        <w:tab/>
      </w:r>
      <w:r>
        <w:tab/>
      </w:r>
      <w:r>
        <w:tab/>
      </w:r>
      <w:r>
        <w:tab/>
      </w:r>
      <w:r>
        <w:tab/>
        <w:t>:</w:t>
      </w:r>
    </w:p>
    <w:p w:rsidR="003A6194" w:rsidRDefault="003A6194" w:rsidP="003A6194">
      <w:pPr>
        <w:tabs>
          <w:tab w:val="left" w:pos="0"/>
        </w:tabs>
        <w:spacing w:line="240" w:lineRule="auto"/>
        <w:jc w:val="both"/>
      </w:pPr>
      <w:r>
        <w:t>West Penn Power Company</w:t>
      </w:r>
      <w:r>
        <w:tab/>
      </w:r>
      <w:r>
        <w:tab/>
      </w:r>
      <w:r>
        <w:tab/>
      </w:r>
      <w:r>
        <w:tab/>
        <w:t>:</w:t>
      </w:r>
    </w:p>
    <w:p w:rsidR="003A6194" w:rsidRDefault="003A6194" w:rsidP="003A6194">
      <w:pPr>
        <w:tabs>
          <w:tab w:val="left" w:pos="0"/>
        </w:tabs>
        <w:spacing w:line="240" w:lineRule="auto"/>
        <w:jc w:val="both"/>
      </w:pPr>
    </w:p>
    <w:p w:rsidR="00FF7B9A" w:rsidRDefault="00FF7B9A" w:rsidP="00FF7B9A">
      <w:pPr>
        <w:tabs>
          <w:tab w:val="left" w:pos="0"/>
        </w:tabs>
        <w:spacing w:line="240" w:lineRule="auto"/>
        <w:jc w:val="both"/>
        <w:rPr>
          <w:rFonts w:eastAsia="SimSun"/>
          <w:b/>
        </w:rPr>
      </w:pPr>
    </w:p>
    <w:p w:rsidR="00FF7B9A" w:rsidRDefault="00FF7B9A" w:rsidP="00FF7B9A">
      <w:pPr>
        <w:spacing w:line="240" w:lineRule="auto"/>
      </w:pPr>
    </w:p>
    <w:p w:rsidR="00FF7B9A" w:rsidRDefault="00FF7B9A" w:rsidP="00FF7B9A">
      <w:pPr>
        <w:spacing w:line="240" w:lineRule="auto"/>
        <w:jc w:val="center"/>
      </w:pPr>
      <w:r>
        <w:rPr>
          <w:b/>
          <w:u w:val="single"/>
        </w:rPr>
        <w:t>INITIAL DECISION</w:t>
      </w:r>
    </w:p>
    <w:p w:rsidR="00FF7B9A" w:rsidRDefault="00FF7B9A" w:rsidP="00FF7B9A">
      <w:pPr>
        <w:spacing w:line="240" w:lineRule="auto"/>
        <w:jc w:val="center"/>
      </w:pPr>
    </w:p>
    <w:p w:rsidR="00FF7B9A" w:rsidRDefault="00FF7B9A" w:rsidP="00FF7B9A">
      <w:pPr>
        <w:spacing w:line="240" w:lineRule="auto"/>
        <w:jc w:val="center"/>
      </w:pPr>
    </w:p>
    <w:p w:rsidR="00FF7B9A" w:rsidRDefault="00FF7B9A" w:rsidP="00FF7B9A">
      <w:pPr>
        <w:spacing w:line="240" w:lineRule="auto"/>
        <w:jc w:val="center"/>
      </w:pPr>
      <w:r>
        <w:t>Before</w:t>
      </w:r>
    </w:p>
    <w:p w:rsidR="00FF7B9A" w:rsidRDefault="00FF7B9A" w:rsidP="00FF7B9A">
      <w:pPr>
        <w:spacing w:line="240" w:lineRule="auto"/>
        <w:jc w:val="center"/>
      </w:pPr>
      <w:r>
        <w:t>Mary D. Long</w:t>
      </w:r>
    </w:p>
    <w:p w:rsidR="00FF7B9A" w:rsidRDefault="00FF7B9A" w:rsidP="00FF7B9A">
      <w:pPr>
        <w:spacing w:line="240" w:lineRule="auto"/>
        <w:jc w:val="center"/>
      </w:pPr>
      <w:r>
        <w:t>Administrative Law Judge</w:t>
      </w:r>
    </w:p>
    <w:p w:rsidR="00FF7B9A" w:rsidRDefault="00FF7B9A" w:rsidP="00FF7B9A">
      <w:pPr>
        <w:spacing w:line="240" w:lineRule="auto"/>
      </w:pPr>
    </w:p>
    <w:p w:rsidR="00FF7B9A" w:rsidRDefault="00FF7B9A" w:rsidP="00FF7B9A">
      <w:pPr>
        <w:spacing w:line="240" w:lineRule="auto"/>
      </w:pPr>
    </w:p>
    <w:p w:rsidR="003A6194" w:rsidRDefault="003A6194" w:rsidP="003A6194">
      <w:pPr>
        <w:tabs>
          <w:tab w:val="left" w:pos="0"/>
        </w:tabs>
        <w:rPr>
          <w:szCs w:val="24"/>
        </w:rPr>
      </w:pPr>
      <w:r>
        <w:tab/>
      </w:r>
      <w:r w:rsidRPr="0062657B">
        <w:rPr>
          <w:szCs w:val="24"/>
        </w:rPr>
        <w:tab/>
        <w:t>This decision dismisses the complaints of two individuals who suffered appliance damage due to a high voltage event on the electric distribution lines that serve their residences.  There is insufficient evidence to conclude that the electric distribution company failed to properly maintain the right-of-way or otherwise failed to render reasonable and reliable service to these customers.  Therefore, the complaints will be dismissed.</w:t>
      </w:r>
    </w:p>
    <w:p w:rsidR="003A6194" w:rsidRPr="0062657B" w:rsidRDefault="003A6194" w:rsidP="003A6194">
      <w:pPr>
        <w:tabs>
          <w:tab w:val="left" w:pos="0"/>
        </w:tabs>
        <w:rPr>
          <w:szCs w:val="24"/>
        </w:rPr>
      </w:pPr>
    </w:p>
    <w:p w:rsidR="003A6194" w:rsidRDefault="003A6194" w:rsidP="003A6194">
      <w:pPr>
        <w:tabs>
          <w:tab w:val="left" w:pos="0"/>
        </w:tabs>
        <w:jc w:val="center"/>
        <w:rPr>
          <w:szCs w:val="24"/>
          <w:u w:val="single"/>
        </w:rPr>
      </w:pPr>
      <w:r w:rsidRPr="0062657B">
        <w:rPr>
          <w:szCs w:val="24"/>
          <w:u w:val="single"/>
        </w:rPr>
        <w:t>HISTORY OF THE PROCEEDINGS</w:t>
      </w:r>
    </w:p>
    <w:p w:rsidR="003A6194" w:rsidRPr="0062657B" w:rsidRDefault="003A6194" w:rsidP="003A6194">
      <w:pPr>
        <w:tabs>
          <w:tab w:val="left" w:pos="0"/>
        </w:tabs>
        <w:jc w:val="center"/>
        <w:rPr>
          <w:szCs w:val="24"/>
          <w:u w:val="single"/>
        </w:rPr>
      </w:pPr>
    </w:p>
    <w:p w:rsidR="003A6194" w:rsidRDefault="003A6194" w:rsidP="003A6194">
      <w:pPr>
        <w:pStyle w:val="PlainText"/>
        <w:spacing w:before="0" w:after="0"/>
        <w:rPr>
          <w:rFonts w:ascii="Times New Roman" w:hAnsi="Times New Roman" w:cs="Times New Roman"/>
          <w:sz w:val="24"/>
          <w:szCs w:val="24"/>
        </w:rPr>
      </w:pPr>
      <w:r w:rsidRPr="0062657B">
        <w:rPr>
          <w:rFonts w:ascii="Times New Roman" w:hAnsi="Times New Roman" w:cs="Times New Roman"/>
          <w:sz w:val="24"/>
          <w:szCs w:val="24"/>
        </w:rPr>
        <w:tab/>
      </w:r>
      <w:r w:rsidRPr="0062657B">
        <w:rPr>
          <w:rFonts w:ascii="Times New Roman" w:hAnsi="Times New Roman" w:cs="Times New Roman"/>
          <w:sz w:val="24"/>
          <w:szCs w:val="24"/>
        </w:rPr>
        <w:tab/>
        <w:t>On June 9, 2011, Michael T. Salanick filed a formal complaint with the Commission concerning a power outage that occurred in the morning of May 26, 2011.  He claims that as a result of the outage several appliances were damaged.  He filed a claim with West Penn Power Company, which denied his claim.  Mr. Salanick takes the position that West Penn Power is not providing safe, reliable and adequate service.</w:t>
      </w:r>
    </w:p>
    <w:p w:rsidR="003A6194" w:rsidRPr="0062657B" w:rsidRDefault="003A6194" w:rsidP="003A6194">
      <w:pPr>
        <w:pStyle w:val="PlainText"/>
        <w:spacing w:before="0" w:after="0"/>
        <w:rPr>
          <w:rFonts w:ascii="Times New Roman" w:hAnsi="Times New Roman" w:cs="Times New Roman"/>
          <w:sz w:val="24"/>
          <w:szCs w:val="24"/>
        </w:rPr>
      </w:pPr>
    </w:p>
    <w:p w:rsidR="003A6194" w:rsidRDefault="003A6194" w:rsidP="003A6194">
      <w:pPr>
        <w:pStyle w:val="PlainText"/>
        <w:spacing w:before="0" w:after="0"/>
        <w:rPr>
          <w:rFonts w:ascii="Times New Roman" w:hAnsi="Times New Roman" w:cs="Times New Roman"/>
          <w:sz w:val="24"/>
          <w:szCs w:val="24"/>
        </w:rPr>
      </w:pPr>
      <w:r w:rsidRPr="0062657B">
        <w:rPr>
          <w:rFonts w:ascii="Times New Roman" w:hAnsi="Times New Roman" w:cs="Times New Roman"/>
          <w:sz w:val="24"/>
          <w:szCs w:val="24"/>
        </w:rPr>
        <w:tab/>
      </w:r>
      <w:r w:rsidRPr="0062657B">
        <w:rPr>
          <w:rFonts w:ascii="Times New Roman" w:hAnsi="Times New Roman" w:cs="Times New Roman"/>
          <w:sz w:val="24"/>
          <w:szCs w:val="24"/>
        </w:rPr>
        <w:tab/>
        <w:t xml:space="preserve">On July 11, 2011, West Penn Power Company (West Penn Power) filed its answer to Mr. Salanick’s complaint.  West Penn </w:t>
      </w:r>
      <w:r w:rsidR="00D6473C">
        <w:rPr>
          <w:rFonts w:ascii="Times New Roman" w:hAnsi="Times New Roman" w:cs="Times New Roman"/>
          <w:sz w:val="24"/>
          <w:szCs w:val="24"/>
        </w:rPr>
        <w:t xml:space="preserve">Power </w:t>
      </w:r>
      <w:r w:rsidRPr="0062657B">
        <w:rPr>
          <w:rFonts w:ascii="Times New Roman" w:hAnsi="Times New Roman" w:cs="Times New Roman"/>
          <w:sz w:val="24"/>
          <w:szCs w:val="24"/>
        </w:rPr>
        <w:t xml:space="preserve">contends that “a large, live locust tree broke and leaned into West Penn Power’s subtransmission line and distribution line located along West Penn Boulevard in Uniontown, Pennsylvania.”  West Penn </w:t>
      </w:r>
      <w:r w:rsidR="00D6473C">
        <w:rPr>
          <w:rFonts w:ascii="Times New Roman" w:hAnsi="Times New Roman" w:cs="Times New Roman"/>
          <w:sz w:val="24"/>
          <w:szCs w:val="24"/>
        </w:rPr>
        <w:t xml:space="preserve">Power </w:t>
      </w:r>
      <w:r w:rsidRPr="0062657B">
        <w:rPr>
          <w:rFonts w:ascii="Times New Roman" w:hAnsi="Times New Roman" w:cs="Times New Roman"/>
          <w:sz w:val="24"/>
          <w:szCs w:val="24"/>
        </w:rPr>
        <w:t xml:space="preserve">goes on to say that the tree caused the subtransmission line and the distribution line to come together which resulted in a “momentary high-voltage condition on the distribution circuit.”  However, West Penn </w:t>
      </w:r>
      <w:r w:rsidR="00D6473C">
        <w:rPr>
          <w:rFonts w:ascii="Times New Roman" w:hAnsi="Times New Roman" w:cs="Times New Roman"/>
          <w:sz w:val="24"/>
          <w:szCs w:val="24"/>
        </w:rPr>
        <w:t xml:space="preserve">Power </w:t>
      </w:r>
      <w:r w:rsidRPr="0062657B">
        <w:rPr>
          <w:rFonts w:ascii="Times New Roman" w:hAnsi="Times New Roman" w:cs="Times New Roman"/>
          <w:sz w:val="24"/>
          <w:szCs w:val="24"/>
        </w:rPr>
        <w:t>takes the position that it is adequately maintaining the right-of-way and that the outage was not a result of inadequate service within the meaning of Section 1501 of the Public Utility Code.</w:t>
      </w:r>
      <w:r w:rsidRPr="0062657B">
        <w:rPr>
          <w:rStyle w:val="FootnoteReference"/>
          <w:rFonts w:cs="Times New Roman"/>
          <w:sz w:val="24"/>
          <w:szCs w:val="24"/>
        </w:rPr>
        <w:footnoteReference w:id="1"/>
      </w:r>
    </w:p>
    <w:p w:rsidR="003A6194" w:rsidRPr="0062657B" w:rsidRDefault="003A6194" w:rsidP="003A6194">
      <w:pPr>
        <w:pStyle w:val="PlainText"/>
        <w:spacing w:before="0" w:after="0"/>
        <w:rPr>
          <w:rFonts w:ascii="Times New Roman" w:hAnsi="Times New Roman" w:cs="Times New Roman"/>
          <w:sz w:val="24"/>
          <w:szCs w:val="24"/>
        </w:rPr>
      </w:pPr>
    </w:p>
    <w:p w:rsidR="003A6194" w:rsidRDefault="003A6194" w:rsidP="003A6194">
      <w:pPr>
        <w:pStyle w:val="PlainText"/>
        <w:spacing w:before="0" w:after="0"/>
        <w:rPr>
          <w:rFonts w:ascii="Times New Roman" w:hAnsi="Times New Roman" w:cs="Times New Roman"/>
          <w:sz w:val="24"/>
          <w:szCs w:val="24"/>
        </w:rPr>
      </w:pPr>
      <w:r w:rsidRPr="0062657B">
        <w:rPr>
          <w:rFonts w:ascii="Times New Roman" w:hAnsi="Times New Roman" w:cs="Times New Roman"/>
          <w:sz w:val="24"/>
          <w:szCs w:val="24"/>
        </w:rPr>
        <w:tab/>
      </w:r>
      <w:r w:rsidRPr="0062657B">
        <w:rPr>
          <w:rFonts w:ascii="Times New Roman" w:hAnsi="Times New Roman" w:cs="Times New Roman"/>
          <w:sz w:val="24"/>
          <w:szCs w:val="24"/>
        </w:rPr>
        <w:tab/>
        <w:t xml:space="preserve">On August 8, 2011, L. Richard Adamovich filed a formal complaint against West Penn </w:t>
      </w:r>
      <w:r w:rsidR="00D6473C">
        <w:rPr>
          <w:rFonts w:ascii="Times New Roman" w:hAnsi="Times New Roman" w:cs="Times New Roman"/>
          <w:sz w:val="24"/>
          <w:szCs w:val="24"/>
        </w:rPr>
        <w:t xml:space="preserve">Power </w:t>
      </w:r>
      <w:r w:rsidRPr="0062657B">
        <w:rPr>
          <w:rFonts w:ascii="Times New Roman" w:hAnsi="Times New Roman" w:cs="Times New Roman"/>
          <w:sz w:val="24"/>
          <w:szCs w:val="24"/>
        </w:rPr>
        <w:t>with the Commission concerning a power interruption that occurred the morning of May 26, 2011.  He also claims that as a result of the power outage a number of household appliances were damaged.  Mr. Adamovich later learned that the outage was caused by an incident with a tree or tree branch which fell onto the lines within the right-of-way.  Mr.</w:t>
      </w:r>
      <w:r w:rsidR="001216C2">
        <w:rPr>
          <w:rFonts w:ascii="Times New Roman" w:hAnsi="Times New Roman" w:cs="Times New Roman"/>
          <w:sz w:val="24"/>
          <w:szCs w:val="24"/>
        </w:rPr>
        <w:t> </w:t>
      </w:r>
      <w:r w:rsidRPr="0062657B">
        <w:rPr>
          <w:rFonts w:ascii="Times New Roman" w:hAnsi="Times New Roman" w:cs="Times New Roman"/>
          <w:sz w:val="24"/>
          <w:szCs w:val="24"/>
        </w:rPr>
        <w:t>Adamovich takes the position that West Penn Power is not properly maintaining the right-of-way by permitting a tree branch to over-hang the lines within the right-of-way and is therefore responsible for the damage to his equipment.</w:t>
      </w:r>
    </w:p>
    <w:p w:rsidR="003A6194" w:rsidRPr="0062657B" w:rsidRDefault="003A6194" w:rsidP="003A6194">
      <w:pPr>
        <w:pStyle w:val="PlainText"/>
        <w:spacing w:before="0" w:after="0"/>
        <w:rPr>
          <w:rFonts w:ascii="Times New Roman" w:hAnsi="Times New Roman" w:cs="Times New Roman"/>
          <w:sz w:val="24"/>
          <w:szCs w:val="24"/>
        </w:rPr>
      </w:pPr>
    </w:p>
    <w:p w:rsidR="003A6194" w:rsidRDefault="003A6194" w:rsidP="003A6194">
      <w:pPr>
        <w:pStyle w:val="PlainText"/>
        <w:spacing w:before="0" w:after="0"/>
        <w:rPr>
          <w:rFonts w:ascii="Times New Roman" w:hAnsi="Times New Roman" w:cs="Times New Roman"/>
          <w:sz w:val="24"/>
          <w:szCs w:val="24"/>
        </w:rPr>
      </w:pPr>
      <w:r w:rsidRPr="0062657B">
        <w:rPr>
          <w:rFonts w:ascii="Times New Roman" w:hAnsi="Times New Roman" w:cs="Times New Roman"/>
          <w:sz w:val="24"/>
          <w:szCs w:val="24"/>
        </w:rPr>
        <w:tab/>
      </w:r>
      <w:r w:rsidRPr="0062657B">
        <w:rPr>
          <w:rFonts w:ascii="Times New Roman" w:hAnsi="Times New Roman" w:cs="Times New Roman"/>
          <w:sz w:val="24"/>
          <w:szCs w:val="24"/>
        </w:rPr>
        <w:tab/>
        <w:t>West Penn Power Company filed its answer to Mr. Adamovich’s complaint on August 31, 2011.  West Penn Power’s answer to the Adamovich complaint takes the same position as the answer to the Salanick complaint:  West Penn Power is properly maintaining the right-of-way and providing adequate service.</w:t>
      </w:r>
    </w:p>
    <w:p w:rsidR="003A6194" w:rsidRPr="0062657B" w:rsidRDefault="003A6194" w:rsidP="003A6194">
      <w:pPr>
        <w:pStyle w:val="PlainText"/>
        <w:spacing w:before="0" w:after="0"/>
        <w:rPr>
          <w:rFonts w:ascii="Times New Roman" w:hAnsi="Times New Roman" w:cs="Times New Roman"/>
          <w:sz w:val="24"/>
          <w:szCs w:val="24"/>
        </w:rPr>
      </w:pPr>
      <w:r w:rsidRPr="0062657B">
        <w:rPr>
          <w:rFonts w:ascii="Times New Roman" w:hAnsi="Times New Roman" w:cs="Times New Roman"/>
          <w:sz w:val="24"/>
          <w:szCs w:val="24"/>
        </w:rPr>
        <w:tab/>
      </w:r>
    </w:p>
    <w:p w:rsidR="003A6194" w:rsidRDefault="003A6194" w:rsidP="003A6194">
      <w:pPr>
        <w:pStyle w:val="PlainText"/>
        <w:spacing w:before="0" w:after="0"/>
        <w:rPr>
          <w:rFonts w:ascii="Times New Roman" w:hAnsi="Times New Roman" w:cs="Times New Roman"/>
          <w:sz w:val="24"/>
          <w:szCs w:val="24"/>
        </w:rPr>
      </w:pPr>
      <w:r w:rsidRPr="0062657B">
        <w:rPr>
          <w:rFonts w:ascii="Times New Roman" w:hAnsi="Times New Roman" w:cs="Times New Roman"/>
          <w:sz w:val="24"/>
          <w:szCs w:val="24"/>
        </w:rPr>
        <w:tab/>
      </w:r>
      <w:r w:rsidRPr="0062657B">
        <w:rPr>
          <w:rFonts w:ascii="Times New Roman" w:hAnsi="Times New Roman" w:cs="Times New Roman"/>
          <w:sz w:val="24"/>
          <w:szCs w:val="24"/>
        </w:rPr>
        <w:tab/>
        <w:t>The Adamovich complaint was assigned to me on September 28, 2011.</w:t>
      </w:r>
      <w:r w:rsidRPr="0062657B">
        <w:rPr>
          <w:rStyle w:val="FootnoteReference"/>
          <w:rFonts w:cs="Times New Roman"/>
          <w:sz w:val="24"/>
          <w:szCs w:val="24"/>
        </w:rPr>
        <w:footnoteReference w:id="2"/>
      </w:r>
      <w:r w:rsidRPr="0062657B">
        <w:rPr>
          <w:rFonts w:ascii="Times New Roman" w:hAnsi="Times New Roman" w:cs="Times New Roman"/>
          <w:sz w:val="24"/>
          <w:szCs w:val="24"/>
        </w:rPr>
        <w:t xml:space="preserve">  The Salanick complaint was assigned to me on October 11, 2011.  On October 6, 2011, West Penn Power filed a motion to consolidate the proceedings on the Salanick and Adamovich </w:t>
      </w:r>
      <w:r w:rsidRPr="0062657B">
        <w:rPr>
          <w:rFonts w:ascii="Times New Roman" w:hAnsi="Times New Roman" w:cs="Times New Roman"/>
          <w:sz w:val="24"/>
          <w:szCs w:val="24"/>
        </w:rPr>
        <w:lastRenderedPageBreak/>
        <w:t>complaints.</w:t>
      </w:r>
      <w:r w:rsidRPr="0062657B">
        <w:rPr>
          <w:rStyle w:val="FootnoteReference"/>
          <w:rFonts w:cs="Times New Roman"/>
          <w:sz w:val="24"/>
          <w:szCs w:val="24"/>
        </w:rPr>
        <w:footnoteReference w:id="3"/>
      </w:r>
      <w:r w:rsidRPr="0062657B">
        <w:rPr>
          <w:rFonts w:ascii="Times New Roman" w:hAnsi="Times New Roman" w:cs="Times New Roman"/>
          <w:sz w:val="24"/>
          <w:szCs w:val="24"/>
        </w:rPr>
        <w:t xml:space="preserve">  By order dated October 27, 2011, the motion was granted.  That order also directed West Penn Power to confer with the Complainants and propose mutually agreeable hearing dates for the consolidated proceeding.  The parties complied, and by hearing notice dated December 9, 2011 the hearing was scheduled for February 15, 2012.  I issued my customary prehearing order on December 12, 2011.</w:t>
      </w:r>
    </w:p>
    <w:p w:rsidR="003A6194" w:rsidRPr="0062657B" w:rsidRDefault="003A6194" w:rsidP="003A6194">
      <w:pPr>
        <w:pStyle w:val="PlainText"/>
        <w:spacing w:before="0" w:after="0"/>
        <w:rPr>
          <w:rFonts w:ascii="Times New Roman" w:hAnsi="Times New Roman" w:cs="Times New Roman"/>
          <w:sz w:val="24"/>
          <w:szCs w:val="24"/>
        </w:rPr>
      </w:pPr>
    </w:p>
    <w:p w:rsidR="003A6194" w:rsidRDefault="003A6194" w:rsidP="003A6194">
      <w:pPr>
        <w:pStyle w:val="PlainText"/>
        <w:spacing w:before="0" w:after="0"/>
        <w:rPr>
          <w:rFonts w:ascii="Times New Roman" w:hAnsi="Times New Roman" w:cs="Times New Roman"/>
          <w:sz w:val="24"/>
          <w:szCs w:val="24"/>
        </w:rPr>
      </w:pPr>
      <w:r w:rsidRPr="0062657B">
        <w:rPr>
          <w:rFonts w:ascii="Times New Roman" w:hAnsi="Times New Roman" w:cs="Times New Roman"/>
          <w:sz w:val="24"/>
          <w:szCs w:val="24"/>
        </w:rPr>
        <w:tab/>
      </w:r>
      <w:r w:rsidRPr="0062657B">
        <w:rPr>
          <w:rFonts w:ascii="Times New Roman" w:hAnsi="Times New Roman" w:cs="Times New Roman"/>
          <w:sz w:val="24"/>
          <w:szCs w:val="24"/>
        </w:rPr>
        <w:tab/>
        <w:t xml:space="preserve">The hearing was held on February 15, 2012 as scheduled.  Mr. Adamovich appeared on his own behalf and presented his own testimony.  He offered eight exhibits which were admitted into the record as Adamovich Exs. A through </w:t>
      </w:r>
      <w:r w:rsidR="008A0266">
        <w:rPr>
          <w:rFonts w:ascii="Times New Roman" w:hAnsi="Times New Roman" w:cs="Times New Roman"/>
          <w:sz w:val="24"/>
          <w:szCs w:val="24"/>
        </w:rPr>
        <w:t>H</w:t>
      </w:r>
      <w:r w:rsidRPr="0062657B">
        <w:rPr>
          <w:rFonts w:ascii="Times New Roman" w:hAnsi="Times New Roman" w:cs="Times New Roman"/>
          <w:sz w:val="24"/>
          <w:szCs w:val="24"/>
        </w:rPr>
        <w:t xml:space="preserve">.  Mr. Salanick also appeared on his own behalf and presented his own testimony.  He offered four exhibits which were admitted into the record as Salanick Exs. 1 through 4.  West Penn Power was represented by John L. Munsch, Esquire.  West Penn </w:t>
      </w:r>
      <w:r w:rsidR="00D6473C">
        <w:rPr>
          <w:rFonts w:ascii="Times New Roman" w:hAnsi="Times New Roman" w:cs="Times New Roman"/>
          <w:sz w:val="24"/>
          <w:szCs w:val="24"/>
        </w:rPr>
        <w:t xml:space="preserve">Power </w:t>
      </w:r>
      <w:r w:rsidRPr="0062657B">
        <w:rPr>
          <w:rFonts w:ascii="Times New Roman" w:hAnsi="Times New Roman" w:cs="Times New Roman"/>
          <w:sz w:val="24"/>
          <w:szCs w:val="24"/>
        </w:rPr>
        <w:t xml:space="preserve">offered the testimony of four witnesses.  Nine exhibits were admitted into the record on behalf of West Penn Power as WPPC Exs. A through </w:t>
      </w:r>
      <w:r w:rsidR="008A0266">
        <w:rPr>
          <w:rFonts w:ascii="Times New Roman" w:hAnsi="Times New Roman" w:cs="Times New Roman"/>
          <w:sz w:val="24"/>
          <w:szCs w:val="24"/>
        </w:rPr>
        <w:t>I</w:t>
      </w:r>
      <w:r w:rsidRPr="0062657B">
        <w:rPr>
          <w:rFonts w:ascii="Times New Roman" w:hAnsi="Times New Roman" w:cs="Times New Roman"/>
          <w:sz w:val="24"/>
          <w:szCs w:val="24"/>
        </w:rPr>
        <w:t>.  The hearing generated a transcript of 205 pages.  None of the parties wished to submit briefs, therefore by order dated March 16, 2012 the record was closed.</w:t>
      </w:r>
    </w:p>
    <w:p w:rsidR="003A6194" w:rsidRPr="0062657B" w:rsidRDefault="003A6194" w:rsidP="003A6194">
      <w:pPr>
        <w:pStyle w:val="PlainText"/>
        <w:spacing w:before="0" w:after="0"/>
        <w:rPr>
          <w:rFonts w:ascii="Times New Roman" w:hAnsi="Times New Roman" w:cs="Times New Roman"/>
          <w:sz w:val="24"/>
          <w:szCs w:val="24"/>
        </w:rPr>
      </w:pPr>
    </w:p>
    <w:p w:rsidR="003A6194" w:rsidRDefault="003A6194" w:rsidP="003A6194">
      <w:pPr>
        <w:pStyle w:val="PlainText"/>
        <w:spacing w:before="0" w:after="0"/>
        <w:rPr>
          <w:rFonts w:ascii="Times New Roman" w:hAnsi="Times New Roman" w:cs="Times New Roman"/>
          <w:sz w:val="24"/>
          <w:szCs w:val="24"/>
        </w:rPr>
      </w:pPr>
      <w:r w:rsidRPr="0062657B">
        <w:rPr>
          <w:rFonts w:ascii="Times New Roman" w:hAnsi="Times New Roman" w:cs="Times New Roman"/>
          <w:sz w:val="24"/>
          <w:szCs w:val="24"/>
        </w:rPr>
        <w:tab/>
        <w:t>After full consideration of the record in this matter, I make the following:</w:t>
      </w:r>
    </w:p>
    <w:p w:rsidR="003A6194" w:rsidRPr="0062657B" w:rsidRDefault="003A6194" w:rsidP="003A6194">
      <w:pPr>
        <w:pStyle w:val="PlainText"/>
        <w:spacing w:before="0" w:after="0"/>
        <w:rPr>
          <w:rFonts w:ascii="Times New Roman" w:hAnsi="Times New Roman" w:cs="Times New Roman"/>
          <w:sz w:val="24"/>
          <w:szCs w:val="24"/>
        </w:rPr>
      </w:pPr>
    </w:p>
    <w:p w:rsidR="003A6194" w:rsidRDefault="003A6194" w:rsidP="003A6194">
      <w:pPr>
        <w:jc w:val="center"/>
        <w:rPr>
          <w:szCs w:val="24"/>
          <w:u w:val="single"/>
        </w:rPr>
      </w:pPr>
      <w:r w:rsidRPr="0062657B">
        <w:rPr>
          <w:szCs w:val="24"/>
          <w:u w:val="single"/>
        </w:rPr>
        <w:t>FINDINGS OF FACT</w:t>
      </w:r>
    </w:p>
    <w:p w:rsidR="003A6194" w:rsidRPr="0062657B" w:rsidRDefault="003A6194" w:rsidP="003A6194">
      <w:pPr>
        <w:jc w:val="center"/>
        <w:rPr>
          <w:szCs w:val="24"/>
          <w:u w:val="single"/>
        </w:rPr>
      </w:pPr>
    </w:p>
    <w:p w:rsidR="003A6194" w:rsidRDefault="003A6194" w:rsidP="003A6194">
      <w:pPr>
        <w:pStyle w:val="ListParagraph"/>
        <w:numPr>
          <w:ilvl w:val="0"/>
          <w:numId w:val="12"/>
        </w:numPr>
        <w:ind w:left="0" w:firstLine="1440"/>
      </w:pPr>
      <w:r w:rsidRPr="0062657B">
        <w:t>L. Richard Adamovich resides at 138 Brushwood Road in Uniontown, Pennsylvania.  He receives residential electric distribution service at this address. (N.T. 3)</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On May 26, 2011</w:t>
      </w:r>
      <w:r w:rsidR="001216C2">
        <w:t>,</w:t>
      </w:r>
      <w:r w:rsidRPr="0062657B">
        <w:t xml:space="preserve"> he experienced a power outage at his residence in the morning around 7 a.m.  He heard a snapping noise and the power remained off for several hours. (N.T. 7-8, 12, 25)</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Many of his electrical appliances were damaged and had to be replaced.  (N.T. 12, 33-34; Adamovich Exs. G,</w:t>
      </w:r>
      <w:r w:rsidR="008A0266">
        <w:t xml:space="preserve"> </w:t>
      </w:r>
      <w:r w:rsidRPr="0062657B">
        <w:t>H)</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lastRenderedPageBreak/>
        <w:t>Shortly thereafter he contacted West Penn Power to make a claim for damages. (N.T. 10)</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By letter dated June 6, 2011, West Penn Power denied his claim explaining that a tree outside West Penn Power’s right-of-way had fallen onto the lines and therefore West Penn Power was not responsible for the damage to his appliances. (Adamovich Ex. A)</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Mr. Adamovich was an electrical engineer for West Penn Power until his retirement.</w:t>
      </w:r>
    </w:p>
    <w:p w:rsidR="003A6194" w:rsidRDefault="003A6194" w:rsidP="003A6194">
      <w:pPr>
        <w:ind w:left="1440"/>
      </w:pPr>
    </w:p>
    <w:p w:rsidR="003A6194" w:rsidRDefault="003A6194" w:rsidP="003A6194">
      <w:pPr>
        <w:pStyle w:val="ListParagraph"/>
        <w:numPr>
          <w:ilvl w:val="0"/>
          <w:numId w:val="12"/>
        </w:numPr>
        <w:ind w:left="0" w:firstLine="1440"/>
      </w:pPr>
      <w:r w:rsidRPr="0062657B">
        <w:t>At some point right after Memorial Day, but before he received West Penn Power’s denial letter, Mr. Adamovich visited the site where the tree had fallen onto the line.  He did not see any evidence that the tree had broken and therefore he concluded that a tree branch, but not the tree itself had fallen onto the line. (N.T. 13-15, 38-40, 46)</w:t>
      </w:r>
    </w:p>
    <w:p w:rsidR="003A6194" w:rsidRDefault="003A6194" w:rsidP="003A6194">
      <w:pPr>
        <w:ind w:left="1440"/>
      </w:pPr>
    </w:p>
    <w:p w:rsidR="003A6194" w:rsidRDefault="003A6194" w:rsidP="003A6194">
      <w:pPr>
        <w:pStyle w:val="ListParagraph"/>
        <w:numPr>
          <w:ilvl w:val="0"/>
          <w:numId w:val="12"/>
        </w:numPr>
        <w:ind w:left="0" w:firstLine="1440"/>
      </w:pPr>
      <w:r w:rsidRPr="0062657B">
        <w:t>By the time Mr. Adamovich visited the site, the wood from the incident had been cut into firewood by one of the property owners adjacent to the right-of-way. (N.T. 15; Adamovich Ex. D)</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He also believed that foliage from the trees was within the 25 foot right-of-way on either side of the poles as measured “from ground to air.” (N.T. 19, 23-24, 42)</w:t>
      </w:r>
      <w:r w:rsidRPr="0062657B">
        <w:tab/>
        <w:t xml:space="preserve"> </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Michael T. Salanick resides at 100 Spartan Court, Uniontown, Pennsy</w:t>
      </w:r>
      <w:r w:rsidR="00C27B64">
        <w:t>lv</w:t>
      </w:r>
      <w:r w:rsidRPr="0062657B">
        <w:t>ania and receives residential electric distribution service from West Penn Power at that address. (N.T. 60)</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Mr. Salanick owns his own HVAC business. (N.T. 60)</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lastRenderedPageBreak/>
        <w:t>At 6:30 a.m. he was in his office when his wife telephoned him and told him that the power was out at their home.  She called him again around 8:30 a.m. and reported a snapping and popping noise and the smell of something burning. (N.T. 61)</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 xml:space="preserve">He returned home to investigate and discovered that several of the breakers in the house electrical box were tripped, so he reset them. </w:t>
      </w:r>
      <w:r w:rsidR="008A0266">
        <w:t xml:space="preserve"> </w:t>
      </w:r>
      <w:r w:rsidRPr="0062657B">
        <w:t xml:space="preserve">Later that afternoon he discovered that his garage door opener was no longer functioning. </w:t>
      </w:r>
      <w:r w:rsidR="008A0266">
        <w:t xml:space="preserve"> </w:t>
      </w:r>
      <w:r w:rsidRPr="0062657B">
        <w:t>He also discovered that his TV, a surround system and a computer were damaged. (N.T. 61-62)</w:t>
      </w:r>
    </w:p>
    <w:p w:rsidR="003A6194" w:rsidRDefault="003A6194" w:rsidP="003A6194">
      <w:pPr>
        <w:ind w:left="1440"/>
      </w:pPr>
    </w:p>
    <w:p w:rsidR="003A6194" w:rsidRDefault="003A6194" w:rsidP="003A6194">
      <w:pPr>
        <w:pStyle w:val="ListParagraph"/>
        <w:numPr>
          <w:ilvl w:val="0"/>
          <w:numId w:val="12"/>
        </w:numPr>
        <w:ind w:left="0" w:firstLine="1440"/>
      </w:pPr>
      <w:r w:rsidRPr="0062657B">
        <w:t>When he examined the circuit board for the garage door opener he discovered burn marks on the circuit board. (N.T. 68-69; Salanick Ex. 4)</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He contacted West Penn Power the following day, and after “getting through their very difficult-to-navigate automated system” he was put in touch with Brad Gillott, West Penn Power’s claims representative.  Mr. Gillo</w:t>
      </w:r>
      <w:r w:rsidR="00C27B64">
        <w:t>t</w:t>
      </w:r>
      <w:r w:rsidRPr="0062657B">
        <w:t>t instructed him to file a claim, which he did. (N.T. 62)</w:t>
      </w:r>
    </w:p>
    <w:p w:rsidR="003A6194" w:rsidRDefault="003A6194" w:rsidP="003A6194">
      <w:pPr>
        <w:ind w:left="1440"/>
      </w:pPr>
    </w:p>
    <w:p w:rsidR="003A6194" w:rsidRDefault="003A6194" w:rsidP="003A6194">
      <w:pPr>
        <w:pStyle w:val="ListParagraph"/>
        <w:numPr>
          <w:ilvl w:val="0"/>
          <w:numId w:val="12"/>
        </w:numPr>
        <w:ind w:left="0" w:firstLine="1440"/>
      </w:pPr>
      <w:r w:rsidRPr="0062657B">
        <w:t>By letter dated June 1, 2011, West Penn Power denied his claim by taking the position that a locust tree outside of West Penn Power’s right-of-way had fallen onto the power line and that it was not responsible for the damage caused to the appliances. (N.T. 62; Salanick Ex. 3)</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Mr. Salanick challenged West Penn Power’s conclusion that i</w:t>
      </w:r>
      <w:r w:rsidR="006A3247">
        <w:t>t</w:t>
      </w:r>
      <w:r w:rsidRPr="0062657B">
        <w:t xml:space="preserve"> was not responsible for the tree falling on the power line by letter dated June 6, 2011. (N.T. 64-65; Salanick Ex. 1)</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 xml:space="preserve"> By letter dated June 16, 2011, Brad Gillott of West Penn Power informed Mr. Salanick that he had reviewed his claim with his supervisor, but West Penn Power denied any negligence in the maintenance of its facilities. (Salanick Ex. 3)</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lastRenderedPageBreak/>
        <w:t>Like Mr. Adamovich, Mr. Salanick visited the site where the tree fell at some point after Memorial Day in order to observe the right-of-way. (N.T. 67)</w:t>
      </w:r>
    </w:p>
    <w:p w:rsidR="003A6194" w:rsidRDefault="003A6194" w:rsidP="003A6194">
      <w:pPr>
        <w:ind w:left="1440"/>
      </w:pPr>
    </w:p>
    <w:p w:rsidR="003A6194" w:rsidRDefault="003A6194" w:rsidP="003A6194">
      <w:pPr>
        <w:pStyle w:val="ListParagraph"/>
        <w:numPr>
          <w:ilvl w:val="0"/>
          <w:numId w:val="12"/>
        </w:numPr>
        <w:ind w:left="0" w:firstLine="1440"/>
      </w:pPr>
      <w:r w:rsidRPr="0062657B">
        <w:t>He saw that the tree had been cut down to the stump and speculated that a branch must have been hanging over the right-of-way and that the tree should have been better maintained. (N.T. 66-67)</w:t>
      </w:r>
    </w:p>
    <w:p w:rsidR="003A6194" w:rsidRDefault="003A6194" w:rsidP="003A6194">
      <w:pPr>
        <w:ind w:left="1440"/>
      </w:pPr>
    </w:p>
    <w:p w:rsidR="003A6194" w:rsidRDefault="003A6194" w:rsidP="003A6194">
      <w:pPr>
        <w:pStyle w:val="ListParagraph"/>
        <w:numPr>
          <w:ilvl w:val="0"/>
          <w:numId w:val="12"/>
        </w:numPr>
        <w:ind w:left="0" w:firstLine="1440"/>
      </w:pPr>
      <w:r w:rsidRPr="0062657B">
        <w:t>Timothy Hawkins has served West Penn Power for nearly 24 years.  He currently holds a position as a lead lineman.  He responded to reports of an outage on May 26, 2011, in the 12</w:t>
      </w:r>
      <w:r w:rsidR="00D6473C">
        <w:t xml:space="preserve"> </w:t>
      </w:r>
      <w:r w:rsidRPr="0062657B">
        <w:t>kV line on West Penn Boulevard.  He also got a report that there was an interruption of electricity on the 25</w:t>
      </w:r>
      <w:r w:rsidR="00D6473C">
        <w:t xml:space="preserve"> </w:t>
      </w:r>
      <w:r w:rsidRPr="0062657B">
        <w:t>kV transmission line that ran on the same poles. (N.T. 130-</w:t>
      </w:r>
      <w:r w:rsidR="006A3247">
        <w:t>1</w:t>
      </w:r>
      <w:r w:rsidRPr="0062657B">
        <w:t>33)</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The 12</w:t>
      </w:r>
      <w:r w:rsidR="00D6473C">
        <w:t xml:space="preserve"> </w:t>
      </w:r>
      <w:r w:rsidRPr="0062657B">
        <w:t>kV line is known as the Edison Circuit and the 25</w:t>
      </w:r>
      <w:r w:rsidR="00D6473C">
        <w:t xml:space="preserve"> </w:t>
      </w:r>
      <w:r w:rsidRPr="0062657B">
        <w:t>kV line is known as the Uniontown Circuit. (N.T. 141)</w:t>
      </w:r>
    </w:p>
    <w:p w:rsidR="003A6194" w:rsidRDefault="003A6194" w:rsidP="003A6194">
      <w:pPr>
        <w:ind w:left="1440"/>
      </w:pPr>
    </w:p>
    <w:p w:rsidR="003A6194" w:rsidRDefault="003A6194" w:rsidP="003A6194">
      <w:pPr>
        <w:pStyle w:val="ListParagraph"/>
        <w:numPr>
          <w:ilvl w:val="0"/>
          <w:numId w:val="12"/>
        </w:numPr>
        <w:ind w:left="0" w:firstLine="1440"/>
      </w:pPr>
      <w:r w:rsidRPr="0062657B">
        <w:t>The 25</w:t>
      </w:r>
      <w:r w:rsidR="00D6473C">
        <w:t xml:space="preserve"> </w:t>
      </w:r>
      <w:r w:rsidRPr="0062657B">
        <w:t>kV line is on the top of the pole, and the 12 kV line runs below it.  This configuration is not unusual because it allows West Penn Power to use the same right-of-way to deliver voltage across an area.  This configuration is permissible under the National Electric Safety Code (NESC). (N.T. 106-107)</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Mr. Hawkins discovered that a set of reclosers on the 12</w:t>
      </w:r>
      <w:r w:rsidR="00D6473C">
        <w:t xml:space="preserve"> </w:t>
      </w:r>
      <w:r w:rsidRPr="0062657B">
        <w:t xml:space="preserve">kV was open, which indicates an interruption of power.  The recloser had burned so badly that it could not be reclosed.  A bypass fuse had to be installed in order to restore power to customers. (N.T. 133, 143) </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During the course of his investigation he discovered that a tree (Culprit Tree) had come down on top of the 25 kV subtransmission line and caused it to come onto the 12</w:t>
      </w:r>
      <w:r w:rsidR="00D6473C">
        <w:t xml:space="preserve"> </w:t>
      </w:r>
      <w:r w:rsidRPr="0062657B">
        <w:t>kV distribution line that ran below it on the pole.  Three of the phase wires</w:t>
      </w:r>
      <w:r w:rsidRPr="0062657B">
        <w:rPr>
          <w:rStyle w:val="FootnoteReference"/>
        </w:rPr>
        <w:footnoteReference w:id="4"/>
      </w:r>
      <w:r w:rsidRPr="0062657B">
        <w:t xml:space="preserve"> were burnt and numerous branches were touching the wires. (N.T. 134-</w:t>
      </w:r>
      <w:r w:rsidR="006A3247">
        <w:t>1</w:t>
      </w:r>
      <w:r w:rsidRPr="0062657B">
        <w:t>35, 138)</w:t>
      </w:r>
    </w:p>
    <w:p w:rsidR="003A6194" w:rsidRDefault="003A6194" w:rsidP="003A6194">
      <w:pPr>
        <w:ind w:left="1440"/>
      </w:pPr>
    </w:p>
    <w:p w:rsidR="003A6194" w:rsidRDefault="003A6194" w:rsidP="003A6194">
      <w:pPr>
        <w:pStyle w:val="ListParagraph"/>
        <w:numPr>
          <w:ilvl w:val="0"/>
          <w:numId w:val="12"/>
        </w:numPr>
        <w:ind w:left="0" w:firstLine="1440"/>
      </w:pPr>
      <w:r w:rsidRPr="0062657B">
        <w:t xml:space="preserve">Upon examination, the Culprit Tree was intact except that it had “split out” at the base.  The tree had more than one trunk stem coming from </w:t>
      </w:r>
      <w:r w:rsidR="006A3247">
        <w:t xml:space="preserve">the </w:t>
      </w:r>
      <w:r w:rsidRPr="0062657B">
        <w:t xml:space="preserve">base of the tree. </w:t>
      </w:r>
      <w:r w:rsidR="006A3247">
        <w:t xml:space="preserve"> </w:t>
      </w:r>
      <w:r w:rsidRPr="0062657B">
        <w:t>One of these trunks had pulled away and its weight pulled the split apart until it lay on the wires.  It lay on the wires long enough to burn until the wire came down.</w:t>
      </w:r>
      <w:r w:rsidR="006A3247">
        <w:t xml:space="preserve"> </w:t>
      </w:r>
      <w:r w:rsidRPr="0062657B">
        <w:t xml:space="preserve"> The burning is cause</w:t>
      </w:r>
      <w:r w:rsidR="001216C2">
        <w:t>d</w:t>
      </w:r>
      <w:r w:rsidRPr="0062657B">
        <w:t xml:space="preserve"> by the shorting out of the electrical circuit. (N.T. 138-</w:t>
      </w:r>
      <w:r w:rsidR="006A3247">
        <w:t>1</w:t>
      </w:r>
      <w:r w:rsidRPr="0062657B">
        <w:t>39; WPPC Ex. B at mark B-1)</w:t>
      </w:r>
    </w:p>
    <w:p w:rsidR="003A6194" w:rsidRDefault="003A6194" w:rsidP="003A6194">
      <w:pPr>
        <w:ind w:left="1440"/>
      </w:pPr>
    </w:p>
    <w:p w:rsidR="003A6194" w:rsidRDefault="003A6194" w:rsidP="003A6194">
      <w:pPr>
        <w:pStyle w:val="ListParagraph"/>
        <w:numPr>
          <w:ilvl w:val="0"/>
          <w:numId w:val="12"/>
        </w:numPr>
        <w:ind w:left="0" w:firstLine="1440"/>
      </w:pPr>
      <w:r w:rsidRPr="0062657B">
        <w:t>The repair crew de-energized the line and cut the trunk back in sections until sufficient weight was removed and the trunk moved back to its upright position at the base of the tree. (N.T. 138, 140</w:t>
      </w:r>
      <w:r w:rsidR="006A3247">
        <w:t>,</w:t>
      </w:r>
      <w:r w:rsidRPr="0062657B">
        <w:t xml:space="preserve"> 189; see WP</w:t>
      </w:r>
      <w:r w:rsidR="004C274F">
        <w:t>PC Ex</w:t>
      </w:r>
      <w:r w:rsidRPr="0062657B">
        <w:t xml:space="preserve">. F at mark F-1 </w:t>
      </w:r>
      <w:r w:rsidR="004C274F">
        <w:t xml:space="preserve">and Ex. </w:t>
      </w:r>
      <w:r w:rsidRPr="0062657B">
        <w:t>B)</w:t>
      </w:r>
    </w:p>
    <w:p w:rsidR="003A6194" w:rsidRDefault="003A6194" w:rsidP="003A6194">
      <w:pPr>
        <w:ind w:left="1440"/>
      </w:pPr>
    </w:p>
    <w:p w:rsidR="003A6194" w:rsidRDefault="003A6194" w:rsidP="003A6194">
      <w:pPr>
        <w:pStyle w:val="ListParagraph"/>
        <w:numPr>
          <w:ilvl w:val="0"/>
          <w:numId w:val="12"/>
        </w:numPr>
        <w:ind w:left="0" w:firstLine="1440"/>
      </w:pPr>
      <w:r w:rsidRPr="0062657B">
        <w:t>Other than cutting back the Culprit Tree, Mr. Hawkins did not need to cut back any other vegetation in order to safely complete the repair to the line. (N.T. 142)</w:t>
      </w:r>
    </w:p>
    <w:p w:rsidR="003A6194" w:rsidRDefault="003A6194" w:rsidP="003A6194">
      <w:pPr>
        <w:ind w:left="1440"/>
      </w:pPr>
    </w:p>
    <w:p w:rsidR="003A6194" w:rsidRDefault="003A6194" w:rsidP="003A6194">
      <w:pPr>
        <w:pStyle w:val="ListParagraph"/>
        <w:numPr>
          <w:ilvl w:val="0"/>
          <w:numId w:val="12"/>
        </w:numPr>
        <w:ind w:left="0" w:firstLine="1440"/>
      </w:pPr>
      <w:r w:rsidRPr="0062657B">
        <w:t>Scott Sidle is a forester serving West Penn Power Company.  He has worked in that capacity for nearly 20 years.  He is responsible for vegetation management on West Penn</w:t>
      </w:r>
      <w:r w:rsidR="00D6473C">
        <w:t xml:space="preserve"> Power</w:t>
      </w:r>
      <w:r w:rsidRPr="0062657B">
        <w:t xml:space="preserve">’s distribution and subtransmission circuits. (N.T. 165) </w:t>
      </w:r>
    </w:p>
    <w:p w:rsidR="003A6194" w:rsidRDefault="003A6194" w:rsidP="003A6194">
      <w:pPr>
        <w:ind w:left="1440"/>
      </w:pPr>
    </w:p>
    <w:p w:rsidR="003A6194" w:rsidRDefault="003A6194" w:rsidP="003A6194">
      <w:pPr>
        <w:pStyle w:val="ListParagraph"/>
        <w:numPr>
          <w:ilvl w:val="0"/>
          <w:numId w:val="12"/>
        </w:numPr>
        <w:ind w:left="0" w:firstLine="1440"/>
      </w:pPr>
      <w:r w:rsidRPr="0062657B">
        <w:t>The Edison and Uniontown Circuits are trimmed on an eight-year trimming cycle. (N.T. 166)</w:t>
      </w:r>
    </w:p>
    <w:p w:rsidR="003A6194" w:rsidRDefault="003A6194" w:rsidP="003A6194">
      <w:pPr>
        <w:ind w:left="1440"/>
      </w:pPr>
    </w:p>
    <w:p w:rsidR="003A6194" w:rsidRDefault="003A6194" w:rsidP="003A6194">
      <w:pPr>
        <w:pStyle w:val="ListParagraph"/>
        <w:numPr>
          <w:ilvl w:val="0"/>
          <w:numId w:val="12"/>
        </w:numPr>
        <w:ind w:left="0" w:firstLine="1440"/>
      </w:pPr>
      <w:r w:rsidRPr="0062657B">
        <w:t>Vegetation management and trimming was last performed in the late summer/early fall of 2006.  The next scheduled vegetation maintenance is scheduled for some time in 2014. (N.T. 167)</w:t>
      </w:r>
    </w:p>
    <w:p w:rsidR="003A6194" w:rsidRDefault="003A6194" w:rsidP="003A6194">
      <w:pPr>
        <w:ind w:left="1440"/>
      </w:pPr>
    </w:p>
    <w:p w:rsidR="003A6194" w:rsidRDefault="003A6194" w:rsidP="003A6194">
      <w:pPr>
        <w:pStyle w:val="ListParagraph"/>
        <w:numPr>
          <w:ilvl w:val="0"/>
          <w:numId w:val="12"/>
        </w:numPr>
        <w:ind w:left="0" w:firstLine="1440"/>
      </w:pPr>
      <w:r w:rsidRPr="0062657B">
        <w:t>The right-of-way for the Edison and Uniontown Circuits is 50 feet, or 25 feet on either side from the centerline.  Generally speaking</w:t>
      </w:r>
      <w:r w:rsidR="006A3247">
        <w:t>,</w:t>
      </w:r>
      <w:r w:rsidRPr="0062657B">
        <w:t xml:space="preserve"> the right-of-way should be cleared from ground to sky.</w:t>
      </w:r>
      <w:r w:rsidRPr="0062657B">
        <w:rPr>
          <w:rStyle w:val="FootnoteReference"/>
        </w:rPr>
        <w:footnoteReference w:id="5"/>
      </w:r>
      <w:r w:rsidRPr="0062657B">
        <w:t xml:space="preserve">  That is, if you are standing on the right-of-way and looking up, you should not see any over</w:t>
      </w:r>
      <w:r w:rsidR="004C274F">
        <w:t>-</w:t>
      </w:r>
      <w:r w:rsidRPr="0062657B">
        <w:t>hanging tree branches. (N.T. 165-</w:t>
      </w:r>
      <w:r w:rsidR="006A3247">
        <w:t>1</w:t>
      </w:r>
      <w:r w:rsidRPr="0062657B">
        <w:t>67)</w:t>
      </w:r>
    </w:p>
    <w:p w:rsidR="003A6194" w:rsidRDefault="003A6194" w:rsidP="003A6194">
      <w:pPr>
        <w:pStyle w:val="ListParagraph"/>
        <w:numPr>
          <w:ilvl w:val="0"/>
          <w:numId w:val="12"/>
        </w:numPr>
        <w:ind w:left="0" w:firstLine="1440"/>
      </w:pPr>
      <w:r w:rsidRPr="0062657B">
        <w:lastRenderedPageBreak/>
        <w:t>Mr. Sidle visited the site initially a few days after the May 2011 outage. (N.T. 79</w:t>
      </w:r>
      <w:r w:rsidR="006A3247">
        <w:t>,</w:t>
      </w:r>
      <w:r w:rsidRPr="0062657B">
        <w:t xml:space="preserve"> 196)</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The Culprit Tree is a black locust tree.  It is a healthy, live tree.  It is located about two and a half feet outside the right-of-way. (N.T. 172, 177)</w:t>
      </w:r>
    </w:p>
    <w:p w:rsidR="003A6194" w:rsidRDefault="003A6194" w:rsidP="003A6194">
      <w:pPr>
        <w:ind w:left="1440"/>
      </w:pPr>
    </w:p>
    <w:p w:rsidR="003A6194" w:rsidRDefault="003A6194" w:rsidP="003A6194">
      <w:pPr>
        <w:pStyle w:val="ListParagraph"/>
        <w:numPr>
          <w:ilvl w:val="0"/>
          <w:numId w:val="12"/>
        </w:numPr>
        <w:ind w:left="0" w:firstLine="1440"/>
      </w:pPr>
      <w:r w:rsidRPr="0062657B">
        <w:t xml:space="preserve"> Generally black locust trees are not considered “danger trees” that typically cause outages on West Penn Power circuits. (N.T. 172; see also WPP</w:t>
      </w:r>
      <w:r w:rsidR="008A0266">
        <w:t>C</w:t>
      </w:r>
      <w:r w:rsidRPr="0062657B">
        <w:t xml:space="preserve"> Ex. H)</w:t>
      </w:r>
    </w:p>
    <w:p w:rsidR="003A6194" w:rsidRDefault="003A6194" w:rsidP="003A6194">
      <w:pPr>
        <w:ind w:left="1440"/>
      </w:pPr>
    </w:p>
    <w:p w:rsidR="003A6194" w:rsidRDefault="003A6194" w:rsidP="003A6194">
      <w:pPr>
        <w:pStyle w:val="ListParagraph"/>
        <w:numPr>
          <w:ilvl w:val="0"/>
          <w:numId w:val="12"/>
        </w:numPr>
        <w:ind w:left="0" w:firstLine="1440"/>
      </w:pPr>
      <w:r w:rsidRPr="0062657B">
        <w:t>The Culprit Tree could have split from the base all at once or could have split gradually over time, since it was last trimmed. (N.T. 178)</w:t>
      </w:r>
    </w:p>
    <w:p w:rsidR="003A6194" w:rsidRPr="0062657B" w:rsidRDefault="003A6194" w:rsidP="003A6194">
      <w:pPr>
        <w:ind w:left="1440"/>
      </w:pPr>
    </w:p>
    <w:p w:rsidR="003A6194" w:rsidRDefault="003A6194" w:rsidP="003A6194">
      <w:pPr>
        <w:pStyle w:val="ListParagraph"/>
        <w:numPr>
          <w:ilvl w:val="0"/>
          <w:numId w:val="12"/>
        </w:numPr>
        <w:ind w:left="0" w:firstLine="1440"/>
      </w:pPr>
      <w:r w:rsidRPr="0062657B">
        <w:t xml:space="preserve">Mr. Sidle determined that </w:t>
      </w:r>
      <w:r w:rsidR="006A3247">
        <w:t xml:space="preserve">it </w:t>
      </w:r>
      <w:r w:rsidRPr="0062657B">
        <w:t>was advisable to remove the remaining part of the trunk that had split from the base of the Culprit Tree because the trunk was still alive.  He was concerned that the trunk would sprout back toward the wires vigorously, which would increase the likelihood that it would cause another outage.  While in the area shortly after the May 26, 2011 outage</w:t>
      </w:r>
      <w:r w:rsidR="006D52CA">
        <w:t>,</w:t>
      </w:r>
      <w:bookmarkStart w:id="0" w:name="_GoBack"/>
      <w:bookmarkEnd w:id="0"/>
      <w:r w:rsidRPr="0062657B">
        <w:t xml:space="preserve"> he also determined that some black cherry trees on the other side of the right-of-way should be trimmed back, even though the area was only halfway through its normal trimming cycle. (N.T. 174-</w:t>
      </w:r>
      <w:r w:rsidR="006A3247">
        <w:t>1</w:t>
      </w:r>
      <w:r w:rsidRPr="0062657B">
        <w:t>75, 192-</w:t>
      </w:r>
      <w:r w:rsidR="006A3247">
        <w:t>1</w:t>
      </w:r>
      <w:r w:rsidRPr="0062657B">
        <w:t>96)</w:t>
      </w:r>
      <w:r w:rsidRPr="0062657B">
        <w:rPr>
          <w:rStyle w:val="FootnoteReference"/>
        </w:rPr>
        <w:footnoteReference w:id="6"/>
      </w:r>
    </w:p>
    <w:p w:rsidR="003A6194" w:rsidRDefault="003A6194" w:rsidP="003A6194">
      <w:pPr>
        <w:ind w:left="1440"/>
      </w:pPr>
    </w:p>
    <w:p w:rsidR="003A6194" w:rsidRDefault="003A6194" w:rsidP="003A6194">
      <w:pPr>
        <w:pStyle w:val="ListParagraph"/>
        <w:numPr>
          <w:ilvl w:val="0"/>
          <w:numId w:val="12"/>
        </w:numPr>
        <w:ind w:left="0" w:firstLine="1440"/>
      </w:pPr>
      <w:r w:rsidRPr="0062657B">
        <w:t>Halfway through a trimming cycle it is not unexpected that there may be some encroachment of foliage into the right-of-way because of the growth of the trees. (N.T. 175, 181)</w:t>
      </w:r>
    </w:p>
    <w:p w:rsidR="003A6194" w:rsidRDefault="003A6194" w:rsidP="003A6194">
      <w:pPr>
        <w:ind w:left="1440"/>
      </w:pPr>
    </w:p>
    <w:p w:rsidR="003A6194" w:rsidRDefault="003A6194" w:rsidP="003A6194">
      <w:pPr>
        <w:pStyle w:val="ListParagraph"/>
        <w:numPr>
          <w:ilvl w:val="0"/>
          <w:numId w:val="12"/>
        </w:numPr>
        <w:ind w:left="0" w:firstLine="1440"/>
      </w:pPr>
      <w:r w:rsidRPr="0062657B">
        <w:t>When vegetation management activities occur, it is Mr. Sidle’s practice to inspect the work to make sure that the right-of-way is properly cleared.  He would have inspected the area where the Culprit Tree was located in 2006.  The Culprit Tree was not likely encroaching into the right-of-way at that time. (N.T. 177-</w:t>
      </w:r>
      <w:r w:rsidR="0095626F">
        <w:t>1</w:t>
      </w:r>
      <w:r w:rsidRPr="0062657B">
        <w:t xml:space="preserve">78) </w:t>
      </w:r>
    </w:p>
    <w:p w:rsidR="003A6194" w:rsidRDefault="003A6194" w:rsidP="003A6194">
      <w:pPr>
        <w:ind w:left="1440"/>
      </w:pPr>
    </w:p>
    <w:p w:rsidR="003A6194" w:rsidRDefault="003A6194" w:rsidP="003A6194">
      <w:pPr>
        <w:pStyle w:val="ListParagraph"/>
        <w:numPr>
          <w:ilvl w:val="0"/>
          <w:numId w:val="12"/>
        </w:numPr>
        <w:ind w:left="0" w:firstLine="1440"/>
      </w:pPr>
      <w:r w:rsidRPr="0062657B">
        <w:lastRenderedPageBreak/>
        <w:t>The appliances were damaged due to receiving nearly twice as much voltage when the 12</w:t>
      </w:r>
      <w:r w:rsidR="00D6473C">
        <w:t xml:space="preserve"> </w:t>
      </w:r>
      <w:r w:rsidRPr="0062657B">
        <w:t>kV and the 25</w:t>
      </w:r>
      <w:r w:rsidR="00D6473C">
        <w:t xml:space="preserve"> </w:t>
      </w:r>
      <w:r w:rsidRPr="0062657B">
        <w:t>kV lines touched each other.  However, the damage would not have been noticed until the power is restored. (N.T. 107-108</w:t>
      </w:r>
      <w:r w:rsidR="006A3247">
        <w:t>, 1</w:t>
      </w:r>
      <w:r w:rsidRPr="0062657B">
        <w:t xml:space="preserve">62) </w:t>
      </w:r>
    </w:p>
    <w:p w:rsidR="006A3247" w:rsidRDefault="006A3247" w:rsidP="006A3247">
      <w:pPr>
        <w:pStyle w:val="ListParagraph"/>
        <w:numPr>
          <w:ilvl w:val="0"/>
          <w:numId w:val="0"/>
        </w:numPr>
        <w:ind w:left="1440"/>
      </w:pPr>
    </w:p>
    <w:p w:rsidR="003A6194" w:rsidRDefault="003A6194" w:rsidP="003A6194">
      <w:pPr>
        <w:pStyle w:val="ListParagraph"/>
        <w:numPr>
          <w:ilvl w:val="0"/>
          <w:numId w:val="12"/>
        </w:numPr>
        <w:ind w:left="0" w:firstLine="1440"/>
      </w:pPr>
      <w:r w:rsidRPr="0062657B">
        <w:t>The snapping, cracking and popping noises that were heard when power was restored was due to damage caused by the initial over-voltage incident. (N.T. 161-</w:t>
      </w:r>
      <w:r w:rsidR="006A3247">
        <w:t>1</w:t>
      </w:r>
      <w:r w:rsidRPr="0062657B">
        <w:t>62)</w:t>
      </w:r>
    </w:p>
    <w:p w:rsidR="003A6194" w:rsidRPr="0062657B" w:rsidRDefault="003A6194" w:rsidP="003A6194">
      <w:pPr>
        <w:ind w:left="1440"/>
      </w:pPr>
    </w:p>
    <w:p w:rsidR="003A6194" w:rsidRPr="0062657B" w:rsidRDefault="003A6194" w:rsidP="003A6194">
      <w:pPr>
        <w:pStyle w:val="ListParagraph"/>
        <w:numPr>
          <w:ilvl w:val="0"/>
          <w:numId w:val="12"/>
        </w:numPr>
        <w:ind w:left="0" w:firstLine="1440"/>
      </w:pPr>
      <w:r w:rsidRPr="0062657B">
        <w:t xml:space="preserve">Once the two lines came into contact there is nothing West Penn </w:t>
      </w:r>
      <w:r w:rsidR="00D6473C">
        <w:t xml:space="preserve">Power </w:t>
      </w:r>
      <w:r w:rsidRPr="0062657B">
        <w:t>could have done to prevent the over-voltage event which damaged the Complainants’ appliances and equipment. (N.T. 111-</w:t>
      </w:r>
      <w:r w:rsidR="006A3247">
        <w:t>1</w:t>
      </w:r>
      <w:r w:rsidRPr="0062657B">
        <w:t>12)</w:t>
      </w:r>
    </w:p>
    <w:p w:rsidR="003A6194" w:rsidRDefault="003A6194" w:rsidP="003A6194">
      <w:pPr>
        <w:jc w:val="center"/>
        <w:rPr>
          <w:szCs w:val="24"/>
          <w:u w:val="single"/>
        </w:rPr>
      </w:pPr>
    </w:p>
    <w:p w:rsidR="003A6194" w:rsidRDefault="003A6194" w:rsidP="003A6194">
      <w:pPr>
        <w:jc w:val="center"/>
        <w:rPr>
          <w:szCs w:val="24"/>
          <w:u w:val="single"/>
        </w:rPr>
      </w:pPr>
      <w:r w:rsidRPr="0062657B">
        <w:rPr>
          <w:szCs w:val="24"/>
          <w:u w:val="single"/>
        </w:rPr>
        <w:t>DISCUSSION</w:t>
      </w:r>
    </w:p>
    <w:p w:rsidR="003A6194" w:rsidRPr="0062657B" w:rsidRDefault="003A6194" w:rsidP="003A6194">
      <w:pPr>
        <w:jc w:val="center"/>
        <w:rPr>
          <w:szCs w:val="24"/>
          <w:u w:val="single"/>
        </w:rPr>
      </w:pPr>
    </w:p>
    <w:p w:rsidR="003A6194" w:rsidRDefault="003A6194" w:rsidP="003A6194">
      <w:pPr>
        <w:ind w:firstLine="1440"/>
        <w:rPr>
          <w:szCs w:val="24"/>
        </w:rPr>
      </w:pPr>
      <w:r w:rsidRPr="0062657B">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62657B">
        <w:rPr>
          <w:rStyle w:val="FootnoteReference"/>
          <w:szCs w:val="24"/>
        </w:rPr>
        <w:footnoteReference w:id="7"/>
      </w:r>
      <w:r w:rsidRPr="0062657B">
        <w:rPr>
          <w:szCs w:val="24"/>
        </w:rPr>
        <w:t xml:space="preserve">  A person seeking affirmative relief from the Commission has the burden of proof.</w:t>
      </w:r>
      <w:r w:rsidRPr="0062657B">
        <w:rPr>
          <w:rStyle w:val="FootnoteReference"/>
          <w:szCs w:val="24"/>
        </w:rPr>
        <w:footnoteReference w:id="8"/>
      </w:r>
    </w:p>
    <w:p w:rsidR="003A6194" w:rsidRPr="0062657B" w:rsidRDefault="003A6194" w:rsidP="003A6194">
      <w:pPr>
        <w:ind w:firstLine="1440"/>
        <w:rPr>
          <w:szCs w:val="24"/>
        </w:rPr>
      </w:pPr>
    </w:p>
    <w:p w:rsidR="003A6194" w:rsidRDefault="003A6194" w:rsidP="003A6194">
      <w:pPr>
        <w:ind w:firstLine="1440"/>
        <w:rPr>
          <w:szCs w:val="24"/>
        </w:rPr>
      </w:pPr>
      <w:r w:rsidRPr="0062657B">
        <w:rPr>
          <w:szCs w:val="24"/>
        </w:rPr>
        <w:t>In this matter, the Complainants are the part</w:t>
      </w:r>
      <w:r w:rsidR="00390E30">
        <w:rPr>
          <w:szCs w:val="24"/>
        </w:rPr>
        <w:t>ies</w:t>
      </w:r>
      <w:r w:rsidRPr="0062657B">
        <w:rPr>
          <w:szCs w:val="24"/>
        </w:rPr>
        <w:t xml:space="preserve"> seeking affirmative relief from the Commission; therefore, each has the burden of proof.  This means that each has the duty to establish a fact by a preponderance of the evidence, and must show that West Penn Power has violated the Public Utility Code or Commission regulations and is responsible for the problems alleged in his complaint.</w:t>
      </w:r>
      <w:r w:rsidRPr="0062657B">
        <w:rPr>
          <w:rStyle w:val="FootnoteReference"/>
          <w:szCs w:val="24"/>
        </w:rPr>
        <w:footnoteReference w:id="9"/>
      </w:r>
    </w:p>
    <w:p w:rsidR="003A6194" w:rsidRPr="0062657B" w:rsidRDefault="003A6194" w:rsidP="003A6194">
      <w:pPr>
        <w:ind w:firstLine="1440"/>
        <w:rPr>
          <w:szCs w:val="24"/>
        </w:rPr>
      </w:pPr>
    </w:p>
    <w:p w:rsidR="003A6194" w:rsidRDefault="003A6194" w:rsidP="003A6194">
      <w:pPr>
        <w:ind w:firstLine="1440"/>
        <w:rPr>
          <w:szCs w:val="24"/>
        </w:rPr>
      </w:pPr>
      <w:r w:rsidRPr="0062657B">
        <w:rPr>
          <w:szCs w:val="24"/>
        </w:rPr>
        <w:t xml:space="preserve">The Complainants both asserted that they suffered damage to electrical appliances and other equipment as a result of the May 26, 2011 power surge and resulting outage. </w:t>
      </w:r>
      <w:r w:rsidR="006A3247">
        <w:rPr>
          <w:szCs w:val="24"/>
        </w:rPr>
        <w:t xml:space="preserve"> </w:t>
      </w:r>
      <w:r w:rsidRPr="0062657B">
        <w:rPr>
          <w:szCs w:val="24"/>
        </w:rPr>
        <w:t xml:space="preserve">Each </w:t>
      </w:r>
      <w:r w:rsidRPr="0062657B">
        <w:rPr>
          <w:szCs w:val="24"/>
        </w:rPr>
        <w:lastRenderedPageBreak/>
        <w:t xml:space="preserve">sought reimbursement for their losses. </w:t>
      </w:r>
      <w:r w:rsidR="006A3247">
        <w:rPr>
          <w:szCs w:val="24"/>
        </w:rPr>
        <w:t xml:space="preserve"> </w:t>
      </w:r>
      <w:r w:rsidRPr="0062657B">
        <w:rPr>
          <w:szCs w:val="24"/>
        </w:rPr>
        <w:t>Mr. Salanick specifically alleged that his garage door opener was damaged.</w:t>
      </w:r>
      <w:r w:rsidRPr="0062657B">
        <w:rPr>
          <w:rStyle w:val="FootnoteReference"/>
          <w:szCs w:val="24"/>
        </w:rPr>
        <w:footnoteReference w:id="10"/>
      </w:r>
      <w:r w:rsidRPr="0062657B">
        <w:rPr>
          <w:szCs w:val="24"/>
        </w:rPr>
        <w:t xml:space="preserve">  Mr. Adamovich provided a detailed listing of the computers, televisions and other electronic devices that were damaged.</w:t>
      </w:r>
      <w:r w:rsidRPr="0062657B">
        <w:rPr>
          <w:rStyle w:val="FootnoteReference"/>
          <w:szCs w:val="24"/>
        </w:rPr>
        <w:footnoteReference w:id="11"/>
      </w:r>
      <w:r w:rsidRPr="0062657B">
        <w:rPr>
          <w:szCs w:val="24"/>
        </w:rPr>
        <w:t xml:space="preserve">  While I allowed some testimony describing the property damage that Mr. Adamovich and Mr. Salanick suffered, I also explained that the Commission cannot order money damages or property replacement as relief.</w:t>
      </w:r>
      <w:r w:rsidRPr="0062657B">
        <w:rPr>
          <w:rStyle w:val="FootnoteReference"/>
          <w:szCs w:val="24"/>
        </w:rPr>
        <w:footnoteReference w:id="12"/>
      </w:r>
    </w:p>
    <w:p w:rsidR="003A6194" w:rsidRPr="0062657B" w:rsidRDefault="003A6194" w:rsidP="003A6194">
      <w:pPr>
        <w:ind w:firstLine="1440"/>
        <w:rPr>
          <w:szCs w:val="24"/>
        </w:rPr>
      </w:pPr>
    </w:p>
    <w:p w:rsidR="003A6194" w:rsidRDefault="003A6194" w:rsidP="003A6194">
      <w:pPr>
        <w:ind w:firstLine="1440"/>
        <w:rPr>
          <w:szCs w:val="24"/>
        </w:rPr>
      </w:pPr>
      <w:r w:rsidRPr="0062657B">
        <w:rPr>
          <w:szCs w:val="24"/>
        </w:rPr>
        <w:t>As a creature of legislation, the Commission possesses only the authority that the General Assembly has specifically granted to it in the Public Utility Code.  That is, the Commission has only the powers expressly conferred or necessarily implied by its enabling statute.</w:t>
      </w:r>
      <w:r w:rsidRPr="0062657B">
        <w:rPr>
          <w:rStyle w:val="FootnoteReference"/>
          <w:szCs w:val="24"/>
        </w:rPr>
        <w:footnoteReference w:id="13"/>
      </w:r>
      <w:r w:rsidRPr="0062657B">
        <w:rPr>
          <w:szCs w:val="24"/>
        </w:rPr>
        <w:t xml:space="preserve">   Although it has general jurisdiction over the rates and services of public utilities operating in Pennsylvania, the Public Utility Code does not grant the Commission the authority to award damages in this case.</w:t>
      </w:r>
      <w:r w:rsidRPr="0062657B">
        <w:rPr>
          <w:rStyle w:val="FootnoteReference"/>
          <w:szCs w:val="24"/>
        </w:rPr>
        <w:footnoteReference w:id="14"/>
      </w:r>
      <w:r w:rsidRPr="0062657B">
        <w:rPr>
          <w:szCs w:val="24"/>
        </w:rPr>
        <w:t xml:space="preserve">  </w:t>
      </w:r>
    </w:p>
    <w:p w:rsidR="003A6194" w:rsidRPr="0062657B" w:rsidRDefault="003A6194" w:rsidP="003A6194">
      <w:pPr>
        <w:ind w:firstLine="1440"/>
        <w:rPr>
          <w:szCs w:val="24"/>
        </w:rPr>
      </w:pPr>
      <w:r w:rsidRPr="0062657B">
        <w:rPr>
          <w:szCs w:val="24"/>
        </w:rPr>
        <w:t xml:space="preserve"> </w:t>
      </w:r>
    </w:p>
    <w:p w:rsidR="003A6194" w:rsidRDefault="003A6194" w:rsidP="003A6194">
      <w:pPr>
        <w:ind w:firstLine="1440"/>
        <w:rPr>
          <w:szCs w:val="24"/>
        </w:rPr>
      </w:pPr>
      <w:r w:rsidRPr="0062657B">
        <w:rPr>
          <w:szCs w:val="24"/>
        </w:rPr>
        <w:t>Therefore, to the extent that the Complainants seek reimbursement or replacement of property lost due to the over-voltage event on the distribution line, those claims are dismissed.</w:t>
      </w:r>
    </w:p>
    <w:p w:rsidR="003A6194" w:rsidRPr="0062657B" w:rsidRDefault="003A6194" w:rsidP="003A6194">
      <w:pPr>
        <w:ind w:firstLine="1440"/>
        <w:rPr>
          <w:szCs w:val="24"/>
        </w:rPr>
      </w:pPr>
    </w:p>
    <w:p w:rsidR="003A6194" w:rsidRDefault="003A6194" w:rsidP="003A6194">
      <w:pPr>
        <w:ind w:firstLine="1440"/>
        <w:rPr>
          <w:szCs w:val="24"/>
        </w:rPr>
      </w:pPr>
      <w:r w:rsidRPr="0062657B">
        <w:rPr>
          <w:szCs w:val="24"/>
        </w:rPr>
        <w:t>However, the Commission does have broad powers to supervise and regulate all public utilities doing business within the Commonwealth and is empowered to determine whether a public utility is providing safe, adequate and reasonable service.</w:t>
      </w:r>
      <w:r w:rsidRPr="0062657B">
        <w:rPr>
          <w:rStyle w:val="FootnoteReference"/>
          <w:szCs w:val="24"/>
        </w:rPr>
        <w:footnoteReference w:id="15"/>
      </w:r>
      <w:r w:rsidRPr="0062657B">
        <w:rPr>
          <w:szCs w:val="24"/>
        </w:rPr>
        <w:t xml:space="preserve">  The Commission may impose civil penalties upon a utility which is found to be in violation of a statute, regulation </w:t>
      </w:r>
      <w:r w:rsidRPr="0062657B">
        <w:rPr>
          <w:szCs w:val="24"/>
        </w:rPr>
        <w:lastRenderedPageBreak/>
        <w:t>or order of the Commission.</w:t>
      </w:r>
      <w:r w:rsidRPr="0062657B">
        <w:rPr>
          <w:rStyle w:val="FootnoteReference"/>
          <w:szCs w:val="24"/>
        </w:rPr>
        <w:footnoteReference w:id="16"/>
      </w:r>
      <w:r w:rsidRPr="0062657B">
        <w:rPr>
          <w:szCs w:val="24"/>
        </w:rPr>
        <w:t xml:space="preserve">  Utility service is not limited to the provision of service and includes “any and all acts” related to that function, including the maintenance practices of a utility regarding its facilities in a right-of-way.</w:t>
      </w:r>
      <w:r w:rsidRPr="0062657B">
        <w:rPr>
          <w:rStyle w:val="FootnoteReference"/>
          <w:szCs w:val="24"/>
        </w:rPr>
        <w:footnoteReference w:id="17"/>
      </w:r>
      <w:r w:rsidRPr="0062657B">
        <w:rPr>
          <w:szCs w:val="24"/>
        </w:rPr>
        <w:t xml:space="preserve">  Thus, the definition of “service” is sufficiently broad to encompass a utility’s vegetation clearance practices and maintenance of its rights-of-way.</w:t>
      </w:r>
      <w:r w:rsidRPr="0062657B">
        <w:rPr>
          <w:rStyle w:val="FootnoteReference"/>
          <w:szCs w:val="24"/>
        </w:rPr>
        <w:footnoteReference w:id="18"/>
      </w:r>
    </w:p>
    <w:p w:rsidR="003A6194" w:rsidRPr="0062657B" w:rsidRDefault="003A6194" w:rsidP="003A6194">
      <w:pPr>
        <w:ind w:firstLine="1440"/>
        <w:rPr>
          <w:szCs w:val="24"/>
        </w:rPr>
      </w:pPr>
    </w:p>
    <w:p w:rsidR="003A6194" w:rsidRDefault="003A6194" w:rsidP="003A6194">
      <w:pPr>
        <w:ind w:firstLine="1440"/>
        <w:rPr>
          <w:szCs w:val="24"/>
        </w:rPr>
      </w:pPr>
      <w:r w:rsidRPr="0062657B">
        <w:rPr>
          <w:szCs w:val="24"/>
        </w:rPr>
        <w:t xml:space="preserve">As explained more fully below and after a thorough review of the testimony and exhibits offered in this matter, I conclude that the power outage was due </w:t>
      </w:r>
      <w:r w:rsidR="004A1C94">
        <w:rPr>
          <w:szCs w:val="24"/>
        </w:rPr>
        <w:t xml:space="preserve">to </w:t>
      </w:r>
      <w:r w:rsidRPr="0062657B">
        <w:rPr>
          <w:szCs w:val="24"/>
        </w:rPr>
        <w:t>a locust tree located outside West Penn Power’s right-of-way splitting at the base and falling onto the power lines.  There is no evidence that West Penn Power could have reasonably anticipated that this would occur or was otherwise negligent in maintaining the vegetation along the right-of-way.  I also conclude that West Penn Power did not render unreasonable service in the manner in which it worked to restore power, maintained the lines, or designed the circuit.  Accordingly the complaints of Mr. Salanick and Mr. Adamovich will be dismissed.</w:t>
      </w:r>
    </w:p>
    <w:p w:rsidR="003A6194" w:rsidRPr="0062657B" w:rsidRDefault="003A6194" w:rsidP="003A6194">
      <w:pPr>
        <w:ind w:firstLine="1440"/>
        <w:rPr>
          <w:szCs w:val="24"/>
        </w:rPr>
      </w:pPr>
    </w:p>
    <w:p w:rsidR="003A6194" w:rsidRPr="0062657B" w:rsidRDefault="003A6194" w:rsidP="003A6194">
      <w:pPr>
        <w:ind w:firstLine="1440"/>
        <w:rPr>
          <w:szCs w:val="24"/>
        </w:rPr>
      </w:pPr>
      <w:r w:rsidRPr="0062657B">
        <w:rPr>
          <w:szCs w:val="24"/>
        </w:rPr>
        <w:t>Section 1501 of the Public Utility Code requires a public utility to provide reasonable service and to maintain its facilities to ensure reliability of service:</w:t>
      </w:r>
    </w:p>
    <w:p w:rsidR="004A1C94" w:rsidRDefault="004A1C94" w:rsidP="003A6194">
      <w:pPr>
        <w:spacing w:line="240" w:lineRule="auto"/>
        <w:ind w:left="1440" w:right="1440"/>
        <w:rPr>
          <w:szCs w:val="24"/>
        </w:rPr>
      </w:pPr>
    </w:p>
    <w:p w:rsidR="003A6194" w:rsidRDefault="003A6194" w:rsidP="003A6194">
      <w:pPr>
        <w:spacing w:line="240" w:lineRule="auto"/>
        <w:ind w:left="1440" w:right="1440"/>
        <w:rPr>
          <w:szCs w:val="24"/>
        </w:rPr>
      </w:pPr>
      <w:r w:rsidRPr="0062657B">
        <w:rPr>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sidRPr="0062657B">
        <w:rPr>
          <w:rStyle w:val="FootnoteReference"/>
          <w:szCs w:val="24"/>
        </w:rPr>
        <w:footnoteReference w:id="19"/>
      </w:r>
    </w:p>
    <w:p w:rsidR="003A6194" w:rsidRPr="0062657B" w:rsidRDefault="003A6194" w:rsidP="003A6194">
      <w:pPr>
        <w:spacing w:line="240" w:lineRule="auto"/>
        <w:ind w:left="1440" w:right="1440"/>
        <w:rPr>
          <w:szCs w:val="24"/>
        </w:rPr>
      </w:pPr>
    </w:p>
    <w:p w:rsidR="003A6194" w:rsidRPr="0062657B" w:rsidRDefault="003A6194" w:rsidP="003A6194">
      <w:pPr>
        <w:rPr>
          <w:szCs w:val="24"/>
        </w:rPr>
      </w:pPr>
      <w:r w:rsidRPr="0062657B">
        <w:rPr>
          <w:szCs w:val="24"/>
        </w:rPr>
        <w:lastRenderedPageBreak/>
        <w:t>The Commonwealth Court has cautioned that the Commission may not sustain a complaint pursuant to Section 1501 unless it finds that a utility has violated a duty to render reasonable and reliable service.</w:t>
      </w:r>
      <w:r w:rsidRPr="0062657B">
        <w:rPr>
          <w:rStyle w:val="FootnoteReference"/>
          <w:szCs w:val="24"/>
        </w:rPr>
        <w:footnoteReference w:id="20"/>
      </w:r>
      <w:r w:rsidRPr="0062657B">
        <w:rPr>
          <w:szCs w:val="24"/>
        </w:rPr>
        <w:t xml:space="preserve">  The Commission has stated that a utility is not mandated to furnish perfect service:</w:t>
      </w:r>
    </w:p>
    <w:p w:rsidR="003A6194" w:rsidRDefault="003A6194" w:rsidP="003A6194">
      <w:pPr>
        <w:spacing w:line="240" w:lineRule="auto"/>
        <w:ind w:left="1440" w:right="1440"/>
        <w:rPr>
          <w:szCs w:val="24"/>
        </w:rPr>
      </w:pPr>
      <w:r w:rsidRPr="0062657B">
        <w:rPr>
          <w:szCs w:val="24"/>
        </w:rPr>
        <w:t>[Section 1501] does not mandate perfect service nor must a public utility provide the best possible service.  Most certainly, a public utility is not a guarantor of either perfect service or the best possible service.</w:t>
      </w:r>
      <w:r w:rsidRPr="0062657B">
        <w:rPr>
          <w:rStyle w:val="FootnoteReference"/>
          <w:szCs w:val="24"/>
        </w:rPr>
        <w:footnoteReference w:id="21"/>
      </w:r>
    </w:p>
    <w:p w:rsidR="003A6194" w:rsidRPr="0062657B" w:rsidRDefault="003A6194" w:rsidP="003A6194">
      <w:pPr>
        <w:spacing w:line="240" w:lineRule="auto"/>
        <w:ind w:left="1440" w:right="1440"/>
        <w:rPr>
          <w:szCs w:val="24"/>
        </w:rPr>
      </w:pPr>
    </w:p>
    <w:p w:rsidR="003A6194" w:rsidRDefault="003A6194" w:rsidP="003A6194">
      <w:pPr>
        <w:rPr>
          <w:szCs w:val="24"/>
        </w:rPr>
      </w:pPr>
      <w:r w:rsidRPr="0062657B">
        <w:rPr>
          <w:szCs w:val="24"/>
        </w:rPr>
        <w:t>Thus the test to determine the adequacy of a utility’s service and facilities is that of reasonableness.</w:t>
      </w:r>
      <w:r w:rsidRPr="0062657B">
        <w:rPr>
          <w:rStyle w:val="FootnoteReference"/>
          <w:szCs w:val="24"/>
        </w:rPr>
        <w:footnoteReference w:id="22"/>
      </w:r>
      <w:r w:rsidRPr="0062657B">
        <w:rPr>
          <w:szCs w:val="24"/>
        </w:rPr>
        <w:t xml:space="preserve">  This is also the test to determine the adequacy of a utility’s response to customer service complaints, as well as repairs made to its facilities.</w:t>
      </w:r>
      <w:r w:rsidRPr="0062657B">
        <w:rPr>
          <w:rStyle w:val="FootnoteReference"/>
          <w:szCs w:val="24"/>
        </w:rPr>
        <w:footnoteReference w:id="23"/>
      </w:r>
    </w:p>
    <w:p w:rsidR="003A6194" w:rsidRPr="0062657B" w:rsidRDefault="003A6194" w:rsidP="003A6194">
      <w:pPr>
        <w:rPr>
          <w:szCs w:val="24"/>
        </w:rPr>
      </w:pPr>
    </w:p>
    <w:p w:rsidR="003A6194" w:rsidRDefault="003A6194" w:rsidP="003A6194">
      <w:pPr>
        <w:rPr>
          <w:szCs w:val="24"/>
        </w:rPr>
      </w:pPr>
      <w:r w:rsidRPr="0062657B">
        <w:rPr>
          <w:szCs w:val="24"/>
        </w:rPr>
        <w:tab/>
      </w:r>
      <w:r>
        <w:rPr>
          <w:szCs w:val="24"/>
        </w:rPr>
        <w:tab/>
      </w:r>
      <w:r w:rsidRPr="0062657B">
        <w:rPr>
          <w:szCs w:val="24"/>
        </w:rPr>
        <w:t xml:space="preserve">The Complainants both contend that West Penn Power failed to adequately maintain the right-of-way which resulted in an over-hanging branch of a large tree falling into the power line causing the May 2011 outage.  The evidence does not support this conclusion. </w:t>
      </w:r>
    </w:p>
    <w:p w:rsidR="003A6194" w:rsidRPr="0062657B" w:rsidRDefault="003A6194" w:rsidP="003A6194">
      <w:pPr>
        <w:rPr>
          <w:szCs w:val="24"/>
        </w:rPr>
      </w:pPr>
      <w:r w:rsidRPr="0062657B">
        <w:rPr>
          <w:szCs w:val="24"/>
        </w:rPr>
        <w:t xml:space="preserve"> </w:t>
      </w:r>
    </w:p>
    <w:p w:rsidR="003A6194" w:rsidRDefault="003A6194" w:rsidP="003A6194">
      <w:pPr>
        <w:rPr>
          <w:szCs w:val="24"/>
        </w:rPr>
      </w:pPr>
      <w:r w:rsidRPr="0062657B">
        <w:rPr>
          <w:szCs w:val="24"/>
        </w:rPr>
        <w:tab/>
      </w:r>
      <w:r>
        <w:rPr>
          <w:szCs w:val="24"/>
        </w:rPr>
        <w:tab/>
      </w:r>
      <w:r w:rsidRPr="0062657B">
        <w:rPr>
          <w:szCs w:val="24"/>
        </w:rPr>
        <w:t>Most compelling is the testimony of Timothy Hawkins who arrived at the site shortly after the outage occurred.  During the course of his investigation he discovered that a locust tree (the Culprit Tree) had come down on top of the 25 kV line and caused it to come down onto the 12</w:t>
      </w:r>
      <w:r w:rsidR="00D6473C">
        <w:rPr>
          <w:szCs w:val="24"/>
        </w:rPr>
        <w:t xml:space="preserve"> </w:t>
      </w:r>
      <w:r w:rsidRPr="0062657B">
        <w:rPr>
          <w:szCs w:val="24"/>
        </w:rPr>
        <w:t xml:space="preserve">kV distribution line that ran below it on the pole.  Three of the phase wires were burnt and numerous branches were touching the wires.  Upon examination, the Culprit Tree was intact except that it had split out at the base.  The tree had more than one trunk stem coming from </w:t>
      </w:r>
      <w:r w:rsidR="004A1C94">
        <w:rPr>
          <w:szCs w:val="24"/>
        </w:rPr>
        <w:t xml:space="preserve">the </w:t>
      </w:r>
      <w:r w:rsidRPr="0062657B">
        <w:rPr>
          <w:szCs w:val="24"/>
        </w:rPr>
        <w:t xml:space="preserve">base of the tree. </w:t>
      </w:r>
      <w:r w:rsidR="004A1C94">
        <w:rPr>
          <w:szCs w:val="24"/>
        </w:rPr>
        <w:t xml:space="preserve"> </w:t>
      </w:r>
      <w:r w:rsidRPr="0062657B">
        <w:rPr>
          <w:szCs w:val="24"/>
        </w:rPr>
        <w:t xml:space="preserve">One of these trunks had pulled away and its weight pulled the split apart until it laid onto the wires.  It lay on the wires long enough to burn until the wire came down. </w:t>
      </w:r>
      <w:r w:rsidR="00373075">
        <w:rPr>
          <w:szCs w:val="24"/>
        </w:rPr>
        <w:t xml:space="preserve"> </w:t>
      </w:r>
      <w:r w:rsidRPr="0062657B">
        <w:rPr>
          <w:szCs w:val="24"/>
        </w:rPr>
        <w:t xml:space="preserve">The burning is caused by the shorting out of the electrical circuit.  The repair crew de-energized the line and cut the trunk back in sections until sufficient weight was removed and the trunk moved back to its upright position from the base of the tree.  Other than cutting back the </w:t>
      </w:r>
      <w:r w:rsidRPr="0062657B">
        <w:rPr>
          <w:szCs w:val="24"/>
        </w:rPr>
        <w:lastRenderedPageBreak/>
        <w:t xml:space="preserve">Culprit Tree, Mr. Hawkins did not need to cut back any other vegetation in order to safely complete the repair to the line. </w:t>
      </w:r>
    </w:p>
    <w:p w:rsidR="003A6194" w:rsidRPr="0062657B" w:rsidRDefault="003A6194" w:rsidP="003A6194">
      <w:pPr>
        <w:rPr>
          <w:szCs w:val="24"/>
        </w:rPr>
      </w:pPr>
    </w:p>
    <w:p w:rsidR="003A6194" w:rsidRDefault="003A6194" w:rsidP="003A6194">
      <w:pPr>
        <w:rPr>
          <w:szCs w:val="24"/>
        </w:rPr>
      </w:pPr>
      <w:r w:rsidRPr="0062657B">
        <w:rPr>
          <w:szCs w:val="24"/>
        </w:rPr>
        <w:tab/>
      </w:r>
      <w:r>
        <w:rPr>
          <w:szCs w:val="24"/>
        </w:rPr>
        <w:tab/>
      </w:r>
      <w:r w:rsidRPr="0062657B">
        <w:rPr>
          <w:szCs w:val="24"/>
        </w:rPr>
        <w:t xml:space="preserve">This testimony is bolstered by the testimony of West Penn Power forester Scott Sidle who also visited the site shortly after the outage.  He testified that the Culprit Tree is a black locust tree.  It is a healthy, live tree.  It is located about two and a half feet outside the right-of-way.  Generally black locust trees are not considered “danger trees” that typically cause outages on West Penn Power circuits. </w:t>
      </w:r>
      <w:r w:rsidR="001007DA">
        <w:rPr>
          <w:szCs w:val="24"/>
        </w:rPr>
        <w:t xml:space="preserve"> </w:t>
      </w:r>
      <w:r w:rsidRPr="0062657B">
        <w:rPr>
          <w:szCs w:val="24"/>
        </w:rPr>
        <w:t xml:space="preserve">The Culprit Tree could have split all at once or could have split gradually over time, since it was last trimmed in 2006. </w:t>
      </w:r>
    </w:p>
    <w:p w:rsidR="003A6194" w:rsidRPr="0062657B" w:rsidRDefault="003A6194" w:rsidP="003A6194">
      <w:pPr>
        <w:rPr>
          <w:szCs w:val="24"/>
        </w:rPr>
      </w:pPr>
    </w:p>
    <w:p w:rsidR="003A6194" w:rsidRDefault="003A6194" w:rsidP="003A6194">
      <w:pPr>
        <w:ind w:firstLine="1440"/>
        <w:rPr>
          <w:szCs w:val="24"/>
        </w:rPr>
      </w:pPr>
      <w:r w:rsidRPr="0062657B">
        <w:rPr>
          <w:szCs w:val="24"/>
        </w:rPr>
        <w:t xml:space="preserve">Mr. Sidle determined that it was advisable to remove the remaining part of the trunk that had split from the base of the Culprit Tree because the trunk was still alive and would sprout back toward the wires. </w:t>
      </w:r>
      <w:r w:rsidR="00373075">
        <w:rPr>
          <w:szCs w:val="24"/>
        </w:rPr>
        <w:t xml:space="preserve"> </w:t>
      </w:r>
      <w:r w:rsidRPr="0062657B">
        <w:rPr>
          <w:szCs w:val="24"/>
        </w:rPr>
        <w:t xml:space="preserve">The potential growth of this foliage would increase the likelihood that it would cause another outage.  While in the area shortly after the May 26, 2011 outage he also determined that some black cherry trees on the other side of the right-of-way should be trimmed back, even though the area was only halfway through its normal trimming cycle. </w:t>
      </w:r>
    </w:p>
    <w:p w:rsidR="003A6194" w:rsidRPr="0062657B" w:rsidRDefault="003A6194" w:rsidP="003A6194">
      <w:pPr>
        <w:ind w:firstLine="720"/>
        <w:rPr>
          <w:szCs w:val="24"/>
        </w:rPr>
      </w:pPr>
    </w:p>
    <w:p w:rsidR="003A6194" w:rsidRDefault="003A6194" w:rsidP="003A6194">
      <w:pPr>
        <w:ind w:firstLine="1440"/>
        <w:rPr>
          <w:szCs w:val="24"/>
        </w:rPr>
      </w:pPr>
      <w:r w:rsidRPr="0062657B">
        <w:rPr>
          <w:szCs w:val="24"/>
        </w:rPr>
        <w:t>Neither Mr. Adamovich nor Mr. Salanick visited the site and observed the Culprit Tree before the trunk was cut back to the base.  Neither testified that they had seen the tree before the May 26, 2011 outage.  Mr. Sidle testified that customers are encouraged to call West Penn Power if they see a tree over</w:t>
      </w:r>
      <w:r w:rsidR="004C274F">
        <w:rPr>
          <w:szCs w:val="24"/>
        </w:rPr>
        <w:t>-</w:t>
      </w:r>
      <w:r w:rsidRPr="0062657B">
        <w:rPr>
          <w:szCs w:val="24"/>
        </w:rPr>
        <w:t>hanging a power line, but that he had not received any information concerning the Culprit Tree before the May 2011 outage.</w:t>
      </w:r>
    </w:p>
    <w:p w:rsidR="003A6194" w:rsidRPr="0062657B" w:rsidRDefault="003A6194" w:rsidP="003A6194">
      <w:pPr>
        <w:ind w:firstLine="720"/>
        <w:rPr>
          <w:szCs w:val="24"/>
        </w:rPr>
      </w:pPr>
    </w:p>
    <w:p w:rsidR="003A6194" w:rsidRDefault="003A6194" w:rsidP="003A6194">
      <w:pPr>
        <w:ind w:firstLine="1440"/>
        <w:rPr>
          <w:szCs w:val="24"/>
        </w:rPr>
      </w:pPr>
      <w:r w:rsidRPr="0062657B">
        <w:rPr>
          <w:szCs w:val="24"/>
        </w:rPr>
        <w:t xml:space="preserve">Mr. Sidle also testified at great length concerning the trimming and vegetation maintenance cycle practiced by West Penn Power.  Vegetation management and trimming was last performed in the late summer/early fall of 2006.  The next scheduled vegetation maintenance is scheduled for some time in 2014. </w:t>
      </w:r>
      <w:r w:rsidR="00373075">
        <w:rPr>
          <w:szCs w:val="24"/>
        </w:rPr>
        <w:t xml:space="preserve"> </w:t>
      </w:r>
      <w:r w:rsidRPr="0062657B">
        <w:rPr>
          <w:szCs w:val="24"/>
        </w:rPr>
        <w:t>This eight-year cycle is consistent with the Commission’s regulation requiring a maintenance of vegetation on a cycle of four to eight years for distribution facilities.</w:t>
      </w:r>
      <w:r w:rsidRPr="0062657B">
        <w:rPr>
          <w:rStyle w:val="FootnoteReference"/>
          <w:szCs w:val="24"/>
        </w:rPr>
        <w:footnoteReference w:id="24"/>
      </w:r>
      <w:r w:rsidRPr="0062657B">
        <w:rPr>
          <w:szCs w:val="24"/>
        </w:rPr>
        <w:t xml:space="preserve">  </w:t>
      </w:r>
    </w:p>
    <w:p w:rsidR="003A6194" w:rsidRPr="0062657B" w:rsidRDefault="003A6194" w:rsidP="003A6194">
      <w:pPr>
        <w:ind w:firstLine="720"/>
        <w:rPr>
          <w:szCs w:val="24"/>
        </w:rPr>
      </w:pPr>
    </w:p>
    <w:p w:rsidR="003A6194" w:rsidRDefault="003A6194" w:rsidP="003A6194">
      <w:pPr>
        <w:ind w:firstLine="1440"/>
        <w:rPr>
          <w:szCs w:val="24"/>
        </w:rPr>
      </w:pPr>
      <w:r w:rsidRPr="0062657B">
        <w:rPr>
          <w:szCs w:val="24"/>
        </w:rPr>
        <w:lastRenderedPageBreak/>
        <w:t>The right-of-way for this circuit is 50 feet, or 25 feet on either side of the centerline.  Generally speaking the right-of-way should be cleared from ground to sky.  That is, if you are standing on the right-of-way and looking up, you should not see any over</w:t>
      </w:r>
      <w:r w:rsidR="004C274F">
        <w:rPr>
          <w:szCs w:val="24"/>
        </w:rPr>
        <w:t>-</w:t>
      </w:r>
      <w:r w:rsidRPr="0062657B">
        <w:rPr>
          <w:szCs w:val="24"/>
        </w:rPr>
        <w:t xml:space="preserve">hanging tree branches. </w:t>
      </w:r>
      <w:r w:rsidR="001007DA">
        <w:rPr>
          <w:szCs w:val="24"/>
        </w:rPr>
        <w:t xml:space="preserve"> </w:t>
      </w:r>
      <w:r w:rsidRPr="0062657B">
        <w:rPr>
          <w:szCs w:val="24"/>
        </w:rPr>
        <w:t xml:space="preserve">However, halfway through a trimming cycle it is not unexpected that there may be some encroachment of foliage into the right-of-way because of the growth of the trees.  When vegetation management activities occur, it is Mr. Sidle’s practice to inspect the work to make sure that the right-of-way is cleared.  He would have inspected the area where the Culprit Tree was located in 2006.  The Culprit Tree was not likely encroaching into the right-of-way at that time. </w:t>
      </w:r>
    </w:p>
    <w:p w:rsidR="003A6194" w:rsidRPr="0062657B" w:rsidRDefault="003A6194" w:rsidP="003A6194">
      <w:pPr>
        <w:ind w:firstLine="720"/>
        <w:rPr>
          <w:szCs w:val="24"/>
        </w:rPr>
      </w:pPr>
    </w:p>
    <w:p w:rsidR="003A6194" w:rsidRDefault="003A6194" w:rsidP="003A6194">
      <w:pPr>
        <w:ind w:firstLine="1440"/>
        <w:rPr>
          <w:szCs w:val="24"/>
        </w:rPr>
      </w:pPr>
      <w:r w:rsidRPr="0062657B">
        <w:rPr>
          <w:szCs w:val="24"/>
        </w:rPr>
        <w:t>A utility cannot be held to have provided inadequate or unreasonable service because it failed to anticipate unforeseen or unusual circumstances or occurrences.</w:t>
      </w:r>
      <w:r w:rsidRPr="0062657B">
        <w:rPr>
          <w:rStyle w:val="FootnoteReference"/>
          <w:szCs w:val="24"/>
        </w:rPr>
        <w:footnoteReference w:id="25"/>
      </w:r>
      <w:r w:rsidRPr="0062657B">
        <w:rPr>
          <w:szCs w:val="24"/>
        </w:rPr>
        <w:t xml:space="preserve">  Those circumstances may include abnormal weather conditions or that an otherwise healthy locust tree outside the right-of-way may split at the base of the trunk and fall over.  The speculation of the Complainants that there must have been a branch over-hanging the power line which caused the power outage cannot overcome the credible testimony of Mr. Hawkins and Mr. Sidle that the tree split at the base.  There is no evidence that West Penn Power knew or should have known that the Culprit Tree would split in that manner and fall into the power line.  </w:t>
      </w:r>
    </w:p>
    <w:p w:rsidR="003A6194" w:rsidRPr="0062657B" w:rsidRDefault="003A6194" w:rsidP="003A6194">
      <w:pPr>
        <w:ind w:firstLine="720"/>
        <w:rPr>
          <w:szCs w:val="24"/>
        </w:rPr>
      </w:pPr>
    </w:p>
    <w:p w:rsidR="003A6194" w:rsidRPr="0062657B" w:rsidRDefault="003A6194" w:rsidP="003A6194">
      <w:pPr>
        <w:ind w:firstLine="1440"/>
        <w:rPr>
          <w:szCs w:val="24"/>
        </w:rPr>
      </w:pPr>
      <w:r w:rsidRPr="0062657B">
        <w:rPr>
          <w:szCs w:val="24"/>
        </w:rPr>
        <w:t xml:space="preserve">The vegetation and trimming maintenance described by Mr. Sidle is consistent with the Commission’s regulations. </w:t>
      </w:r>
      <w:r w:rsidR="0095626F">
        <w:rPr>
          <w:szCs w:val="24"/>
        </w:rPr>
        <w:t xml:space="preserve"> </w:t>
      </w:r>
      <w:r w:rsidRPr="0062657B">
        <w:rPr>
          <w:szCs w:val="24"/>
        </w:rPr>
        <w:t>The Complainants have failed to sustain their burden of proving that West Penn Power failed to adequately maintain the right-of-way or otherwise rendered unreasonable or unreliable services.</w:t>
      </w:r>
    </w:p>
    <w:p w:rsidR="003A6194" w:rsidRPr="0062657B" w:rsidRDefault="003A6194" w:rsidP="003A6194">
      <w:pPr>
        <w:rPr>
          <w:szCs w:val="24"/>
        </w:rPr>
      </w:pPr>
    </w:p>
    <w:p w:rsidR="001007DA" w:rsidRDefault="001007DA">
      <w:pPr>
        <w:spacing w:after="200"/>
        <w:rPr>
          <w:szCs w:val="24"/>
          <w:u w:val="single"/>
        </w:rPr>
      </w:pPr>
      <w:r>
        <w:rPr>
          <w:szCs w:val="24"/>
          <w:u w:val="single"/>
        </w:rPr>
        <w:br w:type="page"/>
      </w:r>
    </w:p>
    <w:p w:rsidR="003A6194" w:rsidRDefault="003A6194" w:rsidP="003A6194">
      <w:pPr>
        <w:jc w:val="center"/>
        <w:rPr>
          <w:szCs w:val="24"/>
          <w:u w:val="single"/>
        </w:rPr>
      </w:pPr>
      <w:r w:rsidRPr="0062657B">
        <w:rPr>
          <w:szCs w:val="24"/>
          <w:u w:val="single"/>
        </w:rPr>
        <w:lastRenderedPageBreak/>
        <w:t>CONCLUSIONS OF LAW</w:t>
      </w:r>
    </w:p>
    <w:p w:rsidR="003A6194" w:rsidRPr="0062657B" w:rsidRDefault="003A6194" w:rsidP="003A6194">
      <w:pPr>
        <w:jc w:val="center"/>
        <w:rPr>
          <w:szCs w:val="24"/>
          <w:u w:val="single"/>
        </w:rPr>
      </w:pPr>
    </w:p>
    <w:p w:rsidR="003A6194" w:rsidRPr="00890FE3" w:rsidRDefault="003A6194" w:rsidP="003A6194">
      <w:pPr>
        <w:pStyle w:val="ListParagraph"/>
        <w:numPr>
          <w:ilvl w:val="0"/>
          <w:numId w:val="13"/>
        </w:numPr>
        <w:ind w:left="0" w:firstLine="1440"/>
      </w:pPr>
      <w:r w:rsidRPr="00890FE3">
        <w:t>The Commission has jurisdiction over the parties and subject</w:t>
      </w:r>
      <w:r w:rsidR="001007DA">
        <w:t xml:space="preserve"> </w:t>
      </w:r>
      <w:r w:rsidRPr="00890FE3">
        <w:t>matter of this dispute.</w:t>
      </w:r>
    </w:p>
    <w:p w:rsidR="003A6194" w:rsidRPr="00890FE3" w:rsidRDefault="003A6194" w:rsidP="003A6194">
      <w:pPr>
        <w:ind w:firstLine="1440"/>
      </w:pPr>
    </w:p>
    <w:p w:rsidR="003A6194" w:rsidRDefault="003A6194" w:rsidP="003A6194">
      <w:pPr>
        <w:pStyle w:val="ListParagraph"/>
        <w:numPr>
          <w:ilvl w:val="0"/>
          <w:numId w:val="13"/>
        </w:numPr>
        <w:ind w:left="0" w:firstLine="1440"/>
      </w:pPr>
      <w:r w:rsidRPr="00890FE3">
        <w:t>The Complainants, as the parties seeking affirmative relief from the Commission, have the burden of proof.</w:t>
      </w:r>
    </w:p>
    <w:p w:rsidR="003A6194" w:rsidRPr="00890FE3" w:rsidRDefault="003A6194" w:rsidP="003A6194">
      <w:pPr>
        <w:pStyle w:val="ListParagraph"/>
        <w:numPr>
          <w:ilvl w:val="0"/>
          <w:numId w:val="0"/>
        </w:numPr>
        <w:ind w:left="1440"/>
      </w:pPr>
    </w:p>
    <w:p w:rsidR="003A6194" w:rsidRPr="00890FE3" w:rsidRDefault="003A6194" w:rsidP="003A6194">
      <w:pPr>
        <w:pStyle w:val="ListParagraph"/>
        <w:numPr>
          <w:ilvl w:val="0"/>
          <w:numId w:val="13"/>
        </w:numPr>
        <w:ind w:left="0" w:firstLine="1440"/>
      </w:pPr>
      <w:r w:rsidRPr="00890FE3">
        <w:t>The Complainants have failed to satisfy the burden of proving that West Penn Power Company failed to provide them with adequate and reliable service.</w:t>
      </w:r>
    </w:p>
    <w:p w:rsidR="003A6194" w:rsidRPr="00890FE3" w:rsidRDefault="003A6194" w:rsidP="003A6194">
      <w:pPr>
        <w:ind w:firstLine="1440"/>
      </w:pPr>
    </w:p>
    <w:p w:rsidR="003A6194" w:rsidRPr="00890FE3" w:rsidRDefault="003A6194" w:rsidP="003A6194">
      <w:pPr>
        <w:pStyle w:val="ListParagraph"/>
        <w:numPr>
          <w:ilvl w:val="0"/>
          <w:numId w:val="13"/>
        </w:numPr>
        <w:ind w:left="0" w:firstLine="1440"/>
      </w:pPr>
      <w:r w:rsidRPr="00890FE3">
        <w:t>The Complainants have failed to satisfy the burden of proving that West Penn Power Company failed to properly maintain a right-of-way or otherwise failed to render reasonable service.</w:t>
      </w:r>
    </w:p>
    <w:p w:rsidR="003A6194" w:rsidRPr="00890FE3" w:rsidRDefault="003A6194" w:rsidP="003A6194">
      <w:pPr>
        <w:pStyle w:val="ListParagraph"/>
        <w:numPr>
          <w:ilvl w:val="0"/>
          <w:numId w:val="0"/>
        </w:numPr>
        <w:ind w:left="1440"/>
      </w:pPr>
    </w:p>
    <w:p w:rsidR="003A6194" w:rsidRPr="0062657B" w:rsidRDefault="003A6194" w:rsidP="003A6194">
      <w:pPr>
        <w:jc w:val="center"/>
        <w:rPr>
          <w:szCs w:val="24"/>
          <w:u w:val="single"/>
        </w:rPr>
      </w:pPr>
      <w:r w:rsidRPr="0062657B">
        <w:rPr>
          <w:szCs w:val="24"/>
          <w:u w:val="single"/>
        </w:rPr>
        <w:t>ORDER</w:t>
      </w:r>
    </w:p>
    <w:p w:rsidR="003A6194" w:rsidRDefault="003A6194" w:rsidP="003A6194">
      <w:pPr>
        <w:ind w:firstLine="1440"/>
        <w:rPr>
          <w:szCs w:val="24"/>
        </w:rPr>
      </w:pPr>
      <w:r w:rsidRPr="0062657B">
        <w:rPr>
          <w:szCs w:val="24"/>
        </w:rPr>
        <w:t>THEREFORE,</w:t>
      </w:r>
    </w:p>
    <w:p w:rsidR="003A6194" w:rsidRPr="0062657B" w:rsidRDefault="003A6194" w:rsidP="003A6194">
      <w:pPr>
        <w:ind w:firstLine="1440"/>
        <w:rPr>
          <w:szCs w:val="24"/>
        </w:rPr>
      </w:pPr>
    </w:p>
    <w:p w:rsidR="003A6194" w:rsidRDefault="003A6194" w:rsidP="003A6194">
      <w:pPr>
        <w:ind w:firstLine="1440"/>
        <w:rPr>
          <w:szCs w:val="24"/>
        </w:rPr>
      </w:pPr>
      <w:r w:rsidRPr="0062657B">
        <w:rPr>
          <w:szCs w:val="24"/>
        </w:rPr>
        <w:t>IT IS ORDERED:</w:t>
      </w:r>
    </w:p>
    <w:p w:rsidR="003A6194" w:rsidRPr="0062657B" w:rsidRDefault="003A6194" w:rsidP="003A6194">
      <w:pPr>
        <w:ind w:firstLine="1440"/>
        <w:rPr>
          <w:szCs w:val="24"/>
        </w:rPr>
      </w:pPr>
    </w:p>
    <w:p w:rsidR="003A6194" w:rsidRPr="0003678A" w:rsidRDefault="003A6194" w:rsidP="003A6194">
      <w:pPr>
        <w:pStyle w:val="ListParagraph"/>
        <w:numPr>
          <w:ilvl w:val="0"/>
          <w:numId w:val="14"/>
        </w:numPr>
        <w:ind w:left="0" w:firstLine="1440"/>
      </w:pPr>
      <w:r w:rsidRPr="0003678A">
        <w:t>That the formal complaint of L. Richard Adamovich v. West Penn Power Company at PUC Docket No. C-2011-2256848 is dismissed.</w:t>
      </w:r>
    </w:p>
    <w:p w:rsidR="003A6194" w:rsidRPr="0003678A" w:rsidRDefault="003A6194" w:rsidP="003A6194">
      <w:pPr>
        <w:pStyle w:val="ListParagraph"/>
        <w:numPr>
          <w:ilvl w:val="0"/>
          <w:numId w:val="0"/>
        </w:numPr>
        <w:ind w:left="1440"/>
      </w:pPr>
    </w:p>
    <w:p w:rsidR="003A6194" w:rsidRPr="0003678A" w:rsidRDefault="003A6194" w:rsidP="003A6194">
      <w:pPr>
        <w:pStyle w:val="ListParagraph"/>
        <w:numPr>
          <w:ilvl w:val="0"/>
          <w:numId w:val="14"/>
        </w:numPr>
        <w:ind w:left="0" w:firstLine="1440"/>
      </w:pPr>
      <w:r w:rsidRPr="0003678A">
        <w:t>That the formal complaint of Michael T. Salanick v. West Penn Power Company at PUC Docket No. C-2011-2247926 is dismissed.</w:t>
      </w:r>
    </w:p>
    <w:p w:rsidR="003A6194" w:rsidRPr="0003678A" w:rsidRDefault="003A6194" w:rsidP="003A6194">
      <w:pPr>
        <w:pStyle w:val="ListParagraph"/>
        <w:numPr>
          <w:ilvl w:val="0"/>
          <w:numId w:val="0"/>
        </w:numPr>
        <w:ind w:left="1440"/>
      </w:pPr>
    </w:p>
    <w:p w:rsidR="00FF7B9A" w:rsidRDefault="003A6194" w:rsidP="003A6194">
      <w:pPr>
        <w:pStyle w:val="ListParagraph"/>
        <w:numPr>
          <w:ilvl w:val="0"/>
          <w:numId w:val="0"/>
        </w:numPr>
        <w:ind w:left="1440"/>
        <w:contextualSpacing/>
      </w:pPr>
      <w:r w:rsidRPr="0062657B">
        <w:t>3.</w:t>
      </w:r>
      <w:r w:rsidRPr="0062657B">
        <w:tab/>
        <w:t>That the Secretary shall mark these dockets</w:t>
      </w:r>
      <w:r>
        <w:t xml:space="preserve"> closed</w:t>
      </w:r>
      <w:r w:rsidR="00FF7B9A">
        <w:t>.</w:t>
      </w:r>
    </w:p>
    <w:p w:rsidR="00FF7B9A" w:rsidRDefault="00FF7B9A" w:rsidP="00DC50CF">
      <w:pPr>
        <w:pStyle w:val="ListParagraph"/>
        <w:numPr>
          <w:ilvl w:val="0"/>
          <w:numId w:val="0"/>
        </w:numPr>
        <w:ind w:left="1440"/>
      </w:pPr>
    </w:p>
    <w:p w:rsidR="00FF7B9A" w:rsidRDefault="00FF7B9A" w:rsidP="00FF7B9A">
      <w:pPr>
        <w:pStyle w:val="IndentedQuote"/>
        <w:ind w:left="0"/>
      </w:pPr>
    </w:p>
    <w:p w:rsidR="00FF7B9A" w:rsidRDefault="00FF7B9A" w:rsidP="00FF7B9A">
      <w:pPr>
        <w:spacing w:line="240" w:lineRule="auto"/>
      </w:pPr>
      <w:r>
        <w:t xml:space="preserve">Date:  </w:t>
      </w:r>
      <w:r w:rsidR="006B2B0A">
        <w:rPr>
          <w:u w:val="single"/>
        </w:rPr>
        <w:t>April 12</w:t>
      </w:r>
      <w:r>
        <w:rPr>
          <w:u w:val="single"/>
        </w:rPr>
        <w:t>, 2012</w:t>
      </w:r>
      <w:r>
        <w:tab/>
      </w:r>
      <w:r w:rsidR="006B2B0A">
        <w:tab/>
      </w:r>
      <w:r>
        <w:tab/>
      </w:r>
      <w:r>
        <w:tab/>
      </w:r>
      <w:r>
        <w:tab/>
        <w:t>_______________________________</w:t>
      </w:r>
    </w:p>
    <w:p w:rsidR="00FF7B9A" w:rsidRDefault="00FF7B9A" w:rsidP="00FF7B9A">
      <w:pPr>
        <w:spacing w:line="240" w:lineRule="auto"/>
      </w:pPr>
      <w:r>
        <w:tab/>
      </w:r>
      <w:r>
        <w:tab/>
      </w:r>
      <w:r>
        <w:tab/>
      </w:r>
      <w:r>
        <w:tab/>
      </w:r>
      <w:r>
        <w:tab/>
      </w:r>
      <w:r w:rsidR="00CB28E0">
        <w:tab/>
      </w:r>
      <w:r w:rsidR="00CB28E0">
        <w:tab/>
      </w:r>
      <w:r>
        <w:t>Mary D. Long</w:t>
      </w:r>
    </w:p>
    <w:p w:rsidR="003F3C6F" w:rsidRDefault="00FF7B9A" w:rsidP="00931E61">
      <w:pPr>
        <w:spacing w:line="240" w:lineRule="auto"/>
      </w:pPr>
      <w:r>
        <w:tab/>
      </w:r>
      <w:r>
        <w:tab/>
      </w:r>
      <w:r>
        <w:tab/>
      </w:r>
      <w:r>
        <w:tab/>
      </w:r>
      <w:r>
        <w:tab/>
      </w:r>
      <w:r w:rsidR="00CB28E0">
        <w:tab/>
      </w:r>
      <w:r w:rsidR="00CB28E0">
        <w:tab/>
      </w:r>
      <w:r>
        <w:t>Administrative Law Judge</w:t>
      </w:r>
    </w:p>
    <w:sectPr w:rsidR="003F3C6F" w:rsidSect="009F2FA4">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2DF" w:rsidRDefault="00D652DF" w:rsidP="003F3C6F">
      <w:pPr>
        <w:spacing w:line="240" w:lineRule="auto"/>
      </w:pPr>
      <w:r>
        <w:separator/>
      </w:r>
    </w:p>
  </w:endnote>
  <w:endnote w:type="continuationSeparator" w:id="0">
    <w:p w:rsidR="00D652DF" w:rsidRDefault="00D652DF"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439405"/>
      <w:docPartObj>
        <w:docPartGallery w:val="Page Numbers (Bottom of Page)"/>
        <w:docPartUnique/>
      </w:docPartObj>
    </w:sdtPr>
    <w:sdtEndPr>
      <w:rPr>
        <w:sz w:val="22"/>
        <w:szCs w:val="22"/>
      </w:rPr>
    </w:sdtEndPr>
    <w:sdtContent>
      <w:p w:rsidR="005913C3" w:rsidRDefault="009503C8">
        <w:pPr>
          <w:pStyle w:val="Footer"/>
          <w:jc w:val="center"/>
        </w:pPr>
        <w:r w:rsidRPr="00A2234C">
          <w:rPr>
            <w:sz w:val="20"/>
          </w:rPr>
          <w:fldChar w:fldCharType="begin"/>
        </w:r>
        <w:r w:rsidR="005913C3" w:rsidRPr="00A2234C">
          <w:rPr>
            <w:sz w:val="20"/>
          </w:rPr>
          <w:instrText xml:space="preserve"> PAGE   \* MERGEFORMAT </w:instrText>
        </w:r>
        <w:r w:rsidRPr="00A2234C">
          <w:rPr>
            <w:sz w:val="20"/>
          </w:rPr>
          <w:fldChar w:fldCharType="separate"/>
        </w:r>
        <w:r w:rsidR="006D52CA">
          <w:rPr>
            <w:noProof/>
            <w:sz w:val="20"/>
          </w:rPr>
          <w:t>15</w:t>
        </w:r>
        <w:r w:rsidRPr="00A2234C">
          <w:rPr>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32439401"/>
      <w:docPartObj>
        <w:docPartGallery w:val="Page Numbers (Bottom of Page)"/>
        <w:docPartUnique/>
      </w:docPartObj>
    </w:sdtPr>
    <w:sdtEndPr/>
    <w:sdtContent>
      <w:p w:rsidR="00617E16" w:rsidRPr="00617E16" w:rsidRDefault="00D652DF">
        <w:pPr>
          <w:pStyle w:val="Footer"/>
          <w:jc w:val="center"/>
          <w:rPr>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2DF" w:rsidRDefault="00D652DF" w:rsidP="003F3C6F">
      <w:pPr>
        <w:spacing w:line="240" w:lineRule="auto"/>
      </w:pPr>
      <w:r>
        <w:separator/>
      </w:r>
    </w:p>
  </w:footnote>
  <w:footnote w:type="continuationSeparator" w:id="0">
    <w:p w:rsidR="00D652DF" w:rsidRDefault="00D652DF" w:rsidP="00A0161B">
      <w:pPr>
        <w:spacing w:line="240" w:lineRule="auto"/>
      </w:pPr>
      <w:r>
        <w:separator/>
      </w:r>
    </w:p>
    <w:p w:rsidR="00D652DF" w:rsidRDefault="00D652DF" w:rsidP="003F3C6F">
      <w:pPr>
        <w:spacing w:line="240" w:lineRule="auto"/>
      </w:pPr>
    </w:p>
  </w:footnote>
  <w:footnote w:id="1">
    <w:p w:rsidR="003A6194" w:rsidRPr="0003678A" w:rsidRDefault="003A6194" w:rsidP="008A0266">
      <w:pPr>
        <w:pStyle w:val="FootnoteText"/>
      </w:pPr>
      <w:r w:rsidRPr="0003678A">
        <w:rPr>
          <w:rStyle w:val="FootnoteReference"/>
        </w:rPr>
        <w:footnoteRef/>
      </w:r>
      <w:r w:rsidRPr="0003678A">
        <w:t xml:space="preserve"> </w:t>
      </w:r>
      <w:r w:rsidRPr="0003678A">
        <w:tab/>
        <w:t>66 Pa. C.S. § 1501.</w:t>
      </w:r>
    </w:p>
    <w:p w:rsidR="003A6194" w:rsidRPr="0003678A" w:rsidRDefault="003A6194" w:rsidP="008A0266">
      <w:pPr>
        <w:pStyle w:val="FootnoteText"/>
      </w:pPr>
    </w:p>
  </w:footnote>
  <w:footnote w:id="2">
    <w:p w:rsidR="003A6194" w:rsidRPr="0003678A" w:rsidRDefault="003A6194" w:rsidP="008A0266">
      <w:pPr>
        <w:pStyle w:val="FootnoteText"/>
      </w:pPr>
      <w:r w:rsidRPr="0003678A">
        <w:rPr>
          <w:rStyle w:val="FootnoteReference"/>
        </w:rPr>
        <w:footnoteRef/>
      </w:r>
      <w:r w:rsidRPr="0003678A">
        <w:t xml:space="preserve"> </w:t>
      </w:r>
      <w:r w:rsidRPr="0003678A">
        <w:tab/>
        <w:t>This matter was set for hearing on October 26, 2011, but both Mr. Adamovich and West Penn Power asked for a continuance, which was granted by order dated October 11, 2011.</w:t>
      </w:r>
    </w:p>
  </w:footnote>
  <w:footnote w:id="3">
    <w:p w:rsidR="003A6194" w:rsidRPr="0003678A" w:rsidRDefault="003A6194" w:rsidP="008A0266">
      <w:pPr>
        <w:pStyle w:val="FootnoteText"/>
      </w:pPr>
      <w:r w:rsidRPr="0003678A">
        <w:rPr>
          <w:rStyle w:val="FootnoteReference"/>
        </w:rPr>
        <w:footnoteRef/>
      </w:r>
      <w:r w:rsidRPr="0003678A">
        <w:t xml:space="preserve">  </w:t>
      </w:r>
      <w:r w:rsidRPr="0003678A">
        <w:tab/>
        <w:t>Hereafter, Mr. Adamovich and Mr. Salanick are collectively referred to as “the Complainants.”</w:t>
      </w:r>
    </w:p>
  </w:footnote>
  <w:footnote w:id="4">
    <w:p w:rsidR="003A6194" w:rsidRPr="00CF6580" w:rsidRDefault="003A6194" w:rsidP="008A0266">
      <w:pPr>
        <w:pStyle w:val="FootnoteText"/>
      </w:pPr>
      <w:r w:rsidRPr="00CF6580">
        <w:rPr>
          <w:rStyle w:val="FootnoteReference"/>
        </w:rPr>
        <w:footnoteRef/>
      </w:r>
      <w:r w:rsidRPr="00CF6580">
        <w:t xml:space="preserve"> </w:t>
      </w:r>
      <w:r>
        <w:tab/>
      </w:r>
      <w:r w:rsidRPr="00CF6580">
        <w:t>See WPP</w:t>
      </w:r>
      <w:r w:rsidR="008A0266">
        <w:t>C</w:t>
      </w:r>
      <w:r w:rsidRPr="00CF6580">
        <w:t xml:space="preserve"> Ex. C and N.T. 134-</w:t>
      </w:r>
      <w:r w:rsidR="006A3247">
        <w:t>1</w:t>
      </w:r>
      <w:r w:rsidRPr="00CF6580">
        <w:t>35 for a description of the phases that make up the 25 kV circuit.</w:t>
      </w:r>
    </w:p>
  </w:footnote>
  <w:footnote w:id="5">
    <w:p w:rsidR="003A6194" w:rsidRPr="00CF6580" w:rsidRDefault="003A6194" w:rsidP="008A0266">
      <w:pPr>
        <w:pStyle w:val="FootnoteText"/>
      </w:pPr>
      <w:r w:rsidRPr="00CF6580">
        <w:rPr>
          <w:rStyle w:val="FootnoteReference"/>
        </w:rPr>
        <w:footnoteRef/>
      </w:r>
      <w:r w:rsidRPr="00CF6580">
        <w:t xml:space="preserve">  </w:t>
      </w:r>
      <w:r>
        <w:tab/>
      </w:r>
      <w:r w:rsidRPr="00CF6580">
        <w:t xml:space="preserve">There are exceptions to the “ground to sky” rule such as aesthetic concerns, customer opposition, or yard tree situations. </w:t>
      </w:r>
      <w:r w:rsidR="006A3247">
        <w:t>(</w:t>
      </w:r>
      <w:r w:rsidRPr="00CF6580">
        <w:t>N.T. 167-</w:t>
      </w:r>
      <w:r w:rsidR="006A3247">
        <w:t>1</w:t>
      </w:r>
      <w:r w:rsidRPr="00CF6580">
        <w:t xml:space="preserve">70; WPPC </w:t>
      </w:r>
      <w:r w:rsidR="006A3247">
        <w:t>Ex. G)</w:t>
      </w:r>
    </w:p>
  </w:footnote>
  <w:footnote w:id="6">
    <w:p w:rsidR="003A6194" w:rsidRDefault="003A6194" w:rsidP="008A0266">
      <w:pPr>
        <w:pStyle w:val="FootnoteText"/>
      </w:pPr>
      <w:r w:rsidRPr="00CF6580">
        <w:rPr>
          <w:rStyle w:val="FootnoteReference"/>
        </w:rPr>
        <w:footnoteRef/>
      </w:r>
      <w:r w:rsidRPr="00CF6580">
        <w:t xml:space="preserve"> </w:t>
      </w:r>
      <w:r>
        <w:tab/>
      </w:r>
      <w:r w:rsidRPr="00CF6580">
        <w:t xml:space="preserve">Black cherry trees have commonly caused problems on West Penn </w:t>
      </w:r>
      <w:r w:rsidR="00D6473C">
        <w:t xml:space="preserve">Power </w:t>
      </w:r>
      <w:r w:rsidRPr="00CF6580">
        <w:t>circuits. (N.T. 172)</w:t>
      </w:r>
    </w:p>
    <w:p w:rsidR="003A6194" w:rsidRPr="00CF6580" w:rsidRDefault="003A6194" w:rsidP="008A0266">
      <w:pPr>
        <w:pStyle w:val="FootnoteText"/>
      </w:pPr>
    </w:p>
  </w:footnote>
  <w:footnote w:id="7">
    <w:p w:rsidR="003A6194" w:rsidRDefault="003A6194" w:rsidP="008A0266">
      <w:pPr>
        <w:pStyle w:val="FootnoteText"/>
      </w:pPr>
      <w:r w:rsidRPr="00CF6580">
        <w:rPr>
          <w:rStyle w:val="FootnoteReference"/>
        </w:rPr>
        <w:footnoteRef/>
      </w:r>
      <w:r w:rsidRPr="00CF6580">
        <w:t xml:space="preserve"> </w:t>
      </w:r>
      <w:r w:rsidRPr="00CF6580">
        <w:tab/>
        <w:t>66 Pa. C.S. § 701.</w:t>
      </w:r>
    </w:p>
    <w:p w:rsidR="003A6194" w:rsidRPr="00CF6580" w:rsidRDefault="003A6194" w:rsidP="008A0266">
      <w:pPr>
        <w:pStyle w:val="FootnoteText"/>
      </w:pPr>
    </w:p>
  </w:footnote>
  <w:footnote w:id="8">
    <w:p w:rsidR="003A6194" w:rsidRDefault="003A6194" w:rsidP="008A0266">
      <w:pPr>
        <w:pStyle w:val="FootnoteText"/>
      </w:pPr>
      <w:r w:rsidRPr="00CF6580">
        <w:rPr>
          <w:rStyle w:val="FootnoteReference"/>
        </w:rPr>
        <w:footnoteRef/>
      </w:r>
      <w:r w:rsidRPr="00CF6580">
        <w:t xml:space="preserve"> </w:t>
      </w:r>
      <w:r w:rsidRPr="00CF6580">
        <w:tab/>
        <w:t>66 Pa. C.S. § 332(a).</w:t>
      </w:r>
    </w:p>
    <w:p w:rsidR="003A6194" w:rsidRPr="00CF6580" w:rsidRDefault="003A6194" w:rsidP="008A0266">
      <w:pPr>
        <w:pStyle w:val="FootnoteText"/>
      </w:pPr>
    </w:p>
  </w:footnote>
  <w:footnote w:id="9">
    <w:p w:rsidR="003A6194" w:rsidRDefault="003A6194" w:rsidP="008A0266">
      <w:pPr>
        <w:pStyle w:val="FootnoteText"/>
      </w:pPr>
      <w:r w:rsidRPr="00CF6580">
        <w:rPr>
          <w:rStyle w:val="FootnoteReference"/>
        </w:rPr>
        <w:footnoteRef/>
      </w:r>
      <w:r w:rsidRPr="00CF6580">
        <w:t xml:space="preserve"> </w:t>
      </w:r>
      <w:r w:rsidRPr="00CF6580">
        <w:tab/>
      </w:r>
      <w:r w:rsidRPr="00CF6580">
        <w:rPr>
          <w:i/>
        </w:rPr>
        <w:t>Se-Ling Hosiery, Inc. v. Margulies</w:t>
      </w:r>
      <w:r w:rsidRPr="00CF6580">
        <w:t xml:space="preserve">, 364 Pa. 45, 70 A.2d 854 (1950); </w:t>
      </w:r>
      <w:r w:rsidRPr="00CF6580">
        <w:rPr>
          <w:i/>
        </w:rPr>
        <w:t>Thomas v. Metropolitan Edison Co</w:t>
      </w:r>
      <w:r w:rsidRPr="00CF6580">
        <w:t>., PUC Docket No. C-2010-2163584 (Opinion and Order entered October 28, 2011).</w:t>
      </w:r>
    </w:p>
    <w:p w:rsidR="003A6194" w:rsidRPr="00CF6580" w:rsidRDefault="003A6194" w:rsidP="008A0266">
      <w:pPr>
        <w:pStyle w:val="FootnoteText"/>
      </w:pPr>
    </w:p>
  </w:footnote>
  <w:footnote w:id="10">
    <w:p w:rsidR="003A6194" w:rsidRDefault="003A6194" w:rsidP="008A0266">
      <w:pPr>
        <w:pStyle w:val="FootnoteText"/>
      </w:pPr>
      <w:r w:rsidRPr="00CF6580">
        <w:rPr>
          <w:rStyle w:val="FootnoteReference"/>
        </w:rPr>
        <w:footnoteRef/>
      </w:r>
      <w:r w:rsidRPr="00CF6580">
        <w:t xml:space="preserve">  </w:t>
      </w:r>
      <w:r w:rsidRPr="00CF6580">
        <w:tab/>
        <w:t>N.T. 67-70; Salanick Ex. 4.</w:t>
      </w:r>
    </w:p>
    <w:p w:rsidR="003A6194" w:rsidRPr="00CF6580" w:rsidRDefault="003A6194" w:rsidP="008A0266">
      <w:pPr>
        <w:pStyle w:val="FootnoteText"/>
      </w:pPr>
    </w:p>
  </w:footnote>
  <w:footnote w:id="11">
    <w:p w:rsidR="003A6194" w:rsidRDefault="003A6194" w:rsidP="008A0266">
      <w:pPr>
        <w:pStyle w:val="FootnoteText"/>
      </w:pPr>
      <w:r w:rsidRPr="009E308E">
        <w:rPr>
          <w:rStyle w:val="FootnoteReference"/>
        </w:rPr>
        <w:footnoteRef/>
      </w:r>
      <w:r w:rsidRPr="009E308E">
        <w:t xml:space="preserve"> </w:t>
      </w:r>
      <w:r w:rsidRPr="009E308E">
        <w:tab/>
        <w:t>Adamovich Exs. G, H.</w:t>
      </w:r>
    </w:p>
    <w:p w:rsidR="003A6194" w:rsidRPr="009E308E" w:rsidRDefault="003A6194" w:rsidP="008A0266">
      <w:pPr>
        <w:pStyle w:val="FootnoteText"/>
      </w:pPr>
    </w:p>
  </w:footnote>
  <w:footnote w:id="12">
    <w:p w:rsidR="003A6194" w:rsidRDefault="003A6194" w:rsidP="008A0266">
      <w:pPr>
        <w:pStyle w:val="FootnoteText"/>
      </w:pPr>
      <w:r w:rsidRPr="009E308E">
        <w:rPr>
          <w:rStyle w:val="FootnoteReference"/>
        </w:rPr>
        <w:footnoteRef/>
      </w:r>
      <w:r w:rsidRPr="009E308E">
        <w:t xml:space="preserve"> </w:t>
      </w:r>
      <w:r w:rsidRPr="009E308E">
        <w:tab/>
      </w:r>
      <w:r w:rsidRPr="009E308E">
        <w:rPr>
          <w:i/>
        </w:rPr>
        <w:t>E.g</w:t>
      </w:r>
      <w:r w:rsidRPr="009E308E">
        <w:t>., N.T. 57-</w:t>
      </w:r>
      <w:r w:rsidR="006A3247">
        <w:t>59</w:t>
      </w:r>
      <w:r w:rsidRPr="009E308E">
        <w:t xml:space="preserve">. </w:t>
      </w:r>
      <w:r w:rsidR="006A3247">
        <w:t xml:space="preserve"> </w:t>
      </w:r>
      <w:r w:rsidRPr="009E308E">
        <w:t>See also Interim Order Granting Motion to Consolidate at footnote 6.</w:t>
      </w:r>
    </w:p>
    <w:p w:rsidR="003A6194" w:rsidRPr="009E308E" w:rsidRDefault="003A6194" w:rsidP="008A0266">
      <w:pPr>
        <w:pStyle w:val="FootnoteText"/>
      </w:pPr>
    </w:p>
  </w:footnote>
  <w:footnote w:id="13">
    <w:p w:rsidR="003A6194" w:rsidRDefault="003A6194" w:rsidP="008A0266">
      <w:pPr>
        <w:pStyle w:val="FootnoteText"/>
      </w:pPr>
      <w:r w:rsidRPr="009E308E">
        <w:rPr>
          <w:rStyle w:val="FootnoteReference"/>
        </w:rPr>
        <w:footnoteRef/>
      </w:r>
      <w:r w:rsidRPr="009E308E">
        <w:t xml:space="preserve"> </w:t>
      </w:r>
      <w:r w:rsidRPr="009E308E">
        <w:tab/>
      </w:r>
      <w:r w:rsidRPr="009E308E">
        <w:rPr>
          <w:i/>
        </w:rPr>
        <w:t>Feingold v. Bell of Pa</w:t>
      </w:r>
      <w:r w:rsidRPr="006A3247">
        <w:t>.,</w:t>
      </w:r>
      <w:r w:rsidRPr="009E308E">
        <w:t xml:space="preserve"> 383 A.2d 791 (Pa. 1977); </w:t>
      </w:r>
      <w:r w:rsidRPr="009E308E">
        <w:rPr>
          <w:i/>
        </w:rPr>
        <w:t>Allegheny County Port Authority v. Pa. P.U.C.</w:t>
      </w:r>
      <w:r w:rsidRPr="009E308E">
        <w:t xml:space="preserve">, 237 A.2d 602 (Pa. 1967). </w:t>
      </w:r>
      <w:r w:rsidR="006A3247">
        <w:t xml:space="preserve"> </w:t>
      </w:r>
      <w:r w:rsidRPr="009E308E">
        <w:t xml:space="preserve">See also </w:t>
      </w:r>
      <w:hyperlink r:id="rId1" w:history="1">
        <w:r w:rsidRPr="009E308E">
          <w:rPr>
            <w:i/>
          </w:rPr>
          <w:t>Department of Environmental Resources v. Butler County Mushroom Farm</w:t>
        </w:r>
        <w:r w:rsidRPr="009E308E">
          <w:t>, 454 A.2d 1, 4 (Pa. 1982</w:t>
        </w:r>
      </w:hyperlink>
      <w:r w:rsidR="006A3247">
        <w:t>);</w:t>
      </w:r>
      <w:r w:rsidRPr="009E308E">
        <w:t xml:space="preserve"> and </w:t>
      </w:r>
      <w:hyperlink r:id="rId2" w:history="1">
        <w:r w:rsidRPr="009E308E">
          <w:rPr>
            <w:i/>
          </w:rPr>
          <w:t>Pequea Township v. Department of Environmental Protection</w:t>
        </w:r>
        <w:r w:rsidRPr="009E308E">
          <w:t>, 716 A.2d 678, 686 (Pa. Cmwlth. 1998).</w:t>
        </w:r>
      </w:hyperlink>
    </w:p>
    <w:p w:rsidR="006A3247" w:rsidRPr="009E308E" w:rsidRDefault="006A3247" w:rsidP="008A0266">
      <w:pPr>
        <w:pStyle w:val="FootnoteText"/>
      </w:pPr>
    </w:p>
  </w:footnote>
  <w:footnote w:id="14">
    <w:p w:rsidR="003A6194" w:rsidRDefault="003A6194" w:rsidP="008A0266">
      <w:pPr>
        <w:pStyle w:val="FootnoteText"/>
        <w:rPr>
          <w:i/>
        </w:rPr>
      </w:pPr>
      <w:r w:rsidRPr="009E308E">
        <w:rPr>
          <w:rStyle w:val="FootnoteReference"/>
        </w:rPr>
        <w:footnoteRef/>
      </w:r>
      <w:r w:rsidRPr="009E308E">
        <w:t xml:space="preserve"> </w:t>
      </w:r>
      <w:r w:rsidRPr="009E308E">
        <w:tab/>
      </w:r>
      <w:r w:rsidRPr="00F21D37">
        <w:rPr>
          <w:i/>
        </w:rPr>
        <w:t>Terminato v. Pa. National Insurance Co.</w:t>
      </w:r>
      <w:r w:rsidRPr="009E308E">
        <w:t xml:space="preserve">, 645 A.2d 1287 (Pa. 1994); </w:t>
      </w:r>
      <w:r w:rsidRPr="00F21D37">
        <w:rPr>
          <w:i/>
        </w:rPr>
        <w:t>Elkin v. Bell Tel. Co. of Pa.</w:t>
      </w:r>
      <w:r w:rsidRPr="009E308E">
        <w:t xml:space="preserve">, 420 A.2d 371 (Pa. 1980); </w:t>
      </w:r>
      <w:r w:rsidRPr="00F21D37">
        <w:rPr>
          <w:i/>
        </w:rPr>
        <w:t>Feingold v. Bell Tel. Co. of Pa.</w:t>
      </w:r>
      <w:r w:rsidRPr="009E308E">
        <w:t xml:space="preserve">, 383 A.2d 791 (Pa. 1977); </w:t>
      </w:r>
      <w:r w:rsidRPr="00F21D37">
        <w:rPr>
          <w:i/>
        </w:rPr>
        <w:t>Poorbaugh v. Pennsylvania Public Utility Commission</w:t>
      </w:r>
      <w:r w:rsidRPr="009E308E">
        <w:t xml:space="preserve">, 666 A.2d 744 (Pa. Cmwlth. 1995).  See also </w:t>
      </w:r>
      <w:r w:rsidRPr="00F22054">
        <w:rPr>
          <w:i/>
        </w:rPr>
        <w:t>Pettko v. P</w:t>
      </w:r>
      <w:r w:rsidR="00390E30">
        <w:rPr>
          <w:i/>
        </w:rPr>
        <w:t>a. Am. Water Co.</w:t>
      </w:r>
      <w:r w:rsidR="00390E30" w:rsidRPr="00073B33">
        <w:t>,</w:t>
      </w:r>
      <w:r w:rsidR="00390E30">
        <w:rPr>
          <w:i/>
        </w:rPr>
        <w:t xml:space="preserve"> </w:t>
      </w:r>
      <w:r w:rsidR="00390E30" w:rsidRPr="00073B33">
        <w:t>2012 Pa. Commw. LEXIS 26 (Pa. Commw. Ct., Jan. 13, 2012).</w:t>
      </w:r>
      <w:r w:rsidR="00390E30">
        <w:rPr>
          <w:i/>
        </w:rPr>
        <w:t xml:space="preserve"> </w:t>
      </w:r>
    </w:p>
    <w:p w:rsidR="00390E30" w:rsidRPr="009E308E" w:rsidRDefault="00390E30" w:rsidP="008A0266">
      <w:pPr>
        <w:pStyle w:val="FootnoteText"/>
      </w:pPr>
    </w:p>
  </w:footnote>
  <w:footnote w:id="15">
    <w:p w:rsidR="003A6194" w:rsidRPr="009E308E" w:rsidRDefault="003A6194" w:rsidP="008A0266">
      <w:pPr>
        <w:pStyle w:val="FootnoteText"/>
      </w:pPr>
      <w:r w:rsidRPr="009E308E">
        <w:rPr>
          <w:rStyle w:val="FootnoteReference"/>
        </w:rPr>
        <w:footnoteRef/>
      </w:r>
      <w:r w:rsidRPr="009E308E">
        <w:t xml:space="preserve"> </w:t>
      </w:r>
      <w:r w:rsidRPr="009E308E">
        <w:tab/>
        <w:t>66 Pa. C.S. §§ 501, 1501.</w:t>
      </w:r>
    </w:p>
  </w:footnote>
  <w:footnote w:id="16">
    <w:p w:rsidR="003A6194" w:rsidRDefault="003A6194" w:rsidP="008A0266">
      <w:pPr>
        <w:pStyle w:val="FootnoteText"/>
      </w:pPr>
      <w:r w:rsidRPr="0003678A">
        <w:rPr>
          <w:rStyle w:val="FootnoteReference"/>
        </w:rPr>
        <w:footnoteRef/>
      </w:r>
      <w:r w:rsidRPr="0003678A">
        <w:t xml:space="preserve"> </w:t>
      </w:r>
      <w:r w:rsidRPr="0003678A">
        <w:tab/>
        <w:t>66 Pa. C.S. § 3301.</w:t>
      </w:r>
    </w:p>
    <w:p w:rsidR="003A6194" w:rsidRPr="0003678A" w:rsidRDefault="003A6194" w:rsidP="008A0266">
      <w:pPr>
        <w:pStyle w:val="FootnoteText"/>
      </w:pPr>
    </w:p>
  </w:footnote>
  <w:footnote w:id="17">
    <w:p w:rsidR="003A6194" w:rsidRDefault="003A6194" w:rsidP="008A0266">
      <w:pPr>
        <w:pStyle w:val="FootnoteText"/>
      </w:pPr>
      <w:r w:rsidRPr="0003678A">
        <w:rPr>
          <w:rStyle w:val="FootnoteReference"/>
        </w:rPr>
        <w:footnoteRef/>
      </w:r>
      <w:r w:rsidRPr="0003678A">
        <w:tab/>
        <w:t xml:space="preserve">66 Pa. C.S. § 102 (defining “service”); </w:t>
      </w:r>
      <w:r w:rsidRPr="0003678A">
        <w:rPr>
          <w:i/>
        </w:rPr>
        <w:t>West Penn Power Co. v. Pa. P.U.C.,</w:t>
      </w:r>
      <w:r w:rsidRPr="0003678A">
        <w:t xml:space="preserve"> 578 A.2d 75 (Pa. Cmwlth. 1990); </w:t>
      </w:r>
      <w:r w:rsidRPr="0003678A">
        <w:rPr>
          <w:i/>
        </w:rPr>
        <w:t>McCall v. Pennsylvania Electric Company</w:t>
      </w:r>
      <w:r w:rsidRPr="0003678A">
        <w:t>, PUC Docket No. C-2009-2105240 (Initial Decision issued February 25, 2010).</w:t>
      </w:r>
    </w:p>
    <w:p w:rsidR="003A6194" w:rsidRPr="0003678A" w:rsidRDefault="003A6194" w:rsidP="008A0266">
      <w:pPr>
        <w:pStyle w:val="FootnoteText"/>
      </w:pPr>
    </w:p>
  </w:footnote>
  <w:footnote w:id="18">
    <w:p w:rsidR="003A6194" w:rsidRDefault="003A6194" w:rsidP="008A0266">
      <w:pPr>
        <w:pStyle w:val="FootnoteText"/>
      </w:pPr>
      <w:r w:rsidRPr="0003678A">
        <w:rPr>
          <w:rStyle w:val="FootnoteReference"/>
        </w:rPr>
        <w:footnoteRef/>
      </w:r>
      <w:r w:rsidRPr="0003678A">
        <w:t xml:space="preserve"> </w:t>
      </w:r>
      <w:r w:rsidRPr="0003678A">
        <w:tab/>
      </w:r>
      <w:r w:rsidRPr="004A1C94">
        <w:rPr>
          <w:i/>
        </w:rPr>
        <w:t>West Penn Power Co.</w:t>
      </w:r>
    </w:p>
    <w:p w:rsidR="004A1C94" w:rsidRPr="0003678A" w:rsidRDefault="004A1C94" w:rsidP="008A0266">
      <w:pPr>
        <w:pStyle w:val="FootnoteText"/>
      </w:pPr>
    </w:p>
  </w:footnote>
  <w:footnote w:id="19">
    <w:p w:rsidR="003A6194" w:rsidRDefault="003A6194" w:rsidP="008A0266">
      <w:pPr>
        <w:pStyle w:val="FootnoteText"/>
      </w:pPr>
      <w:r w:rsidRPr="00A64B1F">
        <w:rPr>
          <w:rStyle w:val="FootnoteReference"/>
        </w:rPr>
        <w:footnoteRef/>
      </w:r>
      <w:r w:rsidRPr="00A64B1F">
        <w:t xml:space="preserve">  </w:t>
      </w:r>
      <w:r w:rsidRPr="00A64B1F">
        <w:tab/>
        <w:t>66 Pa. C.S. § 1501.</w:t>
      </w:r>
    </w:p>
    <w:p w:rsidR="003A6194" w:rsidRPr="00A64B1F" w:rsidRDefault="003A6194" w:rsidP="008A0266">
      <w:pPr>
        <w:pStyle w:val="FootnoteText"/>
      </w:pPr>
    </w:p>
  </w:footnote>
  <w:footnote w:id="20">
    <w:p w:rsidR="003A6194" w:rsidRDefault="003A6194" w:rsidP="008A0266">
      <w:pPr>
        <w:pStyle w:val="FootnoteText"/>
      </w:pPr>
      <w:r w:rsidRPr="00A64B1F">
        <w:rPr>
          <w:rStyle w:val="FootnoteReference"/>
        </w:rPr>
        <w:footnoteRef/>
      </w:r>
      <w:r w:rsidRPr="00A64B1F">
        <w:t xml:space="preserve">  </w:t>
      </w:r>
      <w:r w:rsidRPr="00A64B1F">
        <w:tab/>
      </w:r>
      <w:r w:rsidRPr="00931E61">
        <w:rPr>
          <w:i/>
        </w:rPr>
        <w:t>West Penn Power Co. v. Pa. Public Util. Comm’n</w:t>
      </w:r>
      <w:r w:rsidRPr="00A64B1F">
        <w:t>, 478 A.2d 947, 949 (Pa. Commwlth. 1984).</w:t>
      </w:r>
    </w:p>
    <w:p w:rsidR="003A6194" w:rsidRPr="00A64B1F" w:rsidRDefault="003A6194" w:rsidP="008A0266">
      <w:pPr>
        <w:pStyle w:val="FootnoteText"/>
      </w:pPr>
    </w:p>
  </w:footnote>
  <w:footnote w:id="21">
    <w:p w:rsidR="003A6194" w:rsidRDefault="003A6194" w:rsidP="008A0266">
      <w:pPr>
        <w:pStyle w:val="FootnoteText"/>
      </w:pPr>
      <w:r w:rsidRPr="00A64B1F">
        <w:rPr>
          <w:rStyle w:val="FootnoteReference"/>
        </w:rPr>
        <w:footnoteRef/>
      </w:r>
      <w:r w:rsidRPr="00A64B1F">
        <w:t xml:space="preserve">  </w:t>
      </w:r>
      <w:r w:rsidRPr="00A64B1F">
        <w:tab/>
      </w:r>
      <w:r w:rsidRPr="00A64B1F">
        <w:rPr>
          <w:i/>
        </w:rPr>
        <w:t>Re Metropolitan Edison Company</w:t>
      </w:r>
      <w:r w:rsidRPr="00A64B1F">
        <w:t>, 80 Pa. PUC 663, 672 (1993).</w:t>
      </w:r>
    </w:p>
    <w:p w:rsidR="003A6194" w:rsidRPr="00A64B1F" w:rsidRDefault="003A6194" w:rsidP="008A0266">
      <w:pPr>
        <w:pStyle w:val="FootnoteText"/>
      </w:pPr>
    </w:p>
  </w:footnote>
  <w:footnote w:id="22">
    <w:p w:rsidR="003A6194" w:rsidRDefault="003A6194" w:rsidP="008A0266">
      <w:pPr>
        <w:pStyle w:val="FootnoteText"/>
      </w:pPr>
      <w:r w:rsidRPr="00A64B1F">
        <w:rPr>
          <w:rStyle w:val="FootnoteReference"/>
        </w:rPr>
        <w:footnoteRef/>
      </w:r>
      <w:r w:rsidRPr="00A64B1F">
        <w:t xml:space="preserve"> </w:t>
      </w:r>
      <w:r w:rsidRPr="00A64B1F">
        <w:tab/>
      </w:r>
      <w:r w:rsidRPr="00A64B1F">
        <w:rPr>
          <w:i/>
        </w:rPr>
        <w:t>Scherich v. Verizon Pennsylvania Inc.</w:t>
      </w:r>
      <w:r w:rsidRPr="00A64B1F">
        <w:t>, PUC Docket Nos. C-2008-2061244, C-2008</w:t>
      </w:r>
      <w:r w:rsidR="00373075">
        <w:t>-</w:t>
      </w:r>
      <w:r w:rsidRPr="00A64B1F">
        <w:t>2068818 (Final Order January 28, 2010).</w:t>
      </w:r>
    </w:p>
    <w:p w:rsidR="003A6194" w:rsidRPr="00A64B1F" w:rsidRDefault="003A6194" w:rsidP="008A0266">
      <w:pPr>
        <w:pStyle w:val="FootnoteText"/>
      </w:pPr>
    </w:p>
  </w:footnote>
  <w:footnote w:id="23">
    <w:p w:rsidR="003A6194" w:rsidRPr="00A64B1F" w:rsidRDefault="003A6194" w:rsidP="008A0266">
      <w:pPr>
        <w:pStyle w:val="FootnoteText"/>
      </w:pPr>
      <w:r w:rsidRPr="00A64B1F">
        <w:rPr>
          <w:rStyle w:val="FootnoteReference"/>
        </w:rPr>
        <w:footnoteRef/>
      </w:r>
      <w:r w:rsidRPr="00A64B1F">
        <w:t xml:space="preserve">  </w:t>
      </w:r>
      <w:r w:rsidRPr="00A64B1F">
        <w:tab/>
      </w:r>
      <w:r w:rsidRPr="004A1C94">
        <w:rPr>
          <w:i/>
        </w:rPr>
        <w:t>Id</w:t>
      </w:r>
      <w:r w:rsidRPr="00A64B1F">
        <w:t>.</w:t>
      </w:r>
    </w:p>
  </w:footnote>
  <w:footnote w:id="24">
    <w:p w:rsidR="003A6194" w:rsidRPr="00A64B1F" w:rsidRDefault="003A6194" w:rsidP="008A0266">
      <w:pPr>
        <w:pStyle w:val="FootnoteText"/>
      </w:pPr>
      <w:r w:rsidRPr="00A64B1F">
        <w:rPr>
          <w:rStyle w:val="FootnoteReference"/>
        </w:rPr>
        <w:footnoteRef/>
      </w:r>
      <w:r w:rsidRPr="00A64B1F">
        <w:t xml:space="preserve">  </w:t>
      </w:r>
      <w:r w:rsidRPr="00A64B1F">
        <w:tab/>
        <w:t>52 Pa. Code § 57.198(n)(1).</w:t>
      </w:r>
    </w:p>
  </w:footnote>
  <w:footnote w:id="25">
    <w:p w:rsidR="003A6194" w:rsidRPr="00A64B1F" w:rsidRDefault="003A6194" w:rsidP="008A0266">
      <w:pPr>
        <w:pStyle w:val="FootnoteText"/>
      </w:pPr>
      <w:r w:rsidRPr="00A64B1F">
        <w:rPr>
          <w:rStyle w:val="FootnoteReference"/>
        </w:rPr>
        <w:footnoteRef/>
      </w:r>
      <w:r w:rsidRPr="00A64B1F">
        <w:t xml:space="preserve"> </w:t>
      </w:r>
      <w:r w:rsidRPr="00A64B1F">
        <w:tab/>
      </w:r>
      <w:r w:rsidRPr="00A64B1F">
        <w:rPr>
          <w:i/>
        </w:rPr>
        <w:t>Bertsch v. PPL Electric Utilities Corporation,</w:t>
      </w:r>
      <w:r w:rsidRPr="00A64B1F">
        <w:t xml:space="preserve"> PUC Docket No. C-2011-2251784 (Final Order entered April 2,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7662838"/>
    <w:lvl w:ilvl="0">
      <w:start w:val="1"/>
      <w:numFmt w:val="decimal"/>
      <w:pStyle w:val="ListNumber"/>
      <w:lvlText w:val="%1."/>
      <w:lvlJc w:val="left"/>
      <w:pPr>
        <w:tabs>
          <w:tab w:val="num" w:pos="360"/>
        </w:tabs>
        <w:ind w:left="360" w:hanging="360"/>
      </w:pPr>
    </w:lvl>
  </w:abstractNum>
  <w:abstractNum w:abstractNumId="1">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85909"/>
    <w:multiLevelType w:val="hybridMultilevel"/>
    <w:tmpl w:val="5C7C7E76"/>
    <w:lvl w:ilvl="0" w:tplc="453687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63FA4"/>
    <w:multiLevelType w:val="hybridMultilevel"/>
    <w:tmpl w:val="D370EFC2"/>
    <w:lvl w:ilvl="0" w:tplc="7376D52C">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7AC33F0"/>
    <w:multiLevelType w:val="hybridMultilevel"/>
    <w:tmpl w:val="5B4E3BF8"/>
    <w:lvl w:ilvl="0" w:tplc="0A90888A">
      <w:start w:val="1"/>
      <w:numFmt w:val="decimal"/>
      <w:pStyle w:val="StyleListParagraph12ptLinespacing15line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AB1600"/>
    <w:multiLevelType w:val="hybridMultilevel"/>
    <w:tmpl w:val="874283D0"/>
    <w:lvl w:ilvl="0" w:tplc="61988D6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09B4815"/>
    <w:multiLevelType w:val="hybridMultilevel"/>
    <w:tmpl w:val="31A2A41A"/>
    <w:lvl w:ilvl="0" w:tplc="064253C2">
      <w:start w:val="1"/>
      <w:numFmt w:val="decimal"/>
      <w:lvlText w:val="%1."/>
      <w:lvlJc w:val="left"/>
      <w:pPr>
        <w:ind w:left="1530" w:hanging="360"/>
      </w:pPr>
      <w:rPr>
        <w:rFonts w:ascii="Times New Roman" w:hAnsi="Times New Roman" w:hint="default"/>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434A3641"/>
    <w:multiLevelType w:val="hybridMultilevel"/>
    <w:tmpl w:val="3EF6CCCE"/>
    <w:lvl w:ilvl="0" w:tplc="468E3B2A">
      <w:start w:val="1"/>
      <w:numFmt w:val="decimal"/>
      <w:lvlText w:val="%1."/>
      <w:lvlJc w:val="left"/>
      <w:pPr>
        <w:ind w:left="3660" w:hanging="22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438869B3"/>
    <w:multiLevelType w:val="hybridMultilevel"/>
    <w:tmpl w:val="048EFC0E"/>
    <w:lvl w:ilvl="0" w:tplc="9FA885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734C1E"/>
    <w:multiLevelType w:val="hybridMultilevel"/>
    <w:tmpl w:val="2C066412"/>
    <w:lvl w:ilvl="0" w:tplc="3FCA947C">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5B2A33A9"/>
    <w:multiLevelType w:val="multilevel"/>
    <w:tmpl w:val="55B21D02"/>
    <w:lvl w:ilvl="0">
      <w:start w:val="1"/>
      <w:numFmt w:val="upperRoman"/>
      <w:pStyle w:val="Pleading1L1"/>
      <w:lvlText w:val="%1."/>
      <w:lvlJc w:val="left"/>
      <w:pPr>
        <w:tabs>
          <w:tab w:val="num" w:pos="720"/>
        </w:tabs>
        <w:ind w:left="72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Restart w:val="0"/>
      <w:pStyle w:val="Pleading1L2"/>
      <w:lvlText w:val="%2."/>
      <w:lvlJc w:val="left"/>
      <w:pPr>
        <w:tabs>
          <w:tab w:val="num" w:pos="1440"/>
        </w:tabs>
        <w:ind w:left="0" w:firstLine="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1L3"/>
      <w:lvlText w:val="%3."/>
      <w:lvlJc w:val="left"/>
      <w:pPr>
        <w:tabs>
          <w:tab w:val="num" w:pos="1680"/>
        </w:tabs>
        <w:ind w:left="-48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leading1L4"/>
      <w:lvlText w:val="%4."/>
      <w:lvlJc w:val="left"/>
      <w:pPr>
        <w:tabs>
          <w:tab w:val="num" w:pos="2880"/>
        </w:tabs>
        <w:ind w:left="72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Pleading1L5"/>
      <w:lvlText w:val="(%5)"/>
      <w:lvlJc w:val="left"/>
      <w:pPr>
        <w:tabs>
          <w:tab w:val="num" w:pos="3600"/>
        </w:tabs>
        <w:ind w:left="144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65BE7956"/>
    <w:multiLevelType w:val="hybridMultilevel"/>
    <w:tmpl w:val="6CDA701E"/>
    <w:lvl w:ilvl="0" w:tplc="EA6CCD96">
      <w:start w:val="1"/>
      <w:numFmt w:val="decimal"/>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798704F2"/>
    <w:multiLevelType w:val="hybridMultilevel"/>
    <w:tmpl w:val="430226EC"/>
    <w:name w:val="zzmpPleading1||Pleading1 |2|1|1|1|0|45||1|0|36||1|0|32||1|0|32||1|0|32||1|0|32||1|0|32||1|0|32||1|0|32||"/>
    <w:lvl w:ilvl="0" w:tplc="7A686134">
      <w:start w:val="1"/>
      <w:numFmt w:val="decimal"/>
      <w:lvlText w:val="%1."/>
      <w:lvlJc w:val="left"/>
      <w:pPr>
        <w:ind w:left="3240" w:hanging="360"/>
      </w:pPr>
    </w:lvl>
    <w:lvl w:ilvl="1" w:tplc="64D26902" w:tentative="1">
      <w:start w:val="1"/>
      <w:numFmt w:val="lowerLetter"/>
      <w:lvlText w:val="%2."/>
      <w:lvlJc w:val="left"/>
      <w:pPr>
        <w:ind w:left="3960" w:hanging="360"/>
      </w:pPr>
    </w:lvl>
    <w:lvl w:ilvl="2" w:tplc="06649CD0" w:tentative="1">
      <w:start w:val="1"/>
      <w:numFmt w:val="lowerRoman"/>
      <w:lvlText w:val="%3."/>
      <w:lvlJc w:val="right"/>
      <w:pPr>
        <w:ind w:left="4680" w:hanging="180"/>
      </w:pPr>
    </w:lvl>
    <w:lvl w:ilvl="3" w:tplc="41FE40CE" w:tentative="1">
      <w:start w:val="1"/>
      <w:numFmt w:val="decimal"/>
      <w:lvlText w:val="%4."/>
      <w:lvlJc w:val="left"/>
      <w:pPr>
        <w:ind w:left="5400" w:hanging="360"/>
      </w:pPr>
    </w:lvl>
    <w:lvl w:ilvl="4" w:tplc="7C02D63C" w:tentative="1">
      <w:start w:val="1"/>
      <w:numFmt w:val="lowerLetter"/>
      <w:lvlText w:val="%5."/>
      <w:lvlJc w:val="left"/>
      <w:pPr>
        <w:ind w:left="6120" w:hanging="360"/>
      </w:pPr>
    </w:lvl>
    <w:lvl w:ilvl="5" w:tplc="7C485B18" w:tentative="1">
      <w:start w:val="1"/>
      <w:numFmt w:val="lowerRoman"/>
      <w:lvlText w:val="%6."/>
      <w:lvlJc w:val="right"/>
      <w:pPr>
        <w:ind w:left="6840" w:hanging="180"/>
      </w:pPr>
    </w:lvl>
    <w:lvl w:ilvl="6" w:tplc="06D6962C" w:tentative="1">
      <w:start w:val="1"/>
      <w:numFmt w:val="decimal"/>
      <w:lvlText w:val="%7."/>
      <w:lvlJc w:val="left"/>
      <w:pPr>
        <w:ind w:left="7560" w:hanging="360"/>
      </w:pPr>
    </w:lvl>
    <w:lvl w:ilvl="7" w:tplc="88521518" w:tentative="1">
      <w:start w:val="1"/>
      <w:numFmt w:val="lowerLetter"/>
      <w:lvlText w:val="%8."/>
      <w:lvlJc w:val="left"/>
      <w:pPr>
        <w:ind w:left="8280" w:hanging="360"/>
      </w:pPr>
    </w:lvl>
    <w:lvl w:ilvl="8" w:tplc="869C7DA2" w:tentative="1">
      <w:start w:val="1"/>
      <w:numFmt w:val="lowerRoman"/>
      <w:lvlText w:val="%9."/>
      <w:lvlJc w:val="right"/>
      <w:pPr>
        <w:ind w:left="9000" w:hanging="180"/>
      </w:pPr>
    </w:lvl>
  </w:abstractNum>
  <w:num w:numId="1">
    <w:abstractNumId w:val="3"/>
  </w:num>
  <w:num w:numId="2">
    <w:abstractNumId w:val="1"/>
  </w:num>
  <w:num w:numId="3">
    <w:abstractNumId w:val="9"/>
  </w:num>
  <w:num w:numId="4">
    <w:abstractNumId w:val="10"/>
  </w:num>
  <w:num w:numId="5">
    <w:abstractNumId w:val="13"/>
  </w:num>
  <w:num w:numId="6">
    <w:abstractNumId w:val="11"/>
  </w:num>
  <w:num w:numId="7">
    <w:abstractNumId w:val="0"/>
  </w:num>
  <w:num w:numId="8">
    <w:abstractNumId w:val="6"/>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D64"/>
    <w:rsid w:val="00000FF5"/>
    <w:rsid w:val="00003003"/>
    <w:rsid w:val="0001124B"/>
    <w:rsid w:val="0001297E"/>
    <w:rsid w:val="00015065"/>
    <w:rsid w:val="0001597C"/>
    <w:rsid w:val="00023638"/>
    <w:rsid w:val="00036C6D"/>
    <w:rsid w:val="000437A0"/>
    <w:rsid w:val="00055BAD"/>
    <w:rsid w:val="000610CD"/>
    <w:rsid w:val="0007317F"/>
    <w:rsid w:val="00073B33"/>
    <w:rsid w:val="00083F2E"/>
    <w:rsid w:val="000863BB"/>
    <w:rsid w:val="0008685B"/>
    <w:rsid w:val="00090258"/>
    <w:rsid w:val="00091068"/>
    <w:rsid w:val="00091509"/>
    <w:rsid w:val="000975A0"/>
    <w:rsid w:val="000A15DB"/>
    <w:rsid w:val="000A339B"/>
    <w:rsid w:val="000B44E4"/>
    <w:rsid w:val="000C2755"/>
    <w:rsid w:val="000C2C16"/>
    <w:rsid w:val="000C55DE"/>
    <w:rsid w:val="000D3668"/>
    <w:rsid w:val="000D4B38"/>
    <w:rsid w:val="000D4FEF"/>
    <w:rsid w:val="000D67FD"/>
    <w:rsid w:val="000E0263"/>
    <w:rsid w:val="000E7EC3"/>
    <w:rsid w:val="000F7742"/>
    <w:rsid w:val="001007DA"/>
    <w:rsid w:val="00103967"/>
    <w:rsid w:val="001050F9"/>
    <w:rsid w:val="00105B01"/>
    <w:rsid w:val="0010637D"/>
    <w:rsid w:val="001169EA"/>
    <w:rsid w:val="00120592"/>
    <w:rsid w:val="001216C2"/>
    <w:rsid w:val="00122C66"/>
    <w:rsid w:val="0012503E"/>
    <w:rsid w:val="001310B9"/>
    <w:rsid w:val="001337BF"/>
    <w:rsid w:val="001375AF"/>
    <w:rsid w:val="001413A2"/>
    <w:rsid w:val="001429E4"/>
    <w:rsid w:val="00144E27"/>
    <w:rsid w:val="00146F7F"/>
    <w:rsid w:val="001529F7"/>
    <w:rsid w:val="00155A74"/>
    <w:rsid w:val="0016449B"/>
    <w:rsid w:val="001837A1"/>
    <w:rsid w:val="001905C6"/>
    <w:rsid w:val="00192509"/>
    <w:rsid w:val="001945B1"/>
    <w:rsid w:val="001A21E9"/>
    <w:rsid w:val="001A4218"/>
    <w:rsid w:val="001B03C8"/>
    <w:rsid w:val="001B176C"/>
    <w:rsid w:val="001B7189"/>
    <w:rsid w:val="001C051F"/>
    <w:rsid w:val="001C102B"/>
    <w:rsid w:val="001C34AC"/>
    <w:rsid w:val="001D1DD6"/>
    <w:rsid w:val="001E203F"/>
    <w:rsid w:val="001E2D14"/>
    <w:rsid w:val="001E2E94"/>
    <w:rsid w:val="001E4DAF"/>
    <w:rsid w:val="001F0F09"/>
    <w:rsid w:val="001F6C7E"/>
    <w:rsid w:val="00207814"/>
    <w:rsid w:val="0021039D"/>
    <w:rsid w:val="00214485"/>
    <w:rsid w:val="0022168C"/>
    <w:rsid w:val="00230F7F"/>
    <w:rsid w:val="002326C8"/>
    <w:rsid w:val="00240673"/>
    <w:rsid w:val="0024243A"/>
    <w:rsid w:val="00246040"/>
    <w:rsid w:val="002522D4"/>
    <w:rsid w:val="00253CF9"/>
    <w:rsid w:val="00261BDD"/>
    <w:rsid w:val="002676FF"/>
    <w:rsid w:val="00272ABD"/>
    <w:rsid w:val="0028123B"/>
    <w:rsid w:val="00293BC3"/>
    <w:rsid w:val="002A634F"/>
    <w:rsid w:val="002B5A13"/>
    <w:rsid w:val="002C4338"/>
    <w:rsid w:val="002C7BDE"/>
    <w:rsid w:val="002D0C73"/>
    <w:rsid w:val="002D6283"/>
    <w:rsid w:val="002E27F0"/>
    <w:rsid w:val="002E6068"/>
    <w:rsid w:val="00303A0A"/>
    <w:rsid w:val="00317BD9"/>
    <w:rsid w:val="003335F7"/>
    <w:rsid w:val="00341861"/>
    <w:rsid w:val="00345EC4"/>
    <w:rsid w:val="00350632"/>
    <w:rsid w:val="00351E8B"/>
    <w:rsid w:val="00355EA7"/>
    <w:rsid w:val="003560A8"/>
    <w:rsid w:val="00357ED9"/>
    <w:rsid w:val="00373075"/>
    <w:rsid w:val="003763E0"/>
    <w:rsid w:val="00376808"/>
    <w:rsid w:val="003857A1"/>
    <w:rsid w:val="00390E30"/>
    <w:rsid w:val="00396E05"/>
    <w:rsid w:val="003A1B83"/>
    <w:rsid w:val="003A41DA"/>
    <w:rsid w:val="003A6194"/>
    <w:rsid w:val="003A79AB"/>
    <w:rsid w:val="003C10B2"/>
    <w:rsid w:val="003C3039"/>
    <w:rsid w:val="003C3A97"/>
    <w:rsid w:val="003C7C56"/>
    <w:rsid w:val="003D284F"/>
    <w:rsid w:val="003D5372"/>
    <w:rsid w:val="003E0746"/>
    <w:rsid w:val="003F3C6F"/>
    <w:rsid w:val="003F6452"/>
    <w:rsid w:val="00404BB0"/>
    <w:rsid w:val="00404CFD"/>
    <w:rsid w:val="00413370"/>
    <w:rsid w:val="00416C25"/>
    <w:rsid w:val="0041757F"/>
    <w:rsid w:val="004229FB"/>
    <w:rsid w:val="004270FC"/>
    <w:rsid w:val="00427DD7"/>
    <w:rsid w:val="00437C6C"/>
    <w:rsid w:val="00443033"/>
    <w:rsid w:val="00443DD5"/>
    <w:rsid w:val="00444146"/>
    <w:rsid w:val="00461358"/>
    <w:rsid w:val="00470A03"/>
    <w:rsid w:val="0048765A"/>
    <w:rsid w:val="00491DB0"/>
    <w:rsid w:val="00496C77"/>
    <w:rsid w:val="004A1C94"/>
    <w:rsid w:val="004A2B17"/>
    <w:rsid w:val="004B7DCB"/>
    <w:rsid w:val="004C00F7"/>
    <w:rsid w:val="004C274F"/>
    <w:rsid w:val="004C509C"/>
    <w:rsid w:val="004D1F03"/>
    <w:rsid w:val="004D3935"/>
    <w:rsid w:val="004D7BCA"/>
    <w:rsid w:val="004E174F"/>
    <w:rsid w:val="004E323B"/>
    <w:rsid w:val="004E5247"/>
    <w:rsid w:val="004E7ABB"/>
    <w:rsid w:val="004F474F"/>
    <w:rsid w:val="00501D89"/>
    <w:rsid w:val="00502C0C"/>
    <w:rsid w:val="0051125D"/>
    <w:rsid w:val="00512D0B"/>
    <w:rsid w:val="00516A01"/>
    <w:rsid w:val="00521712"/>
    <w:rsid w:val="005221D7"/>
    <w:rsid w:val="00522979"/>
    <w:rsid w:val="00535E8C"/>
    <w:rsid w:val="00540E48"/>
    <w:rsid w:val="00541D97"/>
    <w:rsid w:val="005425B0"/>
    <w:rsid w:val="0054772F"/>
    <w:rsid w:val="00560D36"/>
    <w:rsid w:val="005614F5"/>
    <w:rsid w:val="00564DC5"/>
    <w:rsid w:val="00567537"/>
    <w:rsid w:val="005724EB"/>
    <w:rsid w:val="00572B83"/>
    <w:rsid w:val="005843DF"/>
    <w:rsid w:val="005913C3"/>
    <w:rsid w:val="00592FAE"/>
    <w:rsid w:val="00594CBA"/>
    <w:rsid w:val="005A2083"/>
    <w:rsid w:val="005A312C"/>
    <w:rsid w:val="005A62B6"/>
    <w:rsid w:val="005B0567"/>
    <w:rsid w:val="005B5FE1"/>
    <w:rsid w:val="005D28CA"/>
    <w:rsid w:val="005E0F71"/>
    <w:rsid w:val="005E483C"/>
    <w:rsid w:val="005F2EBA"/>
    <w:rsid w:val="005F5E4D"/>
    <w:rsid w:val="005F6194"/>
    <w:rsid w:val="0060682A"/>
    <w:rsid w:val="00611926"/>
    <w:rsid w:val="00611CC3"/>
    <w:rsid w:val="00617E16"/>
    <w:rsid w:val="00622E30"/>
    <w:rsid w:val="00630551"/>
    <w:rsid w:val="00641549"/>
    <w:rsid w:val="0065080A"/>
    <w:rsid w:val="00656869"/>
    <w:rsid w:val="00657CF3"/>
    <w:rsid w:val="006602A5"/>
    <w:rsid w:val="006629ED"/>
    <w:rsid w:val="00662BC4"/>
    <w:rsid w:val="00673B7D"/>
    <w:rsid w:val="006772F0"/>
    <w:rsid w:val="00681321"/>
    <w:rsid w:val="006840FF"/>
    <w:rsid w:val="00686C47"/>
    <w:rsid w:val="00687C61"/>
    <w:rsid w:val="00696D25"/>
    <w:rsid w:val="006978A0"/>
    <w:rsid w:val="006A3247"/>
    <w:rsid w:val="006A6ABB"/>
    <w:rsid w:val="006B2B0A"/>
    <w:rsid w:val="006C04DC"/>
    <w:rsid w:val="006D47EB"/>
    <w:rsid w:val="006D52CA"/>
    <w:rsid w:val="006D5C0F"/>
    <w:rsid w:val="006D741B"/>
    <w:rsid w:val="006E7356"/>
    <w:rsid w:val="006F363F"/>
    <w:rsid w:val="006F66D2"/>
    <w:rsid w:val="006F75EE"/>
    <w:rsid w:val="006F78AD"/>
    <w:rsid w:val="0070171B"/>
    <w:rsid w:val="00702CAA"/>
    <w:rsid w:val="00711324"/>
    <w:rsid w:val="00715495"/>
    <w:rsid w:val="00721434"/>
    <w:rsid w:val="00724CC5"/>
    <w:rsid w:val="00732B9E"/>
    <w:rsid w:val="00737210"/>
    <w:rsid w:val="00741B94"/>
    <w:rsid w:val="00743EFC"/>
    <w:rsid w:val="0074525C"/>
    <w:rsid w:val="0075143F"/>
    <w:rsid w:val="00755A99"/>
    <w:rsid w:val="0076730C"/>
    <w:rsid w:val="00774973"/>
    <w:rsid w:val="0078002A"/>
    <w:rsid w:val="00782F5D"/>
    <w:rsid w:val="007A4346"/>
    <w:rsid w:val="007A7E94"/>
    <w:rsid w:val="007B02A3"/>
    <w:rsid w:val="007C0639"/>
    <w:rsid w:val="007C3513"/>
    <w:rsid w:val="007C4DCD"/>
    <w:rsid w:val="007D3E43"/>
    <w:rsid w:val="007E44F4"/>
    <w:rsid w:val="007E59FD"/>
    <w:rsid w:val="007F0CEF"/>
    <w:rsid w:val="007F5BAB"/>
    <w:rsid w:val="008024E7"/>
    <w:rsid w:val="00802D4A"/>
    <w:rsid w:val="008230AA"/>
    <w:rsid w:val="00823844"/>
    <w:rsid w:val="00825B08"/>
    <w:rsid w:val="00831834"/>
    <w:rsid w:val="008348AD"/>
    <w:rsid w:val="008539B0"/>
    <w:rsid w:val="00855EE7"/>
    <w:rsid w:val="008646FB"/>
    <w:rsid w:val="0086640D"/>
    <w:rsid w:val="0086782E"/>
    <w:rsid w:val="00867DE5"/>
    <w:rsid w:val="008712E3"/>
    <w:rsid w:val="00887FCD"/>
    <w:rsid w:val="008901EE"/>
    <w:rsid w:val="00890CE3"/>
    <w:rsid w:val="00896515"/>
    <w:rsid w:val="008A0266"/>
    <w:rsid w:val="008A356F"/>
    <w:rsid w:val="008B4037"/>
    <w:rsid w:val="008C6598"/>
    <w:rsid w:val="008C65E2"/>
    <w:rsid w:val="008C74C9"/>
    <w:rsid w:val="008E081B"/>
    <w:rsid w:val="008E37C7"/>
    <w:rsid w:val="008E4522"/>
    <w:rsid w:val="008F0A29"/>
    <w:rsid w:val="008F5457"/>
    <w:rsid w:val="009016BE"/>
    <w:rsid w:val="00911CE8"/>
    <w:rsid w:val="00914542"/>
    <w:rsid w:val="0092169E"/>
    <w:rsid w:val="00925CB9"/>
    <w:rsid w:val="00927ED9"/>
    <w:rsid w:val="00931E61"/>
    <w:rsid w:val="00941A50"/>
    <w:rsid w:val="009475FB"/>
    <w:rsid w:val="009501EC"/>
    <w:rsid w:val="009503C8"/>
    <w:rsid w:val="00955913"/>
    <w:rsid w:val="00955CF8"/>
    <w:rsid w:val="0095626F"/>
    <w:rsid w:val="00956EDE"/>
    <w:rsid w:val="00957F34"/>
    <w:rsid w:val="00961C4B"/>
    <w:rsid w:val="00970434"/>
    <w:rsid w:val="00974C25"/>
    <w:rsid w:val="00975F23"/>
    <w:rsid w:val="00985630"/>
    <w:rsid w:val="00986B02"/>
    <w:rsid w:val="009A02EE"/>
    <w:rsid w:val="009A4582"/>
    <w:rsid w:val="009A46E7"/>
    <w:rsid w:val="009A54B4"/>
    <w:rsid w:val="009B38D3"/>
    <w:rsid w:val="009C44A8"/>
    <w:rsid w:val="009C4751"/>
    <w:rsid w:val="009C6F44"/>
    <w:rsid w:val="009E0192"/>
    <w:rsid w:val="009E5506"/>
    <w:rsid w:val="009E7330"/>
    <w:rsid w:val="009E7E70"/>
    <w:rsid w:val="009F0116"/>
    <w:rsid w:val="009F03B9"/>
    <w:rsid w:val="009F1F55"/>
    <w:rsid w:val="009F2FA4"/>
    <w:rsid w:val="009F57C0"/>
    <w:rsid w:val="00A0161B"/>
    <w:rsid w:val="00A07AA1"/>
    <w:rsid w:val="00A12AF6"/>
    <w:rsid w:val="00A13013"/>
    <w:rsid w:val="00A130CF"/>
    <w:rsid w:val="00A17F02"/>
    <w:rsid w:val="00A2078D"/>
    <w:rsid w:val="00A21414"/>
    <w:rsid w:val="00A2234C"/>
    <w:rsid w:val="00A2289C"/>
    <w:rsid w:val="00A27267"/>
    <w:rsid w:val="00A27E30"/>
    <w:rsid w:val="00A334C3"/>
    <w:rsid w:val="00A35649"/>
    <w:rsid w:val="00A367CD"/>
    <w:rsid w:val="00A368EC"/>
    <w:rsid w:val="00A40037"/>
    <w:rsid w:val="00A42E20"/>
    <w:rsid w:val="00A46D93"/>
    <w:rsid w:val="00A47DC6"/>
    <w:rsid w:val="00A52D68"/>
    <w:rsid w:val="00A53A53"/>
    <w:rsid w:val="00A54AF7"/>
    <w:rsid w:val="00A566DD"/>
    <w:rsid w:val="00A60413"/>
    <w:rsid w:val="00A654DC"/>
    <w:rsid w:val="00A72287"/>
    <w:rsid w:val="00A7357D"/>
    <w:rsid w:val="00A74D0D"/>
    <w:rsid w:val="00A76192"/>
    <w:rsid w:val="00A808E2"/>
    <w:rsid w:val="00A82D57"/>
    <w:rsid w:val="00A95553"/>
    <w:rsid w:val="00A96847"/>
    <w:rsid w:val="00AA1F58"/>
    <w:rsid w:val="00AA7F67"/>
    <w:rsid w:val="00AB0727"/>
    <w:rsid w:val="00AB1B9E"/>
    <w:rsid w:val="00AB3996"/>
    <w:rsid w:val="00AB42BD"/>
    <w:rsid w:val="00AC4EA7"/>
    <w:rsid w:val="00AC7910"/>
    <w:rsid w:val="00AD2CFB"/>
    <w:rsid w:val="00AD373A"/>
    <w:rsid w:val="00AD41BC"/>
    <w:rsid w:val="00AE30A3"/>
    <w:rsid w:val="00B03564"/>
    <w:rsid w:val="00B06D1E"/>
    <w:rsid w:val="00B07D49"/>
    <w:rsid w:val="00B07E03"/>
    <w:rsid w:val="00B15510"/>
    <w:rsid w:val="00B24D1E"/>
    <w:rsid w:val="00B313B2"/>
    <w:rsid w:val="00B4153D"/>
    <w:rsid w:val="00B4281E"/>
    <w:rsid w:val="00B5241F"/>
    <w:rsid w:val="00B611A1"/>
    <w:rsid w:val="00B626DC"/>
    <w:rsid w:val="00B64091"/>
    <w:rsid w:val="00B778C0"/>
    <w:rsid w:val="00B8235C"/>
    <w:rsid w:val="00B86ADE"/>
    <w:rsid w:val="00B92D60"/>
    <w:rsid w:val="00BA3A30"/>
    <w:rsid w:val="00BA7659"/>
    <w:rsid w:val="00BA7E2A"/>
    <w:rsid w:val="00BB17C0"/>
    <w:rsid w:val="00BB1F1F"/>
    <w:rsid w:val="00BC2185"/>
    <w:rsid w:val="00BD3F16"/>
    <w:rsid w:val="00BD4B9C"/>
    <w:rsid w:val="00BE16A5"/>
    <w:rsid w:val="00BE1EEA"/>
    <w:rsid w:val="00BE2F5B"/>
    <w:rsid w:val="00BE35B5"/>
    <w:rsid w:val="00BE6195"/>
    <w:rsid w:val="00BE6D1F"/>
    <w:rsid w:val="00BF3E49"/>
    <w:rsid w:val="00BF5020"/>
    <w:rsid w:val="00BF67BB"/>
    <w:rsid w:val="00C0296B"/>
    <w:rsid w:val="00C07890"/>
    <w:rsid w:val="00C1077D"/>
    <w:rsid w:val="00C1117D"/>
    <w:rsid w:val="00C1530F"/>
    <w:rsid w:val="00C23AE5"/>
    <w:rsid w:val="00C27062"/>
    <w:rsid w:val="00C27B64"/>
    <w:rsid w:val="00C27D05"/>
    <w:rsid w:val="00C3344B"/>
    <w:rsid w:val="00C336BD"/>
    <w:rsid w:val="00C33875"/>
    <w:rsid w:val="00C378B1"/>
    <w:rsid w:val="00C50177"/>
    <w:rsid w:val="00C54937"/>
    <w:rsid w:val="00C571CA"/>
    <w:rsid w:val="00C578F6"/>
    <w:rsid w:val="00C64975"/>
    <w:rsid w:val="00C730D6"/>
    <w:rsid w:val="00C829F5"/>
    <w:rsid w:val="00C84388"/>
    <w:rsid w:val="00C940A5"/>
    <w:rsid w:val="00CA51C1"/>
    <w:rsid w:val="00CA7D87"/>
    <w:rsid w:val="00CB28E0"/>
    <w:rsid w:val="00CC0040"/>
    <w:rsid w:val="00CC274A"/>
    <w:rsid w:val="00CC54BC"/>
    <w:rsid w:val="00CD1821"/>
    <w:rsid w:val="00CF413B"/>
    <w:rsid w:val="00CF4243"/>
    <w:rsid w:val="00CF4D64"/>
    <w:rsid w:val="00CF503C"/>
    <w:rsid w:val="00CF584A"/>
    <w:rsid w:val="00D06B3C"/>
    <w:rsid w:val="00D11993"/>
    <w:rsid w:val="00D218FF"/>
    <w:rsid w:val="00D302C2"/>
    <w:rsid w:val="00D30CF0"/>
    <w:rsid w:val="00D40023"/>
    <w:rsid w:val="00D430C9"/>
    <w:rsid w:val="00D4716F"/>
    <w:rsid w:val="00D51307"/>
    <w:rsid w:val="00D528C3"/>
    <w:rsid w:val="00D6049F"/>
    <w:rsid w:val="00D6156D"/>
    <w:rsid w:val="00D6201F"/>
    <w:rsid w:val="00D6473C"/>
    <w:rsid w:val="00D652DF"/>
    <w:rsid w:val="00D7482E"/>
    <w:rsid w:val="00D75FED"/>
    <w:rsid w:val="00D8033D"/>
    <w:rsid w:val="00D82772"/>
    <w:rsid w:val="00D82814"/>
    <w:rsid w:val="00D85AA2"/>
    <w:rsid w:val="00D86D67"/>
    <w:rsid w:val="00D87121"/>
    <w:rsid w:val="00D93BF1"/>
    <w:rsid w:val="00D94619"/>
    <w:rsid w:val="00D95DD4"/>
    <w:rsid w:val="00DB0597"/>
    <w:rsid w:val="00DB0D71"/>
    <w:rsid w:val="00DC058F"/>
    <w:rsid w:val="00DC4DDA"/>
    <w:rsid w:val="00DC50CF"/>
    <w:rsid w:val="00DC7B3E"/>
    <w:rsid w:val="00DD3811"/>
    <w:rsid w:val="00DD436D"/>
    <w:rsid w:val="00DD491F"/>
    <w:rsid w:val="00DD79C6"/>
    <w:rsid w:val="00DE0833"/>
    <w:rsid w:val="00DE63ED"/>
    <w:rsid w:val="00DE6F43"/>
    <w:rsid w:val="00DF18D1"/>
    <w:rsid w:val="00DF68B2"/>
    <w:rsid w:val="00DF7283"/>
    <w:rsid w:val="00E123A4"/>
    <w:rsid w:val="00E152AC"/>
    <w:rsid w:val="00E164CE"/>
    <w:rsid w:val="00E24D16"/>
    <w:rsid w:val="00E277D1"/>
    <w:rsid w:val="00E41FF0"/>
    <w:rsid w:val="00E444DD"/>
    <w:rsid w:val="00E45BC0"/>
    <w:rsid w:val="00E529BE"/>
    <w:rsid w:val="00E61541"/>
    <w:rsid w:val="00E63C6B"/>
    <w:rsid w:val="00E6747D"/>
    <w:rsid w:val="00E7378C"/>
    <w:rsid w:val="00E80C9D"/>
    <w:rsid w:val="00E83162"/>
    <w:rsid w:val="00E85D64"/>
    <w:rsid w:val="00E948FD"/>
    <w:rsid w:val="00EA22C1"/>
    <w:rsid w:val="00EA58A8"/>
    <w:rsid w:val="00EB5FB2"/>
    <w:rsid w:val="00EB68DB"/>
    <w:rsid w:val="00EC6592"/>
    <w:rsid w:val="00EC7305"/>
    <w:rsid w:val="00ED0502"/>
    <w:rsid w:val="00ED0B1D"/>
    <w:rsid w:val="00ED2512"/>
    <w:rsid w:val="00ED3B5B"/>
    <w:rsid w:val="00ED6696"/>
    <w:rsid w:val="00ED6888"/>
    <w:rsid w:val="00EE2EAA"/>
    <w:rsid w:val="00EF7336"/>
    <w:rsid w:val="00EF7B3D"/>
    <w:rsid w:val="00F02536"/>
    <w:rsid w:val="00F10C36"/>
    <w:rsid w:val="00F14F89"/>
    <w:rsid w:val="00F21D37"/>
    <w:rsid w:val="00F22054"/>
    <w:rsid w:val="00F32AFA"/>
    <w:rsid w:val="00F348F9"/>
    <w:rsid w:val="00F4646E"/>
    <w:rsid w:val="00F576D6"/>
    <w:rsid w:val="00F629C1"/>
    <w:rsid w:val="00F65A87"/>
    <w:rsid w:val="00F7740B"/>
    <w:rsid w:val="00F82022"/>
    <w:rsid w:val="00F85A41"/>
    <w:rsid w:val="00F872D5"/>
    <w:rsid w:val="00F92A4F"/>
    <w:rsid w:val="00F92FCA"/>
    <w:rsid w:val="00F93D90"/>
    <w:rsid w:val="00FA16D5"/>
    <w:rsid w:val="00FA5F25"/>
    <w:rsid w:val="00FA6164"/>
    <w:rsid w:val="00FA74CE"/>
    <w:rsid w:val="00FB0200"/>
    <w:rsid w:val="00FB7B50"/>
    <w:rsid w:val="00FC29DE"/>
    <w:rsid w:val="00FC49F7"/>
    <w:rsid w:val="00FD7749"/>
    <w:rsid w:val="00FE2DBB"/>
    <w:rsid w:val="00FE4C2F"/>
    <w:rsid w:val="00FE79D5"/>
    <w:rsid w:val="00FF306F"/>
    <w:rsid w:val="00FF45A2"/>
    <w:rsid w:val="00FF50F4"/>
    <w:rsid w:val="00FF5162"/>
    <w:rsid w:val="00FF7B9A"/>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BC"/>
    <w:pPr>
      <w:spacing w:after="0"/>
    </w:pPr>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aliases w:val="Car"/>
    <w:basedOn w:val="Normal"/>
    <w:link w:val="FootnoteTextChar"/>
    <w:autoRedefine/>
    <w:uiPriority w:val="99"/>
    <w:unhideWhenUsed/>
    <w:qFormat/>
    <w:rsid w:val="008A0266"/>
    <w:pPr>
      <w:spacing w:line="240" w:lineRule="auto"/>
      <w:ind w:firstLine="720"/>
    </w:pPr>
    <w:rPr>
      <w:sz w:val="20"/>
    </w:rPr>
  </w:style>
  <w:style w:type="character" w:customStyle="1" w:styleId="FootnoteTextChar">
    <w:name w:val="Footnote Text Char"/>
    <w:aliases w:val="Car Char"/>
    <w:basedOn w:val="DefaultParagraphFont"/>
    <w:link w:val="FootnoteText"/>
    <w:uiPriority w:val="99"/>
    <w:rsid w:val="008A0266"/>
    <w:rPr>
      <w:rFonts w:cs="Times New Roman"/>
      <w:sz w:val="20"/>
      <w:szCs w:val="20"/>
    </w:rPr>
  </w:style>
  <w:style w:type="paragraph" w:styleId="ListParagraph">
    <w:name w:val="List Paragraph"/>
    <w:basedOn w:val="Normal"/>
    <w:autoRedefine/>
    <w:uiPriority w:val="34"/>
    <w:qFormat/>
    <w:rsid w:val="00BD3F16"/>
    <w:pPr>
      <w:numPr>
        <w:numId w:val="8"/>
      </w:numPr>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semiHidden/>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paragraph" w:customStyle="1" w:styleId="IndentedQuote">
    <w:name w:val="Indented Quote"/>
    <w:basedOn w:val="Normal"/>
    <w:qFormat/>
    <w:rsid w:val="005F6194"/>
    <w:pPr>
      <w:spacing w:line="240" w:lineRule="auto"/>
      <w:ind w:left="720" w:right="720"/>
    </w:pPr>
    <w:rPr>
      <w:szCs w:val="24"/>
    </w:rPr>
  </w:style>
  <w:style w:type="paragraph" w:customStyle="1" w:styleId="Indentedquote0">
    <w:name w:val="Indented quote"/>
    <w:basedOn w:val="Normal"/>
    <w:qFormat/>
    <w:rsid w:val="00B03564"/>
    <w:pPr>
      <w:widowControl w:val="0"/>
      <w:autoSpaceDE w:val="0"/>
      <w:autoSpaceDN w:val="0"/>
      <w:adjustRightInd w:val="0"/>
      <w:spacing w:after="120" w:line="240" w:lineRule="auto"/>
      <w:ind w:left="1440" w:right="1440"/>
    </w:pPr>
    <w:rPr>
      <w:szCs w:val="24"/>
    </w:rPr>
  </w:style>
  <w:style w:type="paragraph" w:customStyle="1" w:styleId="TxBrp3">
    <w:name w:val="TxBr_p3"/>
    <w:basedOn w:val="Normal"/>
    <w:rsid w:val="00AB0727"/>
    <w:pPr>
      <w:widowControl w:val="0"/>
      <w:tabs>
        <w:tab w:val="left" w:pos="1474"/>
      </w:tabs>
      <w:autoSpaceDE w:val="0"/>
      <w:autoSpaceDN w:val="0"/>
      <w:adjustRightInd w:val="0"/>
      <w:spacing w:line="425" w:lineRule="atLeast"/>
      <w:ind w:firstLine="1474"/>
    </w:pPr>
    <w:rPr>
      <w:szCs w:val="24"/>
    </w:rPr>
  </w:style>
  <w:style w:type="paragraph" w:customStyle="1" w:styleId="Pleading1L1">
    <w:name w:val="Pleading1_L1"/>
    <w:basedOn w:val="Normal"/>
    <w:rsid w:val="00AB0727"/>
    <w:pPr>
      <w:numPr>
        <w:numId w:val="6"/>
      </w:numPr>
      <w:spacing w:line="480" w:lineRule="auto"/>
      <w:outlineLvl w:val="0"/>
    </w:pPr>
    <w:rPr>
      <w:b/>
      <w:caps/>
      <w:u w:val="single"/>
    </w:rPr>
  </w:style>
  <w:style w:type="paragraph" w:customStyle="1" w:styleId="Pleading1L2">
    <w:name w:val="Pleading1_L2"/>
    <w:basedOn w:val="Pleading1L1"/>
    <w:rsid w:val="00AB0727"/>
    <w:pPr>
      <w:numPr>
        <w:ilvl w:val="1"/>
      </w:numPr>
      <w:outlineLvl w:val="1"/>
    </w:pPr>
    <w:rPr>
      <w:b w:val="0"/>
      <w:caps w:val="0"/>
    </w:rPr>
  </w:style>
  <w:style w:type="paragraph" w:customStyle="1" w:styleId="Pleading1L3">
    <w:name w:val="Pleading1_L3"/>
    <w:basedOn w:val="Pleading1L2"/>
    <w:rsid w:val="00AB0727"/>
    <w:pPr>
      <w:numPr>
        <w:ilvl w:val="2"/>
      </w:numPr>
      <w:outlineLvl w:val="2"/>
    </w:pPr>
    <w:rPr>
      <w:szCs w:val="24"/>
      <w:u w:val="none"/>
    </w:rPr>
  </w:style>
  <w:style w:type="paragraph" w:customStyle="1" w:styleId="Pleading1L4">
    <w:name w:val="Pleading1_L4"/>
    <w:basedOn w:val="Pleading1L3"/>
    <w:rsid w:val="00AB0727"/>
    <w:pPr>
      <w:numPr>
        <w:ilvl w:val="3"/>
      </w:numPr>
      <w:outlineLvl w:val="3"/>
    </w:pPr>
  </w:style>
  <w:style w:type="paragraph" w:customStyle="1" w:styleId="Pleading1L5">
    <w:name w:val="Pleading1_L5"/>
    <w:basedOn w:val="Pleading1L4"/>
    <w:rsid w:val="00AB0727"/>
    <w:pPr>
      <w:numPr>
        <w:ilvl w:val="4"/>
      </w:numPr>
      <w:outlineLvl w:val="4"/>
    </w:pPr>
  </w:style>
  <w:style w:type="paragraph" w:customStyle="1" w:styleId="Pleading1L6">
    <w:name w:val="Pleading1_L6"/>
    <w:basedOn w:val="Pleading1L5"/>
    <w:rsid w:val="00AB0727"/>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AB0727"/>
    <w:pPr>
      <w:numPr>
        <w:ilvl w:val="6"/>
      </w:numPr>
      <w:outlineLvl w:val="6"/>
    </w:pPr>
  </w:style>
  <w:style w:type="paragraph" w:customStyle="1" w:styleId="Pleading1L8">
    <w:name w:val="Pleading1_L8"/>
    <w:basedOn w:val="Pleading1L7"/>
    <w:rsid w:val="00AB0727"/>
    <w:pPr>
      <w:numPr>
        <w:ilvl w:val="7"/>
      </w:numPr>
      <w:outlineLvl w:val="7"/>
    </w:pPr>
  </w:style>
  <w:style w:type="paragraph" w:customStyle="1" w:styleId="Pleading1L9">
    <w:name w:val="Pleading1_L9"/>
    <w:basedOn w:val="Pleading1L8"/>
    <w:rsid w:val="00AB0727"/>
    <w:pPr>
      <w:numPr>
        <w:ilvl w:val="8"/>
      </w:numPr>
      <w:outlineLvl w:val="8"/>
    </w:pPr>
  </w:style>
  <w:style w:type="paragraph" w:styleId="ListNumber">
    <w:name w:val="List Number"/>
    <w:basedOn w:val="Normal"/>
    <w:rsid w:val="00AB0727"/>
    <w:pPr>
      <w:numPr>
        <w:numId w:val="7"/>
      </w:numPr>
      <w:tabs>
        <w:tab w:val="clear" w:pos="360"/>
      </w:tabs>
      <w:spacing w:line="480" w:lineRule="auto"/>
      <w:ind w:left="0" w:firstLine="720"/>
    </w:pPr>
    <w:rPr>
      <w:szCs w:val="24"/>
    </w:rPr>
  </w:style>
  <w:style w:type="paragraph" w:customStyle="1" w:styleId="StyleListParagraph12ptLinespacing15lines">
    <w:name w:val="Style List Paragraph + 12 pt Line spacing:  1.5 lines"/>
    <w:basedOn w:val="ListParagraph"/>
    <w:autoRedefine/>
    <w:rsid w:val="006A6ABB"/>
    <w:pPr>
      <w:numPr>
        <w:numId w:val="9"/>
      </w:numPr>
      <w:spacing w:after="120"/>
      <w:ind w:left="0" w:firstLine="720"/>
    </w:pPr>
    <w:rPr>
      <w:szCs w:val="20"/>
    </w:rPr>
  </w:style>
  <w:style w:type="paragraph" w:styleId="NoSpacing">
    <w:name w:val="No Spacing"/>
    <w:uiPriority w:val="1"/>
    <w:qFormat/>
    <w:rsid w:val="00FF7B9A"/>
    <w:pPr>
      <w:spacing w:after="0" w:line="240" w:lineRule="auto"/>
    </w:pPr>
    <w:rPr>
      <w:rFonts w:cs="Times New Roman"/>
      <w:szCs w:val="20"/>
    </w:rPr>
  </w:style>
  <w:style w:type="paragraph" w:styleId="PlainText">
    <w:name w:val="Plain Text"/>
    <w:basedOn w:val="Normal"/>
    <w:link w:val="PlainTextChar"/>
    <w:uiPriority w:val="99"/>
    <w:unhideWhenUsed/>
    <w:rsid w:val="003A6194"/>
    <w:pPr>
      <w:spacing w:before="120" w:after="24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A6194"/>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BC"/>
    <w:pPr>
      <w:spacing w:after="0"/>
    </w:pPr>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aliases w:val="Car"/>
    <w:basedOn w:val="Normal"/>
    <w:link w:val="FootnoteTextChar"/>
    <w:autoRedefine/>
    <w:uiPriority w:val="99"/>
    <w:unhideWhenUsed/>
    <w:qFormat/>
    <w:rsid w:val="008A0266"/>
    <w:pPr>
      <w:spacing w:line="240" w:lineRule="auto"/>
      <w:ind w:firstLine="720"/>
    </w:pPr>
    <w:rPr>
      <w:sz w:val="20"/>
    </w:rPr>
  </w:style>
  <w:style w:type="character" w:customStyle="1" w:styleId="FootnoteTextChar">
    <w:name w:val="Footnote Text Char"/>
    <w:aliases w:val="Car Char"/>
    <w:basedOn w:val="DefaultParagraphFont"/>
    <w:link w:val="FootnoteText"/>
    <w:uiPriority w:val="99"/>
    <w:rsid w:val="008A0266"/>
    <w:rPr>
      <w:rFonts w:cs="Times New Roman"/>
      <w:sz w:val="20"/>
      <w:szCs w:val="20"/>
    </w:rPr>
  </w:style>
  <w:style w:type="paragraph" w:styleId="ListParagraph">
    <w:name w:val="List Paragraph"/>
    <w:basedOn w:val="Normal"/>
    <w:autoRedefine/>
    <w:uiPriority w:val="34"/>
    <w:qFormat/>
    <w:rsid w:val="00BD3F16"/>
    <w:pPr>
      <w:numPr>
        <w:numId w:val="8"/>
      </w:numPr>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semiHidden/>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paragraph" w:customStyle="1" w:styleId="IndentedQuote">
    <w:name w:val="Indented Quote"/>
    <w:basedOn w:val="Normal"/>
    <w:qFormat/>
    <w:rsid w:val="005F6194"/>
    <w:pPr>
      <w:spacing w:line="240" w:lineRule="auto"/>
      <w:ind w:left="720" w:right="720"/>
    </w:pPr>
    <w:rPr>
      <w:szCs w:val="24"/>
    </w:rPr>
  </w:style>
  <w:style w:type="paragraph" w:customStyle="1" w:styleId="Indentedquote0">
    <w:name w:val="Indented quote"/>
    <w:basedOn w:val="Normal"/>
    <w:qFormat/>
    <w:rsid w:val="00B03564"/>
    <w:pPr>
      <w:widowControl w:val="0"/>
      <w:autoSpaceDE w:val="0"/>
      <w:autoSpaceDN w:val="0"/>
      <w:adjustRightInd w:val="0"/>
      <w:spacing w:after="120" w:line="240" w:lineRule="auto"/>
      <w:ind w:left="1440" w:right="1440"/>
    </w:pPr>
    <w:rPr>
      <w:szCs w:val="24"/>
    </w:rPr>
  </w:style>
  <w:style w:type="paragraph" w:customStyle="1" w:styleId="TxBrp3">
    <w:name w:val="TxBr_p3"/>
    <w:basedOn w:val="Normal"/>
    <w:rsid w:val="00AB0727"/>
    <w:pPr>
      <w:widowControl w:val="0"/>
      <w:tabs>
        <w:tab w:val="left" w:pos="1474"/>
      </w:tabs>
      <w:autoSpaceDE w:val="0"/>
      <w:autoSpaceDN w:val="0"/>
      <w:adjustRightInd w:val="0"/>
      <w:spacing w:line="425" w:lineRule="atLeast"/>
      <w:ind w:firstLine="1474"/>
    </w:pPr>
    <w:rPr>
      <w:szCs w:val="24"/>
    </w:rPr>
  </w:style>
  <w:style w:type="paragraph" w:customStyle="1" w:styleId="Pleading1L1">
    <w:name w:val="Pleading1_L1"/>
    <w:basedOn w:val="Normal"/>
    <w:rsid w:val="00AB0727"/>
    <w:pPr>
      <w:numPr>
        <w:numId w:val="6"/>
      </w:numPr>
      <w:spacing w:line="480" w:lineRule="auto"/>
      <w:outlineLvl w:val="0"/>
    </w:pPr>
    <w:rPr>
      <w:b/>
      <w:caps/>
      <w:u w:val="single"/>
    </w:rPr>
  </w:style>
  <w:style w:type="paragraph" w:customStyle="1" w:styleId="Pleading1L2">
    <w:name w:val="Pleading1_L2"/>
    <w:basedOn w:val="Pleading1L1"/>
    <w:rsid w:val="00AB0727"/>
    <w:pPr>
      <w:numPr>
        <w:ilvl w:val="1"/>
      </w:numPr>
      <w:outlineLvl w:val="1"/>
    </w:pPr>
    <w:rPr>
      <w:b w:val="0"/>
      <w:caps w:val="0"/>
    </w:rPr>
  </w:style>
  <w:style w:type="paragraph" w:customStyle="1" w:styleId="Pleading1L3">
    <w:name w:val="Pleading1_L3"/>
    <w:basedOn w:val="Pleading1L2"/>
    <w:rsid w:val="00AB0727"/>
    <w:pPr>
      <w:numPr>
        <w:ilvl w:val="2"/>
      </w:numPr>
      <w:outlineLvl w:val="2"/>
    </w:pPr>
    <w:rPr>
      <w:szCs w:val="24"/>
      <w:u w:val="none"/>
    </w:rPr>
  </w:style>
  <w:style w:type="paragraph" w:customStyle="1" w:styleId="Pleading1L4">
    <w:name w:val="Pleading1_L4"/>
    <w:basedOn w:val="Pleading1L3"/>
    <w:rsid w:val="00AB0727"/>
    <w:pPr>
      <w:numPr>
        <w:ilvl w:val="3"/>
      </w:numPr>
      <w:outlineLvl w:val="3"/>
    </w:pPr>
  </w:style>
  <w:style w:type="paragraph" w:customStyle="1" w:styleId="Pleading1L5">
    <w:name w:val="Pleading1_L5"/>
    <w:basedOn w:val="Pleading1L4"/>
    <w:rsid w:val="00AB0727"/>
    <w:pPr>
      <w:numPr>
        <w:ilvl w:val="4"/>
      </w:numPr>
      <w:outlineLvl w:val="4"/>
    </w:pPr>
  </w:style>
  <w:style w:type="paragraph" w:customStyle="1" w:styleId="Pleading1L6">
    <w:name w:val="Pleading1_L6"/>
    <w:basedOn w:val="Pleading1L5"/>
    <w:rsid w:val="00AB0727"/>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AB0727"/>
    <w:pPr>
      <w:numPr>
        <w:ilvl w:val="6"/>
      </w:numPr>
      <w:outlineLvl w:val="6"/>
    </w:pPr>
  </w:style>
  <w:style w:type="paragraph" w:customStyle="1" w:styleId="Pleading1L8">
    <w:name w:val="Pleading1_L8"/>
    <w:basedOn w:val="Pleading1L7"/>
    <w:rsid w:val="00AB0727"/>
    <w:pPr>
      <w:numPr>
        <w:ilvl w:val="7"/>
      </w:numPr>
      <w:outlineLvl w:val="7"/>
    </w:pPr>
  </w:style>
  <w:style w:type="paragraph" w:customStyle="1" w:styleId="Pleading1L9">
    <w:name w:val="Pleading1_L9"/>
    <w:basedOn w:val="Pleading1L8"/>
    <w:rsid w:val="00AB0727"/>
    <w:pPr>
      <w:numPr>
        <w:ilvl w:val="8"/>
      </w:numPr>
      <w:outlineLvl w:val="8"/>
    </w:pPr>
  </w:style>
  <w:style w:type="paragraph" w:styleId="ListNumber">
    <w:name w:val="List Number"/>
    <w:basedOn w:val="Normal"/>
    <w:rsid w:val="00AB0727"/>
    <w:pPr>
      <w:numPr>
        <w:numId w:val="7"/>
      </w:numPr>
      <w:tabs>
        <w:tab w:val="clear" w:pos="360"/>
      </w:tabs>
      <w:spacing w:line="480" w:lineRule="auto"/>
      <w:ind w:left="0" w:firstLine="720"/>
    </w:pPr>
    <w:rPr>
      <w:szCs w:val="24"/>
    </w:rPr>
  </w:style>
  <w:style w:type="paragraph" w:customStyle="1" w:styleId="StyleListParagraph12ptLinespacing15lines">
    <w:name w:val="Style List Paragraph + 12 pt Line spacing:  1.5 lines"/>
    <w:basedOn w:val="ListParagraph"/>
    <w:autoRedefine/>
    <w:rsid w:val="006A6ABB"/>
    <w:pPr>
      <w:numPr>
        <w:numId w:val="9"/>
      </w:numPr>
      <w:spacing w:after="120"/>
      <w:ind w:left="0" w:firstLine="720"/>
    </w:pPr>
    <w:rPr>
      <w:szCs w:val="20"/>
    </w:rPr>
  </w:style>
  <w:style w:type="paragraph" w:styleId="NoSpacing">
    <w:name w:val="No Spacing"/>
    <w:uiPriority w:val="1"/>
    <w:qFormat/>
    <w:rsid w:val="00FF7B9A"/>
    <w:pPr>
      <w:spacing w:after="0" w:line="240" w:lineRule="auto"/>
    </w:pPr>
    <w:rPr>
      <w:rFonts w:cs="Times New Roman"/>
      <w:szCs w:val="20"/>
    </w:rPr>
  </w:style>
  <w:style w:type="paragraph" w:styleId="PlainText">
    <w:name w:val="Plain Text"/>
    <w:basedOn w:val="Normal"/>
    <w:link w:val="PlainTextChar"/>
    <w:uiPriority w:val="99"/>
    <w:unhideWhenUsed/>
    <w:rsid w:val="003A6194"/>
    <w:pPr>
      <w:spacing w:before="120" w:after="24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A6194"/>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186209296">
      <w:bodyDiv w:val="1"/>
      <w:marLeft w:val="0"/>
      <w:marRight w:val="0"/>
      <w:marTop w:val="0"/>
      <w:marBottom w:val="0"/>
      <w:divBdr>
        <w:top w:val="none" w:sz="0" w:space="0" w:color="auto"/>
        <w:left w:val="none" w:sz="0" w:space="0" w:color="auto"/>
        <w:bottom w:val="none" w:sz="0" w:space="0" w:color="auto"/>
        <w:right w:val="none" w:sz="0" w:space="0" w:color="auto"/>
      </w:divBdr>
    </w:div>
    <w:div w:id="1425297519">
      <w:bodyDiv w:val="1"/>
      <w:marLeft w:val="0"/>
      <w:marRight w:val="0"/>
      <w:marTop w:val="0"/>
      <w:marBottom w:val="0"/>
      <w:divBdr>
        <w:top w:val="none" w:sz="0" w:space="0" w:color="auto"/>
        <w:left w:val="none" w:sz="0" w:space="0" w:color="auto"/>
        <w:bottom w:val="none" w:sz="0" w:space="0" w:color="auto"/>
        <w:right w:val="none" w:sz="0" w:space="0" w:color="auto"/>
      </w:divBdr>
    </w:div>
    <w:div w:id="154830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lexis.com/research/buttonTFLink?_m=fb36d71eaa374be644e353b4fbc1863f&amp;_xfercite=%3ccite%20cc%3d%22USA%22%3e%3c%21%5bCDATA%5b2001%20E.H.B.%20542%5d%5d%3e%3c%2fcite%3e&amp;_butType=3&amp;_butStat=2&amp;_butNum=8&amp;_butInline=1&amp;_butinfo=%3ccite%20cc%3d%22USA%22%3e%3c%21%5bCDATA%5b716%20A.2d%20678%2cat%20686%5d%5d%3e%3c%2fcite%3e&amp;_fmtstr=FULL&amp;docnum=6&amp;_startdoc=1&amp;wchp=dGLbVzS-zSkAW&amp;_md5=9fa7b1747ae10b93392092855f589b7b" TargetMode="External"/><Relationship Id="rId1" Type="http://schemas.openxmlformats.org/officeDocument/2006/relationships/hyperlink" Target="https://www.lexis.com/research/buttonTFLink?_m=fb36d71eaa374be644e353b4fbc1863f&amp;_xfercite=%3ccite%20cc%3d%22USA%22%3e%3c%21%5bCDATA%5b2001%20E.H.B.%20542%5d%5d%3e%3c%2fcite%3e&amp;_butType=3&amp;_butStat=2&amp;_butNum=7&amp;_butInline=1&amp;_butinfo=%3ccite%20cc%3d%22USA%22%3e%3c%21%5bCDATA%5b454%20A.2d%201%2cat%204%5d%5d%3e%3c%2fcite%3e&amp;_fmtstr=FULL&amp;docnum=6&amp;_startdoc=1&amp;wchp=dGLbVzS-zSkAW&amp;_md5=e20f6886d0323b5ad633b815ecc72d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CAF9A-1FC7-4982-B329-1D8207F65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3704</Words>
  <Characters>21118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tibikunle</cp:lastModifiedBy>
  <cp:revision>7</cp:revision>
  <cp:lastPrinted>2012-04-25T15:33:00Z</cp:lastPrinted>
  <dcterms:created xsi:type="dcterms:W3CDTF">2012-04-13T16:29:00Z</dcterms:created>
  <dcterms:modified xsi:type="dcterms:W3CDTF">2012-04-25T15:33:00Z</dcterms:modified>
</cp:coreProperties>
</file>