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949" w:rsidRPr="00FB448C" w:rsidRDefault="00DE2949" w:rsidP="00E126F9">
      <w:pPr>
        <w:spacing w:line="240" w:lineRule="auto"/>
        <w:jc w:val="center"/>
        <w:rPr>
          <w:b/>
          <w:sz w:val="24"/>
          <w:szCs w:val="24"/>
        </w:rPr>
      </w:pPr>
      <w:r w:rsidRPr="00FB448C">
        <w:rPr>
          <w:b/>
          <w:sz w:val="24"/>
          <w:szCs w:val="24"/>
        </w:rPr>
        <w:t>BEFORE THE</w:t>
      </w:r>
    </w:p>
    <w:p w:rsidR="00DE2949" w:rsidRPr="00FB448C" w:rsidRDefault="00DE2949" w:rsidP="00E126F9">
      <w:pPr>
        <w:spacing w:line="240" w:lineRule="auto"/>
        <w:jc w:val="center"/>
        <w:rPr>
          <w:b/>
          <w:sz w:val="24"/>
          <w:szCs w:val="24"/>
        </w:rPr>
      </w:pPr>
      <w:r w:rsidRPr="00FB448C">
        <w:rPr>
          <w:b/>
          <w:sz w:val="24"/>
          <w:szCs w:val="24"/>
        </w:rPr>
        <w:t>PENNSYLVANIA PUBLIC UTILITY COMMISSION</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E126F9" w:rsidRPr="00FB448C" w:rsidRDefault="00E126F9" w:rsidP="00E126F9">
      <w:pPr>
        <w:spacing w:line="240" w:lineRule="auto"/>
        <w:rPr>
          <w:sz w:val="24"/>
          <w:szCs w:val="24"/>
        </w:rPr>
      </w:pPr>
    </w:p>
    <w:p w:rsidR="00DE2949" w:rsidRPr="00FB448C" w:rsidRDefault="006E321B" w:rsidP="00E126F9">
      <w:pPr>
        <w:spacing w:line="240" w:lineRule="auto"/>
        <w:rPr>
          <w:sz w:val="24"/>
          <w:szCs w:val="24"/>
        </w:rPr>
      </w:pPr>
      <w:proofErr w:type="spellStart"/>
      <w:r>
        <w:rPr>
          <w:sz w:val="24"/>
          <w:szCs w:val="24"/>
        </w:rPr>
        <w:t>Yasmin</w:t>
      </w:r>
      <w:proofErr w:type="spellEnd"/>
      <w:r>
        <w:rPr>
          <w:sz w:val="24"/>
          <w:szCs w:val="24"/>
        </w:rPr>
        <w:t xml:space="preserve"> </w:t>
      </w:r>
      <w:proofErr w:type="spellStart"/>
      <w:r>
        <w:rPr>
          <w:sz w:val="24"/>
          <w:szCs w:val="24"/>
        </w:rPr>
        <w:t>Bhatti</w:t>
      </w:r>
      <w:proofErr w:type="spellEnd"/>
      <w:r>
        <w:rPr>
          <w:sz w:val="24"/>
          <w:szCs w:val="24"/>
        </w:rPr>
        <w:tab/>
      </w:r>
      <w:r w:rsidR="00E04BE4">
        <w:rPr>
          <w:sz w:val="24"/>
          <w:szCs w:val="24"/>
        </w:rPr>
        <w:tab/>
      </w:r>
      <w:r w:rsidR="00DE2949" w:rsidRPr="00FB448C">
        <w:rPr>
          <w:sz w:val="24"/>
          <w:szCs w:val="24"/>
        </w:rPr>
        <w:tab/>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p>
    <w:p w:rsidR="00DE2949" w:rsidRPr="00FB448C" w:rsidRDefault="00DE2949" w:rsidP="00E126F9">
      <w:pPr>
        <w:spacing w:line="240" w:lineRule="auto"/>
        <w:rPr>
          <w:sz w:val="24"/>
          <w:szCs w:val="24"/>
        </w:rPr>
      </w:pPr>
      <w:r w:rsidRPr="00FB448C">
        <w:rPr>
          <w:sz w:val="24"/>
          <w:szCs w:val="24"/>
        </w:rPr>
        <w:tab/>
        <w:t>v.</w:t>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r>
      <w:r w:rsidRPr="00FB448C">
        <w:rPr>
          <w:sz w:val="24"/>
          <w:szCs w:val="24"/>
        </w:rPr>
        <w:tab/>
        <w:t>:</w:t>
      </w:r>
      <w:r w:rsidRPr="00FB448C">
        <w:rPr>
          <w:sz w:val="24"/>
          <w:szCs w:val="24"/>
        </w:rPr>
        <w:tab/>
      </w:r>
      <w:r w:rsidRPr="00FB448C">
        <w:rPr>
          <w:sz w:val="24"/>
          <w:szCs w:val="24"/>
        </w:rPr>
        <w:tab/>
      </w:r>
      <w:r w:rsidR="006E321B">
        <w:rPr>
          <w:sz w:val="24"/>
          <w:szCs w:val="24"/>
        </w:rPr>
        <w:t>C</w:t>
      </w:r>
      <w:r w:rsidR="00FB004A">
        <w:rPr>
          <w:sz w:val="24"/>
          <w:szCs w:val="24"/>
        </w:rPr>
        <w:t>-2011-22</w:t>
      </w:r>
      <w:r w:rsidR="006E321B">
        <w:rPr>
          <w:sz w:val="24"/>
          <w:szCs w:val="24"/>
        </w:rPr>
        <w:t>51413</w:t>
      </w:r>
    </w:p>
    <w:p w:rsidR="00DE2949" w:rsidRPr="00FB448C" w:rsidRDefault="00DE2949" w:rsidP="00E126F9">
      <w:pPr>
        <w:spacing w:line="240" w:lineRule="auto"/>
        <w:ind w:left="4320" w:firstLine="720"/>
        <w:rPr>
          <w:sz w:val="24"/>
          <w:szCs w:val="24"/>
        </w:rPr>
      </w:pPr>
      <w:r w:rsidRPr="00FB448C">
        <w:rPr>
          <w:sz w:val="24"/>
          <w:szCs w:val="24"/>
        </w:rPr>
        <w:t>:</w:t>
      </w:r>
    </w:p>
    <w:p w:rsidR="00DE2949" w:rsidRPr="00FB448C" w:rsidRDefault="006E321B" w:rsidP="00E126F9">
      <w:pPr>
        <w:spacing w:line="240" w:lineRule="auto"/>
        <w:rPr>
          <w:sz w:val="24"/>
          <w:szCs w:val="24"/>
        </w:rPr>
      </w:pPr>
      <w:r>
        <w:rPr>
          <w:sz w:val="24"/>
          <w:szCs w:val="24"/>
        </w:rPr>
        <w:t>PPL Electric Utilities Corporation</w:t>
      </w:r>
      <w:r w:rsidR="00DE2949" w:rsidRPr="00FB448C">
        <w:rPr>
          <w:sz w:val="24"/>
          <w:szCs w:val="24"/>
        </w:rPr>
        <w:tab/>
      </w:r>
      <w:r w:rsidR="00DE2949" w:rsidRPr="00FB448C">
        <w:rPr>
          <w:sz w:val="24"/>
          <w:szCs w:val="24"/>
        </w:rPr>
        <w:tab/>
      </w:r>
      <w:r w:rsidR="00DE2949" w:rsidRPr="00FB448C">
        <w:rPr>
          <w:sz w:val="24"/>
          <w:szCs w:val="24"/>
        </w:rPr>
        <w:tab/>
        <w:t>:</w:t>
      </w: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spacing w:line="240" w:lineRule="auto"/>
        <w:rPr>
          <w:sz w:val="24"/>
          <w:szCs w:val="24"/>
        </w:rPr>
      </w:pPr>
    </w:p>
    <w:p w:rsidR="00DE2949" w:rsidRPr="00FB448C" w:rsidRDefault="00DE2949" w:rsidP="00E126F9">
      <w:pPr>
        <w:pStyle w:val="Heading1"/>
        <w:rPr>
          <w:b/>
          <w:caps/>
          <w:sz w:val="24"/>
          <w:szCs w:val="24"/>
        </w:rPr>
      </w:pPr>
      <w:r w:rsidRPr="00FB448C">
        <w:rPr>
          <w:b/>
          <w:caps/>
          <w:sz w:val="24"/>
          <w:szCs w:val="24"/>
        </w:rPr>
        <w:t>Initial Decision</w:t>
      </w: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u w:val="single"/>
        </w:rPr>
      </w:pPr>
    </w:p>
    <w:p w:rsidR="00DE2949" w:rsidRPr="00FB448C" w:rsidRDefault="00DE2949" w:rsidP="00E126F9">
      <w:pPr>
        <w:spacing w:line="240" w:lineRule="auto"/>
        <w:jc w:val="center"/>
        <w:rPr>
          <w:sz w:val="24"/>
          <w:szCs w:val="24"/>
        </w:rPr>
      </w:pPr>
      <w:r w:rsidRPr="00FB448C">
        <w:rPr>
          <w:sz w:val="24"/>
          <w:szCs w:val="24"/>
        </w:rPr>
        <w:t>Before</w:t>
      </w:r>
    </w:p>
    <w:p w:rsidR="00DE2949" w:rsidRPr="00FB448C" w:rsidRDefault="00DE2949" w:rsidP="00E126F9">
      <w:pPr>
        <w:spacing w:line="240" w:lineRule="auto"/>
        <w:jc w:val="center"/>
        <w:rPr>
          <w:sz w:val="24"/>
          <w:szCs w:val="24"/>
        </w:rPr>
      </w:pPr>
      <w:r w:rsidRPr="00FB448C">
        <w:rPr>
          <w:sz w:val="24"/>
          <w:szCs w:val="24"/>
        </w:rPr>
        <w:t>Katrina L. Dunderdale</w:t>
      </w:r>
    </w:p>
    <w:p w:rsidR="00DE2949" w:rsidRPr="00FB448C" w:rsidRDefault="00DE2949" w:rsidP="00E126F9">
      <w:pPr>
        <w:spacing w:line="240" w:lineRule="auto"/>
        <w:jc w:val="center"/>
        <w:rPr>
          <w:sz w:val="24"/>
          <w:szCs w:val="24"/>
        </w:rPr>
      </w:pPr>
      <w:r w:rsidRPr="00FB448C">
        <w:rPr>
          <w:sz w:val="24"/>
          <w:szCs w:val="24"/>
        </w:rPr>
        <w:t>Administrative Law Judge</w:t>
      </w:r>
    </w:p>
    <w:p w:rsidR="00DE2949" w:rsidRPr="00FB448C" w:rsidRDefault="00DE2949" w:rsidP="00E126F9">
      <w:pPr>
        <w:spacing w:line="240" w:lineRule="auto"/>
        <w:jc w:val="center"/>
        <w:rPr>
          <w:sz w:val="24"/>
          <w:szCs w:val="24"/>
        </w:rPr>
      </w:pPr>
    </w:p>
    <w:p w:rsidR="00DE2949" w:rsidRPr="00FB448C" w:rsidRDefault="00DE2949" w:rsidP="00E126F9">
      <w:pPr>
        <w:spacing w:line="240" w:lineRule="auto"/>
        <w:jc w:val="center"/>
        <w:rPr>
          <w:sz w:val="24"/>
          <w:szCs w:val="24"/>
        </w:rPr>
      </w:pPr>
    </w:p>
    <w:p w:rsidR="00DE2949" w:rsidRPr="00FB448C" w:rsidRDefault="00DE2949" w:rsidP="00E126F9">
      <w:pPr>
        <w:pStyle w:val="Heading1"/>
        <w:rPr>
          <w:sz w:val="24"/>
          <w:szCs w:val="24"/>
          <w:u w:val="none"/>
        </w:rPr>
      </w:pPr>
      <w:r w:rsidRPr="00FB448C">
        <w:rPr>
          <w:sz w:val="24"/>
          <w:szCs w:val="24"/>
        </w:rPr>
        <w:t>HISTORY OF THE PROCEEDING</w:t>
      </w:r>
    </w:p>
    <w:p w:rsidR="00DE2949" w:rsidRPr="00FB448C" w:rsidRDefault="00DE2949" w:rsidP="00E126F9">
      <w:pPr>
        <w:spacing w:line="240" w:lineRule="auto"/>
        <w:ind w:firstLine="1440"/>
        <w:rPr>
          <w:sz w:val="24"/>
          <w:szCs w:val="24"/>
        </w:rPr>
      </w:pPr>
    </w:p>
    <w:p w:rsidR="00C44296" w:rsidRPr="00B73D10" w:rsidRDefault="00C44296" w:rsidP="00C44296">
      <w:pPr>
        <w:spacing w:line="240" w:lineRule="auto"/>
        <w:ind w:firstLine="1440"/>
        <w:rPr>
          <w:sz w:val="24"/>
          <w:szCs w:val="24"/>
        </w:rPr>
      </w:pPr>
    </w:p>
    <w:p w:rsidR="00340071" w:rsidRDefault="00C44296" w:rsidP="00FB2F18">
      <w:pPr>
        <w:ind w:firstLine="1440"/>
        <w:rPr>
          <w:sz w:val="24"/>
          <w:szCs w:val="24"/>
        </w:rPr>
      </w:pPr>
      <w:r w:rsidRPr="00B73D10">
        <w:rPr>
          <w:sz w:val="24"/>
          <w:szCs w:val="24"/>
        </w:rPr>
        <w:t xml:space="preserve">On </w:t>
      </w:r>
      <w:r w:rsidR="006E321B">
        <w:rPr>
          <w:sz w:val="24"/>
          <w:szCs w:val="24"/>
        </w:rPr>
        <w:t>July 7</w:t>
      </w:r>
      <w:r w:rsidR="00340071">
        <w:rPr>
          <w:sz w:val="24"/>
          <w:szCs w:val="24"/>
        </w:rPr>
        <w:t>, 2011</w:t>
      </w:r>
      <w:r w:rsidRPr="00B73D10">
        <w:rPr>
          <w:sz w:val="24"/>
          <w:szCs w:val="24"/>
        </w:rPr>
        <w:t xml:space="preserve">, </w:t>
      </w:r>
      <w:proofErr w:type="spellStart"/>
      <w:r w:rsidR="006E321B">
        <w:rPr>
          <w:sz w:val="24"/>
          <w:szCs w:val="24"/>
        </w:rPr>
        <w:t>Yasmin</w:t>
      </w:r>
      <w:proofErr w:type="spellEnd"/>
      <w:r w:rsidR="006E321B">
        <w:rPr>
          <w:sz w:val="24"/>
          <w:szCs w:val="24"/>
        </w:rPr>
        <w:t xml:space="preserve"> </w:t>
      </w:r>
      <w:proofErr w:type="spellStart"/>
      <w:r w:rsidR="006E321B">
        <w:rPr>
          <w:sz w:val="24"/>
          <w:szCs w:val="24"/>
        </w:rPr>
        <w:t>Bhatti</w:t>
      </w:r>
      <w:proofErr w:type="spellEnd"/>
      <w:r w:rsidRPr="00B73D10">
        <w:rPr>
          <w:sz w:val="24"/>
          <w:szCs w:val="24"/>
        </w:rPr>
        <w:t xml:space="preserve"> (“Complainant”) filed a formal complaint against </w:t>
      </w:r>
      <w:r w:rsidR="006E321B">
        <w:rPr>
          <w:sz w:val="24"/>
          <w:szCs w:val="24"/>
        </w:rPr>
        <w:t>PPL Electric Utilities Corporation</w:t>
      </w:r>
      <w:r w:rsidR="006E321B" w:rsidRPr="00B73D10">
        <w:rPr>
          <w:sz w:val="24"/>
          <w:szCs w:val="24"/>
        </w:rPr>
        <w:t xml:space="preserve"> </w:t>
      </w:r>
      <w:r w:rsidRPr="00B73D10">
        <w:rPr>
          <w:sz w:val="24"/>
          <w:szCs w:val="24"/>
        </w:rPr>
        <w:t>(“Respondent” or “</w:t>
      </w:r>
      <w:r w:rsidR="006E321B">
        <w:rPr>
          <w:sz w:val="24"/>
          <w:szCs w:val="24"/>
        </w:rPr>
        <w:t>PPL</w:t>
      </w:r>
      <w:r w:rsidRPr="00B73D10">
        <w:rPr>
          <w:sz w:val="24"/>
          <w:szCs w:val="24"/>
        </w:rPr>
        <w:t>”) alleging</w:t>
      </w:r>
      <w:r w:rsidR="00340071">
        <w:rPr>
          <w:sz w:val="24"/>
          <w:szCs w:val="24"/>
        </w:rPr>
        <w:t xml:space="preserve"> incorrect charges and</w:t>
      </w:r>
      <w:r w:rsidRPr="00B73D10">
        <w:rPr>
          <w:sz w:val="24"/>
          <w:szCs w:val="24"/>
        </w:rPr>
        <w:t xml:space="preserve"> </w:t>
      </w:r>
      <w:r w:rsidR="00FB2F18">
        <w:rPr>
          <w:sz w:val="24"/>
          <w:szCs w:val="24"/>
        </w:rPr>
        <w:t xml:space="preserve">unexplained high bills </w:t>
      </w:r>
      <w:r w:rsidRPr="00B73D10">
        <w:rPr>
          <w:sz w:val="24"/>
          <w:szCs w:val="24"/>
        </w:rPr>
        <w:t xml:space="preserve">on Complainant’s residential account with Respondent.  </w:t>
      </w:r>
      <w:r w:rsidR="00340071">
        <w:rPr>
          <w:sz w:val="24"/>
          <w:szCs w:val="24"/>
        </w:rPr>
        <w:t xml:space="preserve">  </w:t>
      </w:r>
    </w:p>
    <w:p w:rsidR="00340071" w:rsidRDefault="00340071" w:rsidP="00FB2F18">
      <w:pPr>
        <w:ind w:firstLine="1440"/>
        <w:rPr>
          <w:sz w:val="24"/>
          <w:szCs w:val="24"/>
        </w:rPr>
      </w:pPr>
    </w:p>
    <w:p w:rsidR="00C44296" w:rsidRPr="00B73D10" w:rsidRDefault="00C44296" w:rsidP="00FB2F18">
      <w:pPr>
        <w:ind w:firstLine="1440"/>
        <w:rPr>
          <w:sz w:val="24"/>
          <w:szCs w:val="24"/>
        </w:rPr>
      </w:pPr>
      <w:r w:rsidRPr="00B73D10">
        <w:rPr>
          <w:sz w:val="24"/>
          <w:szCs w:val="24"/>
        </w:rPr>
        <w:t xml:space="preserve">On </w:t>
      </w:r>
      <w:r w:rsidR="006E321B">
        <w:rPr>
          <w:sz w:val="24"/>
          <w:szCs w:val="24"/>
        </w:rPr>
        <w:t>August 1</w:t>
      </w:r>
      <w:r w:rsidR="00FB2F18">
        <w:rPr>
          <w:sz w:val="24"/>
          <w:szCs w:val="24"/>
        </w:rPr>
        <w:t>, 2011</w:t>
      </w:r>
      <w:r w:rsidRPr="00B73D10">
        <w:rPr>
          <w:sz w:val="24"/>
          <w:szCs w:val="24"/>
        </w:rPr>
        <w:t>, Respondent filed an Answer in response to Complainant’s formal complaint</w:t>
      </w:r>
      <w:r w:rsidR="00340071">
        <w:rPr>
          <w:sz w:val="24"/>
          <w:szCs w:val="24"/>
        </w:rPr>
        <w:t xml:space="preserve">, in which it denied </w:t>
      </w:r>
      <w:r w:rsidR="006E321B">
        <w:rPr>
          <w:sz w:val="24"/>
          <w:szCs w:val="24"/>
        </w:rPr>
        <w:t>Complainant’s account contained incorrect charges</w:t>
      </w:r>
      <w:r w:rsidR="00340071">
        <w:rPr>
          <w:sz w:val="24"/>
          <w:szCs w:val="24"/>
        </w:rPr>
        <w:t xml:space="preserve">, and averred it </w:t>
      </w:r>
      <w:r w:rsidR="006E321B">
        <w:rPr>
          <w:sz w:val="24"/>
          <w:szCs w:val="24"/>
        </w:rPr>
        <w:t>properly billed Complainant for actual electric service usage</w:t>
      </w:r>
      <w:r w:rsidR="00340071">
        <w:rPr>
          <w:sz w:val="24"/>
          <w:szCs w:val="24"/>
        </w:rPr>
        <w:t xml:space="preserve">.  </w:t>
      </w:r>
    </w:p>
    <w:p w:rsidR="00C44296" w:rsidRPr="00B73D10" w:rsidRDefault="00C44296" w:rsidP="00C44296">
      <w:pPr>
        <w:rPr>
          <w:sz w:val="24"/>
          <w:szCs w:val="24"/>
        </w:rPr>
      </w:pPr>
    </w:p>
    <w:p w:rsidR="00FB2F18" w:rsidRDefault="00C44296" w:rsidP="00FB2F18">
      <w:pPr>
        <w:rPr>
          <w:sz w:val="24"/>
          <w:szCs w:val="24"/>
        </w:rPr>
      </w:pPr>
      <w:r w:rsidRPr="00B73D10">
        <w:rPr>
          <w:sz w:val="24"/>
          <w:szCs w:val="24"/>
        </w:rPr>
        <w:tab/>
      </w:r>
      <w:r w:rsidRPr="00B73D10">
        <w:rPr>
          <w:sz w:val="24"/>
          <w:szCs w:val="24"/>
        </w:rPr>
        <w:tab/>
        <w:t xml:space="preserve">On </w:t>
      </w:r>
      <w:r w:rsidR="006E321B">
        <w:rPr>
          <w:sz w:val="24"/>
          <w:szCs w:val="24"/>
        </w:rPr>
        <w:t>December 1</w:t>
      </w:r>
      <w:r w:rsidR="00FB2F18">
        <w:rPr>
          <w:sz w:val="24"/>
          <w:szCs w:val="24"/>
        </w:rPr>
        <w:t>, 2011</w:t>
      </w:r>
      <w:r w:rsidRPr="00B73D10">
        <w:rPr>
          <w:sz w:val="24"/>
          <w:szCs w:val="24"/>
        </w:rPr>
        <w:t xml:space="preserve">, the Office of Administrative Law Judge issued a Telephone Hearing Notice, which scheduled an initial telephonic hearing to be conducted on </w:t>
      </w:r>
      <w:r w:rsidR="00340071">
        <w:rPr>
          <w:sz w:val="24"/>
          <w:szCs w:val="24"/>
        </w:rPr>
        <w:t xml:space="preserve">Thursday, </w:t>
      </w:r>
      <w:r w:rsidR="006E321B">
        <w:rPr>
          <w:sz w:val="24"/>
          <w:szCs w:val="24"/>
        </w:rPr>
        <w:t>February 9, 2012</w:t>
      </w:r>
      <w:r w:rsidRPr="00B73D10">
        <w:rPr>
          <w:sz w:val="24"/>
          <w:szCs w:val="24"/>
        </w:rPr>
        <w:t xml:space="preserve">.  On </w:t>
      </w:r>
      <w:r w:rsidR="006E321B">
        <w:rPr>
          <w:sz w:val="24"/>
          <w:szCs w:val="24"/>
        </w:rPr>
        <w:t>December 1</w:t>
      </w:r>
      <w:r w:rsidR="00FB2F18">
        <w:rPr>
          <w:sz w:val="24"/>
          <w:szCs w:val="24"/>
        </w:rPr>
        <w:t>, 2011</w:t>
      </w:r>
      <w:r w:rsidRPr="00B73D10">
        <w:rPr>
          <w:sz w:val="24"/>
          <w:szCs w:val="24"/>
        </w:rPr>
        <w:t>, the undersigned issued a Prehearing Order</w:t>
      </w:r>
      <w:r w:rsidR="006E321B">
        <w:rPr>
          <w:sz w:val="24"/>
          <w:szCs w:val="24"/>
        </w:rPr>
        <w:t xml:space="preserve"> which reminded the parties about the scheduled hearing and provided procedural guidelines for how the hearing would be conducted</w:t>
      </w:r>
      <w:r w:rsidRPr="00B73D10">
        <w:rPr>
          <w:sz w:val="24"/>
          <w:szCs w:val="24"/>
        </w:rPr>
        <w:t xml:space="preserve">.  </w:t>
      </w:r>
    </w:p>
    <w:p w:rsidR="00D96E0A" w:rsidRDefault="00D96E0A" w:rsidP="00FB2F18">
      <w:pPr>
        <w:rPr>
          <w:sz w:val="24"/>
          <w:szCs w:val="24"/>
        </w:rPr>
      </w:pPr>
    </w:p>
    <w:p w:rsidR="00256679" w:rsidRDefault="00C44296" w:rsidP="00FB2F18">
      <w:pPr>
        <w:ind w:firstLine="1440"/>
        <w:rPr>
          <w:sz w:val="24"/>
          <w:szCs w:val="24"/>
        </w:rPr>
      </w:pPr>
      <w:r w:rsidRPr="00B73D10">
        <w:rPr>
          <w:sz w:val="24"/>
          <w:szCs w:val="24"/>
        </w:rPr>
        <w:lastRenderedPageBreak/>
        <w:t xml:space="preserve">The presiding officer convened the initial telephonic hearing as scheduled on </w:t>
      </w:r>
      <w:r w:rsidR="006E321B">
        <w:rPr>
          <w:sz w:val="24"/>
          <w:szCs w:val="24"/>
        </w:rPr>
        <w:t>February 9, 2012</w:t>
      </w:r>
      <w:r w:rsidRPr="00B73D10">
        <w:rPr>
          <w:sz w:val="24"/>
          <w:szCs w:val="24"/>
        </w:rPr>
        <w:t xml:space="preserve">.  </w:t>
      </w:r>
      <w:r w:rsidR="008B3A6C">
        <w:rPr>
          <w:sz w:val="24"/>
          <w:szCs w:val="24"/>
        </w:rPr>
        <w:t xml:space="preserve">Ms. </w:t>
      </w:r>
      <w:proofErr w:type="spellStart"/>
      <w:r w:rsidR="008B3A6C">
        <w:rPr>
          <w:sz w:val="24"/>
          <w:szCs w:val="24"/>
        </w:rPr>
        <w:t>Bhatti</w:t>
      </w:r>
      <w:proofErr w:type="spellEnd"/>
      <w:r w:rsidRPr="00B73D10">
        <w:rPr>
          <w:sz w:val="24"/>
          <w:szCs w:val="24"/>
        </w:rPr>
        <w:t xml:space="preserve"> appeared </w:t>
      </w:r>
      <w:r w:rsidRPr="00B73D10">
        <w:rPr>
          <w:i/>
          <w:sz w:val="24"/>
          <w:szCs w:val="24"/>
        </w:rPr>
        <w:t>pro se</w:t>
      </w:r>
      <w:r w:rsidRPr="00B73D10">
        <w:rPr>
          <w:sz w:val="24"/>
          <w:szCs w:val="24"/>
        </w:rPr>
        <w:t xml:space="preserve"> </w:t>
      </w:r>
      <w:r>
        <w:rPr>
          <w:sz w:val="24"/>
          <w:szCs w:val="24"/>
        </w:rPr>
        <w:t xml:space="preserve">and testified </w:t>
      </w:r>
      <w:r w:rsidRPr="00B73D10">
        <w:rPr>
          <w:sz w:val="24"/>
          <w:szCs w:val="24"/>
        </w:rPr>
        <w:t xml:space="preserve">on </w:t>
      </w:r>
      <w:r w:rsidR="008B3A6C">
        <w:rPr>
          <w:sz w:val="24"/>
          <w:szCs w:val="24"/>
        </w:rPr>
        <w:t>her</w:t>
      </w:r>
      <w:r w:rsidRPr="00B73D10">
        <w:rPr>
          <w:sz w:val="24"/>
          <w:szCs w:val="24"/>
        </w:rPr>
        <w:t xml:space="preserve"> own behalf.  </w:t>
      </w:r>
      <w:r w:rsidR="008B3A6C">
        <w:rPr>
          <w:sz w:val="24"/>
          <w:szCs w:val="24"/>
        </w:rPr>
        <w:t xml:space="preserve">Complainant offered an Exhibit, marked Complainant Exhibit 1, which was admitted into evidence at the hearing.  Complainant offered two other exhibits which contained </w:t>
      </w:r>
      <w:r w:rsidR="00256679">
        <w:rPr>
          <w:sz w:val="24"/>
          <w:szCs w:val="24"/>
        </w:rPr>
        <w:t>copies of various bank statements, checks and deposit slips from Complainant’s bank accounts.  These proposed exhibits were discussed at length and in detail by Complainant at the hearing but were not admitted into the record due to the</w:t>
      </w:r>
      <w:r w:rsidR="007C185B">
        <w:rPr>
          <w:sz w:val="24"/>
          <w:szCs w:val="24"/>
        </w:rPr>
        <w:t xml:space="preserve"> presence of a large</w:t>
      </w:r>
      <w:r w:rsidR="00256679">
        <w:rPr>
          <w:sz w:val="24"/>
          <w:szCs w:val="24"/>
        </w:rPr>
        <w:t xml:space="preserve"> quantity of Complainant’s personal financial information</w:t>
      </w:r>
      <w:r w:rsidR="007C185B">
        <w:rPr>
          <w:sz w:val="24"/>
          <w:szCs w:val="24"/>
        </w:rPr>
        <w:t>, and due to the greater</w:t>
      </w:r>
      <w:r w:rsidR="00256679">
        <w:rPr>
          <w:sz w:val="24"/>
          <w:szCs w:val="24"/>
        </w:rPr>
        <w:t xml:space="preserve"> possibility of identity theft.  </w:t>
      </w:r>
    </w:p>
    <w:p w:rsidR="00256679" w:rsidRDefault="00256679" w:rsidP="00FB2F18">
      <w:pPr>
        <w:ind w:firstLine="1440"/>
        <w:rPr>
          <w:sz w:val="24"/>
          <w:szCs w:val="24"/>
        </w:rPr>
      </w:pPr>
    </w:p>
    <w:p w:rsidR="00C44296" w:rsidRDefault="00C44296" w:rsidP="00FB2F18">
      <w:pPr>
        <w:ind w:firstLine="1440"/>
        <w:rPr>
          <w:sz w:val="24"/>
          <w:szCs w:val="24"/>
        </w:rPr>
      </w:pPr>
      <w:r w:rsidRPr="00B73D10">
        <w:rPr>
          <w:sz w:val="24"/>
          <w:szCs w:val="24"/>
        </w:rPr>
        <w:t xml:space="preserve">Respondent was represented by </w:t>
      </w:r>
      <w:r w:rsidR="008B3A6C">
        <w:rPr>
          <w:sz w:val="24"/>
          <w:szCs w:val="24"/>
        </w:rPr>
        <w:t xml:space="preserve">Kimberly G. </w:t>
      </w:r>
      <w:proofErr w:type="spellStart"/>
      <w:r w:rsidR="008B3A6C">
        <w:rPr>
          <w:sz w:val="24"/>
          <w:szCs w:val="24"/>
        </w:rPr>
        <w:t>Krupka</w:t>
      </w:r>
      <w:proofErr w:type="spellEnd"/>
      <w:r w:rsidRPr="00B73D10">
        <w:rPr>
          <w:sz w:val="24"/>
          <w:szCs w:val="24"/>
        </w:rPr>
        <w:t xml:space="preserve">, Esquire.  Attorney </w:t>
      </w:r>
      <w:proofErr w:type="spellStart"/>
      <w:r w:rsidR="008B3A6C">
        <w:rPr>
          <w:sz w:val="24"/>
          <w:szCs w:val="24"/>
        </w:rPr>
        <w:t>Krupka</w:t>
      </w:r>
      <w:proofErr w:type="spellEnd"/>
      <w:r w:rsidRPr="00B73D10">
        <w:rPr>
          <w:sz w:val="24"/>
          <w:szCs w:val="24"/>
        </w:rPr>
        <w:t xml:space="preserve"> presented the testimony of </w:t>
      </w:r>
      <w:r w:rsidR="008B3A6C">
        <w:rPr>
          <w:sz w:val="24"/>
          <w:szCs w:val="24"/>
        </w:rPr>
        <w:t>one</w:t>
      </w:r>
      <w:r w:rsidRPr="00B73D10">
        <w:rPr>
          <w:sz w:val="24"/>
          <w:szCs w:val="24"/>
        </w:rPr>
        <w:t xml:space="preserve"> witness, and offered </w:t>
      </w:r>
      <w:r w:rsidR="008B3A6C">
        <w:rPr>
          <w:sz w:val="24"/>
          <w:szCs w:val="24"/>
        </w:rPr>
        <w:t>three</w:t>
      </w:r>
      <w:r w:rsidRPr="00B73D10">
        <w:rPr>
          <w:sz w:val="24"/>
          <w:szCs w:val="24"/>
        </w:rPr>
        <w:t xml:space="preserve"> exhibits, marked </w:t>
      </w:r>
      <w:r w:rsidR="008B3A6C">
        <w:rPr>
          <w:sz w:val="24"/>
          <w:szCs w:val="24"/>
        </w:rPr>
        <w:t>PPL</w:t>
      </w:r>
      <w:r w:rsidRPr="00B73D10">
        <w:rPr>
          <w:sz w:val="24"/>
          <w:szCs w:val="24"/>
        </w:rPr>
        <w:t xml:space="preserve"> Exhibit</w:t>
      </w:r>
      <w:r w:rsidR="008B3A6C">
        <w:rPr>
          <w:sz w:val="24"/>
          <w:szCs w:val="24"/>
        </w:rPr>
        <w:t>s 1 through 3</w:t>
      </w:r>
      <w:r w:rsidRPr="00B73D10">
        <w:rPr>
          <w:sz w:val="24"/>
          <w:szCs w:val="24"/>
        </w:rPr>
        <w:t xml:space="preserve">, which exhibits were admitted into evidence </w:t>
      </w:r>
      <w:r w:rsidR="008B3A6C">
        <w:rPr>
          <w:sz w:val="24"/>
          <w:szCs w:val="24"/>
        </w:rPr>
        <w:t>at the hearing</w:t>
      </w:r>
      <w:r w:rsidRPr="00B73D10">
        <w:rPr>
          <w:sz w:val="24"/>
          <w:szCs w:val="24"/>
        </w:rPr>
        <w:t xml:space="preserve">.  The transcript of the hearing contains </w:t>
      </w:r>
      <w:r w:rsidR="00256679">
        <w:rPr>
          <w:sz w:val="24"/>
          <w:szCs w:val="24"/>
        </w:rPr>
        <w:t>134</w:t>
      </w:r>
      <w:r w:rsidR="00FB2F18">
        <w:rPr>
          <w:sz w:val="24"/>
          <w:szCs w:val="24"/>
        </w:rPr>
        <w:t xml:space="preserve"> </w:t>
      </w:r>
      <w:r w:rsidRPr="00B73D10">
        <w:rPr>
          <w:sz w:val="24"/>
          <w:szCs w:val="24"/>
        </w:rPr>
        <w:t>pages</w:t>
      </w:r>
      <w:r w:rsidR="00FB2F18">
        <w:rPr>
          <w:sz w:val="24"/>
          <w:szCs w:val="24"/>
        </w:rPr>
        <w:t xml:space="preserve"> and was received </w:t>
      </w:r>
      <w:r w:rsidR="00ED0CBE">
        <w:rPr>
          <w:sz w:val="24"/>
          <w:szCs w:val="24"/>
        </w:rPr>
        <w:t>by</w:t>
      </w:r>
      <w:r w:rsidR="00FB2F18">
        <w:rPr>
          <w:sz w:val="24"/>
          <w:szCs w:val="24"/>
        </w:rPr>
        <w:t xml:space="preserve"> the </w:t>
      </w:r>
      <w:r w:rsidR="00D150DF">
        <w:rPr>
          <w:sz w:val="24"/>
          <w:szCs w:val="24"/>
        </w:rPr>
        <w:t>p</w:t>
      </w:r>
      <w:r w:rsidR="00FB2F18">
        <w:rPr>
          <w:sz w:val="24"/>
          <w:szCs w:val="24"/>
        </w:rPr>
        <w:t xml:space="preserve">residing </w:t>
      </w:r>
      <w:r w:rsidR="00D150DF">
        <w:rPr>
          <w:sz w:val="24"/>
          <w:szCs w:val="24"/>
        </w:rPr>
        <w:t>o</w:t>
      </w:r>
      <w:r w:rsidR="00FB2F18">
        <w:rPr>
          <w:sz w:val="24"/>
          <w:szCs w:val="24"/>
        </w:rPr>
        <w:t>ffic</w:t>
      </w:r>
      <w:r w:rsidR="00ED0CBE">
        <w:rPr>
          <w:sz w:val="24"/>
          <w:szCs w:val="24"/>
        </w:rPr>
        <w:t xml:space="preserve">er </w:t>
      </w:r>
      <w:r w:rsidR="00FB2F18">
        <w:rPr>
          <w:sz w:val="24"/>
          <w:szCs w:val="24"/>
        </w:rPr>
        <w:t xml:space="preserve">on </w:t>
      </w:r>
      <w:r w:rsidR="00256679">
        <w:rPr>
          <w:sz w:val="24"/>
          <w:szCs w:val="24"/>
        </w:rPr>
        <w:t>February 27</w:t>
      </w:r>
      <w:r w:rsidR="00B80E5B">
        <w:rPr>
          <w:sz w:val="24"/>
          <w:szCs w:val="24"/>
        </w:rPr>
        <w:t>, 2012.</w:t>
      </w:r>
      <w:r w:rsidRPr="00B73D10">
        <w:rPr>
          <w:sz w:val="24"/>
          <w:szCs w:val="24"/>
        </w:rPr>
        <w:t xml:space="preserve">  Complainant and Respondent issued final statements on the hearing record in lieu of filing briefs.  </w:t>
      </w:r>
    </w:p>
    <w:p w:rsidR="00D96E0A" w:rsidRDefault="00D96E0A" w:rsidP="00FB2F18">
      <w:pPr>
        <w:ind w:firstLine="1440"/>
        <w:rPr>
          <w:sz w:val="24"/>
          <w:szCs w:val="24"/>
        </w:rPr>
      </w:pPr>
    </w:p>
    <w:p w:rsidR="00D96E0A" w:rsidRPr="00B73D10" w:rsidRDefault="00D96E0A" w:rsidP="00FB2F18">
      <w:pPr>
        <w:ind w:firstLine="1440"/>
        <w:rPr>
          <w:sz w:val="24"/>
          <w:szCs w:val="24"/>
        </w:rPr>
      </w:pPr>
      <w:r>
        <w:rPr>
          <w:sz w:val="24"/>
          <w:szCs w:val="24"/>
        </w:rPr>
        <w:t xml:space="preserve">On February 10, 2012, Complainant sent a three-page facsimile transmission to the presiding officer </w:t>
      </w:r>
      <w:proofErr w:type="gramStart"/>
      <w:r>
        <w:rPr>
          <w:sz w:val="24"/>
          <w:szCs w:val="24"/>
        </w:rPr>
        <w:t>which</w:t>
      </w:r>
      <w:proofErr w:type="gramEnd"/>
      <w:r>
        <w:rPr>
          <w:sz w:val="24"/>
          <w:szCs w:val="24"/>
        </w:rPr>
        <w:t xml:space="preserve"> </w:t>
      </w:r>
      <w:r w:rsidR="00F530BB">
        <w:rPr>
          <w:sz w:val="24"/>
          <w:szCs w:val="24"/>
        </w:rPr>
        <w:t>contained a two-page letter addressed to the presiding officer discussing the facts of the case</w:t>
      </w:r>
      <w:r w:rsidR="003B2C3A">
        <w:rPr>
          <w:sz w:val="24"/>
          <w:szCs w:val="24"/>
        </w:rPr>
        <w:t xml:space="preserve"> and stating new facts</w:t>
      </w:r>
      <w:r w:rsidR="00F530BB">
        <w:rPr>
          <w:sz w:val="24"/>
          <w:szCs w:val="24"/>
        </w:rPr>
        <w:t xml:space="preserve">.  The transmission was not provided to Respondent.  </w:t>
      </w:r>
      <w:r>
        <w:rPr>
          <w:sz w:val="24"/>
          <w:szCs w:val="24"/>
        </w:rPr>
        <w:t>The presiding officer issued a letter to Complainant, with a copy to Respondent</w:t>
      </w:r>
      <w:r w:rsidR="003B2C3A">
        <w:rPr>
          <w:sz w:val="24"/>
          <w:szCs w:val="24"/>
        </w:rPr>
        <w:t xml:space="preserve"> and the Secretary’s Bureau</w:t>
      </w:r>
      <w:r>
        <w:rPr>
          <w:sz w:val="24"/>
          <w:szCs w:val="24"/>
        </w:rPr>
        <w:t xml:space="preserve">, which told Complainant she was not permitted to send any correspondence without sending a copy to Respondent.  </w:t>
      </w:r>
    </w:p>
    <w:p w:rsidR="00C44296" w:rsidRPr="00B73D10" w:rsidRDefault="00C44296" w:rsidP="00C44296">
      <w:pPr>
        <w:tabs>
          <w:tab w:val="left" w:pos="2160"/>
        </w:tabs>
        <w:ind w:firstLine="1440"/>
        <w:rPr>
          <w:sz w:val="24"/>
          <w:szCs w:val="24"/>
        </w:rPr>
      </w:pPr>
    </w:p>
    <w:p w:rsidR="00C44296" w:rsidRDefault="00C44296" w:rsidP="00C44296">
      <w:pPr>
        <w:tabs>
          <w:tab w:val="left" w:pos="2160"/>
        </w:tabs>
        <w:ind w:firstLine="1440"/>
        <w:rPr>
          <w:sz w:val="24"/>
          <w:szCs w:val="24"/>
        </w:rPr>
      </w:pPr>
      <w:r w:rsidRPr="00B73D10">
        <w:rPr>
          <w:sz w:val="24"/>
          <w:szCs w:val="24"/>
        </w:rPr>
        <w:t xml:space="preserve">On </w:t>
      </w:r>
      <w:r w:rsidR="00256679">
        <w:rPr>
          <w:sz w:val="24"/>
          <w:szCs w:val="24"/>
        </w:rPr>
        <w:t>February 29</w:t>
      </w:r>
      <w:r w:rsidR="00B80E5B">
        <w:rPr>
          <w:sz w:val="24"/>
          <w:szCs w:val="24"/>
        </w:rPr>
        <w:t>, 2012,</w:t>
      </w:r>
      <w:r w:rsidRPr="00B73D10">
        <w:rPr>
          <w:sz w:val="24"/>
          <w:szCs w:val="24"/>
        </w:rPr>
        <w:t xml:space="preserve"> </w:t>
      </w:r>
      <w:r w:rsidR="00B80E5B">
        <w:rPr>
          <w:sz w:val="24"/>
          <w:szCs w:val="24"/>
        </w:rPr>
        <w:t>the presiding officer closed the hearing</w:t>
      </w:r>
      <w:r w:rsidRPr="00B73D10">
        <w:rPr>
          <w:sz w:val="24"/>
          <w:szCs w:val="24"/>
        </w:rPr>
        <w:t xml:space="preserve"> record by Interim Order Closing the Hearing Record.</w:t>
      </w:r>
    </w:p>
    <w:p w:rsidR="00D96E0A" w:rsidRDefault="00D96E0A" w:rsidP="00C44296">
      <w:pPr>
        <w:tabs>
          <w:tab w:val="left" w:pos="2160"/>
        </w:tabs>
        <w:ind w:firstLine="1440"/>
        <w:rPr>
          <w:sz w:val="24"/>
          <w:szCs w:val="24"/>
        </w:rPr>
      </w:pPr>
    </w:p>
    <w:p w:rsidR="00D96E0A" w:rsidRPr="00B73D10" w:rsidRDefault="00D96E0A" w:rsidP="00C44296">
      <w:pPr>
        <w:tabs>
          <w:tab w:val="left" w:pos="2160"/>
        </w:tabs>
        <w:ind w:firstLine="1440"/>
        <w:rPr>
          <w:sz w:val="24"/>
          <w:szCs w:val="24"/>
        </w:rPr>
      </w:pPr>
      <w:r>
        <w:rPr>
          <w:sz w:val="24"/>
          <w:szCs w:val="24"/>
        </w:rPr>
        <w:t>On April 16, 2012, the presiding officer issued a letter to Complainant, with a copy to Respondent</w:t>
      </w:r>
      <w:r w:rsidR="003B2C3A">
        <w:rPr>
          <w:sz w:val="24"/>
          <w:szCs w:val="24"/>
        </w:rPr>
        <w:t xml:space="preserve"> after Complainant attempted to speak on the telephone with the presiding officer on</w:t>
      </w:r>
      <w:r w:rsidR="007C185B">
        <w:rPr>
          <w:sz w:val="24"/>
          <w:szCs w:val="24"/>
        </w:rPr>
        <w:t xml:space="preserve"> April 15, 2012</w:t>
      </w:r>
      <w:r w:rsidR="003B2C3A">
        <w:rPr>
          <w:sz w:val="24"/>
          <w:szCs w:val="24"/>
        </w:rPr>
        <w:t xml:space="preserve">.  </w:t>
      </w:r>
      <w:r>
        <w:rPr>
          <w:sz w:val="24"/>
          <w:szCs w:val="24"/>
        </w:rPr>
        <w:t xml:space="preserve">Complainant alleged </w:t>
      </w:r>
      <w:r w:rsidR="003B2C3A">
        <w:rPr>
          <w:sz w:val="24"/>
          <w:szCs w:val="24"/>
        </w:rPr>
        <w:t xml:space="preserve">PPL terminated her </w:t>
      </w:r>
      <w:r>
        <w:rPr>
          <w:sz w:val="24"/>
          <w:szCs w:val="24"/>
        </w:rPr>
        <w:t>electric service</w:t>
      </w:r>
      <w:r w:rsidR="003B2C3A">
        <w:rPr>
          <w:sz w:val="24"/>
          <w:szCs w:val="24"/>
        </w:rPr>
        <w:t xml:space="preserve"> and be</w:t>
      </w:r>
      <w:r>
        <w:rPr>
          <w:sz w:val="24"/>
          <w:szCs w:val="24"/>
        </w:rPr>
        <w:t>came verbally abusive w</w:t>
      </w:r>
      <w:r w:rsidR="00A3531C">
        <w:rPr>
          <w:sz w:val="24"/>
          <w:szCs w:val="24"/>
        </w:rPr>
        <w:t>hen</w:t>
      </w:r>
      <w:r>
        <w:rPr>
          <w:sz w:val="24"/>
          <w:szCs w:val="24"/>
        </w:rPr>
        <w:t xml:space="preserve"> the presiding officer’s staff told </w:t>
      </w:r>
      <w:r w:rsidR="003B2C3A">
        <w:rPr>
          <w:sz w:val="24"/>
          <w:szCs w:val="24"/>
        </w:rPr>
        <w:t xml:space="preserve">her </w:t>
      </w:r>
      <w:r w:rsidR="003B2C3A" w:rsidRPr="00D96E0A">
        <w:rPr>
          <w:i/>
          <w:sz w:val="24"/>
          <w:szCs w:val="24"/>
        </w:rPr>
        <w:t>ex parte</w:t>
      </w:r>
      <w:r w:rsidR="003B2C3A">
        <w:rPr>
          <w:sz w:val="24"/>
          <w:szCs w:val="24"/>
        </w:rPr>
        <w:t xml:space="preserve"> </w:t>
      </w:r>
      <w:r>
        <w:rPr>
          <w:sz w:val="24"/>
          <w:szCs w:val="24"/>
        </w:rPr>
        <w:t>communication was not allowed.  In the letter, the presiding officer advised Complainant to contact the Commission’s Bureau of Consumer Services</w:t>
      </w:r>
      <w:r w:rsidR="003B2C3A">
        <w:rPr>
          <w:sz w:val="24"/>
          <w:szCs w:val="24"/>
        </w:rPr>
        <w:t xml:space="preserve"> if termination of services occurred after July 7, 2011</w:t>
      </w:r>
      <w:r>
        <w:rPr>
          <w:sz w:val="24"/>
          <w:szCs w:val="24"/>
        </w:rPr>
        <w:t>.</w:t>
      </w:r>
    </w:p>
    <w:p w:rsidR="00C44296" w:rsidRPr="00B73D10" w:rsidRDefault="00C44296" w:rsidP="00C44296">
      <w:pPr>
        <w:tabs>
          <w:tab w:val="left" w:pos="2160"/>
        </w:tabs>
        <w:jc w:val="center"/>
        <w:rPr>
          <w:sz w:val="24"/>
          <w:szCs w:val="24"/>
          <w:u w:val="single"/>
        </w:rPr>
      </w:pPr>
      <w:r w:rsidRPr="00B73D10">
        <w:rPr>
          <w:sz w:val="24"/>
          <w:szCs w:val="24"/>
          <w:u w:val="single"/>
        </w:rPr>
        <w:lastRenderedPageBreak/>
        <w:t xml:space="preserve">FINDINGS OF </w:t>
      </w:r>
      <w:smartTag w:uri="urn:schemas-microsoft-com:office:smarttags" w:element="stockticker">
        <w:r w:rsidRPr="00B73D10">
          <w:rPr>
            <w:sz w:val="24"/>
            <w:szCs w:val="24"/>
            <w:u w:val="single"/>
          </w:rPr>
          <w:t>FACT</w:t>
        </w:r>
      </w:smartTag>
    </w:p>
    <w:p w:rsidR="00C44296" w:rsidRPr="00B73D10" w:rsidRDefault="00C44296" w:rsidP="00C44296">
      <w:pPr>
        <w:tabs>
          <w:tab w:val="left" w:pos="2160"/>
        </w:tabs>
        <w:rPr>
          <w:sz w:val="24"/>
          <w:szCs w:val="24"/>
          <w:u w:val="single"/>
        </w:rPr>
      </w:pPr>
    </w:p>
    <w:p w:rsidR="00C44296" w:rsidRPr="00B73D10" w:rsidRDefault="00C44296" w:rsidP="00C44296">
      <w:pPr>
        <w:tabs>
          <w:tab w:val="left" w:pos="2160"/>
        </w:tabs>
        <w:ind w:firstLine="1440"/>
        <w:rPr>
          <w:sz w:val="24"/>
          <w:szCs w:val="24"/>
        </w:rPr>
      </w:pPr>
      <w:r w:rsidRPr="00B73D10">
        <w:rPr>
          <w:sz w:val="24"/>
          <w:szCs w:val="24"/>
        </w:rPr>
        <w:t>1.</w:t>
      </w:r>
      <w:r w:rsidRPr="00B73D10">
        <w:rPr>
          <w:sz w:val="24"/>
          <w:szCs w:val="24"/>
        </w:rPr>
        <w:tab/>
        <w:t xml:space="preserve">Complainant, </w:t>
      </w:r>
      <w:proofErr w:type="spellStart"/>
      <w:r w:rsidR="00256679">
        <w:rPr>
          <w:sz w:val="24"/>
          <w:szCs w:val="24"/>
        </w:rPr>
        <w:t>Yasmin</w:t>
      </w:r>
      <w:proofErr w:type="spellEnd"/>
      <w:r w:rsidR="00256679">
        <w:rPr>
          <w:sz w:val="24"/>
          <w:szCs w:val="24"/>
        </w:rPr>
        <w:t xml:space="preserve"> </w:t>
      </w:r>
      <w:proofErr w:type="spellStart"/>
      <w:r w:rsidR="00256679">
        <w:rPr>
          <w:sz w:val="24"/>
          <w:szCs w:val="24"/>
        </w:rPr>
        <w:t>Bhatti</w:t>
      </w:r>
      <w:proofErr w:type="spellEnd"/>
      <w:r w:rsidR="00FB2F18">
        <w:rPr>
          <w:sz w:val="24"/>
          <w:szCs w:val="24"/>
        </w:rPr>
        <w:t xml:space="preserve">, resides </w:t>
      </w:r>
      <w:r w:rsidR="00657277">
        <w:rPr>
          <w:sz w:val="24"/>
          <w:szCs w:val="24"/>
        </w:rPr>
        <w:t xml:space="preserve">at the service address: </w:t>
      </w:r>
      <w:r w:rsidR="00D12CF7">
        <w:rPr>
          <w:sz w:val="24"/>
          <w:szCs w:val="24"/>
        </w:rPr>
        <w:t xml:space="preserve"> </w:t>
      </w:r>
      <w:r w:rsidR="00657277">
        <w:rPr>
          <w:sz w:val="24"/>
          <w:szCs w:val="24"/>
        </w:rPr>
        <w:t>3101</w:t>
      </w:r>
      <w:r w:rsidR="00D12CF7">
        <w:rPr>
          <w:sz w:val="24"/>
          <w:szCs w:val="24"/>
        </w:rPr>
        <w:t> </w:t>
      </w:r>
      <w:proofErr w:type="spellStart"/>
      <w:r w:rsidR="009B1A9A">
        <w:rPr>
          <w:sz w:val="24"/>
          <w:szCs w:val="24"/>
        </w:rPr>
        <w:t>Trexler</w:t>
      </w:r>
      <w:proofErr w:type="spellEnd"/>
      <w:r w:rsidR="00D12CF7">
        <w:rPr>
          <w:sz w:val="24"/>
          <w:szCs w:val="24"/>
        </w:rPr>
        <w:t> </w:t>
      </w:r>
      <w:r w:rsidR="009B1A9A">
        <w:rPr>
          <w:sz w:val="24"/>
          <w:szCs w:val="24"/>
        </w:rPr>
        <w:t xml:space="preserve">Boulevard, </w:t>
      </w:r>
      <w:r w:rsidR="00BE3FFB">
        <w:rPr>
          <w:sz w:val="24"/>
          <w:szCs w:val="24"/>
        </w:rPr>
        <w:t>Allentown, Pennsylvania</w:t>
      </w:r>
      <w:r w:rsidRPr="00B73D10">
        <w:rPr>
          <w:sz w:val="24"/>
          <w:szCs w:val="24"/>
        </w:rPr>
        <w:t xml:space="preserve">.  </w:t>
      </w:r>
      <w:proofErr w:type="gramStart"/>
      <w:r w:rsidRPr="00B73D10">
        <w:rPr>
          <w:sz w:val="24"/>
          <w:szCs w:val="24"/>
        </w:rPr>
        <w:t>(Tr.</w:t>
      </w:r>
      <w:r w:rsidR="00BE3FFB">
        <w:rPr>
          <w:sz w:val="24"/>
          <w:szCs w:val="24"/>
        </w:rPr>
        <w:t xml:space="preserve"> 10</w:t>
      </w:r>
      <w:r w:rsidRPr="00B73D10">
        <w:rPr>
          <w:sz w:val="24"/>
          <w:szCs w:val="24"/>
        </w:rPr>
        <w:t>).</w:t>
      </w:r>
      <w:proofErr w:type="gramEnd"/>
      <w:r w:rsidRPr="00B73D10">
        <w:rPr>
          <w:sz w:val="24"/>
          <w:szCs w:val="24"/>
        </w:rPr>
        <w:t xml:space="preserve"> </w:t>
      </w:r>
    </w:p>
    <w:p w:rsidR="00C44296" w:rsidRPr="00B73D10" w:rsidRDefault="00C44296" w:rsidP="00C44296">
      <w:pPr>
        <w:tabs>
          <w:tab w:val="left" w:pos="2160"/>
        </w:tabs>
        <w:ind w:firstLine="1440"/>
        <w:rPr>
          <w:sz w:val="24"/>
          <w:szCs w:val="24"/>
        </w:rPr>
      </w:pPr>
    </w:p>
    <w:p w:rsidR="00FB2F18" w:rsidRDefault="00C44296" w:rsidP="00C44296">
      <w:pPr>
        <w:tabs>
          <w:tab w:val="left" w:pos="2160"/>
        </w:tabs>
        <w:ind w:firstLine="1440"/>
        <w:rPr>
          <w:sz w:val="24"/>
          <w:szCs w:val="24"/>
        </w:rPr>
      </w:pPr>
      <w:r w:rsidRPr="00B73D10">
        <w:rPr>
          <w:sz w:val="24"/>
          <w:szCs w:val="24"/>
        </w:rPr>
        <w:t>2.</w:t>
      </w:r>
      <w:r w:rsidRPr="00B73D10">
        <w:rPr>
          <w:sz w:val="24"/>
          <w:szCs w:val="24"/>
        </w:rPr>
        <w:tab/>
      </w:r>
      <w:r w:rsidR="00BE3FFB">
        <w:rPr>
          <w:sz w:val="24"/>
          <w:szCs w:val="24"/>
        </w:rPr>
        <w:t xml:space="preserve">Complainant has received electric services from Respondent since 1995.  </w:t>
      </w:r>
      <w:proofErr w:type="gramStart"/>
      <w:r w:rsidR="00BE3FFB">
        <w:rPr>
          <w:sz w:val="24"/>
          <w:szCs w:val="24"/>
        </w:rPr>
        <w:t>(Tr. 10).</w:t>
      </w:r>
      <w:proofErr w:type="gramEnd"/>
    </w:p>
    <w:p w:rsidR="003B2C3A" w:rsidRDefault="003B2C3A" w:rsidP="00C44296">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3</w:t>
      </w:r>
      <w:r w:rsidRPr="00B73D10">
        <w:rPr>
          <w:sz w:val="24"/>
          <w:szCs w:val="24"/>
        </w:rPr>
        <w:t>.</w:t>
      </w:r>
      <w:r w:rsidRPr="00B73D10">
        <w:rPr>
          <w:sz w:val="24"/>
          <w:szCs w:val="24"/>
        </w:rPr>
        <w:tab/>
        <w:t xml:space="preserve">  </w:t>
      </w:r>
      <w:r>
        <w:rPr>
          <w:sz w:val="24"/>
          <w:szCs w:val="24"/>
        </w:rPr>
        <w:t>Complainant lives with her teenaged daughter but used to live with six other people until three years ago.  (Tr. 36-38).</w:t>
      </w:r>
    </w:p>
    <w:p w:rsidR="003B2C3A" w:rsidRDefault="003B2C3A" w:rsidP="003B2C3A">
      <w:pPr>
        <w:tabs>
          <w:tab w:val="left" w:pos="2160"/>
        </w:tabs>
        <w:ind w:firstLine="1440"/>
        <w:rPr>
          <w:sz w:val="24"/>
          <w:szCs w:val="24"/>
        </w:rPr>
      </w:pPr>
    </w:p>
    <w:p w:rsidR="003B2C3A" w:rsidRPr="00B73D10" w:rsidRDefault="003B2C3A" w:rsidP="003B2C3A">
      <w:pPr>
        <w:tabs>
          <w:tab w:val="left" w:pos="2160"/>
        </w:tabs>
        <w:ind w:firstLine="1440"/>
        <w:rPr>
          <w:sz w:val="24"/>
          <w:szCs w:val="24"/>
        </w:rPr>
      </w:pPr>
      <w:r>
        <w:rPr>
          <w:sz w:val="24"/>
          <w:szCs w:val="24"/>
        </w:rPr>
        <w:t>4.</w:t>
      </w:r>
      <w:r>
        <w:rPr>
          <w:sz w:val="24"/>
          <w:szCs w:val="24"/>
        </w:rPr>
        <w:tab/>
        <w:t>Complainant’s home is a detached two-story, four bedroom home of primarily brick construction with electric baseboard heat.  (Tr. 38-40).</w:t>
      </w:r>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5.</w:t>
      </w:r>
      <w:r>
        <w:rPr>
          <w:sz w:val="24"/>
          <w:szCs w:val="24"/>
        </w:rPr>
        <w:tab/>
        <w:t xml:space="preserve">Complainant has not made any improvements to the energy efficiency of her home since buying the residence in 1995.  </w:t>
      </w:r>
      <w:proofErr w:type="gramStart"/>
      <w:r>
        <w:rPr>
          <w:sz w:val="24"/>
          <w:szCs w:val="24"/>
        </w:rPr>
        <w:t>(Tr. 38).</w:t>
      </w:r>
      <w:proofErr w:type="gramEnd"/>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6.</w:t>
      </w:r>
      <w:r>
        <w:rPr>
          <w:sz w:val="24"/>
          <w:szCs w:val="24"/>
        </w:rPr>
        <w:tab/>
        <w:t xml:space="preserve">Complainant’s pattern of consumption from 2008 to 2011 is consistent with higher usage in cooler months and lower usage in warmer months.  </w:t>
      </w:r>
      <w:proofErr w:type="gramStart"/>
      <w:r w:rsidRPr="00B73D10">
        <w:rPr>
          <w:sz w:val="24"/>
          <w:szCs w:val="24"/>
        </w:rPr>
        <w:t xml:space="preserve">(Tr. </w:t>
      </w:r>
      <w:r>
        <w:rPr>
          <w:sz w:val="24"/>
          <w:szCs w:val="24"/>
        </w:rPr>
        <w:t>81-83; PPL Exhibit</w:t>
      </w:r>
      <w:r w:rsidR="008C1C6E">
        <w:rPr>
          <w:sz w:val="24"/>
          <w:szCs w:val="24"/>
        </w:rPr>
        <w:t> </w:t>
      </w:r>
      <w:r>
        <w:rPr>
          <w:sz w:val="24"/>
          <w:szCs w:val="24"/>
        </w:rPr>
        <w:t>1</w:t>
      </w:r>
      <w:r w:rsidRPr="00B73D10">
        <w:rPr>
          <w:sz w:val="24"/>
          <w:szCs w:val="24"/>
        </w:rPr>
        <w:t>).</w:t>
      </w:r>
      <w:proofErr w:type="gramEnd"/>
    </w:p>
    <w:p w:rsidR="003B2C3A" w:rsidRDefault="003B2C3A" w:rsidP="00C44296">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7.</w:t>
      </w:r>
      <w:r>
        <w:rPr>
          <w:sz w:val="24"/>
          <w:szCs w:val="24"/>
        </w:rPr>
        <w:tab/>
        <w:t xml:space="preserve"> Complainant contacted Respondent on numerous occasions to complain that she did not understand Respondent’s billing statements and Respondent did not correctly credit her account for the payments she made.  (Tr. 28-34).</w:t>
      </w:r>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8.</w:t>
      </w:r>
      <w:r>
        <w:rPr>
          <w:sz w:val="24"/>
          <w:szCs w:val="24"/>
        </w:rPr>
        <w:tab/>
        <w:t xml:space="preserve">Each time Complainant mailed in or forwarded a payment to Respondent for her residential account, her payment was credited to her account.  </w:t>
      </w:r>
      <w:proofErr w:type="gramStart"/>
      <w:r>
        <w:rPr>
          <w:sz w:val="24"/>
          <w:szCs w:val="24"/>
        </w:rPr>
        <w:t>(Tr. 70-71, 83</w:t>
      </w:r>
      <w:r w:rsidR="00C27ED1">
        <w:rPr>
          <w:sz w:val="24"/>
          <w:szCs w:val="24"/>
        </w:rPr>
        <w:t>; PPL Exhibit</w:t>
      </w:r>
      <w:r w:rsidR="008C1C6E">
        <w:rPr>
          <w:sz w:val="24"/>
          <w:szCs w:val="24"/>
        </w:rPr>
        <w:t> </w:t>
      </w:r>
      <w:r w:rsidR="00C27ED1">
        <w:rPr>
          <w:sz w:val="24"/>
          <w:szCs w:val="24"/>
        </w:rPr>
        <w:t>1</w:t>
      </w:r>
      <w:r>
        <w:rPr>
          <w:sz w:val="24"/>
          <w:szCs w:val="24"/>
        </w:rPr>
        <w:t>).</w:t>
      </w:r>
      <w:proofErr w:type="gramEnd"/>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lastRenderedPageBreak/>
        <w:t>9.</w:t>
      </w:r>
      <w:r>
        <w:rPr>
          <w:sz w:val="24"/>
          <w:szCs w:val="24"/>
        </w:rPr>
        <w:tab/>
        <w:t xml:space="preserve">Complainant was on budget billing with Respondent during various times, including from January 23, 2008 to December 23, 2009, but has been off budget billing since March 2011.  </w:t>
      </w:r>
      <w:proofErr w:type="gramStart"/>
      <w:r>
        <w:rPr>
          <w:sz w:val="24"/>
          <w:szCs w:val="24"/>
        </w:rPr>
        <w:t>(Tr. 72, 79, 84; PPL Exhibit 1).</w:t>
      </w:r>
      <w:proofErr w:type="gramEnd"/>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10.</w:t>
      </w:r>
      <w:r>
        <w:rPr>
          <w:sz w:val="24"/>
          <w:szCs w:val="24"/>
        </w:rPr>
        <w:tab/>
        <w:t xml:space="preserve">On budget billing, Respondent averages the bills over a twelve-month period using actual consumption amounts over the previous year, and charges the ratepayer a flat amount.  </w:t>
      </w:r>
      <w:r w:rsidR="00C27ED1">
        <w:rPr>
          <w:sz w:val="24"/>
          <w:szCs w:val="24"/>
        </w:rPr>
        <w:t xml:space="preserve">Because the average is calculated from historic usage, there are months when </w:t>
      </w:r>
      <w:r>
        <w:rPr>
          <w:sz w:val="24"/>
          <w:szCs w:val="24"/>
        </w:rPr>
        <w:t xml:space="preserve">a ratepayer will pay for </w:t>
      </w:r>
      <w:r w:rsidRPr="00763E38">
        <w:rPr>
          <w:sz w:val="24"/>
          <w:szCs w:val="24"/>
          <w:u w:val="single"/>
        </w:rPr>
        <w:t>more</w:t>
      </w:r>
      <w:r>
        <w:rPr>
          <w:sz w:val="24"/>
          <w:szCs w:val="24"/>
        </w:rPr>
        <w:t xml:space="preserve"> electricity than was actually consumed while during other months the ratepayer will pay for </w:t>
      </w:r>
      <w:r w:rsidRPr="00763E38">
        <w:rPr>
          <w:sz w:val="24"/>
          <w:szCs w:val="24"/>
          <w:u w:val="single"/>
        </w:rPr>
        <w:t>less</w:t>
      </w:r>
      <w:r>
        <w:rPr>
          <w:sz w:val="24"/>
          <w:szCs w:val="24"/>
        </w:rPr>
        <w:t xml:space="preserve"> electricity than was actually used.  </w:t>
      </w:r>
      <w:proofErr w:type="gramStart"/>
      <w:r>
        <w:rPr>
          <w:sz w:val="24"/>
          <w:szCs w:val="24"/>
        </w:rPr>
        <w:t>(Tr. 72-73; PPL Exhibit 1).</w:t>
      </w:r>
      <w:proofErr w:type="gramEnd"/>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11.</w:t>
      </w:r>
      <w:r>
        <w:rPr>
          <w:sz w:val="24"/>
          <w:szCs w:val="24"/>
        </w:rPr>
        <w:tab/>
        <w:t xml:space="preserve">Once a year, Respondent will reconcile the actual amount consumed with the actual amounts that were paid, resulting in the ratepayer getting either a credit (if total annual consumption is lower than it was in the previous year) or a </w:t>
      </w:r>
      <w:r w:rsidR="00C27ED1">
        <w:rPr>
          <w:sz w:val="24"/>
          <w:szCs w:val="24"/>
        </w:rPr>
        <w:t>debit</w:t>
      </w:r>
      <w:r>
        <w:rPr>
          <w:sz w:val="24"/>
          <w:szCs w:val="24"/>
        </w:rPr>
        <w:t xml:space="preserve"> (if total annual consumption is higher than it was in the previous year).  </w:t>
      </w:r>
      <w:proofErr w:type="gramStart"/>
      <w:r>
        <w:rPr>
          <w:sz w:val="24"/>
          <w:szCs w:val="24"/>
        </w:rPr>
        <w:t>(Tr. 73; PPL Exhibit 1).</w:t>
      </w:r>
      <w:proofErr w:type="gramEnd"/>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12.</w:t>
      </w:r>
      <w:r>
        <w:rPr>
          <w:sz w:val="24"/>
          <w:szCs w:val="24"/>
        </w:rPr>
        <w:tab/>
        <w:t>From March 9, 2011 through January 24, 2012, PPL made two attempts to conduct a high bill investigation at Complainant’s residence and to verify the operation of Complainant’s meter but she refused to allow PPL access.  (Tr. 59-63, 83, 103-106, 114-115).</w:t>
      </w:r>
    </w:p>
    <w:p w:rsidR="003B2C3A" w:rsidRDefault="003B2C3A" w:rsidP="00C44296">
      <w:pPr>
        <w:tabs>
          <w:tab w:val="left" w:pos="2160"/>
        </w:tabs>
        <w:ind w:firstLine="1440"/>
        <w:rPr>
          <w:sz w:val="24"/>
          <w:szCs w:val="24"/>
        </w:rPr>
      </w:pPr>
    </w:p>
    <w:p w:rsidR="00D72E36" w:rsidRDefault="003B2C3A" w:rsidP="00C44296">
      <w:pPr>
        <w:tabs>
          <w:tab w:val="left" w:pos="2160"/>
        </w:tabs>
        <w:ind w:firstLine="1440"/>
        <w:rPr>
          <w:sz w:val="24"/>
          <w:szCs w:val="24"/>
        </w:rPr>
      </w:pPr>
      <w:r>
        <w:rPr>
          <w:sz w:val="24"/>
          <w:szCs w:val="24"/>
        </w:rPr>
        <w:t>13</w:t>
      </w:r>
      <w:r w:rsidR="00D72E36">
        <w:rPr>
          <w:sz w:val="24"/>
          <w:szCs w:val="24"/>
        </w:rPr>
        <w:t>.</w:t>
      </w:r>
      <w:r w:rsidR="00D72E36">
        <w:rPr>
          <w:sz w:val="24"/>
          <w:szCs w:val="24"/>
        </w:rPr>
        <w:tab/>
      </w:r>
      <w:r>
        <w:rPr>
          <w:sz w:val="24"/>
          <w:szCs w:val="24"/>
        </w:rPr>
        <w:t xml:space="preserve">Complainant paid on her account with Respondent on a fairly regular basis from 2008 to March 2011 but on numerous occasions she </w:t>
      </w:r>
      <w:r w:rsidR="00D72E36">
        <w:rPr>
          <w:sz w:val="24"/>
          <w:szCs w:val="24"/>
        </w:rPr>
        <w:t xml:space="preserve">did not pay the full amount due for that month, resulting in a balance forward that accumulated over time.  </w:t>
      </w:r>
      <w:proofErr w:type="gramStart"/>
      <w:r w:rsidR="00D72E36">
        <w:rPr>
          <w:sz w:val="24"/>
          <w:szCs w:val="24"/>
        </w:rPr>
        <w:t>(Tr. 74-75; PPL Exhibit 1).</w:t>
      </w:r>
      <w:proofErr w:type="gramEnd"/>
    </w:p>
    <w:p w:rsidR="003B2C3A" w:rsidRDefault="003B2C3A" w:rsidP="003B2C3A">
      <w:pPr>
        <w:tabs>
          <w:tab w:val="left" w:pos="2160"/>
        </w:tabs>
        <w:ind w:firstLine="1440"/>
        <w:rPr>
          <w:sz w:val="24"/>
          <w:szCs w:val="24"/>
        </w:rPr>
      </w:pPr>
    </w:p>
    <w:p w:rsidR="003B2C3A" w:rsidRDefault="003B2C3A" w:rsidP="003B2C3A">
      <w:pPr>
        <w:tabs>
          <w:tab w:val="left" w:pos="2160"/>
        </w:tabs>
        <w:ind w:firstLine="1440"/>
        <w:rPr>
          <w:sz w:val="24"/>
          <w:szCs w:val="24"/>
        </w:rPr>
      </w:pPr>
      <w:r>
        <w:rPr>
          <w:sz w:val="24"/>
          <w:szCs w:val="24"/>
        </w:rPr>
        <w:t>14.</w:t>
      </w:r>
      <w:r>
        <w:rPr>
          <w:sz w:val="24"/>
          <w:szCs w:val="24"/>
        </w:rPr>
        <w:tab/>
        <w:t xml:space="preserve">Complainant’s last </w:t>
      </w:r>
      <w:r w:rsidR="00C27ED1">
        <w:rPr>
          <w:sz w:val="24"/>
          <w:szCs w:val="24"/>
        </w:rPr>
        <w:t>payment</w:t>
      </w:r>
      <w:r>
        <w:rPr>
          <w:sz w:val="24"/>
          <w:szCs w:val="24"/>
        </w:rPr>
        <w:t xml:space="preserve"> on her account with Respondent </w:t>
      </w:r>
      <w:r w:rsidR="00C27ED1">
        <w:rPr>
          <w:sz w:val="24"/>
          <w:szCs w:val="24"/>
        </w:rPr>
        <w:t>was $577.81 paid on March</w:t>
      </w:r>
      <w:r>
        <w:rPr>
          <w:sz w:val="24"/>
          <w:szCs w:val="24"/>
        </w:rPr>
        <w:t xml:space="preserve"> 11, 2011</w:t>
      </w:r>
      <w:r w:rsidR="00C27ED1">
        <w:rPr>
          <w:sz w:val="24"/>
          <w:szCs w:val="24"/>
        </w:rPr>
        <w:t>.  She has not paid since that date</w:t>
      </w:r>
      <w:r>
        <w:rPr>
          <w:sz w:val="24"/>
          <w:szCs w:val="24"/>
        </w:rPr>
        <w:t xml:space="preserve"> because she was told PPL cannot terminate service after she files a complaint.  </w:t>
      </w:r>
      <w:proofErr w:type="gramStart"/>
      <w:r>
        <w:rPr>
          <w:sz w:val="24"/>
          <w:szCs w:val="24"/>
        </w:rPr>
        <w:t>(Tr. 58-59, 84; PPL Exhibit 1).</w:t>
      </w:r>
      <w:proofErr w:type="gramEnd"/>
    </w:p>
    <w:p w:rsidR="00D72E36" w:rsidRDefault="00D72E36" w:rsidP="00C44296">
      <w:pPr>
        <w:tabs>
          <w:tab w:val="left" w:pos="2160"/>
        </w:tabs>
        <w:ind w:firstLine="1440"/>
        <w:rPr>
          <w:sz w:val="24"/>
          <w:szCs w:val="24"/>
        </w:rPr>
      </w:pPr>
    </w:p>
    <w:p w:rsidR="00D72E36" w:rsidRDefault="003B2C3A" w:rsidP="00C44296">
      <w:pPr>
        <w:tabs>
          <w:tab w:val="left" w:pos="2160"/>
        </w:tabs>
        <w:ind w:firstLine="1440"/>
        <w:rPr>
          <w:sz w:val="24"/>
          <w:szCs w:val="24"/>
        </w:rPr>
      </w:pPr>
      <w:r>
        <w:rPr>
          <w:sz w:val="24"/>
          <w:szCs w:val="24"/>
        </w:rPr>
        <w:t>15</w:t>
      </w:r>
      <w:r w:rsidR="00D72E36">
        <w:rPr>
          <w:sz w:val="24"/>
          <w:szCs w:val="24"/>
        </w:rPr>
        <w:t xml:space="preserve">. </w:t>
      </w:r>
      <w:r w:rsidR="00D72E36">
        <w:rPr>
          <w:sz w:val="24"/>
          <w:szCs w:val="24"/>
        </w:rPr>
        <w:tab/>
        <w:t xml:space="preserve">Complainant’s balance forward on September 22, 2008 was $527.10 and the balance forward </w:t>
      </w:r>
      <w:r w:rsidR="00A120EF">
        <w:rPr>
          <w:sz w:val="24"/>
          <w:szCs w:val="24"/>
        </w:rPr>
        <w:t xml:space="preserve">was $5,153.74 </w:t>
      </w:r>
      <w:r w:rsidR="00D72E36">
        <w:rPr>
          <w:sz w:val="24"/>
          <w:szCs w:val="24"/>
        </w:rPr>
        <w:t xml:space="preserve">on </w:t>
      </w:r>
      <w:r w:rsidR="00A120EF">
        <w:rPr>
          <w:sz w:val="24"/>
          <w:szCs w:val="24"/>
        </w:rPr>
        <w:t xml:space="preserve">February 9, 2012.  </w:t>
      </w:r>
      <w:proofErr w:type="gramStart"/>
      <w:r w:rsidR="00D72E36">
        <w:rPr>
          <w:sz w:val="24"/>
          <w:szCs w:val="24"/>
        </w:rPr>
        <w:t>(Tr. 77</w:t>
      </w:r>
      <w:r w:rsidR="00A120EF">
        <w:rPr>
          <w:sz w:val="24"/>
          <w:szCs w:val="24"/>
        </w:rPr>
        <w:t>, 83</w:t>
      </w:r>
      <w:r w:rsidR="00D72E36">
        <w:rPr>
          <w:sz w:val="24"/>
          <w:szCs w:val="24"/>
        </w:rPr>
        <w:t>; PPL Exhibit 1).</w:t>
      </w:r>
      <w:proofErr w:type="gramEnd"/>
    </w:p>
    <w:p w:rsidR="003B2C3A" w:rsidRDefault="003B2C3A" w:rsidP="00C44296">
      <w:pPr>
        <w:tabs>
          <w:tab w:val="left" w:pos="2160"/>
        </w:tabs>
        <w:ind w:firstLine="1440"/>
        <w:rPr>
          <w:sz w:val="24"/>
          <w:szCs w:val="24"/>
        </w:rPr>
      </w:pPr>
    </w:p>
    <w:p w:rsidR="003B2C3A" w:rsidRDefault="003B2C3A" w:rsidP="00C44296">
      <w:pPr>
        <w:tabs>
          <w:tab w:val="left" w:pos="2160"/>
        </w:tabs>
        <w:ind w:firstLine="1440"/>
        <w:rPr>
          <w:sz w:val="24"/>
          <w:szCs w:val="24"/>
        </w:rPr>
      </w:pPr>
      <w:r>
        <w:rPr>
          <w:sz w:val="24"/>
          <w:szCs w:val="24"/>
        </w:rPr>
        <w:lastRenderedPageBreak/>
        <w:t>16.</w:t>
      </w:r>
      <w:r>
        <w:rPr>
          <w:sz w:val="24"/>
          <w:szCs w:val="24"/>
        </w:rPr>
        <w:tab/>
        <w:t xml:space="preserve">Complainant’s balance forward was only $994.00 in March 2011 but grew to $5,153.74 because Complainant has not made a payment on the account since March 2011.  </w:t>
      </w:r>
      <w:proofErr w:type="gramStart"/>
      <w:r>
        <w:rPr>
          <w:sz w:val="24"/>
          <w:szCs w:val="24"/>
        </w:rPr>
        <w:t>(Tr. 77, 83; PPL Exhibit 1).</w:t>
      </w:r>
      <w:proofErr w:type="gramEnd"/>
    </w:p>
    <w:p w:rsidR="00257E91" w:rsidRDefault="00257E91" w:rsidP="000420ED">
      <w:pPr>
        <w:tabs>
          <w:tab w:val="left" w:pos="2160"/>
        </w:tabs>
        <w:ind w:firstLine="1440"/>
        <w:rPr>
          <w:sz w:val="24"/>
          <w:szCs w:val="24"/>
        </w:rPr>
      </w:pPr>
    </w:p>
    <w:p w:rsidR="00C44296" w:rsidRDefault="00780CB1" w:rsidP="00780CB1">
      <w:pPr>
        <w:tabs>
          <w:tab w:val="left" w:pos="2160"/>
        </w:tabs>
        <w:ind w:firstLine="1440"/>
        <w:rPr>
          <w:sz w:val="24"/>
          <w:szCs w:val="24"/>
        </w:rPr>
      </w:pPr>
      <w:r>
        <w:rPr>
          <w:sz w:val="24"/>
          <w:szCs w:val="24"/>
        </w:rPr>
        <w:t>1</w:t>
      </w:r>
      <w:r w:rsidR="00D344DE">
        <w:rPr>
          <w:sz w:val="24"/>
          <w:szCs w:val="24"/>
        </w:rPr>
        <w:t>7</w:t>
      </w:r>
      <w:r w:rsidR="002721E6">
        <w:rPr>
          <w:sz w:val="24"/>
          <w:szCs w:val="24"/>
        </w:rPr>
        <w:t>.</w:t>
      </w:r>
      <w:r w:rsidR="002721E6">
        <w:rPr>
          <w:sz w:val="24"/>
          <w:szCs w:val="24"/>
        </w:rPr>
        <w:tab/>
      </w:r>
      <w:r w:rsidR="00C44296" w:rsidRPr="00B73D10">
        <w:rPr>
          <w:sz w:val="24"/>
          <w:szCs w:val="24"/>
        </w:rPr>
        <w:t xml:space="preserve">On </w:t>
      </w:r>
      <w:r w:rsidR="00256679">
        <w:rPr>
          <w:sz w:val="24"/>
          <w:szCs w:val="24"/>
        </w:rPr>
        <w:t>July 7</w:t>
      </w:r>
      <w:r w:rsidR="00FF4A00">
        <w:rPr>
          <w:sz w:val="24"/>
          <w:szCs w:val="24"/>
        </w:rPr>
        <w:t>, 2011</w:t>
      </w:r>
      <w:r w:rsidR="00C44296" w:rsidRPr="00B73D10">
        <w:rPr>
          <w:sz w:val="24"/>
          <w:szCs w:val="24"/>
        </w:rPr>
        <w:t xml:space="preserve">, </w:t>
      </w:r>
      <w:r w:rsidR="00FF4A00">
        <w:rPr>
          <w:sz w:val="24"/>
          <w:szCs w:val="24"/>
        </w:rPr>
        <w:t>Complainant</w:t>
      </w:r>
      <w:r w:rsidR="00C44296" w:rsidRPr="00B73D10">
        <w:rPr>
          <w:sz w:val="24"/>
          <w:szCs w:val="24"/>
        </w:rPr>
        <w:t xml:space="preserve"> filed a formal complaint with the Commission </w:t>
      </w:r>
      <w:r w:rsidR="00256679" w:rsidRPr="00B73D10">
        <w:rPr>
          <w:sz w:val="24"/>
          <w:szCs w:val="24"/>
        </w:rPr>
        <w:t>alleging</w:t>
      </w:r>
      <w:r w:rsidR="00256679">
        <w:rPr>
          <w:sz w:val="24"/>
          <w:szCs w:val="24"/>
        </w:rPr>
        <w:t xml:space="preserve"> incorrect charges and</w:t>
      </w:r>
      <w:r w:rsidR="00256679" w:rsidRPr="00B73D10">
        <w:rPr>
          <w:sz w:val="24"/>
          <w:szCs w:val="24"/>
        </w:rPr>
        <w:t xml:space="preserve"> </w:t>
      </w:r>
      <w:r w:rsidR="00256679">
        <w:rPr>
          <w:sz w:val="24"/>
          <w:szCs w:val="24"/>
        </w:rPr>
        <w:t xml:space="preserve">unexplained high bills </w:t>
      </w:r>
      <w:r w:rsidR="00256679" w:rsidRPr="00B73D10">
        <w:rPr>
          <w:sz w:val="24"/>
          <w:szCs w:val="24"/>
        </w:rPr>
        <w:t xml:space="preserve">on </w:t>
      </w:r>
      <w:r w:rsidR="00256679">
        <w:rPr>
          <w:sz w:val="24"/>
          <w:szCs w:val="24"/>
        </w:rPr>
        <w:t>her</w:t>
      </w:r>
      <w:r w:rsidR="00256679" w:rsidRPr="00B73D10">
        <w:rPr>
          <w:sz w:val="24"/>
          <w:szCs w:val="24"/>
        </w:rPr>
        <w:t xml:space="preserve"> residential account with Respondent</w:t>
      </w:r>
      <w:r w:rsidR="00256679">
        <w:rPr>
          <w:sz w:val="24"/>
          <w:szCs w:val="24"/>
        </w:rPr>
        <w:t xml:space="preserve"> in addition to fraudulent and deceptive trade practices by PPL</w:t>
      </w:r>
      <w:r w:rsidR="00DD6310" w:rsidRPr="00B73D10">
        <w:rPr>
          <w:sz w:val="24"/>
          <w:szCs w:val="24"/>
        </w:rPr>
        <w:t xml:space="preserve">.  </w:t>
      </w:r>
    </w:p>
    <w:p w:rsidR="00C27ED1" w:rsidRDefault="00C27ED1" w:rsidP="00780CB1">
      <w:pPr>
        <w:tabs>
          <w:tab w:val="left" w:pos="2160"/>
        </w:tabs>
        <w:ind w:firstLine="1440"/>
        <w:rPr>
          <w:sz w:val="24"/>
          <w:szCs w:val="24"/>
        </w:rPr>
      </w:pPr>
    </w:p>
    <w:p w:rsidR="00C27ED1" w:rsidRDefault="00C27ED1" w:rsidP="00780CB1">
      <w:pPr>
        <w:tabs>
          <w:tab w:val="left" w:pos="2160"/>
        </w:tabs>
        <w:ind w:firstLine="1440"/>
        <w:rPr>
          <w:sz w:val="24"/>
          <w:szCs w:val="24"/>
        </w:rPr>
      </w:pPr>
      <w:r>
        <w:rPr>
          <w:sz w:val="24"/>
          <w:szCs w:val="24"/>
        </w:rPr>
        <w:t>18.</w:t>
      </w:r>
      <w:r>
        <w:rPr>
          <w:sz w:val="24"/>
          <w:szCs w:val="24"/>
        </w:rPr>
        <w:tab/>
        <w:t xml:space="preserve">Complainant continued to receive electric service from Respondent as of the date of the hearing on February 9, 2012.  </w:t>
      </w:r>
      <w:proofErr w:type="gramStart"/>
      <w:r>
        <w:rPr>
          <w:sz w:val="24"/>
          <w:szCs w:val="24"/>
        </w:rPr>
        <w:t>(Tr. 10).</w:t>
      </w:r>
      <w:proofErr w:type="gramEnd"/>
    </w:p>
    <w:p w:rsidR="00D344DE" w:rsidRDefault="00D344DE" w:rsidP="00780CB1">
      <w:pPr>
        <w:tabs>
          <w:tab w:val="left" w:pos="2160"/>
        </w:tabs>
        <w:ind w:firstLine="1440"/>
        <w:rPr>
          <w:sz w:val="24"/>
          <w:szCs w:val="24"/>
        </w:rPr>
      </w:pPr>
    </w:p>
    <w:p w:rsidR="00D344DE" w:rsidRPr="00B73D10" w:rsidRDefault="00C27ED1" w:rsidP="00780CB1">
      <w:pPr>
        <w:tabs>
          <w:tab w:val="left" w:pos="2160"/>
        </w:tabs>
        <w:ind w:firstLine="1440"/>
        <w:rPr>
          <w:sz w:val="24"/>
          <w:szCs w:val="24"/>
        </w:rPr>
      </w:pPr>
      <w:r>
        <w:rPr>
          <w:sz w:val="24"/>
          <w:szCs w:val="24"/>
        </w:rPr>
        <w:t>19</w:t>
      </w:r>
      <w:r w:rsidR="00D344DE">
        <w:rPr>
          <w:sz w:val="24"/>
          <w:szCs w:val="24"/>
        </w:rPr>
        <w:t>.</w:t>
      </w:r>
      <w:r w:rsidR="00D344DE">
        <w:rPr>
          <w:sz w:val="24"/>
          <w:szCs w:val="24"/>
        </w:rPr>
        <w:tab/>
        <w:t>During the hearing, Complainant was combative with the presiding officer and Respondent’s counsel, interrupted all of the participants numerous times, refused to answer questions</w:t>
      </w:r>
      <w:r>
        <w:rPr>
          <w:sz w:val="24"/>
          <w:szCs w:val="24"/>
        </w:rPr>
        <w:t xml:space="preserve"> on cross-examination, refused to state what she wrote in her complaint</w:t>
      </w:r>
      <w:r w:rsidR="00D344DE">
        <w:rPr>
          <w:sz w:val="24"/>
          <w:szCs w:val="24"/>
        </w:rPr>
        <w:t xml:space="preserve">, </w:t>
      </w:r>
      <w:r>
        <w:rPr>
          <w:sz w:val="24"/>
          <w:szCs w:val="24"/>
        </w:rPr>
        <w:t>refused to comply with the presiding officer’s d</w:t>
      </w:r>
      <w:r w:rsidR="00D344DE">
        <w:rPr>
          <w:sz w:val="24"/>
          <w:szCs w:val="24"/>
        </w:rPr>
        <w:t>irections</w:t>
      </w:r>
      <w:r>
        <w:rPr>
          <w:sz w:val="24"/>
          <w:szCs w:val="24"/>
        </w:rPr>
        <w:t>,</w:t>
      </w:r>
      <w:r w:rsidR="00D344DE">
        <w:rPr>
          <w:sz w:val="24"/>
          <w:szCs w:val="24"/>
        </w:rPr>
        <w:t xml:space="preserve"> and yelled into the telephone line. </w:t>
      </w:r>
      <w:r w:rsidR="00AB293F">
        <w:rPr>
          <w:sz w:val="24"/>
          <w:szCs w:val="24"/>
        </w:rPr>
        <w:t xml:space="preserve"> (Tr. 13</w:t>
      </w:r>
      <w:r w:rsidR="00303221">
        <w:rPr>
          <w:sz w:val="24"/>
          <w:szCs w:val="24"/>
        </w:rPr>
        <w:t xml:space="preserve">, </w:t>
      </w:r>
      <w:r w:rsidR="00AB293F">
        <w:rPr>
          <w:sz w:val="24"/>
          <w:szCs w:val="24"/>
        </w:rPr>
        <w:t xml:space="preserve">14, </w:t>
      </w:r>
      <w:r w:rsidR="00303221">
        <w:rPr>
          <w:sz w:val="24"/>
          <w:szCs w:val="24"/>
        </w:rPr>
        <w:t xml:space="preserve">17, 18, 19, </w:t>
      </w:r>
      <w:r w:rsidR="00AB293F">
        <w:rPr>
          <w:sz w:val="24"/>
          <w:szCs w:val="24"/>
        </w:rPr>
        <w:t>22, 28, 41, 44-46, 48-52).</w:t>
      </w:r>
      <w:r w:rsidR="00D344DE">
        <w:rPr>
          <w:sz w:val="24"/>
          <w:szCs w:val="24"/>
        </w:rPr>
        <w:t xml:space="preserve"> </w:t>
      </w:r>
    </w:p>
    <w:p w:rsidR="00B45783" w:rsidRDefault="00B45783" w:rsidP="005B7776">
      <w:pPr>
        <w:spacing w:line="240" w:lineRule="auto"/>
        <w:rPr>
          <w:sz w:val="24"/>
          <w:szCs w:val="24"/>
        </w:rPr>
      </w:pPr>
    </w:p>
    <w:p w:rsidR="00DE2949" w:rsidRPr="00FB448C" w:rsidRDefault="00DE2949" w:rsidP="005B7776">
      <w:pPr>
        <w:spacing w:line="240" w:lineRule="auto"/>
        <w:jc w:val="center"/>
        <w:rPr>
          <w:sz w:val="24"/>
          <w:szCs w:val="24"/>
        </w:rPr>
      </w:pPr>
      <w:r w:rsidRPr="00FB448C">
        <w:rPr>
          <w:sz w:val="24"/>
          <w:szCs w:val="24"/>
          <w:u w:val="single"/>
        </w:rPr>
        <w:t>DISCUSSION</w:t>
      </w:r>
    </w:p>
    <w:p w:rsidR="00DE2949" w:rsidRPr="00FB448C" w:rsidRDefault="00DE2949">
      <w:pPr>
        <w:jc w:val="center"/>
        <w:rPr>
          <w:sz w:val="24"/>
          <w:szCs w:val="24"/>
        </w:rPr>
      </w:pPr>
    </w:p>
    <w:p w:rsidR="00715721" w:rsidRDefault="00C354E5" w:rsidP="00C354E5">
      <w:pPr>
        <w:tabs>
          <w:tab w:val="left" w:pos="-1440"/>
          <w:tab w:val="left" w:pos="-720"/>
        </w:tabs>
        <w:suppressAutoHyphens/>
        <w:rPr>
          <w:sz w:val="24"/>
          <w:szCs w:val="24"/>
        </w:rPr>
      </w:pPr>
      <w:r w:rsidRPr="00FB448C">
        <w:rPr>
          <w:sz w:val="24"/>
          <w:szCs w:val="24"/>
        </w:rPr>
        <w:tab/>
      </w:r>
      <w:r w:rsidRPr="00FB448C">
        <w:rPr>
          <w:sz w:val="24"/>
          <w:szCs w:val="24"/>
        </w:rPr>
        <w:tab/>
      </w:r>
      <w:r w:rsidR="00A40F64" w:rsidRPr="00FB448C">
        <w:rPr>
          <w:sz w:val="24"/>
          <w:szCs w:val="24"/>
        </w:rPr>
        <w:t xml:space="preserve">In this matter, </w:t>
      </w:r>
      <w:r w:rsidRPr="00FB448C">
        <w:rPr>
          <w:sz w:val="24"/>
          <w:szCs w:val="24"/>
        </w:rPr>
        <w:t xml:space="preserve">Complainant </w:t>
      </w:r>
      <w:r w:rsidR="009D72E7">
        <w:rPr>
          <w:sz w:val="24"/>
          <w:szCs w:val="24"/>
        </w:rPr>
        <w:t>filed a formal complaint against</w:t>
      </w:r>
      <w:r w:rsidRPr="00FB448C">
        <w:rPr>
          <w:sz w:val="24"/>
          <w:szCs w:val="24"/>
        </w:rPr>
        <w:t xml:space="preserve"> Respondent </w:t>
      </w:r>
      <w:r w:rsidR="00256679" w:rsidRPr="00B73D10">
        <w:rPr>
          <w:sz w:val="24"/>
          <w:szCs w:val="24"/>
        </w:rPr>
        <w:t>alleging</w:t>
      </w:r>
      <w:r w:rsidR="00256679">
        <w:rPr>
          <w:sz w:val="24"/>
          <w:szCs w:val="24"/>
        </w:rPr>
        <w:t xml:space="preserve"> incorrect charges and</w:t>
      </w:r>
      <w:r w:rsidR="00256679" w:rsidRPr="00B73D10">
        <w:rPr>
          <w:sz w:val="24"/>
          <w:szCs w:val="24"/>
        </w:rPr>
        <w:t xml:space="preserve"> </w:t>
      </w:r>
      <w:r w:rsidR="00256679">
        <w:rPr>
          <w:sz w:val="24"/>
          <w:szCs w:val="24"/>
        </w:rPr>
        <w:t xml:space="preserve">unexplained high bills </w:t>
      </w:r>
      <w:r w:rsidR="00256679" w:rsidRPr="00B73D10">
        <w:rPr>
          <w:sz w:val="24"/>
          <w:szCs w:val="24"/>
        </w:rPr>
        <w:t xml:space="preserve">on </w:t>
      </w:r>
      <w:r w:rsidR="00256679">
        <w:rPr>
          <w:sz w:val="24"/>
          <w:szCs w:val="24"/>
        </w:rPr>
        <w:t>her</w:t>
      </w:r>
      <w:r w:rsidR="00256679" w:rsidRPr="00B73D10">
        <w:rPr>
          <w:sz w:val="24"/>
          <w:szCs w:val="24"/>
        </w:rPr>
        <w:t xml:space="preserve"> residential account with Respondent</w:t>
      </w:r>
      <w:r w:rsidR="00256679">
        <w:rPr>
          <w:sz w:val="24"/>
          <w:szCs w:val="24"/>
        </w:rPr>
        <w:t xml:space="preserve"> in addition to </w:t>
      </w:r>
      <w:r w:rsidR="00D96E0A">
        <w:rPr>
          <w:sz w:val="24"/>
          <w:szCs w:val="24"/>
        </w:rPr>
        <w:t xml:space="preserve">alleged </w:t>
      </w:r>
      <w:r w:rsidR="00256679">
        <w:rPr>
          <w:sz w:val="24"/>
          <w:szCs w:val="24"/>
        </w:rPr>
        <w:t>fraudulent and deceptive trade practices by PPL</w:t>
      </w:r>
      <w:r w:rsidR="00DD6310" w:rsidRPr="00B73D10">
        <w:rPr>
          <w:sz w:val="24"/>
          <w:szCs w:val="24"/>
        </w:rPr>
        <w:t xml:space="preserve">.  </w:t>
      </w:r>
    </w:p>
    <w:p w:rsidR="00715721" w:rsidRDefault="00715721" w:rsidP="00C354E5">
      <w:pPr>
        <w:tabs>
          <w:tab w:val="left" w:pos="-1440"/>
          <w:tab w:val="left" w:pos="-720"/>
        </w:tabs>
        <w:suppressAutoHyphens/>
        <w:rPr>
          <w:sz w:val="24"/>
          <w:szCs w:val="24"/>
        </w:rPr>
      </w:pPr>
    </w:p>
    <w:p w:rsidR="00715721" w:rsidRDefault="00715721" w:rsidP="00715721">
      <w:pPr>
        <w:tabs>
          <w:tab w:val="left" w:pos="-1440"/>
          <w:tab w:val="left" w:pos="-720"/>
        </w:tabs>
        <w:suppressAutoHyphens/>
        <w:rPr>
          <w:sz w:val="24"/>
          <w:szCs w:val="24"/>
        </w:rPr>
      </w:pPr>
      <w:r>
        <w:rPr>
          <w:sz w:val="24"/>
          <w:szCs w:val="24"/>
          <w:u w:val="single"/>
        </w:rPr>
        <w:t>Complainant’s Position</w:t>
      </w:r>
    </w:p>
    <w:p w:rsidR="00715721" w:rsidRDefault="00715721" w:rsidP="00C354E5">
      <w:pPr>
        <w:tabs>
          <w:tab w:val="left" w:pos="-1440"/>
          <w:tab w:val="left" w:pos="-720"/>
        </w:tabs>
        <w:suppressAutoHyphens/>
        <w:rPr>
          <w:sz w:val="24"/>
          <w:szCs w:val="24"/>
        </w:rPr>
      </w:pPr>
    </w:p>
    <w:p w:rsidR="00FD6BDF" w:rsidRDefault="00715721" w:rsidP="00256679">
      <w:pPr>
        <w:tabs>
          <w:tab w:val="left" w:pos="-1440"/>
          <w:tab w:val="left" w:pos="-720"/>
        </w:tabs>
        <w:suppressAutoHyphens/>
        <w:rPr>
          <w:spacing w:val="-3"/>
          <w:sz w:val="24"/>
          <w:szCs w:val="24"/>
          <w:u w:val="single"/>
        </w:rPr>
      </w:pPr>
      <w:r>
        <w:rPr>
          <w:sz w:val="24"/>
          <w:szCs w:val="24"/>
        </w:rPr>
        <w:tab/>
      </w:r>
      <w:r>
        <w:rPr>
          <w:sz w:val="24"/>
          <w:szCs w:val="24"/>
        </w:rPr>
        <w:tab/>
      </w:r>
      <w:r w:rsidR="00C254C4">
        <w:rPr>
          <w:sz w:val="24"/>
          <w:szCs w:val="24"/>
        </w:rPr>
        <w:t>Complainant</w:t>
      </w:r>
      <w:r w:rsidR="00C354E5" w:rsidRPr="00FB448C">
        <w:rPr>
          <w:sz w:val="24"/>
          <w:szCs w:val="24"/>
        </w:rPr>
        <w:t xml:space="preserve"> </w:t>
      </w:r>
      <w:r w:rsidR="00BE3FFB">
        <w:rPr>
          <w:sz w:val="24"/>
          <w:szCs w:val="24"/>
        </w:rPr>
        <w:t xml:space="preserve">alleges Respondent committed fraud </w:t>
      </w:r>
      <w:r w:rsidR="00C27ED1">
        <w:rPr>
          <w:sz w:val="24"/>
          <w:szCs w:val="24"/>
        </w:rPr>
        <w:t xml:space="preserve">against her </w:t>
      </w:r>
      <w:r w:rsidR="00BE3FFB">
        <w:rPr>
          <w:sz w:val="24"/>
          <w:szCs w:val="24"/>
        </w:rPr>
        <w:t>and charg</w:t>
      </w:r>
      <w:r w:rsidR="00C27ED1">
        <w:rPr>
          <w:sz w:val="24"/>
          <w:szCs w:val="24"/>
        </w:rPr>
        <w:t xml:space="preserve">ed </w:t>
      </w:r>
      <w:r w:rsidR="00BE3FFB">
        <w:rPr>
          <w:sz w:val="24"/>
          <w:szCs w:val="24"/>
        </w:rPr>
        <w:t>too much for electric service.  Complainant contends the bills were regular when seven people resided in her home but now there are only two people and the bills are too high.  Complainant asserts the house is energy efficient.</w:t>
      </w:r>
      <w:r w:rsidR="0004172D">
        <w:rPr>
          <w:sz w:val="24"/>
          <w:szCs w:val="24"/>
        </w:rPr>
        <w:t xml:space="preserve">  </w:t>
      </w:r>
      <w:r w:rsidR="00C44296">
        <w:rPr>
          <w:spacing w:val="-3"/>
          <w:sz w:val="24"/>
          <w:szCs w:val="24"/>
        </w:rPr>
        <w:tab/>
        <w:t>Complainant testified</w:t>
      </w:r>
      <w:r w:rsidR="0004172D">
        <w:rPr>
          <w:spacing w:val="-3"/>
          <w:sz w:val="24"/>
          <w:szCs w:val="24"/>
        </w:rPr>
        <w:t xml:space="preserve"> </w:t>
      </w:r>
      <w:r w:rsidR="00C27ED1">
        <w:rPr>
          <w:spacing w:val="-3"/>
          <w:sz w:val="24"/>
          <w:szCs w:val="24"/>
        </w:rPr>
        <w:t xml:space="preserve">she does not understand why </w:t>
      </w:r>
      <w:r w:rsidR="00507F53">
        <w:rPr>
          <w:spacing w:val="-3"/>
          <w:sz w:val="24"/>
          <w:szCs w:val="24"/>
        </w:rPr>
        <w:t>credits</w:t>
      </w:r>
      <w:r w:rsidR="0004172D">
        <w:rPr>
          <w:spacing w:val="-3"/>
          <w:sz w:val="24"/>
          <w:szCs w:val="24"/>
        </w:rPr>
        <w:t xml:space="preserve"> appear</w:t>
      </w:r>
      <w:r w:rsidR="00507F53">
        <w:rPr>
          <w:spacing w:val="-3"/>
          <w:sz w:val="24"/>
          <w:szCs w:val="24"/>
        </w:rPr>
        <w:t xml:space="preserve"> on her electric se</w:t>
      </w:r>
      <w:r w:rsidR="00C27ED1">
        <w:rPr>
          <w:spacing w:val="-3"/>
          <w:sz w:val="24"/>
          <w:szCs w:val="24"/>
        </w:rPr>
        <w:t>rvice account when she does not make a</w:t>
      </w:r>
      <w:r w:rsidR="00507F53">
        <w:rPr>
          <w:spacing w:val="-3"/>
          <w:sz w:val="24"/>
          <w:szCs w:val="24"/>
        </w:rPr>
        <w:t xml:space="preserve"> payment.  </w:t>
      </w:r>
      <w:r w:rsidR="0004172D">
        <w:rPr>
          <w:sz w:val="24"/>
          <w:szCs w:val="24"/>
        </w:rPr>
        <w:t xml:space="preserve">Complainant contacted Respondent on numerous occasions to complain that she did not understand Respondent’s billing statements and to complain Respondent </w:t>
      </w:r>
      <w:r w:rsidR="00C27ED1">
        <w:rPr>
          <w:sz w:val="24"/>
          <w:szCs w:val="24"/>
        </w:rPr>
        <w:t>did</w:t>
      </w:r>
      <w:r w:rsidR="0004172D">
        <w:rPr>
          <w:sz w:val="24"/>
          <w:szCs w:val="24"/>
        </w:rPr>
        <w:t xml:space="preserve"> not correctly credit her account for the payments she </w:t>
      </w:r>
      <w:r w:rsidR="0004172D">
        <w:rPr>
          <w:sz w:val="24"/>
          <w:szCs w:val="24"/>
        </w:rPr>
        <w:lastRenderedPageBreak/>
        <w:t>made.  In addition, she alleged Respondent applied payments to her business account instead of applying the payments as she requested for her home account.</w:t>
      </w:r>
    </w:p>
    <w:p w:rsidR="00FD6BDF" w:rsidRDefault="00FD6BDF" w:rsidP="00DE2949">
      <w:pPr>
        <w:tabs>
          <w:tab w:val="left" w:pos="-1440"/>
          <w:tab w:val="left" w:pos="-720"/>
        </w:tabs>
        <w:suppressAutoHyphens/>
        <w:rPr>
          <w:spacing w:val="-3"/>
          <w:sz w:val="24"/>
          <w:szCs w:val="24"/>
          <w:u w:val="single"/>
        </w:rPr>
      </w:pPr>
    </w:p>
    <w:p w:rsidR="008222E1" w:rsidRDefault="008222E1" w:rsidP="00DE2949">
      <w:pPr>
        <w:tabs>
          <w:tab w:val="left" w:pos="-1440"/>
          <w:tab w:val="left" w:pos="-720"/>
        </w:tabs>
        <w:suppressAutoHyphens/>
        <w:rPr>
          <w:spacing w:val="-3"/>
          <w:sz w:val="24"/>
          <w:szCs w:val="24"/>
          <w:u w:val="single"/>
        </w:rPr>
      </w:pPr>
      <w:r>
        <w:rPr>
          <w:spacing w:val="-3"/>
          <w:sz w:val="24"/>
          <w:szCs w:val="24"/>
          <w:u w:val="single"/>
        </w:rPr>
        <w:t>Respondent’s Position</w:t>
      </w:r>
    </w:p>
    <w:p w:rsidR="008222E1" w:rsidRPr="008222E1" w:rsidRDefault="008222E1" w:rsidP="00DE2949">
      <w:pPr>
        <w:tabs>
          <w:tab w:val="left" w:pos="-1440"/>
          <w:tab w:val="left" w:pos="-720"/>
        </w:tabs>
        <w:suppressAutoHyphens/>
        <w:rPr>
          <w:spacing w:val="-3"/>
          <w:sz w:val="24"/>
          <w:szCs w:val="24"/>
          <w:u w:val="single"/>
        </w:rPr>
      </w:pPr>
    </w:p>
    <w:p w:rsidR="008222E1" w:rsidRDefault="00DE2949" w:rsidP="00386F30">
      <w:pPr>
        <w:tabs>
          <w:tab w:val="left" w:pos="-1440"/>
          <w:tab w:val="left" w:pos="-720"/>
        </w:tabs>
        <w:suppressAutoHyphens/>
        <w:rPr>
          <w:spacing w:val="-3"/>
          <w:sz w:val="24"/>
          <w:szCs w:val="24"/>
        </w:rPr>
      </w:pPr>
      <w:r w:rsidRPr="00FB448C">
        <w:rPr>
          <w:spacing w:val="-3"/>
          <w:sz w:val="24"/>
          <w:szCs w:val="24"/>
        </w:rPr>
        <w:tab/>
      </w:r>
      <w:r w:rsidRPr="00FB448C">
        <w:rPr>
          <w:spacing w:val="-3"/>
          <w:sz w:val="24"/>
          <w:szCs w:val="24"/>
        </w:rPr>
        <w:tab/>
        <w:t>Respondent’s witness testified</w:t>
      </w:r>
      <w:r w:rsidR="007C185B">
        <w:rPr>
          <w:spacing w:val="-3"/>
          <w:sz w:val="24"/>
          <w:szCs w:val="24"/>
        </w:rPr>
        <w:t xml:space="preserve"> Complainant was billed for the electricity she actually consumed.  Respondent acknowledged Complainant was on budget billing for a period of time, which resulted in her paying based on estimated consumption and could result in paying for more or less electricity than was actually consumed.  However, Respondent always reconciled the amounts paid against the amounts that should have been paid, and would credit or debit Complainant’s account accordingly.</w:t>
      </w:r>
    </w:p>
    <w:p w:rsidR="00347F45" w:rsidRDefault="00347F45" w:rsidP="00386F30">
      <w:pPr>
        <w:tabs>
          <w:tab w:val="left" w:pos="-1440"/>
          <w:tab w:val="left" w:pos="-720"/>
        </w:tabs>
        <w:suppressAutoHyphens/>
        <w:rPr>
          <w:spacing w:val="-3"/>
          <w:sz w:val="24"/>
          <w:szCs w:val="24"/>
        </w:rPr>
      </w:pPr>
    </w:p>
    <w:p w:rsidR="00347F45" w:rsidRPr="00FB448C" w:rsidRDefault="00347F45" w:rsidP="00386F30">
      <w:pPr>
        <w:tabs>
          <w:tab w:val="left" w:pos="-1440"/>
          <w:tab w:val="left" w:pos="-720"/>
        </w:tabs>
        <w:suppressAutoHyphens/>
        <w:rPr>
          <w:spacing w:val="-3"/>
          <w:sz w:val="24"/>
          <w:szCs w:val="24"/>
        </w:rPr>
      </w:pPr>
      <w:r>
        <w:rPr>
          <w:spacing w:val="-3"/>
          <w:sz w:val="24"/>
          <w:szCs w:val="24"/>
        </w:rPr>
        <w:tab/>
      </w:r>
      <w:r>
        <w:rPr>
          <w:spacing w:val="-3"/>
          <w:sz w:val="24"/>
          <w:szCs w:val="24"/>
        </w:rPr>
        <w:tab/>
        <w:t>Respondent avers</w:t>
      </w:r>
      <w:r w:rsidR="007C185B">
        <w:rPr>
          <w:spacing w:val="-3"/>
          <w:sz w:val="24"/>
          <w:szCs w:val="24"/>
        </w:rPr>
        <w:t xml:space="preserve"> it made two attempts to conduct a high bill investigation after it learned of Complainant’s allegations, but each time Complainant refused to give Respondent access to the premises.  Complainant also refused to allow Respondent to remove the meter for testing.</w:t>
      </w:r>
    </w:p>
    <w:p w:rsidR="00DE2949" w:rsidRPr="00FB448C" w:rsidRDefault="00DE2949" w:rsidP="00DE2949">
      <w:pPr>
        <w:tabs>
          <w:tab w:val="left" w:pos="-1440"/>
          <w:tab w:val="left" w:pos="-720"/>
        </w:tabs>
        <w:suppressAutoHyphens/>
        <w:rPr>
          <w:sz w:val="24"/>
          <w:szCs w:val="24"/>
        </w:rPr>
      </w:pPr>
    </w:p>
    <w:p w:rsidR="00B21A12" w:rsidRPr="00FB448C" w:rsidRDefault="00184F61" w:rsidP="00DE2949">
      <w:pPr>
        <w:tabs>
          <w:tab w:val="left" w:pos="-1440"/>
          <w:tab w:val="left" w:pos="-720"/>
        </w:tabs>
        <w:suppressAutoHyphens/>
        <w:rPr>
          <w:sz w:val="24"/>
          <w:szCs w:val="24"/>
        </w:rPr>
      </w:pPr>
      <w:r>
        <w:rPr>
          <w:sz w:val="24"/>
          <w:szCs w:val="24"/>
          <w:u w:val="single"/>
        </w:rPr>
        <w:t xml:space="preserve">Burden of Proof </w:t>
      </w:r>
    </w:p>
    <w:p w:rsidR="000A34DF" w:rsidRDefault="000A34DF" w:rsidP="000A34DF">
      <w:pPr>
        <w:tabs>
          <w:tab w:val="left" w:pos="-1440"/>
          <w:tab w:val="left" w:pos="-720"/>
        </w:tabs>
        <w:suppressAutoHyphens/>
        <w:rPr>
          <w:sz w:val="24"/>
          <w:szCs w:val="24"/>
        </w:rPr>
      </w:pPr>
    </w:p>
    <w:p w:rsidR="00C83066" w:rsidRDefault="000A34DF" w:rsidP="000A34DF">
      <w:pPr>
        <w:tabs>
          <w:tab w:val="left" w:pos="-1440"/>
          <w:tab w:val="left" w:pos="-720"/>
        </w:tabs>
        <w:suppressAutoHyphens/>
        <w:rPr>
          <w:spacing w:val="-3"/>
          <w:sz w:val="24"/>
          <w:szCs w:val="24"/>
        </w:rPr>
      </w:pPr>
      <w:r w:rsidRPr="00FB448C">
        <w:rPr>
          <w:sz w:val="24"/>
          <w:szCs w:val="24"/>
        </w:rPr>
        <w:tab/>
      </w:r>
      <w:r w:rsidRPr="00FB448C">
        <w:rPr>
          <w:sz w:val="24"/>
          <w:szCs w:val="24"/>
        </w:rPr>
        <w:tab/>
        <w:t>As the party seeking the intervention fr</w:t>
      </w:r>
      <w:r w:rsidR="00C44296">
        <w:rPr>
          <w:sz w:val="24"/>
          <w:szCs w:val="24"/>
        </w:rPr>
        <w:t>om this Commission, Complainant</w:t>
      </w:r>
      <w:r w:rsidRPr="00FB448C">
        <w:rPr>
          <w:sz w:val="24"/>
          <w:szCs w:val="24"/>
        </w:rPr>
        <w:t xml:space="preserve"> bear</w:t>
      </w:r>
      <w:r w:rsidR="00C44296">
        <w:rPr>
          <w:sz w:val="24"/>
          <w:szCs w:val="24"/>
        </w:rPr>
        <w:t>s</w:t>
      </w:r>
      <w:r w:rsidRPr="00FB448C">
        <w:rPr>
          <w:sz w:val="24"/>
          <w:szCs w:val="24"/>
        </w:rPr>
        <w:t xml:space="preserve"> the burden of proving Respondent violated provisions of the Public Utility Code or the Public Utility Commission’s regulations in some fashion.</w:t>
      </w:r>
      <w:r w:rsidRPr="00FB448C">
        <w:rPr>
          <w:rStyle w:val="FootnoteReference"/>
          <w:sz w:val="24"/>
          <w:szCs w:val="24"/>
        </w:rPr>
        <w:footnoteReference w:id="1"/>
      </w:r>
      <w:r w:rsidRPr="00FB448C">
        <w:rPr>
          <w:sz w:val="24"/>
          <w:szCs w:val="24"/>
        </w:rPr>
        <w:t xml:space="preserve">  </w:t>
      </w:r>
      <w:r w:rsidRPr="00FB448C">
        <w:rPr>
          <w:spacing w:val="-3"/>
          <w:sz w:val="24"/>
          <w:szCs w:val="24"/>
        </w:rPr>
        <w:t xml:space="preserve">To establish a sufficient case and satisfy the </w:t>
      </w:r>
      <w:r w:rsidR="00C44296">
        <w:rPr>
          <w:spacing w:val="-3"/>
          <w:sz w:val="24"/>
          <w:szCs w:val="24"/>
        </w:rPr>
        <w:t>burden of proof, Complainant</w:t>
      </w:r>
      <w:r w:rsidRPr="00FB448C">
        <w:rPr>
          <w:spacing w:val="-3"/>
          <w:sz w:val="24"/>
          <w:szCs w:val="24"/>
        </w:rPr>
        <w:t xml:space="preserve"> must show the public utility is responsible or accountable for the problem described in the Complaint.</w:t>
      </w:r>
      <w:r w:rsidRPr="00FB448C">
        <w:rPr>
          <w:rStyle w:val="FootnoteReference"/>
          <w:spacing w:val="-3"/>
          <w:sz w:val="24"/>
          <w:szCs w:val="24"/>
        </w:rPr>
        <w:footnoteReference w:id="2"/>
      </w:r>
      <w:r w:rsidRPr="00FB448C">
        <w:rPr>
          <w:spacing w:val="-3"/>
          <w:sz w:val="24"/>
          <w:szCs w:val="24"/>
        </w:rPr>
        <w:t xml:space="preserve">  Such a showing must be by a preponderance of the </w:t>
      </w:r>
      <w:r w:rsidR="007B7675">
        <w:rPr>
          <w:spacing w:val="-3"/>
          <w:sz w:val="24"/>
          <w:szCs w:val="24"/>
        </w:rPr>
        <w:t>e</w:t>
      </w:r>
      <w:r w:rsidRPr="00FB448C">
        <w:rPr>
          <w:spacing w:val="-3"/>
          <w:sz w:val="24"/>
          <w:szCs w:val="24"/>
        </w:rPr>
        <w:t>vidence</w:t>
      </w:r>
      <w:r w:rsidRPr="00FB448C">
        <w:rPr>
          <w:rStyle w:val="FootnoteReference"/>
          <w:spacing w:val="-3"/>
          <w:sz w:val="24"/>
          <w:szCs w:val="24"/>
        </w:rPr>
        <w:footnoteReference w:id="3"/>
      </w:r>
      <w:r w:rsidR="00C44296">
        <w:rPr>
          <w:spacing w:val="-3"/>
          <w:sz w:val="24"/>
          <w:szCs w:val="24"/>
        </w:rPr>
        <w:t xml:space="preserve">.  </w:t>
      </w:r>
    </w:p>
    <w:p w:rsidR="00C83066" w:rsidRDefault="00C83066" w:rsidP="000A34DF">
      <w:pPr>
        <w:tabs>
          <w:tab w:val="left" w:pos="-1440"/>
          <w:tab w:val="left" w:pos="-720"/>
        </w:tabs>
        <w:suppressAutoHyphens/>
        <w:rPr>
          <w:spacing w:val="-3"/>
          <w:sz w:val="24"/>
          <w:szCs w:val="24"/>
        </w:rPr>
      </w:pPr>
    </w:p>
    <w:p w:rsidR="00C83066" w:rsidRDefault="00C83066" w:rsidP="000A34DF">
      <w:pPr>
        <w:tabs>
          <w:tab w:val="left" w:pos="-1440"/>
          <w:tab w:val="left" w:pos="-720"/>
        </w:tabs>
        <w:suppressAutoHyphens/>
        <w:rPr>
          <w:spacing w:val="-3"/>
          <w:sz w:val="24"/>
          <w:szCs w:val="24"/>
        </w:rPr>
      </w:pPr>
    </w:p>
    <w:p w:rsidR="006C2C49" w:rsidRPr="00B73D10" w:rsidRDefault="00C83066" w:rsidP="00FB1678">
      <w:pPr>
        <w:tabs>
          <w:tab w:val="left" w:pos="-1440"/>
          <w:tab w:val="left" w:pos="-720"/>
        </w:tabs>
        <w:suppressAutoHyphens/>
        <w:rPr>
          <w:sz w:val="24"/>
          <w:szCs w:val="24"/>
        </w:rPr>
      </w:pPr>
      <w:r>
        <w:rPr>
          <w:spacing w:val="-3"/>
          <w:sz w:val="24"/>
          <w:szCs w:val="24"/>
        </w:rPr>
        <w:lastRenderedPageBreak/>
        <w:tab/>
      </w:r>
      <w:r>
        <w:rPr>
          <w:spacing w:val="-3"/>
          <w:sz w:val="24"/>
          <w:szCs w:val="24"/>
        </w:rPr>
        <w:tab/>
      </w:r>
      <w:r w:rsidR="00C44296">
        <w:rPr>
          <w:spacing w:val="-3"/>
          <w:sz w:val="24"/>
          <w:szCs w:val="24"/>
        </w:rPr>
        <w:t>Complainant</w:t>
      </w:r>
      <w:r w:rsidR="000A34DF" w:rsidRPr="00FB448C">
        <w:rPr>
          <w:spacing w:val="-3"/>
          <w:sz w:val="24"/>
          <w:szCs w:val="24"/>
        </w:rPr>
        <w:t xml:space="preserve"> can meet that burden if </w:t>
      </w:r>
      <w:r w:rsidR="00C27ED1">
        <w:rPr>
          <w:spacing w:val="-3"/>
          <w:sz w:val="24"/>
          <w:szCs w:val="24"/>
        </w:rPr>
        <w:t>s</w:t>
      </w:r>
      <w:r w:rsidR="00C44296">
        <w:rPr>
          <w:spacing w:val="-3"/>
          <w:sz w:val="24"/>
          <w:szCs w:val="24"/>
        </w:rPr>
        <w:t>he</w:t>
      </w:r>
      <w:r w:rsidR="000A34DF" w:rsidRPr="00FB448C">
        <w:rPr>
          <w:spacing w:val="-3"/>
          <w:sz w:val="24"/>
          <w:szCs w:val="24"/>
        </w:rPr>
        <w:t xml:space="preserve"> present</w:t>
      </w:r>
      <w:r w:rsidR="00C44296">
        <w:rPr>
          <w:spacing w:val="-3"/>
          <w:sz w:val="24"/>
          <w:szCs w:val="24"/>
        </w:rPr>
        <w:t>s</w:t>
      </w:r>
      <w:r w:rsidR="000A34DF" w:rsidRPr="00FB448C">
        <w:rPr>
          <w:spacing w:val="-3"/>
          <w:sz w:val="24"/>
          <w:szCs w:val="24"/>
        </w:rPr>
        <w:t xml:space="preserve"> evidence more convincing, by even the smallest amount, than that evidence presented by Respondent.</w:t>
      </w:r>
      <w:r w:rsidR="000A34DF" w:rsidRPr="00FB448C">
        <w:rPr>
          <w:rStyle w:val="FootnoteReference"/>
          <w:spacing w:val="-3"/>
          <w:sz w:val="24"/>
          <w:szCs w:val="24"/>
        </w:rPr>
        <w:footnoteReference w:id="4"/>
      </w:r>
      <w:r w:rsidR="000A34DF" w:rsidRPr="00FB448C">
        <w:rPr>
          <w:spacing w:val="-3"/>
          <w:sz w:val="24"/>
          <w:szCs w:val="24"/>
        </w:rPr>
        <w:t xml:space="preserve">  </w:t>
      </w:r>
      <w:bookmarkStart w:id="0" w:name="_GoBack"/>
      <w:bookmarkEnd w:id="0"/>
      <w:r w:rsidR="006C2C49" w:rsidRPr="00B73D10">
        <w:rPr>
          <w:sz w:val="24"/>
          <w:szCs w:val="24"/>
        </w:rPr>
        <w:t xml:space="preserve">In </w:t>
      </w:r>
      <w:r w:rsidR="006C2C49" w:rsidRPr="00B73D10">
        <w:rPr>
          <w:sz w:val="24"/>
          <w:szCs w:val="24"/>
          <w:u w:val="single"/>
        </w:rPr>
        <w:t>Waldron v</w:t>
      </w:r>
      <w:r w:rsidR="00E24CCB">
        <w:rPr>
          <w:sz w:val="24"/>
          <w:szCs w:val="24"/>
          <w:u w:val="single"/>
        </w:rPr>
        <w:t>.</w:t>
      </w:r>
      <w:r w:rsidR="006C2C49" w:rsidRPr="00B73D10">
        <w:rPr>
          <w:sz w:val="24"/>
          <w:szCs w:val="24"/>
          <w:u w:val="single"/>
        </w:rPr>
        <w:t xml:space="preserve"> Philadelphia Electric Company</w:t>
      </w:r>
      <w:r w:rsidR="006C2C49" w:rsidRPr="00B73D10">
        <w:rPr>
          <w:sz w:val="24"/>
          <w:szCs w:val="24"/>
        </w:rPr>
        <w:t xml:space="preserve">, 54 Pa. P.U.C. 98 (1980), the Commission outlined the general dynamics for the burden of proof in a case involving a high bill dispute.  The Commission held certain factors must be considered in order for a </w:t>
      </w:r>
      <w:r w:rsidR="00BE0C66">
        <w:rPr>
          <w:sz w:val="24"/>
          <w:szCs w:val="24"/>
        </w:rPr>
        <w:t>ratepayer</w:t>
      </w:r>
      <w:r w:rsidR="006C2C49" w:rsidRPr="00B73D10">
        <w:rPr>
          <w:sz w:val="24"/>
          <w:szCs w:val="24"/>
        </w:rPr>
        <w:t xml:space="preserve"> to establish a </w:t>
      </w:r>
      <w:r w:rsidR="006C2C49" w:rsidRPr="00B73D10">
        <w:rPr>
          <w:i/>
          <w:sz w:val="24"/>
          <w:szCs w:val="24"/>
        </w:rPr>
        <w:t>prima facie</w:t>
      </w:r>
      <w:r w:rsidR="006C2C49" w:rsidRPr="00B73D10">
        <w:rPr>
          <w:sz w:val="24"/>
          <w:szCs w:val="24"/>
        </w:rPr>
        <w:t xml:space="preserve"> case whenever claiming unusually high bills.  The accuracy of a meter is an important factor to resolve a billing dispute </w:t>
      </w:r>
      <w:r w:rsidR="006C2C49" w:rsidRPr="00BE0C66">
        <w:rPr>
          <w:sz w:val="24"/>
          <w:szCs w:val="24"/>
          <w:u w:val="single"/>
        </w:rPr>
        <w:t>but</w:t>
      </w:r>
      <w:r w:rsidR="006C2C49" w:rsidRPr="00B73D10">
        <w:rPr>
          <w:sz w:val="24"/>
          <w:szCs w:val="24"/>
        </w:rPr>
        <w:t xml:space="preserve"> it is not the sole criterion.  A complainant may establish a </w:t>
      </w:r>
      <w:r w:rsidR="006C2C49" w:rsidRPr="00B73D10">
        <w:rPr>
          <w:i/>
          <w:sz w:val="24"/>
          <w:szCs w:val="24"/>
        </w:rPr>
        <w:t xml:space="preserve">prima facie </w:t>
      </w:r>
      <w:r w:rsidR="006C2C49" w:rsidRPr="00B73D10">
        <w:rPr>
          <w:sz w:val="24"/>
          <w:szCs w:val="24"/>
        </w:rPr>
        <w:t xml:space="preserve">case by showing: </w:t>
      </w:r>
    </w:p>
    <w:p w:rsidR="006C2C49" w:rsidRDefault="006C2C49" w:rsidP="00BB2908">
      <w:pPr>
        <w:tabs>
          <w:tab w:val="left" w:pos="-1440"/>
          <w:tab w:val="left" w:pos="-720"/>
        </w:tabs>
        <w:suppressAutoHyphens/>
        <w:ind w:left="1440" w:right="1440"/>
        <w:rPr>
          <w:sz w:val="24"/>
          <w:szCs w:val="24"/>
        </w:rPr>
      </w:pPr>
    </w:p>
    <w:p w:rsidR="006C2C49" w:rsidRPr="00406B6E" w:rsidRDefault="006C2C49" w:rsidP="00406B6E">
      <w:pPr>
        <w:pStyle w:val="ListParagraph"/>
        <w:numPr>
          <w:ilvl w:val="0"/>
          <w:numId w:val="14"/>
        </w:numPr>
        <w:tabs>
          <w:tab w:val="left" w:pos="-1440"/>
          <w:tab w:val="left" w:pos="-720"/>
        </w:tabs>
        <w:suppressAutoHyphens/>
        <w:spacing w:line="240" w:lineRule="auto"/>
        <w:ind w:left="2880" w:right="1440" w:hanging="720"/>
        <w:rPr>
          <w:sz w:val="24"/>
          <w:szCs w:val="24"/>
        </w:rPr>
      </w:pPr>
      <w:r w:rsidRPr="00406B6E">
        <w:rPr>
          <w:sz w:val="24"/>
          <w:szCs w:val="24"/>
        </w:rPr>
        <w:t xml:space="preserve">the disputed bill was abnormally high when compared to prior usage patterns; and </w:t>
      </w:r>
    </w:p>
    <w:p w:rsidR="00406B6E" w:rsidRPr="00406B6E" w:rsidRDefault="00406B6E" w:rsidP="00406B6E">
      <w:pPr>
        <w:pStyle w:val="ListParagraph"/>
        <w:tabs>
          <w:tab w:val="left" w:pos="-1440"/>
          <w:tab w:val="left" w:pos="-720"/>
        </w:tabs>
        <w:suppressAutoHyphens/>
        <w:spacing w:line="240" w:lineRule="auto"/>
        <w:ind w:left="2520" w:right="1440"/>
        <w:rPr>
          <w:sz w:val="24"/>
          <w:szCs w:val="24"/>
        </w:rPr>
      </w:pPr>
    </w:p>
    <w:p w:rsidR="006C2C49" w:rsidRPr="00B73D10" w:rsidRDefault="00406B6E" w:rsidP="006C2C49">
      <w:pPr>
        <w:tabs>
          <w:tab w:val="left" w:pos="-1440"/>
          <w:tab w:val="left" w:pos="-720"/>
        </w:tabs>
        <w:suppressAutoHyphens/>
        <w:ind w:left="1440" w:right="1440"/>
        <w:rPr>
          <w:sz w:val="24"/>
          <w:szCs w:val="24"/>
        </w:rPr>
      </w:pPr>
      <w:r>
        <w:rPr>
          <w:sz w:val="24"/>
          <w:szCs w:val="24"/>
        </w:rPr>
        <w:tab/>
      </w:r>
      <w:r w:rsidR="006C2C49" w:rsidRPr="00B73D10">
        <w:rPr>
          <w:sz w:val="24"/>
          <w:szCs w:val="24"/>
        </w:rPr>
        <w:t xml:space="preserve">(2) </w:t>
      </w:r>
      <w:r>
        <w:rPr>
          <w:sz w:val="24"/>
          <w:szCs w:val="24"/>
        </w:rPr>
        <w:tab/>
      </w:r>
      <w:r w:rsidR="006C2C49" w:rsidRPr="00B73D10">
        <w:rPr>
          <w:sz w:val="24"/>
          <w:szCs w:val="24"/>
        </w:rPr>
        <w:t xml:space="preserve">the ratepayer’s pattern of usage had not changed.  </w:t>
      </w:r>
    </w:p>
    <w:p w:rsidR="006C2C49" w:rsidRDefault="006C2C49"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When looking at these criteria, important considerations include the billing history of the account, any change in the number of occupants residing in the household, the potential for energy utilization, and any other relevant facts or circumstances that come to light during the proceeding.</w:t>
      </w:r>
      <w:r w:rsidR="00CE3D14">
        <w:rPr>
          <w:rStyle w:val="FootnoteReference"/>
          <w:sz w:val="24"/>
          <w:szCs w:val="24"/>
        </w:rPr>
        <w:footnoteReference w:id="5"/>
      </w:r>
      <w:r>
        <w:rPr>
          <w:sz w:val="24"/>
          <w:szCs w:val="24"/>
        </w:rPr>
        <w:t xml:space="preserve">  In this way, a complainant may prove entitlement to relief by wholly circumstantial evidence, rather than direct evidence of some utility misfeasance.</w:t>
      </w:r>
      <w:r w:rsidR="00CE3D14">
        <w:rPr>
          <w:rStyle w:val="FootnoteReference"/>
          <w:sz w:val="24"/>
          <w:szCs w:val="24"/>
        </w:rPr>
        <w:footnoteReference w:id="6"/>
      </w:r>
      <w:r>
        <w:rPr>
          <w:sz w:val="24"/>
          <w:szCs w:val="24"/>
        </w:rPr>
        <w:t xml:space="preserve">  </w:t>
      </w:r>
    </w:p>
    <w:p w:rsidR="00174631" w:rsidRPr="00B73D10" w:rsidRDefault="00174631" w:rsidP="006C2C49">
      <w:pPr>
        <w:tabs>
          <w:tab w:val="left" w:pos="-1440"/>
          <w:tab w:val="left" w:pos="-720"/>
        </w:tabs>
        <w:suppressAutoHyphens/>
        <w:rPr>
          <w:sz w:val="24"/>
          <w:szCs w:val="24"/>
        </w:rPr>
      </w:pPr>
    </w:p>
    <w:p w:rsidR="006C2C49" w:rsidRPr="00B73D10" w:rsidRDefault="006C2C49" w:rsidP="006C2C49">
      <w:pPr>
        <w:tabs>
          <w:tab w:val="left" w:pos="-1440"/>
          <w:tab w:val="left" w:pos="-720"/>
        </w:tabs>
        <w:suppressAutoHyphens/>
        <w:rPr>
          <w:sz w:val="24"/>
          <w:szCs w:val="24"/>
        </w:rPr>
      </w:pPr>
      <w:r w:rsidRPr="00B73D10">
        <w:rPr>
          <w:sz w:val="24"/>
          <w:szCs w:val="24"/>
        </w:rPr>
        <w:tab/>
      </w:r>
      <w:r w:rsidRPr="00B73D10">
        <w:rPr>
          <w:sz w:val="24"/>
          <w:szCs w:val="24"/>
        </w:rPr>
        <w:tab/>
      </w:r>
      <w:r w:rsidR="00BE0C66">
        <w:rPr>
          <w:sz w:val="24"/>
          <w:szCs w:val="24"/>
        </w:rPr>
        <w:t>T</w:t>
      </w:r>
      <w:r w:rsidRPr="00B73D10">
        <w:rPr>
          <w:sz w:val="24"/>
          <w:szCs w:val="24"/>
        </w:rPr>
        <w:t xml:space="preserve">he Commission restated its position for the purpose of clarifying the </w:t>
      </w:r>
      <w:r w:rsidRPr="00B73D10">
        <w:rPr>
          <w:sz w:val="24"/>
          <w:szCs w:val="24"/>
          <w:u w:val="single"/>
        </w:rPr>
        <w:t>Waldron</w:t>
      </w:r>
      <w:r w:rsidRPr="00B73D10">
        <w:rPr>
          <w:sz w:val="24"/>
          <w:szCs w:val="24"/>
        </w:rPr>
        <w:t xml:space="preserve"> test</w:t>
      </w:r>
      <w:r w:rsidR="00BE0C66">
        <w:rPr>
          <w:sz w:val="24"/>
          <w:szCs w:val="24"/>
        </w:rPr>
        <w:t xml:space="preserve"> in </w:t>
      </w:r>
      <w:proofErr w:type="spellStart"/>
      <w:r w:rsidR="00BE0C66" w:rsidRPr="00B73D10">
        <w:rPr>
          <w:sz w:val="24"/>
          <w:szCs w:val="24"/>
          <w:u w:val="single"/>
        </w:rPr>
        <w:t>Charisse</w:t>
      </w:r>
      <w:proofErr w:type="spellEnd"/>
      <w:r w:rsidR="00BE0C66" w:rsidRPr="00B73D10">
        <w:rPr>
          <w:sz w:val="24"/>
          <w:szCs w:val="24"/>
          <w:u w:val="single"/>
        </w:rPr>
        <w:t xml:space="preserve"> M. Bennett v. The Peoples Natural Gas Company, LLC</w:t>
      </w:r>
      <w:r w:rsidR="00BE0C66" w:rsidRPr="00B73D10">
        <w:rPr>
          <w:sz w:val="24"/>
          <w:szCs w:val="24"/>
        </w:rPr>
        <w:t>, Docket No. C-2009-2122979 (Opinion and Order entered October 13, 2010)</w:t>
      </w:r>
      <w:r w:rsidRPr="00B73D10">
        <w:rPr>
          <w:sz w:val="24"/>
          <w:szCs w:val="24"/>
        </w:rPr>
        <w:t xml:space="preserve">.  In </w:t>
      </w:r>
      <w:r w:rsidRPr="00B73D10">
        <w:rPr>
          <w:sz w:val="24"/>
          <w:szCs w:val="24"/>
          <w:u w:val="single"/>
        </w:rPr>
        <w:t>Bennett</w:t>
      </w:r>
      <w:r w:rsidRPr="00B73D10">
        <w:rPr>
          <w:sz w:val="24"/>
          <w:szCs w:val="24"/>
        </w:rPr>
        <w:t>, the Commission stated:</w:t>
      </w:r>
    </w:p>
    <w:p w:rsidR="00CC37F7" w:rsidRDefault="00CC37F7" w:rsidP="006C2C49">
      <w:pPr>
        <w:spacing w:line="240" w:lineRule="auto"/>
        <w:ind w:left="1440" w:right="1440"/>
        <w:rPr>
          <w:sz w:val="24"/>
          <w:szCs w:val="24"/>
        </w:rPr>
      </w:pPr>
    </w:p>
    <w:p w:rsidR="006C2C49" w:rsidRPr="00B73D10" w:rsidRDefault="006C2C49" w:rsidP="006C2C49">
      <w:pPr>
        <w:spacing w:line="240" w:lineRule="auto"/>
        <w:ind w:left="1440" w:right="1440"/>
        <w:rPr>
          <w:sz w:val="24"/>
          <w:szCs w:val="24"/>
        </w:rPr>
      </w:pPr>
      <w:r w:rsidRPr="00B73D10">
        <w:rPr>
          <w:sz w:val="24"/>
          <w:szCs w:val="24"/>
        </w:rPr>
        <w:t xml:space="preserve">While a comparison of the disputed monthly bill to the Complainant’s billing history and the consistency of her usage pattern are important criteria to consider, they alone do not resolve the issue of the Complainant’s disputed high bill….  Also, this interpretation does not allow for other relevant facts or circumstances with probative value to be considered as evidence supportive of a high bill complaint.  </w:t>
      </w:r>
      <w:r w:rsidRPr="00BE0C66">
        <w:rPr>
          <w:sz w:val="24"/>
          <w:szCs w:val="24"/>
          <w:u w:val="single"/>
        </w:rPr>
        <w:t>Waldron</w:t>
      </w:r>
      <w:r w:rsidRPr="00B73D10">
        <w:rPr>
          <w:sz w:val="24"/>
          <w:szCs w:val="24"/>
        </w:rPr>
        <w:t xml:space="preserve"> does not limit the </w:t>
      </w:r>
      <w:r w:rsidRPr="00B73D10">
        <w:rPr>
          <w:sz w:val="24"/>
          <w:szCs w:val="24"/>
        </w:rPr>
        <w:lastRenderedPageBreak/>
        <w:t xml:space="preserve">establishment of a </w:t>
      </w:r>
      <w:r w:rsidRPr="00B73D10">
        <w:rPr>
          <w:i/>
          <w:sz w:val="24"/>
          <w:szCs w:val="24"/>
        </w:rPr>
        <w:t>prima facie</w:t>
      </w:r>
      <w:r w:rsidRPr="00B73D10">
        <w:rPr>
          <w:sz w:val="24"/>
          <w:szCs w:val="24"/>
        </w:rPr>
        <w:t xml:space="preserve"> case to the above two elements alone.  Rather, the Commission may consider the billing history of the account, any change in usage patterns (such as a change in the number of occupants residing in the household or potential energy utilization), </w:t>
      </w:r>
      <w:r w:rsidRPr="00B73D10">
        <w:rPr>
          <w:i/>
          <w:sz w:val="24"/>
          <w:szCs w:val="24"/>
        </w:rPr>
        <w:t>and</w:t>
      </w:r>
      <w:r w:rsidRPr="00B73D10">
        <w:rPr>
          <w:b/>
          <w:sz w:val="24"/>
          <w:szCs w:val="24"/>
        </w:rPr>
        <w:t xml:space="preserve"> </w:t>
      </w:r>
      <w:r w:rsidRPr="00B73D10">
        <w:rPr>
          <w:sz w:val="24"/>
          <w:szCs w:val="24"/>
        </w:rPr>
        <w:t>any other relevant facts or circumstances that come to light during the proceeding.</w:t>
      </w:r>
    </w:p>
    <w:p w:rsidR="002D3D1C" w:rsidRDefault="002D3D1C" w:rsidP="002D3D1C">
      <w:pPr>
        <w:tabs>
          <w:tab w:val="left" w:pos="-1440"/>
          <w:tab w:val="left" w:pos="-720"/>
        </w:tabs>
        <w:suppressAutoHyphens/>
        <w:spacing w:line="240" w:lineRule="auto"/>
        <w:rPr>
          <w:sz w:val="24"/>
          <w:szCs w:val="24"/>
          <w:u w:val="single"/>
        </w:rPr>
      </w:pPr>
    </w:p>
    <w:p w:rsidR="006C2C49" w:rsidRDefault="006C2C49" w:rsidP="002D3D1C">
      <w:pPr>
        <w:tabs>
          <w:tab w:val="left" w:pos="-1440"/>
          <w:tab w:val="left" w:pos="-720"/>
        </w:tabs>
        <w:suppressAutoHyphens/>
        <w:spacing w:line="240" w:lineRule="auto"/>
        <w:rPr>
          <w:sz w:val="24"/>
          <w:szCs w:val="24"/>
        </w:rPr>
      </w:pPr>
      <w:r w:rsidRPr="00B73D10">
        <w:rPr>
          <w:sz w:val="24"/>
          <w:szCs w:val="24"/>
          <w:u w:val="single"/>
        </w:rPr>
        <w:t>Bennett</w:t>
      </w:r>
      <w:r w:rsidRPr="00B73D10">
        <w:rPr>
          <w:sz w:val="24"/>
          <w:szCs w:val="24"/>
        </w:rPr>
        <w:t>, Opinion and Order entered October 13, 2010, p. 6 (emphasis in the original).</w:t>
      </w:r>
    </w:p>
    <w:p w:rsidR="00BE0C66" w:rsidRDefault="00BE0C66" w:rsidP="006C2C49">
      <w:pPr>
        <w:tabs>
          <w:tab w:val="left" w:pos="-1440"/>
          <w:tab w:val="left" w:pos="-720"/>
        </w:tabs>
        <w:suppressAutoHyphens/>
        <w:rPr>
          <w:sz w:val="24"/>
          <w:szCs w:val="24"/>
        </w:rPr>
      </w:pPr>
    </w:p>
    <w:p w:rsidR="00174631" w:rsidRDefault="00174631" w:rsidP="006C2C49">
      <w:pPr>
        <w:tabs>
          <w:tab w:val="left" w:pos="-1440"/>
          <w:tab w:val="left" w:pos="-720"/>
        </w:tabs>
        <w:suppressAutoHyphens/>
        <w:rPr>
          <w:sz w:val="24"/>
          <w:szCs w:val="24"/>
        </w:rPr>
      </w:pPr>
      <w:r>
        <w:rPr>
          <w:sz w:val="24"/>
          <w:szCs w:val="24"/>
        </w:rPr>
        <w:tab/>
      </w:r>
      <w:r>
        <w:rPr>
          <w:sz w:val="24"/>
          <w:szCs w:val="24"/>
        </w:rPr>
        <w:tab/>
        <w:t xml:space="preserve">Most recently, in </w:t>
      </w:r>
      <w:r w:rsidRPr="00174631">
        <w:rPr>
          <w:sz w:val="24"/>
          <w:szCs w:val="24"/>
          <w:u w:val="single"/>
        </w:rPr>
        <w:t>Nehemiah B. Thomas v</w:t>
      </w:r>
      <w:r w:rsidR="00BE0C66">
        <w:rPr>
          <w:sz w:val="24"/>
          <w:szCs w:val="24"/>
          <w:u w:val="single"/>
        </w:rPr>
        <w:t>.</w:t>
      </w:r>
      <w:r w:rsidRPr="00174631">
        <w:rPr>
          <w:sz w:val="24"/>
          <w:szCs w:val="24"/>
          <w:u w:val="single"/>
        </w:rPr>
        <w:t xml:space="preserve"> PECO Energy Company</w:t>
      </w:r>
      <w:r>
        <w:rPr>
          <w:sz w:val="24"/>
          <w:szCs w:val="24"/>
        </w:rPr>
        <w:t xml:space="preserve">, </w:t>
      </w:r>
      <w:r w:rsidRPr="00B73D10">
        <w:rPr>
          <w:sz w:val="24"/>
          <w:szCs w:val="24"/>
        </w:rPr>
        <w:t>Docket No. C-</w:t>
      </w:r>
      <w:r>
        <w:rPr>
          <w:sz w:val="24"/>
          <w:szCs w:val="24"/>
        </w:rPr>
        <w:t>2010-2187197</w:t>
      </w:r>
      <w:r w:rsidRPr="00B73D10">
        <w:rPr>
          <w:sz w:val="24"/>
          <w:szCs w:val="24"/>
        </w:rPr>
        <w:t xml:space="preserve"> (Opinion and Order entered </w:t>
      </w:r>
      <w:r w:rsidR="000D6D9C">
        <w:rPr>
          <w:sz w:val="24"/>
          <w:szCs w:val="24"/>
        </w:rPr>
        <w:t>November 15</w:t>
      </w:r>
      <w:r>
        <w:rPr>
          <w:sz w:val="24"/>
          <w:szCs w:val="24"/>
        </w:rPr>
        <w:t>, 2011</w:t>
      </w:r>
      <w:r w:rsidRPr="00B73D10">
        <w:rPr>
          <w:sz w:val="24"/>
          <w:szCs w:val="24"/>
        </w:rPr>
        <w:t>),</w:t>
      </w:r>
      <w:r>
        <w:rPr>
          <w:sz w:val="24"/>
          <w:szCs w:val="24"/>
        </w:rPr>
        <w:t xml:space="preserve"> the Commission reaffirmed its position in </w:t>
      </w:r>
      <w:r w:rsidRPr="00174631">
        <w:rPr>
          <w:sz w:val="24"/>
          <w:szCs w:val="24"/>
          <w:u w:val="single"/>
        </w:rPr>
        <w:t>Bennett</w:t>
      </w:r>
      <w:r>
        <w:rPr>
          <w:sz w:val="24"/>
          <w:szCs w:val="24"/>
        </w:rPr>
        <w:t>, supra</w:t>
      </w:r>
      <w:r w:rsidR="000D6D9C">
        <w:rPr>
          <w:sz w:val="24"/>
          <w:szCs w:val="24"/>
        </w:rPr>
        <w:t>, when it specified</w:t>
      </w:r>
      <w:r>
        <w:rPr>
          <w:sz w:val="24"/>
          <w:szCs w:val="24"/>
        </w:rPr>
        <w:t>:</w:t>
      </w:r>
    </w:p>
    <w:p w:rsidR="00A70DDC" w:rsidRDefault="00A70DDC" w:rsidP="00174631">
      <w:pPr>
        <w:tabs>
          <w:tab w:val="left" w:pos="-1440"/>
          <w:tab w:val="left" w:pos="-720"/>
        </w:tabs>
        <w:suppressAutoHyphens/>
        <w:spacing w:line="240" w:lineRule="auto"/>
        <w:ind w:left="1440"/>
        <w:rPr>
          <w:sz w:val="24"/>
          <w:szCs w:val="24"/>
        </w:rPr>
      </w:pPr>
    </w:p>
    <w:p w:rsidR="00174631" w:rsidRPr="00174631" w:rsidRDefault="00BE0C66" w:rsidP="00023854">
      <w:pPr>
        <w:tabs>
          <w:tab w:val="left" w:pos="-1440"/>
          <w:tab w:val="left" w:pos="-720"/>
        </w:tabs>
        <w:suppressAutoHyphens/>
        <w:spacing w:line="240" w:lineRule="auto"/>
        <w:ind w:left="1440" w:right="720"/>
        <w:rPr>
          <w:sz w:val="24"/>
          <w:szCs w:val="24"/>
        </w:rPr>
      </w:pPr>
      <w:r>
        <w:rPr>
          <w:sz w:val="24"/>
          <w:szCs w:val="24"/>
        </w:rPr>
        <w:t>[T]</w:t>
      </w:r>
      <w:r w:rsidR="00174631">
        <w:rPr>
          <w:sz w:val="24"/>
          <w:szCs w:val="24"/>
        </w:rPr>
        <w:t xml:space="preserve">he Waldron Rule allows a Complainant to establish a prima facie case in a “high bill” complaint by showing that the disputed bill is abnormally high when compared to prior usage patterns and his or her pattern of usage has not changed </w:t>
      </w:r>
      <w:r w:rsidR="00174631">
        <w:rPr>
          <w:i/>
          <w:sz w:val="24"/>
          <w:szCs w:val="24"/>
        </w:rPr>
        <w:t>or by providing other relevant evidence showing that the disputed bill is unreasonably high</w:t>
      </w:r>
      <w:r w:rsidR="00174631">
        <w:rPr>
          <w:sz w:val="24"/>
          <w:szCs w:val="24"/>
        </w:rP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sidR="00174631">
        <w:rPr>
          <w:i/>
          <w:sz w:val="24"/>
          <w:szCs w:val="24"/>
        </w:rPr>
        <w:t>and any other relevant facts or circumstances that come to light during the proceeding</w:t>
      </w:r>
      <w:r w:rsidR="00174631">
        <w:rPr>
          <w:sz w:val="24"/>
          <w:szCs w:val="24"/>
        </w:rPr>
        <w:t>.  (Emphasis in original).</w:t>
      </w:r>
    </w:p>
    <w:p w:rsidR="00174631" w:rsidRDefault="00174631" w:rsidP="006C2C49">
      <w:pPr>
        <w:tabs>
          <w:tab w:val="left" w:pos="-1440"/>
          <w:tab w:val="left" w:pos="-720"/>
        </w:tabs>
        <w:suppressAutoHyphens/>
        <w:rPr>
          <w:sz w:val="24"/>
          <w:szCs w:val="24"/>
        </w:rPr>
      </w:pPr>
    </w:p>
    <w:p w:rsidR="00523CEC" w:rsidRDefault="001126BF" w:rsidP="006C2C49">
      <w:pPr>
        <w:tabs>
          <w:tab w:val="left" w:pos="-1440"/>
          <w:tab w:val="left" w:pos="-720"/>
        </w:tabs>
        <w:suppressAutoHyphens/>
        <w:rPr>
          <w:sz w:val="24"/>
          <w:szCs w:val="24"/>
        </w:rPr>
      </w:pPr>
      <w:r>
        <w:rPr>
          <w:sz w:val="24"/>
          <w:szCs w:val="24"/>
        </w:rPr>
        <w:tab/>
      </w:r>
      <w:r>
        <w:rPr>
          <w:sz w:val="24"/>
          <w:szCs w:val="24"/>
        </w:rPr>
        <w:tab/>
      </w:r>
      <w:r w:rsidR="00523796">
        <w:rPr>
          <w:sz w:val="24"/>
          <w:szCs w:val="24"/>
        </w:rPr>
        <w:t>The Waldron Rule, and its progeny, requires an analysis that extends beyond the ratepayer’s billing history and/or the accuracy of the meter.  When those factors are applied to this case, the inquiry is severely limited by Complainant’s refusal to permit the public utility to do a high bill investigation.  Complainant insists the electric meter was inaccurate but refuse</w:t>
      </w:r>
      <w:r w:rsidR="00C27ED1">
        <w:rPr>
          <w:sz w:val="24"/>
          <w:szCs w:val="24"/>
        </w:rPr>
        <w:t>s</w:t>
      </w:r>
      <w:r w:rsidR="00523796">
        <w:rPr>
          <w:sz w:val="24"/>
          <w:szCs w:val="24"/>
        </w:rPr>
        <w:t xml:space="preserve"> to allow Respondent back onto the property in order to remove the meter for testing because, Complainant </w:t>
      </w:r>
      <w:r w:rsidR="00C27ED1">
        <w:rPr>
          <w:sz w:val="24"/>
          <w:szCs w:val="24"/>
        </w:rPr>
        <w:t>contends</w:t>
      </w:r>
      <w:r w:rsidR="00523796">
        <w:rPr>
          <w:sz w:val="24"/>
          <w:szCs w:val="24"/>
        </w:rPr>
        <w:t xml:space="preserve">, the evidence of Respondent’s wrong-doing would disappear.  </w:t>
      </w:r>
      <w:r w:rsidR="009448CD">
        <w:rPr>
          <w:sz w:val="24"/>
          <w:szCs w:val="24"/>
        </w:rPr>
        <w:t>(See Tr.</w:t>
      </w:r>
      <w:r w:rsidR="00266443">
        <w:rPr>
          <w:sz w:val="24"/>
          <w:szCs w:val="24"/>
        </w:rPr>
        <w:t> </w:t>
      </w:r>
      <w:r w:rsidR="009448CD">
        <w:rPr>
          <w:sz w:val="24"/>
          <w:szCs w:val="24"/>
        </w:rPr>
        <w:t xml:space="preserve">at 60-61).  </w:t>
      </w:r>
      <w:r w:rsidR="00C27ED1">
        <w:rPr>
          <w:sz w:val="24"/>
          <w:szCs w:val="24"/>
        </w:rPr>
        <w:t>Complainant did not provide any evidence concerning what electrical equipment she has in the residence except to generally indicate she has electric baseboard heat and uses little electricity.  Therefore, b</w:t>
      </w:r>
      <w:r w:rsidR="00523CEC">
        <w:rPr>
          <w:sz w:val="24"/>
          <w:szCs w:val="24"/>
        </w:rPr>
        <w:t>ecause Complainant will not</w:t>
      </w:r>
      <w:r w:rsidR="00C27ED1">
        <w:rPr>
          <w:sz w:val="24"/>
          <w:szCs w:val="24"/>
        </w:rPr>
        <w:t xml:space="preserve"> provide that information and will not</w:t>
      </w:r>
      <w:r w:rsidR="00523CEC">
        <w:rPr>
          <w:sz w:val="24"/>
          <w:szCs w:val="24"/>
        </w:rPr>
        <w:t xml:space="preserve"> permit Respondent to visit the residence, there is no evidence concerning what electrical equipment is present and in use within </w:t>
      </w:r>
      <w:r w:rsidR="00C27ED1">
        <w:rPr>
          <w:sz w:val="24"/>
          <w:szCs w:val="24"/>
        </w:rPr>
        <w:t>her</w:t>
      </w:r>
      <w:r w:rsidR="00523CEC">
        <w:rPr>
          <w:sz w:val="24"/>
          <w:szCs w:val="24"/>
        </w:rPr>
        <w:t xml:space="preserve"> residence.  Those facts would have enabled Respondent, and the presiding officer, to better determine if the recorded consumption level</w:t>
      </w:r>
      <w:r w:rsidR="00C27ED1">
        <w:rPr>
          <w:sz w:val="24"/>
          <w:szCs w:val="24"/>
        </w:rPr>
        <w:t>s are</w:t>
      </w:r>
      <w:r w:rsidR="00523CEC">
        <w:rPr>
          <w:sz w:val="24"/>
          <w:szCs w:val="24"/>
        </w:rPr>
        <w:t xml:space="preserve"> accurate or inaccurate.  </w:t>
      </w:r>
    </w:p>
    <w:p w:rsidR="001126BF" w:rsidRDefault="00523CEC" w:rsidP="006C2C49">
      <w:pPr>
        <w:tabs>
          <w:tab w:val="left" w:pos="-1440"/>
          <w:tab w:val="left" w:pos="-720"/>
        </w:tabs>
        <w:suppressAutoHyphens/>
        <w:rPr>
          <w:sz w:val="24"/>
          <w:szCs w:val="24"/>
        </w:rPr>
      </w:pPr>
      <w:r>
        <w:rPr>
          <w:sz w:val="24"/>
          <w:szCs w:val="24"/>
        </w:rPr>
        <w:lastRenderedPageBreak/>
        <w:tab/>
      </w:r>
      <w:r>
        <w:rPr>
          <w:sz w:val="24"/>
          <w:szCs w:val="24"/>
        </w:rPr>
        <w:tab/>
        <w:t xml:space="preserve">In addition, </w:t>
      </w:r>
      <w:r w:rsidR="00523796">
        <w:rPr>
          <w:sz w:val="24"/>
          <w:szCs w:val="24"/>
        </w:rPr>
        <w:t>Complainant insists her residence is energy efficient but admits she has done nothing to make it energy efficient since buying it in 1995</w:t>
      </w:r>
      <w:r>
        <w:rPr>
          <w:sz w:val="24"/>
          <w:szCs w:val="24"/>
        </w:rPr>
        <w:t>, except put rubber under the doors and windows</w:t>
      </w:r>
      <w:r w:rsidR="00523796">
        <w:rPr>
          <w:sz w:val="24"/>
          <w:szCs w:val="24"/>
        </w:rPr>
        <w:t xml:space="preserve">.  Complainant testified her household size changed from seven people down to two people in the </w:t>
      </w:r>
      <w:r w:rsidR="00523796" w:rsidRPr="00C27ED1">
        <w:rPr>
          <w:sz w:val="24"/>
          <w:szCs w:val="24"/>
          <w:u w:val="single"/>
        </w:rPr>
        <w:t>three</w:t>
      </w:r>
      <w:r w:rsidR="00523796">
        <w:rPr>
          <w:sz w:val="24"/>
          <w:szCs w:val="24"/>
        </w:rPr>
        <w:t xml:space="preserve"> years prior to the hearing in February 2012</w:t>
      </w:r>
      <w:r w:rsidR="00C27ED1">
        <w:rPr>
          <w:sz w:val="24"/>
          <w:szCs w:val="24"/>
        </w:rPr>
        <w:t>.  During the last three years, R</w:t>
      </w:r>
      <w:r>
        <w:rPr>
          <w:sz w:val="24"/>
          <w:szCs w:val="24"/>
        </w:rPr>
        <w:t xml:space="preserve">espondent’s equipment recorded consistent </w:t>
      </w:r>
      <w:r w:rsidR="00523796">
        <w:rPr>
          <w:sz w:val="24"/>
          <w:szCs w:val="24"/>
        </w:rPr>
        <w:t xml:space="preserve">consumption patterns and consumption levels </w:t>
      </w:r>
      <w:r>
        <w:rPr>
          <w:sz w:val="24"/>
          <w:szCs w:val="24"/>
        </w:rPr>
        <w:t xml:space="preserve">in </w:t>
      </w:r>
      <w:r w:rsidR="00284704">
        <w:rPr>
          <w:sz w:val="24"/>
          <w:szCs w:val="24"/>
        </w:rPr>
        <w:t>the</w:t>
      </w:r>
      <w:r>
        <w:rPr>
          <w:sz w:val="24"/>
          <w:szCs w:val="24"/>
        </w:rPr>
        <w:t xml:space="preserve"> residence </w:t>
      </w:r>
      <w:r w:rsidR="00284704">
        <w:rPr>
          <w:sz w:val="24"/>
          <w:szCs w:val="24"/>
        </w:rPr>
        <w:t>with levels seen four years ago</w:t>
      </w:r>
      <w:r w:rsidR="00523796">
        <w:rPr>
          <w:sz w:val="24"/>
          <w:szCs w:val="24"/>
        </w:rPr>
        <w:t>.</w:t>
      </w:r>
      <w:r w:rsidR="00284704">
        <w:rPr>
          <w:sz w:val="24"/>
          <w:szCs w:val="24"/>
        </w:rPr>
        <w:t xml:space="preserve">  This fact </w:t>
      </w:r>
      <w:r w:rsidR="00284704" w:rsidRPr="00AE380D">
        <w:rPr>
          <w:sz w:val="24"/>
          <w:szCs w:val="24"/>
          <w:u w:val="single"/>
        </w:rPr>
        <w:t>could</w:t>
      </w:r>
      <w:r w:rsidR="00284704">
        <w:rPr>
          <w:sz w:val="24"/>
          <w:szCs w:val="24"/>
        </w:rPr>
        <w:t xml:space="preserve"> </w:t>
      </w:r>
      <w:r w:rsidR="00AE380D">
        <w:rPr>
          <w:sz w:val="24"/>
          <w:szCs w:val="24"/>
        </w:rPr>
        <w:t xml:space="preserve">be an </w:t>
      </w:r>
      <w:r w:rsidR="00284704">
        <w:rPr>
          <w:sz w:val="24"/>
          <w:szCs w:val="24"/>
        </w:rPr>
        <w:t>indicat</w:t>
      </w:r>
      <w:r w:rsidR="00AE380D">
        <w:rPr>
          <w:sz w:val="24"/>
          <w:szCs w:val="24"/>
        </w:rPr>
        <w:t>or</w:t>
      </w:r>
      <w:r w:rsidR="00284704">
        <w:rPr>
          <w:sz w:val="24"/>
          <w:szCs w:val="24"/>
        </w:rPr>
        <w:t xml:space="preserve"> there is a problem with the accuracy of the meter but without access to the residence and cooperation from Complainant, this fact alone is not sufficient to outweigh the facts provided by Respondent.</w:t>
      </w:r>
      <w:r w:rsidR="00523796">
        <w:rPr>
          <w:sz w:val="24"/>
          <w:szCs w:val="24"/>
        </w:rPr>
        <w:t xml:space="preserve">  </w:t>
      </w:r>
    </w:p>
    <w:p w:rsidR="00523CEC" w:rsidRDefault="00523CEC" w:rsidP="006C2C49">
      <w:pPr>
        <w:tabs>
          <w:tab w:val="left" w:pos="-1440"/>
          <w:tab w:val="left" w:pos="-720"/>
        </w:tabs>
        <w:suppressAutoHyphens/>
        <w:rPr>
          <w:sz w:val="24"/>
          <w:szCs w:val="24"/>
        </w:rPr>
      </w:pPr>
    </w:p>
    <w:p w:rsidR="00523CEC" w:rsidRDefault="00523CEC" w:rsidP="006C2C49">
      <w:pPr>
        <w:tabs>
          <w:tab w:val="left" w:pos="-1440"/>
          <w:tab w:val="left" w:pos="-720"/>
        </w:tabs>
        <w:suppressAutoHyphens/>
        <w:rPr>
          <w:sz w:val="24"/>
          <w:szCs w:val="24"/>
        </w:rPr>
      </w:pPr>
      <w:r>
        <w:rPr>
          <w:sz w:val="24"/>
          <w:szCs w:val="24"/>
        </w:rPr>
        <w:tab/>
      </w:r>
      <w:r>
        <w:rPr>
          <w:sz w:val="24"/>
          <w:szCs w:val="24"/>
        </w:rPr>
        <w:tab/>
        <w:t xml:space="preserve">Taken in its totality, Complainant’s evidence to support her complaint that she is being billed for consumption she did not use is woefully inadequate, and consists solely of her allegations that her home is highly energy efficient and there are fewer people living in the home.  The </w:t>
      </w:r>
      <w:r w:rsidR="00284704">
        <w:rPr>
          <w:sz w:val="24"/>
          <w:szCs w:val="24"/>
        </w:rPr>
        <w:t xml:space="preserve">evidence </w:t>
      </w:r>
      <w:r>
        <w:rPr>
          <w:sz w:val="24"/>
          <w:szCs w:val="24"/>
        </w:rPr>
        <w:t xml:space="preserve">presented by Respondent far outweighs Complainant’s evidence and leads, therefore, to the conclusion that the recorded consumption levels and patterns are accurate as noted by Respondent.   </w:t>
      </w:r>
    </w:p>
    <w:p w:rsidR="001126BF" w:rsidRPr="00B75D25" w:rsidRDefault="001126BF" w:rsidP="006C2C49">
      <w:pPr>
        <w:tabs>
          <w:tab w:val="left" w:pos="-1440"/>
          <w:tab w:val="left" w:pos="-720"/>
        </w:tabs>
        <w:suppressAutoHyphens/>
        <w:rPr>
          <w:sz w:val="24"/>
          <w:szCs w:val="24"/>
        </w:rPr>
      </w:pPr>
    </w:p>
    <w:p w:rsidR="00184F61" w:rsidRPr="00B75D25" w:rsidRDefault="00184F61" w:rsidP="006C2C49">
      <w:pPr>
        <w:tabs>
          <w:tab w:val="left" w:pos="-1440"/>
          <w:tab w:val="left" w:pos="-720"/>
        </w:tabs>
        <w:suppressAutoHyphens/>
        <w:rPr>
          <w:sz w:val="24"/>
          <w:szCs w:val="24"/>
        </w:rPr>
      </w:pPr>
      <w:r w:rsidRPr="00B75D25">
        <w:rPr>
          <w:sz w:val="24"/>
          <w:szCs w:val="24"/>
          <w:u w:val="single"/>
        </w:rPr>
        <w:t>Conclusion</w:t>
      </w:r>
    </w:p>
    <w:p w:rsidR="006C2C49" w:rsidRPr="00B75D25" w:rsidRDefault="006C2C49" w:rsidP="006C2C49">
      <w:pPr>
        <w:ind w:firstLine="720"/>
        <w:rPr>
          <w:sz w:val="24"/>
          <w:szCs w:val="24"/>
        </w:rPr>
      </w:pPr>
    </w:p>
    <w:p w:rsidR="006C2C49" w:rsidRPr="00F022CE" w:rsidRDefault="006C2C49" w:rsidP="00F022CE">
      <w:pPr>
        <w:ind w:firstLine="1440"/>
        <w:rPr>
          <w:sz w:val="24"/>
          <w:szCs w:val="24"/>
        </w:rPr>
      </w:pPr>
      <w:r w:rsidRPr="00B73D10">
        <w:rPr>
          <w:sz w:val="24"/>
          <w:szCs w:val="24"/>
        </w:rPr>
        <w:t xml:space="preserve">Complainant </w:t>
      </w:r>
      <w:r w:rsidR="00F022CE">
        <w:rPr>
          <w:sz w:val="24"/>
          <w:szCs w:val="24"/>
        </w:rPr>
        <w:t>did not meet</w:t>
      </w:r>
      <w:r w:rsidRPr="00B73D10">
        <w:rPr>
          <w:sz w:val="24"/>
          <w:szCs w:val="24"/>
        </w:rPr>
        <w:t xml:space="preserve"> </w:t>
      </w:r>
      <w:r w:rsidR="00CE3D14">
        <w:rPr>
          <w:sz w:val="24"/>
          <w:szCs w:val="24"/>
        </w:rPr>
        <w:t>her</w:t>
      </w:r>
      <w:r w:rsidRPr="00B73D10">
        <w:rPr>
          <w:sz w:val="24"/>
          <w:szCs w:val="24"/>
        </w:rPr>
        <w:t xml:space="preserve"> burden of proof in this proceeding.  66 Pa. C.S. §332(a).</w:t>
      </w:r>
      <w:r w:rsidR="00F022CE">
        <w:rPr>
          <w:sz w:val="24"/>
          <w:szCs w:val="24"/>
        </w:rPr>
        <w:t xml:space="preserve">  </w:t>
      </w:r>
      <w:r w:rsidR="009D72E7">
        <w:rPr>
          <w:sz w:val="24"/>
          <w:szCs w:val="24"/>
        </w:rPr>
        <w:t xml:space="preserve">The evidence clearly shows </w:t>
      </w:r>
      <w:r w:rsidR="00523CEC">
        <w:rPr>
          <w:sz w:val="24"/>
          <w:szCs w:val="24"/>
        </w:rPr>
        <w:t xml:space="preserve">Respondent correctly billed Complainant based on accurate </w:t>
      </w:r>
      <w:r w:rsidR="009D72E7">
        <w:rPr>
          <w:sz w:val="24"/>
          <w:szCs w:val="24"/>
        </w:rPr>
        <w:t>recorded consumptions</w:t>
      </w:r>
      <w:r w:rsidR="007C185B">
        <w:rPr>
          <w:sz w:val="24"/>
          <w:szCs w:val="24"/>
        </w:rPr>
        <w:t xml:space="preserve">.  In addition, Complainant </w:t>
      </w:r>
      <w:r w:rsidR="00523CEC">
        <w:rPr>
          <w:sz w:val="24"/>
          <w:szCs w:val="24"/>
        </w:rPr>
        <w:t>has not acted in good faith</w:t>
      </w:r>
      <w:r w:rsidR="00284704">
        <w:rPr>
          <w:sz w:val="24"/>
          <w:szCs w:val="24"/>
        </w:rPr>
        <w:t>.  First, Complainant refused and continues to refuse</w:t>
      </w:r>
      <w:r w:rsidR="00523CEC">
        <w:rPr>
          <w:sz w:val="24"/>
          <w:szCs w:val="24"/>
        </w:rPr>
        <w:t xml:space="preserve"> t</w:t>
      </w:r>
      <w:r w:rsidR="007C185B">
        <w:rPr>
          <w:sz w:val="24"/>
          <w:szCs w:val="24"/>
        </w:rPr>
        <w:t>o allow Respondent to conduct a high bill investigation after alleg</w:t>
      </w:r>
      <w:r w:rsidR="00284704">
        <w:rPr>
          <w:sz w:val="24"/>
          <w:szCs w:val="24"/>
        </w:rPr>
        <w:t xml:space="preserve">ing </w:t>
      </w:r>
      <w:r w:rsidR="007C185B">
        <w:rPr>
          <w:sz w:val="24"/>
          <w:szCs w:val="24"/>
        </w:rPr>
        <w:t>her bills were too high</w:t>
      </w:r>
      <w:r w:rsidR="00284704">
        <w:rPr>
          <w:sz w:val="24"/>
          <w:szCs w:val="24"/>
        </w:rPr>
        <w:t xml:space="preserve">.  Second, Complainant refuses </w:t>
      </w:r>
      <w:r w:rsidR="00523CEC">
        <w:rPr>
          <w:sz w:val="24"/>
          <w:szCs w:val="24"/>
        </w:rPr>
        <w:t>to make any payment on her account despite continuing to receive electric services over the past year</w:t>
      </w:r>
      <w:r w:rsidR="009D72E7">
        <w:rPr>
          <w:sz w:val="24"/>
          <w:szCs w:val="24"/>
        </w:rPr>
        <w:t>.</w:t>
      </w:r>
      <w:r w:rsidR="007C185B">
        <w:rPr>
          <w:sz w:val="24"/>
          <w:szCs w:val="24"/>
        </w:rPr>
        <w:t xml:space="preserve">  </w:t>
      </w:r>
      <w:r w:rsidR="009D72E7">
        <w:rPr>
          <w:sz w:val="24"/>
          <w:szCs w:val="24"/>
        </w:rPr>
        <w:t>Therefore, i</w:t>
      </w:r>
      <w:r w:rsidR="00F022CE">
        <w:rPr>
          <w:sz w:val="24"/>
          <w:szCs w:val="24"/>
        </w:rPr>
        <w:t>n</w:t>
      </w:r>
      <w:r w:rsidRPr="00B73D10">
        <w:rPr>
          <w:sz w:val="24"/>
          <w:szCs w:val="24"/>
        </w:rPr>
        <w:t xml:space="preserve"> the ordering paragraphs to follow, </w:t>
      </w:r>
      <w:r w:rsidR="00CE3D14">
        <w:rPr>
          <w:sz w:val="24"/>
          <w:szCs w:val="24"/>
        </w:rPr>
        <w:t>the</w:t>
      </w:r>
      <w:r w:rsidRPr="00B73D10">
        <w:rPr>
          <w:sz w:val="24"/>
          <w:szCs w:val="24"/>
        </w:rPr>
        <w:t xml:space="preserve"> complaint is </w:t>
      </w:r>
      <w:r w:rsidR="00F022CE">
        <w:rPr>
          <w:sz w:val="24"/>
          <w:szCs w:val="24"/>
        </w:rPr>
        <w:t>denied</w:t>
      </w:r>
      <w:r>
        <w:rPr>
          <w:sz w:val="24"/>
          <w:szCs w:val="24"/>
        </w:rPr>
        <w:t xml:space="preserve">.  </w:t>
      </w:r>
    </w:p>
    <w:p w:rsidR="00891398" w:rsidRPr="00B73D10" w:rsidRDefault="00891398" w:rsidP="00891398">
      <w:pPr>
        <w:rPr>
          <w:bCs/>
          <w:iCs/>
          <w:color w:val="000000"/>
          <w:sz w:val="24"/>
          <w:szCs w:val="24"/>
        </w:rPr>
      </w:pPr>
    </w:p>
    <w:p w:rsidR="006C2C49" w:rsidRPr="00B73D10" w:rsidRDefault="006C2C49" w:rsidP="006C2C49">
      <w:pPr>
        <w:pStyle w:val="Heading1"/>
        <w:spacing w:line="360" w:lineRule="auto"/>
        <w:rPr>
          <w:sz w:val="24"/>
          <w:szCs w:val="24"/>
        </w:rPr>
      </w:pPr>
      <w:r w:rsidRPr="00B73D10">
        <w:rPr>
          <w:sz w:val="24"/>
          <w:szCs w:val="24"/>
        </w:rPr>
        <w:t>CONCLUSIONS OF LAW</w:t>
      </w:r>
    </w:p>
    <w:p w:rsidR="006C2C49" w:rsidRPr="00B73D10" w:rsidRDefault="006C2C49" w:rsidP="006C2C49">
      <w:pPr>
        <w:rPr>
          <w:sz w:val="24"/>
          <w:szCs w:val="24"/>
        </w:rPr>
      </w:pPr>
    </w:p>
    <w:p w:rsidR="006C2C49" w:rsidRPr="00B73D10" w:rsidRDefault="006C2C49" w:rsidP="006C2C49">
      <w:pPr>
        <w:numPr>
          <w:ilvl w:val="0"/>
          <w:numId w:val="2"/>
        </w:numPr>
        <w:tabs>
          <w:tab w:val="clear" w:pos="1440"/>
          <w:tab w:val="num" w:pos="2160"/>
        </w:tabs>
        <w:ind w:left="0" w:firstLine="1440"/>
        <w:rPr>
          <w:sz w:val="24"/>
          <w:szCs w:val="24"/>
        </w:rPr>
      </w:pPr>
      <w:r w:rsidRPr="00B73D10">
        <w:rPr>
          <w:sz w:val="24"/>
          <w:szCs w:val="24"/>
        </w:rPr>
        <w:t>This Commission has jurisdiction over the parties to and subject matter of this case.  66 Pa. C.S. §701.</w:t>
      </w:r>
    </w:p>
    <w:p w:rsidR="006C2C49" w:rsidRPr="00B73D10" w:rsidRDefault="006C2C49" w:rsidP="006C2C49">
      <w:pPr>
        <w:rPr>
          <w:sz w:val="24"/>
          <w:szCs w:val="24"/>
        </w:rPr>
      </w:pPr>
    </w:p>
    <w:p w:rsidR="006C2C49" w:rsidRDefault="006C2C49" w:rsidP="006C2C49">
      <w:pPr>
        <w:numPr>
          <w:ilvl w:val="0"/>
          <w:numId w:val="2"/>
        </w:numPr>
        <w:tabs>
          <w:tab w:val="clear" w:pos="1440"/>
          <w:tab w:val="left" w:pos="0"/>
        </w:tabs>
        <w:ind w:left="0" w:firstLine="1440"/>
        <w:rPr>
          <w:sz w:val="24"/>
          <w:szCs w:val="24"/>
        </w:rPr>
      </w:pPr>
      <w:r w:rsidRPr="00B73D10">
        <w:rPr>
          <w:sz w:val="24"/>
          <w:szCs w:val="24"/>
        </w:rPr>
        <w:lastRenderedPageBreak/>
        <w:t>Complainant has the burden of proving Respondent is not providing reasonable and adequate service.  66 Pa. C.S.A. §332(a).</w:t>
      </w:r>
    </w:p>
    <w:p w:rsidR="0005583D" w:rsidRDefault="0005583D" w:rsidP="0005583D">
      <w:pPr>
        <w:tabs>
          <w:tab w:val="left" w:pos="0"/>
        </w:tabs>
        <w:rPr>
          <w:sz w:val="24"/>
          <w:szCs w:val="24"/>
        </w:rPr>
      </w:pPr>
    </w:p>
    <w:p w:rsidR="006C2C49" w:rsidRPr="00B73D10" w:rsidRDefault="006C2C49" w:rsidP="006C2C49">
      <w:pPr>
        <w:tabs>
          <w:tab w:val="left" w:pos="0"/>
        </w:tabs>
        <w:rPr>
          <w:sz w:val="24"/>
          <w:szCs w:val="24"/>
        </w:rPr>
      </w:pPr>
      <w:r w:rsidRPr="00B73D10">
        <w:rPr>
          <w:sz w:val="24"/>
          <w:szCs w:val="24"/>
        </w:rPr>
        <w:tab/>
      </w:r>
      <w:r w:rsidRPr="00B73D10">
        <w:rPr>
          <w:sz w:val="24"/>
          <w:szCs w:val="24"/>
        </w:rPr>
        <w:tab/>
        <w:t>3.</w:t>
      </w:r>
      <w:r w:rsidRPr="00B73D10">
        <w:rPr>
          <w:sz w:val="24"/>
          <w:szCs w:val="24"/>
        </w:rPr>
        <w:tab/>
        <w:t xml:space="preserve">Complainant </w:t>
      </w:r>
      <w:r w:rsidR="00F022CE">
        <w:rPr>
          <w:sz w:val="24"/>
          <w:szCs w:val="24"/>
        </w:rPr>
        <w:t xml:space="preserve">did not </w:t>
      </w:r>
      <w:r w:rsidRPr="00B73D10">
        <w:rPr>
          <w:sz w:val="24"/>
          <w:szCs w:val="24"/>
        </w:rPr>
        <w:t>me</w:t>
      </w:r>
      <w:r w:rsidR="00F022CE">
        <w:rPr>
          <w:sz w:val="24"/>
          <w:szCs w:val="24"/>
        </w:rPr>
        <w:t>e</w:t>
      </w:r>
      <w:r w:rsidRPr="00B73D10">
        <w:rPr>
          <w:sz w:val="24"/>
          <w:szCs w:val="24"/>
        </w:rPr>
        <w:t xml:space="preserve">t the burden of proving </w:t>
      </w:r>
      <w:r w:rsidR="00CE3D14">
        <w:rPr>
          <w:sz w:val="24"/>
          <w:szCs w:val="24"/>
        </w:rPr>
        <w:t>s</w:t>
      </w:r>
      <w:r w:rsidRPr="00B73D10">
        <w:rPr>
          <w:sz w:val="24"/>
          <w:szCs w:val="24"/>
        </w:rPr>
        <w:t>he was overcharged for electric utility service provided by Respondent</w:t>
      </w:r>
      <w:r w:rsidR="007C185B">
        <w:rPr>
          <w:sz w:val="24"/>
          <w:szCs w:val="24"/>
        </w:rPr>
        <w:t xml:space="preserve">.  </w:t>
      </w:r>
      <w:proofErr w:type="gramStart"/>
      <w:r w:rsidRPr="00BD0AF8">
        <w:rPr>
          <w:sz w:val="24"/>
          <w:szCs w:val="24"/>
          <w:u w:val="single"/>
        </w:rPr>
        <w:t>Waldron v. Philadelphia Electric Company</w:t>
      </w:r>
      <w:r w:rsidR="00BD0AF8">
        <w:rPr>
          <w:sz w:val="24"/>
          <w:szCs w:val="24"/>
        </w:rPr>
        <w:t xml:space="preserve">, 54 Pa. P.U.C. 98 (1980), and </w:t>
      </w:r>
      <w:proofErr w:type="spellStart"/>
      <w:r w:rsidR="00BD0AF8" w:rsidRPr="00B73D10">
        <w:rPr>
          <w:sz w:val="24"/>
          <w:szCs w:val="24"/>
          <w:u w:val="single"/>
        </w:rPr>
        <w:t>Charisse</w:t>
      </w:r>
      <w:proofErr w:type="spellEnd"/>
      <w:r w:rsidR="00BD0AF8" w:rsidRPr="00B73D10">
        <w:rPr>
          <w:sz w:val="24"/>
          <w:szCs w:val="24"/>
          <w:u w:val="single"/>
        </w:rPr>
        <w:t xml:space="preserve"> M. Bennett v.</w:t>
      </w:r>
      <w:proofErr w:type="gramEnd"/>
      <w:r w:rsidR="00BD0AF8" w:rsidRPr="00B73D10">
        <w:rPr>
          <w:sz w:val="24"/>
          <w:szCs w:val="24"/>
          <w:u w:val="single"/>
        </w:rPr>
        <w:t xml:space="preserve"> The Peoples Natural Gas Company, LLC</w:t>
      </w:r>
      <w:r w:rsidR="00BD0AF8" w:rsidRPr="00B73D10">
        <w:rPr>
          <w:sz w:val="24"/>
          <w:szCs w:val="24"/>
        </w:rPr>
        <w:t>, Docket No. C-2009-2122979 (Opinion and Order entered October 13, 2010)</w:t>
      </w:r>
      <w:r w:rsidR="00BD0AF8">
        <w:rPr>
          <w:sz w:val="24"/>
          <w:szCs w:val="24"/>
        </w:rPr>
        <w:t>.</w:t>
      </w:r>
    </w:p>
    <w:p w:rsidR="006C2C49" w:rsidRDefault="006C2C49" w:rsidP="00777FF7">
      <w:pPr>
        <w:tabs>
          <w:tab w:val="left" w:pos="0"/>
        </w:tabs>
        <w:spacing w:line="240" w:lineRule="auto"/>
        <w:rPr>
          <w:sz w:val="24"/>
          <w:szCs w:val="24"/>
        </w:rPr>
      </w:pPr>
    </w:p>
    <w:p w:rsidR="00777FF7" w:rsidRPr="00B73D10" w:rsidRDefault="00777FF7" w:rsidP="00777FF7">
      <w:pPr>
        <w:tabs>
          <w:tab w:val="left" w:pos="0"/>
        </w:tabs>
        <w:spacing w:line="240" w:lineRule="auto"/>
        <w:rPr>
          <w:sz w:val="24"/>
          <w:szCs w:val="24"/>
        </w:rPr>
      </w:pPr>
    </w:p>
    <w:p w:rsidR="006C2C49" w:rsidRDefault="006C2C49" w:rsidP="00A314EC">
      <w:pPr>
        <w:spacing w:line="240" w:lineRule="auto"/>
        <w:jc w:val="center"/>
        <w:rPr>
          <w:b/>
          <w:sz w:val="24"/>
          <w:szCs w:val="24"/>
          <w:u w:val="single"/>
        </w:rPr>
      </w:pPr>
      <w:r w:rsidRPr="00777FF7">
        <w:rPr>
          <w:b/>
          <w:sz w:val="24"/>
          <w:szCs w:val="24"/>
          <w:u w:val="single"/>
        </w:rPr>
        <w:t>ORDER</w:t>
      </w:r>
    </w:p>
    <w:p w:rsidR="00E00CBC" w:rsidRDefault="00E00CBC" w:rsidP="00A314EC">
      <w:pPr>
        <w:spacing w:line="240" w:lineRule="auto"/>
        <w:jc w:val="center"/>
        <w:rPr>
          <w:b/>
          <w:sz w:val="24"/>
          <w:szCs w:val="24"/>
          <w:u w:val="single"/>
        </w:rPr>
      </w:pPr>
    </w:p>
    <w:p w:rsidR="00777FF7" w:rsidRDefault="00777FF7" w:rsidP="00A314EC">
      <w:pPr>
        <w:spacing w:line="240" w:lineRule="auto"/>
        <w:jc w:val="center"/>
        <w:rPr>
          <w:b/>
          <w:sz w:val="24"/>
          <w:szCs w:val="24"/>
          <w:u w:val="single"/>
        </w:rPr>
      </w:pPr>
    </w:p>
    <w:p w:rsidR="00777FF7" w:rsidRPr="00777FF7" w:rsidRDefault="00777FF7" w:rsidP="00A314EC">
      <w:pPr>
        <w:spacing w:line="240" w:lineRule="auto"/>
        <w:jc w:val="center"/>
        <w:rPr>
          <w:b/>
          <w:sz w:val="24"/>
          <w:szCs w:val="24"/>
          <w:u w:val="single"/>
        </w:rPr>
      </w:pPr>
    </w:p>
    <w:p w:rsidR="006C2C49" w:rsidRPr="00B73D10" w:rsidRDefault="006C2C49" w:rsidP="00330277">
      <w:pPr>
        <w:rPr>
          <w:sz w:val="24"/>
          <w:szCs w:val="24"/>
        </w:rPr>
      </w:pPr>
      <w:r w:rsidRPr="00B73D10">
        <w:rPr>
          <w:sz w:val="24"/>
          <w:szCs w:val="24"/>
        </w:rPr>
        <w:tab/>
      </w:r>
      <w:r w:rsidRPr="00B73D10">
        <w:rPr>
          <w:sz w:val="24"/>
          <w:szCs w:val="24"/>
        </w:rPr>
        <w:tab/>
        <w:t>THEREFORE,</w:t>
      </w:r>
    </w:p>
    <w:p w:rsidR="00330277" w:rsidRDefault="006C2C49" w:rsidP="00F5423F">
      <w:pPr>
        <w:spacing w:line="240" w:lineRule="auto"/>
        <w:rPr>
          <w:sz w:val="24"/>
          <w:szCs w:val="24"/>
        </w:rPr>
      </w:pPr>
      <w:r w:rsidRPr="00B73D10">
        <w:rPr>
          <w:sz w:val="24"/>
          <w:szCs w:val="24"/>
        </w:rPr>
        <w:tab/>
      </w:r>
      <w:r w:rsidRPr="00B73D10">
        <w:rPr>
          <w:sz w:val="24"/>
          <w:szCs w:val="24"/>
        </w:rPr>
        <w:tab/>
      </w:r>
    </w:p>
    <w:p w:rsidR="006C2C49" w:rsidRDefault="006C2C49" w:rsidP="00330277">
      <w:pPr>
        <w:ind w:left="720" w:firstLine="720"/>
        <w:rPr>
          <w:sz w:val="24"/>
          <w:szCs w:val="24"/>
        </w:rPr>
      </w:pPr>
      <w:r w:rsidRPr="00B73D10">
        <w:rPr>
          <w:sz w:val="24"/>
          <w:szCs w:val="24"/>
        </w:rPr>
        <w:t>IT IS ORDERED:</w:t>
      </w:r>
    </w:p>
    <w:p w:rsidR="00F5423F" w:rsidRDefault="00F5423F" w:rsidP="00F5423F">
      <w:pPr>
        <w:spacing w:line="240" w:lineRule="auto"/>
        <w:rPr>
          <w:sz w:val="24"/>
          <w:szCs w:val="24"/>
        </w:rPr>
      </w:pPr>
    </w:p>
    <w:p w:rsidR="006C2C49" w:rsidRPr="00B73D10" w:rsidRDefault="006C2C49" w:rsidP="00891398">
      <w:pPr>
        <w:rPr>
          <w:sz w:val="24"/>
          <w:szCs w:val="24"/>
        </w:rPr>
      </w:pPr>
      <w:r w:rsidRPr="00B73D10">
        <w:rPr>
          <w:sz w:val="24"/>
          <w:szCs w:val="24"/>
        </w:rPr>
        <w:tab/>
      </w:r>
      <w:r w:rsidRPr="00B73D10">
        <w:rPr>
          <w:sz w:val="24"/>
          <w:szCs w:val="24"/>
        </w:rPr>
        <w:tab/>
        <w:t xml:space="preserve">That the complaint of </w:t>
      </w:r>
      <w:proofErr w:type="spellStart"/>
      <w:r w:rsidR="00CE3D14">
        <w:rPr>
          <w:sz w:val="24"/>
          <w:szCs w:val="24"/>
        </w:rPr>
        <w:t>Yasmin</w:t>
      </w:r>
      <w:proofErr w:type="spellEnd"/>
      <w:r w:rsidR="00CE3D14">
        <w:rPr>
          <w:sz w:val="24"/>
          <w:szCs w:val="24"/>
        </w:rPr>
        <w:t xml:space="preserve"> </w:t>
      </w:r>
      <w:proofErr w:type="spellStart"/>
      <w:r w:rsidR="00CE3D14">
        <w:rPr>
          <w:sz w:val="24"/>
          <w:szCs w:val="24"/>
        </w:rPr>
        <w:t>Bhatti</w:t>
      </w:r>
      <w:proofErr w:type="spellEnd"/>
      <w:r w:rsidRPr="00F5423F">
        <w:rPr>
          <w:sz w:val="24"/>
          <w:szCs w:val="24"/>
        </w:rPr>
        <w:t xml:space="preserve"> versus </w:t>
      </w:r>
      <w:r w:rsidR="00CE3D14">
        <w:rPr>
          <w:sz w:val="24"/>
          <w:szCs w:val="24"/>
        </w:rPr>
        <w:t>PPL Electric Utilities Corporation</w:t>
      </w:r>
      <w:r w:rsidRPr="00B73D10">
        <w:rPr>
          <w:sz w:val="24"/>
          <w:szCs w:val="24"/>
        </w:rPr>
        <w:t xml:space="preserve"> at Docket No. </w:t>
      </w:r>
      <w:r w:rsidR="00CE3D14">
        <w:rPr>
          <w:sz w:val="24"/>
          <w:szCs w:val="24"/>
        </w:rPr>
        <w:t>C</w:t>
      </w:r>
      <w:r w:rsidR="00BD0AF8">
        <w:rPr>
          <w:sz w:val="24"/>
          <w:szCs w:val="24"/>
        </w:rPr>
        <w:t>-2011-</w:t>
      </w:r>
      <w:r w:rsidR="00F022CE">
        <w:rPr>
          <w:sz w:val="24"/>
          <w:szCs w:val="24"/>
        </w:rPr>
        <w:t>22</w:t>
      </w:r>
      <w:r w:rsidR="00CE3D14">
        <w:rPr>
          <w:sz w:val="24"/>
          <w:szCs w:val="24"/>
        </w:rPr>
        <w:t>51413</w:t>
      </w:r>
      <w:r w:rsidRPr="00B73D10">
        <w:rPr>
          <w:sz w:val="24"/>
          <w:szCs w:val="24"/>
        </w:rPr>
        <w:t xml:space="preserve"> is hereby </w:t>
      </w:r>
      <w:r w:rsidR="00F022CE">
        <w:rPr>
          <w:sz w:val="24"/>
          <w:szCs w:val="24"/>
        </w:rPr>
        <w:t>denied</w:t>
      </w:r>
      <w:r w:rsidRPr="00B73D10">
        <w:rPr>
          <w:sz w:val="24"/>
          <w:szCs w:val="24"/>
        </w:rPr>
        <w:t>.</w:t>
      </w:r>
    </w:p>
    <w:p w:rsidR="006C2C49" w:rsidRDefault="006C2C49" w:rsidP="00777FF7">
      <w:pPr>
        <w:spacing w:line="240" w:lineRule="auto"/>
        <w:rPr>
          <w:sz w:val="24"/>
          <w:szCs w:val="24"/>
        </w:rPr>
      </w:pPr>
    </w:p>
    <w:p w:rsidR="00284704" w:rsidRDefault="00284704" w:rsidP="00777FF7">
      <w:pPr>
        <w:spacing w:line="240" w:lineRule="auto"/>
        <w:rPr>
          <w:sz w:val="24"/>
          <w:szCs w:val="24"/>
        </w:rPr>
      </w:pPr>
    </w:p>
    <w:p w:rsidR="00284704" w:rsidRDefault="00284704" w:rsidP="00777FF7">
      <w:pPr>
        <w:spacing w:line="240" w:lineRule="auto"/>
        <w:rPr>
          <w:sz w:val="24"/>
          <w:szCs w:val="24"/>
        </w:rPr>
      </w:pPr>
    </w:p>
    <w:p w:rsidR="00A314EC" w:rsidRPr="00B73D10" w:rsidRDefault="00A314EC" w:rsidP="00A314EC">
      <w:pPr>
        <w:spacing w:line="240" w:lineRule="auto"/>
        <w:rPr>
          <w:sz w:val="24"/>
          <w:szCs w:val="24"/>
        </w:rPr>
      </w:pPr>
    </w:p>
    <w:p w:rsidR="006C2C49" w:rsidRPr="00B73D10" w:rsidRDefault="006C2C49" w:rsidP="006C2C49">
      <w:pPr>
        <w:spacing w:line="240" w:lineRule="auto"/>
        <w:rPr>
          <w:sz w:val="24"/>
          <w:szCs w:val="24"/>
          <w:u w:val="single"/>
        </w:rPr>
      </w:pPr>
      <w:r w:rsidRPr="00B73D10">
        <w:rPr>
          <w:sz w:val="24"/>
          <w:szCs w:val="24"/>
        </w:rPr>
        <w:t xml:space="preserve">Date:  </w:t>
      </w:r>
      <w:r w:rsidR="00523CEC">
        <w:rPr>
          <w:sz w:val="24"/>
          <w:szCs w:val="24"/>
          <w:u w:val="single"/>
        </w:rPr>
        <w:t>April 19</w:t>
      </w:r>
      <w:r w:rsidR="00BD0AF8">
        <w:rPr>
          <w:sz w:val="24"/>
          <w:szCs w:val="24"/>
          <w:u w:val="single"/>
        </w:rPr>
        <w:t>, 2012</w:t>
      </w:r>
      <w:r w:rsidR="00CE3D14" w:rsidRPr="00E00CBC">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F5423F">
        <w:rPr>
          <w:sz w:val="24"/>
          <w:szCs w:val="24"/>
        </w:rPr>
        <w:tab/>
      </w:r>
      <w:r w:rsidRPr="00B73D10">
        <w:rPr>
          <w:sz w:val="24"/>
          <w:szCs w:val="24"/>
          <w:u w:val="single"/>
        </w:rPr>
        <w:t xml:space="preserve">                                                       </w:t>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t>Katrina L. Dunderdale</w:t>
      </w:r>
    </w:p>
    <w:p w:rsidR="00DE2949" w:rsidRPr="00FB448C" w:rsidRDefault="006C2C49" w:rsidP="009D72E7">
      <w:pPr>
        <w:spacing w:line="240" w:lineRule="auto"/>
        <w:rPr>
          <w:sz w:val="24"/>
          <w:szCs w:val="24"/>
        </w:rPr>
      </w:pP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Pr="00B73D10">
        <w:rPr>
          <w:sz w:val="24"/>
          <w:szCs w:val="24"/>
        </w:rPr>
        <w:tab/>
      </w:r>
      <w:r w:rsidR="00A314EC">
        <w:rPr>
          <w:sz w:val="24"/>
          <w:szCs w:val="24"/>
        </w:rPr>
        <w:tab/>
      </w:r>
      <w:r w:rsidRPr="00B73D10">
        <w:rPr>
          <w:sz w:val="24"/>
          <w:szCs w:val="24"/>
        </w:rPr>
        <w:t>Administrative Law Judge</w:t>
      </w:r>
    </w:p>
    <w:sectPr w:rsidR="00DE2949" w:rsidRPr="00FB448C" w:rsidSect="00A314EC">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03" w:rsidRDefault="00CD7D03">
      <w:r>
        <w:separator/>
      </w:r>
    </w:p>
  </w:endnote>
  <w:endnote w:type="continuationSeparator" w:id="0">
    <w:p w:rsidR="00CD7D03" w:rsidRDefault="00CD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Default="00BF7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F7A4B" w:rsidRDefault="00BF7A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4B" w:rsidRPr="002730A4" w:rsidRDefault="00BF7A4B">
    <w:pPr>
      <w:pStyle w:val="Footer"/>
      <w:framePr w:wrap="around" w:vAnchor="text" w:hAnchor="margin" w:xAlign="center" w:y="1"/>
      <w:rPr>
        <w:rStyle w:val="PageNumber"/>
        <w:sz w:val="24"/>
        <w:szCs w:val="24"/>
      </w:rPr>
    </w:pPr>
    <w:r w:rsidRPr="002730A4">
      <w:rPr>
        <w:rStyle w:val="PageNumber"/>
        <w:sz w:val="24"/>
        <w:szCs w:val="24"/>
      </w:rPr>
      <w:fldChar w:fldCharType="begin"/>
    </w:r>
    <w:r w:rsidRPr="002730A4">
      <w:rPr>
        <w:rStyle w:val="PageNumber"/>
        <w:sz w:val="24"/>
        <w:szCs w:val="24"/>
      </w:rPr>
      <w:instrText xml:space="preserve">PAGE  </w:instrText>
    </w:r>
    <w:r w:rsidRPr="002730A4">
      <w:rPr>
        <w:rStyle w:val="PageNumber"/>
        <w:sz w:val="24"/>
        <w:szCs w:val="24"/>
      </w:rPr>
      <w:fldChar w:fldCharType="separate"/>
    </w:r>
    <w:r w:rsidR="00F66F43">
      <w:rPr>
        <w:rStyle w:val="PageNumber"/>
        <w:noProof/>
        <w:sz w:val="24"/>
        <w:szCs w:val="24"/>
      </w:rPr>
      <w:t>7</w:t>
    </w:r>
    <w:r w:rsidRPr="002730A4">
      <w:rPr>
        <w:rStyle w:val="PageNumber"/>
        <w:sz w:val="24"/>
        <w:szCs w:val="24"/>
      </w:rPr>
      <w:fldChar w:fldCharType="end"/>
    </w:r>
  </w:p>
  <w:p w:rsidR="00BF7A4B" w:rsidRDefault="00BF7A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03" w:rsidRDefault="00CD7D03">
      <w:r>
        <w:separator/>
      </w:r>
    </w:p>
  </w:footnote>
  <w:footnote w:type="continuationSeparator" w:id="0">
    <w:p w:rsidR="00CD7D03" w:rsidRDefault="00CD7D03">
      <w:r>
        <w:continuationSeparator/>
      </w:r>
    </w:p>
  </w:footnote>
  <w:footnote w:id="1">
    <w:p w:rsidR="00BF7A4B" w:rsidRDefault="00BF7A4B" w:rsidP="000A34DF">
      <w:pPr>
        <w:pStyle w:val="FootnoteText"/>
        <w:ind w:firstLine="720"/>
      </w:pPr>
      <w:r>
        <w:rPr>
          <w:rStyle w:val="FootnoteReference"/>
        </w:rPr>
        <w:footnoteRef/>
      </w:r>
      <w:r>
        <w:t xml:space="preserve"> </w:t>
      </w:r>
      <w:r>
        <w:tab/>
      </w:r>
      <w:proofErr w:type="gramStart"/>
      <w:r w:rsidRPr="00EC0D25">
        <w:t>Section 332(a) of the Public Utility Code, 66 Pa. C.S. §332(a).</w:t>
      </w:r>
      <w:proofErr w:type="gramEnd"/>
    </w:p>
    <w:p w:rsidR="00BF7A4B" w:rsidRPr="00EC0D25" w:rsidRDefault="00BF7A4B" w:rsidP="000A34DF">
      <w:pPr>
        <w:pStyle w:val="FootnoteText"/>
        <w:ind w:firstLine="720"/>
      </w:pPr>
    </w:p>
  </w:footnote>
  <w:footnote w:id="2">
    <w:p w:rsidR="00BF7A4B" w:rsidRDefault="00BF7A4B" w:rsidP="000A34DF">
      <w:pPr>
        <w:pStyle w:val="FootnoteText"/>
        <w:ind w:firstLine="720"/>
        <w:rPr>
          <w:spacing w:val="-3"/>
          <w:sz w:val="24"/>
          <w:szCs w:val="24"/>
        </w:rPr>
      </w:pPr>
      <w:r>
        <w:rPr>
          <w:rStyle w:val="FootnoteReference"/>
        </w:rPr>
        <w:footnoteRef/>
      </w:r>
      <w:r>
        <w:t xml:space="preserve"> </w:t>
      </w:r>
      <w:r>
        <w:tab/>
      </w:r>
      <w:proofErr w:type="gramStart"/>
      <w:r w:rsidRPr="0058651A">
        <w:rPr>
          <w:spacing w:val="-3"/>
          <w:u w:val="single"/>
        </w:rPr>
        <w:t>Patterson v. Bell Telephone Company of Pennsylvania</w:t>
      </w:r>
      <w:r w:rsidRPr="0058651A">
        <w:rPr>
          <w:spacing w:val="-3"/>
        </w:rPr>
        <w:t xml:space="preserve">, 72 PA PUC 196 (1990), </w:t>
      </w:r>
      <w:r w:rsidRPr="0058651A">
        <w:rPr>
          <w:spacing w:val="-3"/>
          <w:u w:val="single"/>
        </w:rPr>
        <w:t>Feinstein v. Philadelphia Suburban Water Company</w:t>
      </w:r>
      <w:r w:rsidRPr="0058651A">
        <w:rPr>
          <w:spacing w:val="-3"/>
        </w:rPr>
        <w:t>, 50 PA PUC 300 (1976).</w:t>
      </w:r>
      <w:proofErr w:type="gramEnd"/>
      <w:r w:rsidRPr="00D27E1B">
        <w:rPr>
          <w:spacing w:val="-3"/>
          <w:sz w:val="24"/>
          <w:szCs w:val="24"/>
        </w:rPr>
        <w:t xml:space="preserve">  </w:t>
      </w:r>
    </w:p>
    <w:p w:rsidR="006B7FA0" w:rsidRDefault="006B7FA0" w:rsidP="000A34DF">
      <w:pPr>
        <w:pStyle w:val="FootnoteText"/>
        <w:ind w:firstLine="720"/>
      </w:pPr>
    </w:p>
  </w:footnote>
  <w:footnote w:id="3">
    <w:p w:rsidR="001C0AC2" w:rsidRDefault="00BF7A4B" w:rsidP="000A34DF">
      <w:pPr>
        <w:pStyle w:val="FootnoteText"/>
        <w:ind w:firstLine="720"/>
        <w:rPr>
          <w:spacing w:val="-3"/>
        </w:rPr>
      </w:pPr>
      <w:r>
        <w:rPr>
          <w:rStyle w:val="FootnoteReference"/>
        </w:rPr>
        <w:footnoteRef/>
      </w:r>
      <w:r>
        <w:t xml:space="preserve"> </w:t>
      </w:r>
      <w:r>
        <w:tab/>
      </w:r>
      <w:r w:rsidRPr="00EC0D25">
        <w:rPr>
          <w:spacing w:val="-3"/>
          <w:u w:val="single"/>
        </w:rPr>
        <w:t xml:space="preserve">Samuel J. </w:t>
      </w:r>
      <w:proofErr w:type="spellStart"/>
      <w:r w:rsidRPr="00EC0D25">
        <w:rPr>
          <w:spacing w:val="-3"/>
          <w:u w:val="single"/>
        </w:rPr>
        <w:t>Lansberry</w:t>
      </w:r>
      <w:proofErr w:type="spellEnd"/>
      <w:r w:rsidRPr="00EC0D25">
        <w:rPr>
          <w:spacing w:val="-3"/>
          <w:u w:val="single"/>
        </w:rPr>
        <w:t xml:space="preserve">, Inc. v. Pa. Public Utility </w:t>
      </w:r>
      <w:proofErr w:type="spellStart"/>
      <w:r w:rsidRPr="00EC0D25">
        <w:rPr>
          <w:spacing w:val="-3"/>
          <w:u w:val="single"/>
        </w:rPr>
        <w:t>Comm’n</w:t>
      </w:r>
      <w:proofErr w:type="spellEnd"/>
      <w:r w:rsidRPr="00EC0D25">
        <w:rPr>
          <w:spacing w:val="-3"/>
        </w:rPr>
        <w:t>, 134 Pa.</w:t>
      </w:r>
      <w:r w:rsidR="004D0218">
        <w:rPr>
          <w:spacing w:val="-3"/>
        </w:rPr>
        <w:t xml:space="preserve"> </w:t>
      </w:r>
      <w:proofErr w:type="spellStart"/>
      <w:r w:rsidRPr="00EC0D25">
        <w:rPr>
          <w:spacing w:val="-3"/>
        </w:rPr>
        <w:t>Commw</w:t>
      </w:r>
      <w:proofErr w:type="spellEnd"/>
      <w:r w:rsidRPr="00EC0D25">
        <w:rPr>
          <w:spacing w:val="-3"/>
        </w:rPr>
        <w:t xml:space="preserve">. </w:t>
      </w:r>
      <w:proofErr w:type="gramStart"/>
      <w:r w:rsidRPr="00EC0D25">
        <w:rPr>
          <w:spacing w:val="-3"/>
        </w:rPr>
        <w:t xml:space="preserve">218; 221-222, 578 A.2d 600; 602 (1990), </w:t>
      </w:r>
      <w:proofErr w:type="spellStart"/>
      <w:r w:rsidRPr="00EC0D25">
        <w:rPr>
          <w:i/>
          <w:iCs/>
          <w:spacing w:val="-3"/>
        </w:rPr>
        <w:t>alloc</w:t>
      </w:r>
      <w:proofErr w:type="spellEnd"/>
      <w:r w:rsidRPr="00EC0D25">
        <w:rPr>
          <w:i/>
          <w:iCs/>
          <w:spacing w:val="-3"/>
        </w:rPr>
        <w:t>.</w:t>
      </w:r>
      <w:proofErr w:type="gramEnd"/>
      <w:r w:rsidRPr="00EC0D25">
        <w:rPr>
          <w:i/>
          <w:iCs/>
          <w:spacing w:val="-3"/>
        </w:rPr>
        <w:t xml:space="preserve"> </w:t>
      </w:r>
      <w:proofErr w:type="gramStart"/>
      <w:r w:rsidRPr="00EC0D25">
        <w:rPr>
          <w:i/>
          <w:iCs/>
          <w:spacing w:val="-3"/>
        </w:rPr>
        <w:t>den</w:t>
      </w:r>
      <w:proofErr w:type="gramEnd"/>
      <w:r w:rsidRPr="00EC0D25">
        <w:rPr>
          <w:spacing w:val="-3"/>
        </w:rPr>
        <w:t xml:space="preserve">. </w:t>
      </w:r>
      <w:proofErr w:type="gramStart"/>
      <w:r w:rsidRPr="00EC0D25">
        <w:rPr>
          <w:spacing w:val="-3"/>
        </w:rPr>
        <w:t>in</w:t>
      </w:r>
      <w:proofErr w:type="gramEnd"/>
      <w:r w:rsidRPr="00EC0D25">
        <w:rPr>
          <w:spacing w:val="-3"/>
        </w:rPr>
        <w:t xml:space="preserve"> 602 A.2d 863 (1992)</w:t>
      </w:r>
      <w:r>
        <w:rPr>
          <w:spacing w:val="-3"/>
        </w:rPr>
        <w:t>.</w:t>
      </w:r>
    </w:p>
    <w:p w:rsidR="00742C29" w:rsidRPr="00EC0D25" w:rsidRDefault="00742C29" w:rsidP="000A34DF">
      <w:pPr>
        <w:pStyle w:val="FootnoteText"/>
        <w:ind w:firstLine="720"/>
      </w:pPr>
    </w:p>
  </w:footnote>
  <w:footnote w:id="4">
    <w:p w:rsidR="00BF7A4B" w:rsidRDefault="00BF7A4B" w:rsidP="000A34DF">
      <w:pPr>
        <w:tabs>
          <w:tab w:val="left" w:pos="-1440"/>
          <w:tab w:val="left" w:pos="-720"/>
        </w:tabs>
        <w:suppressAutoHyphens/>
        <w:spacing w:line="240" w:lineRule="auto"/>
        <w:rPr>
          <w:spacing w:val="-3"/>
          <w:sz w:val="20"/>
        </w:rPr>
      </w:pPr>
      <w:r>
        <w:tab/>
      </w:r>
      <w:r w:rsidRPr="004D0218">
        <w:rPr>
          <w:rStyle w:val="FootnoteReference"/>
          <w:sz w:val="20"/>
        </w:rPr>
        <w:footnoteRef/>
      </w:r>
      <w:r w:rsidRPr="004D0218">
        <w:rPr>
          <w:sz w:val="20"/>
        </w:rPr>
        <w:t xml:space="preserve"> </w:t>
      </w:r>
      <w:r>
        <w:tab/>
      </w:r>
      <w:proofErr w:type="gramStart"/>
      <w:r w:rsidRPr="009828D3">
        <w:rPr>
          <w:spacing w:val="-3"/>
          <w:sz w:val="20"/>
          <w:u w:val="single"/>
        </w:rPr>
        <w:t>Se-Ling Hosiery v. Margulies</w:t>
      </w:r>
      <w:r w:rsidRPr="009828D3">
        <w:rPr>
          <w:spacing w:val="-3"/>
          <w:sz w:val="20"/>
        </w:rPr>
        <w:t>, 364 Pa. 45, 70 A.2d 854 (1950).</w:t>
      </w:r>
      <w:proofErr w:type="gramEnd"/>
      <w:r w:rsidRPr="009828D3">
        <w:rPr>
          <w:spacing w:val="-3"/>
          <w:sz w:val="20"/>
        </w:rPr>
        <w:t xml:space="preserve">  </w:t>
      </w:r>
    </w:p>
    <w:p w:rsidR="00742C29" w:rsidRPr="00A964A8" w:rsidRDefault="00742C29" w:rsidP="000A34DF">
      <w:pPr>
        <w:tabs>
          <w:tab w:val="left" w:pos="-1440"/>
          <w:tab w:val="left" w:pos="-720"/>
        </w:tabs>
        <w:suppressAutoHyphens/>
        <w:spacing w:line="240" w:lineRule="auto"/>
        <w:rPr>
          <w:sz w:val="24"/>
          <w:szCs w:val="24"/>
        </w:rPr>
      </w:pPr>
    </w:p>
  </w:footnote>
  <w:footnote w:id="5">
    <w:p w:rsidR="00CE3D14" w:rsidRDefault="00CE3D14" w:rsidP="00CE3D14">
      <w:pPr>
        <w:pStyle w:val="FootnoteText"/>
        <w:ind w:firstLine="720"/>
      </w:pPr>
      <w:r>
        <w:rPr>
          <w:rStyle w:val="FootnoteReference"/>
        </w:rPr>
        <w:footnoteRef/>
      </w:r>
      <w:r>
        <w:t xml:space="preserve"> </w:t>
      </w:r>
      <w:r>
        <w:tab/>
      </w:r>
      <w:proofErr w:type="spellStart"/>
      <w:proofErr w:type="gramStart"/>
      <w:r w:rsidRPr="00CE3D14">
        <w:rPr>
          <w:u w:val="single"/>
        </w:rPr>
        <w:t>Replogle</w:t>
      </w:r>
      <w:proofErr w:type="spellEnd"/>
      <w:r w:rsidRPr="00CE3D14">
        <w:rPr>
          <w:u w:val="single"/>
        </w:rPr>
        <w:t xml:space="preserve"> v. Pennsylvania Electric Company</w:t>
      </w:r>
      <w:r w:rsidRPr="00CE3D14">
        <w:t>, 54 Pa. P.U.C. 528 (1980).</w:t>
      </w:r>
      <w:proofErr w:type="gramEnd"/>
    </w:p>
  </w:footnote>
  <w:footnote w:id="6">
    <w:p w:rsidR="00CE3D14" w:rsidRDefault="00CE3D14" w:rsidP="00CE3D14">
      <w:pPr>
        <w:pStyle w:val="FootnoteText"/>
        <w:ind w:firstLine="720"/>
      </w:pPr>
    </w:p>
    <w:p w:rsidR="00CE3D14" w:rsidRDefault="00CE3D14" w:rsidP="00CE3D14">
      <w:pPr>
        <w:pStyle w:val="FootnoteText"/>
        <w:ind w:firstLine="720"/>
      </w:pPr>
      <w:r>
        <w:rPr>
          <w:rStyle w:val="FootnoteReference"/>
        </w:rPr>
        <w:footnoteRef/>
      </w:r>
      <w:r>
        <w:t xml:space="preserve"> </w:t>
      </w:r>
      <w:r>
        <w:tab/>
      </w:r>
      <w:proofErr w:type="spellStart"/>
      <w:proofErr w:type="gramStart"/>
      <w:r w:rsidRPr="00CE3D14">
        <w:rPr>
          <w:u w:val="single"/>
        </w:rPr>
        <w:t>Milkie</w:t>
      </w:r>
      <w:proofErr w:type="spellEnd"/>
      <w:r w:rsidRPr="00CE3D14">
        <w:rPr>
          <w:u w:val="single"/>
        </w:rPr>
        <w:t xml:space="preserve"> v. Pa. Public Utility Comm.</w:t>
      </w:r>
      <w:r w:rsidRPr="00CE3D14">
        <w:t xml:space="preserve">, 768 A.2d 1217 (Pa. </w:t>
      </w:r>
      <w:proofErr w:type="spellStart"/>
      <w:r w:rsidRPr="00CE3D14">
        <w:t>Commw</w:t>
      </w:r>
      <w:proofErr w:type="spellEnd"/>
      <w:r w:rsidRPr="00CE3D14">
        <w:t>. 2001).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6C5E"/>
    <w:multiLevelType w:val="hybridMultilevel"/>
    <w:tmpl w:val="B4C45A8E"/>
    <w:lvl w:ilvl="0" w:tplc="9AECC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360C2495"/>
    <w:multiLevelType w:val="hybridMultilevel"/>
    <w:tmpl w:val="B360E9C6"/>
    <w:lvl w:ilvl="0" w:tplc="480097F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5">
    <w:nsid w:val="5CE16C58"/>
    <w:multiLevelType w:val="hybridMultilevel"/>
    <w:tmpl w:val="78188B60"/>
    <w:lvl w:ilvl="0" w:tplc="C4A689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7">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8">
    <w:nsid w:val="71483690"/>
    <w:multiLevelType w:val="hybridMultilevel"/>
    <w:tmpl w:val="2E8E8656"/>
    <w:lvl w:ilvl="0" w:tplc="E1D693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79E4175"/>
    <w:multiLevelType w:val="singleLevel"/>
    <w:tmpl w:val="E6CCE61E"/>
    <w:lvl w:ilvl="0">
      <w:start w:val="2"/>
      <w:numFmt w:val="lowerLetter"/>
      <w:lvlText w:val="(%1)"/>
      <w:lvlJc w:val="left"/>
      <w:pPr>
        <w:tabs>
          <w:tab w:val="num" w:pos="360"/>
        </w:tabs>
        <w:ind w:left="360" w:hanging="360"/>
      </w:pPr>
      <w:rPr>
        <w:rFonts w:hint="default"/>
      </w:rPr>
    </w:lvl>
  </w:abstractNum>
  <w:abstractNum w:abstractNumId="10">
    <w:nsid w:val="7AE27F73"/>
    <w:multiLevelType w:val="hybridMultilevel"/>
    <w:tmpl w:val="EEAE4ADA"/>
    <w:lvl w:ilvl="0" w:tplc="FE1C3D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7"/>
  </w:num>
  <w:num w:numId="3">
    <w:abstractNumId w:val="2"/>
  </w:num>
  <w:num w:numId="4">
    <w:abstractNumId w:val="4"/>
  </w:num>
  <w:num w:numId="5">
    <w:abstractNumId w:val="9"/>
  </w:num>
  <w:num w:numId="6">
    <w:abstractNumId w:val="7"/>
    <w:lvlOverride w:ilvl="0">
      <w:startOverride w:val="1"/>
    </w:lvlOverride>
  </w:num>
  <w:num w:numId="7">
    <w:abstractNumId w:val="2"/>
    <w:lvlOverride w:ilvl="0">
      <w:startOverride w:val="1"/>
    </w:lvlOverride>
  </w:num>
  <w:num w:numId="8">
    <w:abstractNumId w:val="9"/>
    <w:lvlOverride w:ilvl="0">
      <w:startOverride w:val="2"/>
    </w:lvlOverride>
  </w:num>
  <w:num w:numId="9">
    <w:abstractNumId w:val="1"/>
  </w:num>
  <w:num w:numId="10">
    <w:abstractNumId w:val="10"/>
  </w:num>
  <w:num w:numId="11">
    <w:abstractNumId w:val="8"/>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0D8E"/>
    <w:rsid w:val="000024B6"/>
    <w:rsid w:val="00015564"/>
    <w:rsid w:val="00023854"/>
    <w:rsid w:val="000268F4"/>
    <w:rsid w:val="0003169F"/>
    <w:rsid w:val="0004172D"/>
    <w:rsid w:val="000420ED"/>
    <w:rsid w:val="00044200"/>
    <w:rsid w:val="00044B8E"/>
    <w:rsid w:val="0005583D"/>
    <w:rsid w:val="000755DB"/>
    <w:rsid w:val="00083078"/>
    <w:rsid w:val="000961CD"/>
    <w:rsid w:val="000A1439"/>
    <w:rsid w:val="000A34DF"/>
    <w:rsid w:val="000C55C5"/>
    <w:rsid w:val="000D6D9C"/>
    <w:rsid w:val="000F202B"/>
    <w:rsid w:val="001056A1"/>
    <w:rsid w:val="001126BF"/>
    <w:rsid w:val="00113941"/>
    <w:rsid w:val="0011768F"/>
    <w:rsid w:val="001339A3"/>
    <w:rsid w:val="001376F7"/>
    <w:rsid w:val="0014638B"/>
    <w:rsid w:val="001635F9"/>
    <w:rsid w:val="00166694"/>
    <w:rsid w:val="00174631"/>
    <w:rsid w:val="001760E3"/>
    <w:rsid w:val="0017796A"/>
    <w:rsid w:val="001807D8"/>
    <w:rsid w:val="001837DE"/>
    <w:rsid w:val="00184F61"/>
    <w:rsid w:val="00187E50"/>
    <w:rsid w:val="001908AF"/>
    <w:rsid w:val="00192CF9"/>
    <w:rsid w:val="00195CBA"/>
    <w:rsid w:val="00195D67"/>
    <w:rsid w:val="001B2A30"/>
    <w:rsid w:val="001B55FD"/>
    <w:rsid w:val="001C0AC2"/>
    <w:rsid w:val="001D457F"/>
    <w:rsid w:val="001E15DE"/>
    <w:rsid w:val="001E2C0B"/>
    <w:rsid w:val="001E5C1C"/>
    <w:rsid w:val="001F16E2"/>
    <w:rsid w:val="00205791"/>
    <w:rsid w:val="002135C1"/>
    <w:rsid w:val="00213C20"/>
    <w:rsid w:val="0024448A"/>
    <w:rsid w:val="00254039"/>
    <w:rsid w:val="00256679"/>
    <w:rsid w:val="0025693E"/>
    <w:rsid w:val="00257E91"/>
    <w:rsid w:val="00266443"/>
    <w:rsid w:val="002721E6"/>
    <w:rsid w:val="00273706"/>
    <w:rsid w:val="00284704"/>
    <w:rsid w:val="00287ACA"/>
    <w:rsid w:val="002A1305"/>
    <w:rsid w:val="002A59BF"/>
    <w:rsid w:val="002C5C8D"/>
    <w:rsid w:val="002D3D1C"/>
    <w:rsid w:val="002E25F3"/>
    <w:rsid w:val="002E2700"/>
    <w:rsid w:val="00303221"/>
    <w:rsid w:val="00305F0D"/>
    <w:rsid w:val="00315005"/>
    <w:rsid w:val="00330277"/>
    <w:rsid w:val="00340071"/>
    <w:rsid w:val="00341B79"/>
    <w:rsid w:val="003460CC"/>
    <w:rsid w:val="00347F45"/>
    <w:rsid w:val="00355E33"/>
    <w:rsid w:val="003611E4"/>
    <w:rsid w:val="00382023"/>
    <w:rsid w:val="00386F30"/>
    <w:rsid w:val="00395B5D"/>
    <w:rsid w:val="003962EA"/>
    <w:rsid w:val="003A2086"/>
    <w:rsid w:val="003A2C39"/>
    <w:rsid w:val="003A31A9"/>
    <w:rsid w:val="003A33F5"/>
    <w:rsid w:val="003B2C3A"/>
    <w:rsid w:val="003C7183"/>
    <w:rsid w:val="003D139B"/>
    <w:rsid w:val="003D3AA4"/>
    <w:rsid w:val="003F0927"/>
    <w:rsid w:val="003F68A9"/>
    <w:rsid w:val="004012A8"/>
    <w:rsid w:val="00406B6E"/>
    <w:rsid w:val="0041141D"/>
    <w:rsid w:val="00412886"/>
    <w:rsid w:val="0042086F"/>
    <w:rsid w:val="004222C6"/>
    <w:rsid w:val="0043056E"/>
    <w:rsid w:val="00430C21"/>
    <w:rsid w:val="00433CEC"/>
    <w:rsid w:val="0043514B"/>
    <w:rsid w:val="00436688"/>
    <w:rsid w:val="004369B1"/>
    <w:rsid w:val="00437CE0"/>
    <w:rsid w:val="004415A2"/>
    <w:rsid w:val="004477EB"/>
    <w:rsid w:val="00451160"/>
    <w:rsid w:val="00452A48"/>
    <w:rsid w:val="0045311F"/>
    <w:rsid w:val="004768C7"/>
    <w:rsid w:val="00493D42"/>
    <w:rsid w:val="00494C7D"/>
    <w:rsid w:val="004A287A"/>
    <w:rsid w:val="004A5400"/>
    <w:rsid w:val="004B418C"/>
    <w:rsid w:val="004C0960"/>
    <w:rsid w:val="004D0218"/>
    <w:rsid w:val="004D0D4F"/>
    <w:rsid w:val="004D6317"/>
    <w:rsid w:val="004D63DC"/>
    <w:rsid w:val="004E3DB9"/>
    <w:rsid w:val="004F4E74"/>
    <w:rsid w:val="004F511D"/>
    <w:rsid w:val="004F61B3"/>
    <w:rsid w:val="004F6DF0"/>
    <w:rsid w:val="00507F53"/>
    <w:rsid w:val="00516EEF"/>
    <w:rsid w:val="00523796"/>
    <w:rsid w:val="00523CEC"/>
    <w:rsid w:val="00530A02"/>
    <w:rsid w:val="00540947"/>
    <w:rsid w:val="00556E9A"/>
    <w:rsid w:val="005609B8"/>
    <w:rsid w:val="00560FDD"/>
    <w:rsid w:val="00567C6F"/>
    <w:rsid w:val="005745EB"/>
    <w:rsid w:val="00574E22"/>
    <w:rsid w:val="00576E65"/>
    <w:rsid w:val="0058651A"/>
    <w:rsid w:val="00593D95"/>
    <w:rsid w:val="00595168"/>
    <w:rsid w:val="005B4757"/>
    <w:rsid w:val="005B5748"/>
    <w:rsid w:val="005B7776"/>
    <w:rsid w:val="005C5898"/>
    <w:rsid w:val="005D3D7F"/>
    <w:rsid w:val="005D6663"/>
    <w:rsid w:val="005E12B1"/>
    <w:rsid w:val="005F5C9E"/>
    <w:rsid w:val="00601B51"/>
    <w:rsid w:val="00606BD0"/>
    <w:rsid w:val="00620C7B"/>
    <w:rsid w:val="0063443F"/>
    <w:rsid w:val="00643108"/>
    <w:rsid w:val="00655AE4"/>
    <w:rsid w:val="00657277"/>
    <w:rsid w:val="006647CC"/>
    <w:rsid w:val="00674464"/>
    <w:rsid w:val="006837EE"/>
    <w:rsid w:val="006930B8"/>
    <w:rsid w:val="006B3FEA"/>
    <w:rsid w:val="006B7FA0"/>
    <w:rsid w:val="006C2C49"/>
    <w:rsid w:val="006D0E2D"/>
    <w:rsid w:val="006D252C"/>
    <w:rsid w:val="006D3CEC"/>
    <w:rsid w:val="006D7DE2"/>
    <w:rsid w:val="006E1F15"/>
    <w:rsid w:val="006E321B"/>
    <w:rsid w:val="006E50BA"/>
    <w:rsid w:val="006F0985"/>
    <w:rsid w:val="006F5CB0"/>
    <w:rsid w:val="006F6BB8"/>
    <w:rsid w:val="00715721"/>
    <w:rsid w:val="00720264"/>
    <w:rsid w:val="00723D2E"/>
    <w:rsid w:val="007240AC"/>
    <w:rsid w:val="0072437C"/>
    <w:rsid w:val="00742C29"/>
    <w:rsid w:val="00747019"/>
    <w:rsid w:val="00757BEB"/>
    <w:rsid w:val="007618E6"/>
    <w:rsid w:val="00763E38"/>
    <w:rsid w:val="00777AD8"/>
    <w:rsid w:val="00777FF7"/>
    <w:rsid w:val="00780CB1"/>
    <w:rsid w:val="007A01A8"/>
    <w:rsid w:val="007B6DE4"/>
    <w:rsid w:val="007B7675"/>
    <w:rsid w:val="007C185B"/>
    <w:rsid w:val="007C4CD8"/>
    <w:rsid w:val="007D24FD"/>
    <w:rsid w:val="007D5F4A"/>
    <w:rsid w:val="007F46D2"/>
    <w:rsid w:val="00803E31"/>
    <w:rsid w:val="00804DAB"/>
    <w:rsid w:val="00805247"/>
    <w:rsid w:val="00806C9B"/>
    <w:rsid w:val="008222E1"/>
    <w:rsid w:val="008335E5"/>
    <w:rsid w:val="0083441D"/>
    <w:rsid w:val="008509B1"/>
    <w:rsid w:val="00850A24"/>
    <w:rsid w:val="00862A3E"/>
    <w:rsid w:val="008648D6"/>
    <w:rsid w:val="00867FD3"/>
    <w:rsid w:val="00877C75"/>
    <w:rsid w:val="00881239"/>
    <w:rsid w:val="0088541A"/>
    <w:rsid w:val="00891398"/>
    <w:rsid w:val="00891B92"/>
    <w:rsid w:val="00897BB2"/>
    <w:rsid w:val="008A7257"/>
    <w:rsid w:val="008B3A6C"/>
    <w:rsid w:val="008C1C6E"/>
    <w:rsid w:val="008C21DB"/>
    <w:rsid w:val="008C2C84"/>
    <w:rsid w:val="008E3812"/>
    <w:rsid w:val="008E759A"/>
    <w:rsid w:val="008F030B"/>
    <w:rsid w:val="0091247C"/>
    <w:rsid w:val="0091573C"/>
    <w:rsid w:val="009448CD"/>
    <w:rsid w:val="00946C11"/>
    <w:rsid w:val="009504A6"/>
    <w:rsid w:val="00951CFC"/>
    <w:rsid w:val="009753B7"/>
    <w:rsid w:val="00977B94"/>
    <w:rsid w:val="00977BB6"/>
    <w:rsid w:val="009828D3"/>
    <w:rsid w:val="00992A72"/>
    <w:rsid w:val="00994613"/>
    <w:rsid w:val="00996FB5"/>
    <w:rsid w:val="00997FD4"/>
    <w:rsid w:val="009A3D9F"/>
    <w:rsid w:val="009A6BDD"/>
    <w:rsid w:val="009B1A9A"/>
    <w:rsid w:val="009D6921"/>
    <w:rsid w:val="009D72E7"/>
    <w:rsid w:val="009D7777"/>
    <w:rsid w:val="009E1902"/>
    <w:rsid w:val="009F5506"/>
    <w:rsid w:val="009F7892"/>
    <w:rsid w:val="00A120EF"/>
    <w:rsid w:val="00A314EC"/>
    <w:rsid w:val="00A3531C"/>
    <w:rsid w:val="00A40F64"/>
    <w:rsid w:val="00A450CB"/>
    <w:rsid w:val="00A508D1"/>
    <w:rsid w:val="00A5362D"/>
    <w:rsid w:val="00A60625"/>
    <w:rsid w:val="00A648CB"/>
    <w:rsid w:val="00A66258"/>
    <w:rsid w:val="00A70DDC"/>
    <w:rsid w:val="00A72DA7"/>
    <w:rsid w:val="00A73897"/>
    <w:rsid w:val="00A75695"/>
    <w:rsid w:val="00A75EB0"/>
    <w:rsid w:val="00A904A7"/>
    <w:rsid w:val="00A964A8"/>
    <w:rsid w:val="00AA22B4"/>
    <w:rsid w:val="00AA2459"/>
    <w:rsid w:val="00AA3795"/>
    <w:rsid w:val="00AB0456"/>
    <w:rsid w:val="00AB20BD"/>
    <w:rsid w:val="00AB293F"/>
    <w:rsid w:val="00AB2D65"/>
    <w:rsid w:val="00AB73D1"/>
    <w:rsid w:val="00AB7CA5"/>
    <w:rsid w:val="00AC1F69"/>
    <w:rsid w:val="00AC5192"/>
    <w:rsid w:val="00AD671E"/>
    <w:rsid w:val="00AD7D51"/>
    <w:rsid w:val="00AE0EA3"/>
    <w:rsid w:val="00AE380D"/>
    <w:rsid w:val="00AF7930"/>
    <w:rsid w:val="00B01FF3"/>
    <w:rsid w:val="00B07ED7"/>
    <w:rsid w:val="00B14EEE"/>
    <w:rsid w:val="00B20BB1"/>
    <w:rsid w:val="00B21A12"/>
    <w:rsid w:val="00B34327"/>
    <w:rsid w:val="00B45783"/>
    <w:rsid w:val="00B67D11"/>
    <w:rsid w:val="00B75D25"/>
    <w:rsid w:val="00B80E5B"/>
    <w:rsid w:val="00B839E8"/>
    <w:rsid w:val="00B93AED"/>
    <w:rsid w:val="00B954D9"/>
    <w:rsid w:val="00B96704"/>
    <w:rsid w:val="00BB126E"/>
    <w:rsid w:val="00BB2908"/>
    <w:rsid w:val="00BC6609"/>
    <w:rsid w:val="00BD0AF8"/>
    <w:rsid w:val="00BD1626"/>
    <w:rsid w:val="00BD656E"/>
    <w:rsid w:val="00BE0C66"/>
    <w:rsid w:val="00BE3FFB"/>
    <w:rsid w:val="00BF339C"/>
    <w:rsid w:val="00BF4798"/>
    <w:rsid w:val="00BF7A4B"/>
    <w:rsid w:val="00C02D78"/>
    <w:rsid w:val="00C146D5"/>
    <w:rsid w:val="00C1597F"/>
    <w:rsid w:val="00C173A0"/>
    <w:rsid w:val="00C254C4"/>
    <w:rsid w:val="00C27ED1"/>
    <w:rsid w:val="00C354E5"/>
    <w:rsid w:val="00C44296"/>
    <w:rsid w:val="00C6661E"/>
    <w:rsid w:val="00C72198"/>
    <w:rsid w:val="00C7317C"/>
    <w:rsid w:val="00C83066"/>
    <w:rsid w:val="00C9371A"/>
    <w:rsid w:val="00C97273"/>
    <w:rsid w:val="00CA4DF4"/>
    <w:rsid w:val="00CA5FBB"/>
    <w:rsid w:val="00CB2E39"/>
    <w:rsid w:val="00CC11CD"/>
    <w:rsid w:val="00CC37F7"/>
    <w:rsid w:val="00CC7273"/>
    <w:rsid w:val="00CC7EAF"/>
    <w:rsid w:val="00CD7D03"/>
    <w:rsid w:val="00CE3D14"/>
    <w:rsid w:val="00CE7E68"/>
    <w:rsid w:val="00CF3639"/>
    <w:rsid w:val="00D0052C"/>
    <w:rsid w:val="00D02672"/>
    <w:rsid w:val="00D04E2C"/>
    <w:rsid w:val="00D12CF7"/>
    <w:rsid w:val="00D150DF"/>
    <w:rsid w:val="00D236A3"/>
    <w:rsid w:val="00D30C6D"/>
    <w:rsid w:val="00D344DE"/>
    <w:rsid w:val="00D44704"/>
    <w:rsid w:val="00D500FB"/>
    <w:rsid w:val="00D63ADB"/>
    <w:rsid w:val="00D64DCB"/>
    <w:rsid w:val="00D66FE4"/>
    <w:rsid w:val="00D7007A"/>
    <w:rsid w:val="00D72E36"/>
    <w:rsid w:val="00D82C44"/>
    <w:rsid w:val="00D86982"/>
    <w:rsid w:val="00D94AEC"/>
    <w:rsid w:val="00D95DB1"/>
    <w:rsid w:val="00D96E0A"/>
    <w:rsid w:val="00DA16D1"/>
    <w:rsid w:val="00DA5000"/>
    <w:rsid w:val="00DA6365"/>
    <w:rsid w:val="00DD6310"/>
    <w:rsid w:val="00DD7E8A"/>
    <w:rsid w:val="00DE09F3"/>
    <w:rsid w:val="00DE2170"/>
    <w:rsid w:val="00DE2266"/>
    <w:rsid w:val="00DE2949"/>
    <w:rsid w:val="00DE7F93"/>
    <w:rsid w:val="00DF04BF"/>
    <w:rsid w:val="00DF13C4"/>
    <w:rsid w:val="00DF4ADB"/>
    <w:rsid w:val="00E00157"/>
    <w:rsid w:val="00E00CBC"/>
    <w:rsid w:val="00E02815"/>
    <w:rsid w:val="00E03BB5"/>
    <w:rsid w:val="00E04BE4"/>
    <w:rsid w:val="00E0580F"/>
    <w:rsid w:val="00E1062D"/>
    <w:rsid w:val="00E10671"/>
    <w:rsid w:val="00E126F9"/>
    <w:rsid w:val="00E24CCB"/>
    <w:rsid w:val="00E33BA9"/>
    <w:rsid w:val="00E45AE4"/>
    <w:rsid w:val="00E500AF"/>
    <w:rsid w:val="00E5034B"/>
    <w:rsid w:val="00E53161"/>
    <w:rsid w:val="00E76B68"/>
    <w:rsid w:val="00E77421"/>
    <w:rsid w:val="00E80B68"/>
    <w:rsid w:val="00E85864"/>
    <w:rsid w:val="00E91CE3"/>
    <w:rsid w:val="00E941D2"/>
    <w:rsid w:val="00EA7153"/>
    <w:rsid w:val="00EB04F4"/>
    <w:rsid w:val="00EC0D25"/>
    <w:rsid w:val="00EC46E0"/>
    <w:rsid w:val="00EC4BF1"/>
    <w:rsid w:val="00EC6BFE"/>
    <w:rsid w:val="00ED0CBE"/>
    <w:rsid w:val="00ED652F"/>
    <w:rsid w:val="00ED6B35"/>
    <w:rsid w:val="00EE0FF3"/>
    <w:rsid w:val="00EE480E"/>
    <w:rsid w:val="00EE7D8A"/>
    <w:rsid w:val="00EF3B1E"/>
    <w:rsid w:val="00F01C8E"/>
    <w:rsid w:val="00F022CE"/>
    <w:rsid w:val="00F220CF"/>
    <w:rsid w:val="00F43B77"/>
    <w:rsid w:val="00F530BB"/>
    <w:rsid w:val="00F5423F"/>
    <w:rsid w:val="00F66F43"/>
    <w:rsid w:val="00F72B2B"/>
    <w:rsid w:val="00F73C62"/>
    <w:rsid w:val="00F84C36"/>
    <w:rsid w:val="00FA2CDB"/>
    <w:rsid w:val="00FA367A"/>
    <w:rsid w:val="00FA3BA7"/>
    <w:rsid w:val="00FB004A"/>
    <w:rsid w:val="00FB1678"/>
    <w:rsid w:val="00FB2F18"/>
    <w:rsid w:val="00FB448C"/>
    <w:rsid w:val="00FB7AFF"/>
    <w:rsid w:val="00FC42F5"/>
    <w:rsid w:val="00FD6BDF"/>
    <w:rsid w:val="00FF26FD"/>
    <w:rsid w:val="00FF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02385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238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6E2"/>
    <w:pPr>
      <w:spacing w:line="360" w:lineRule="auto"/>
    </w:pPr>
    <w:rPr>
      <w:sz w:val="26"/>
    </w:rPr>
  </w:style>
  <w:style w:type="paragraph" w:styleId="Heading1">
    <w:name w:val="heading 1"/>
    <w:basedOn w:val="Normal"/>
    <w:next w:val="Normal"/>
    <w:qFormat/>
    <w:rsid w:val="001F16E2"/>
    <w:pPr>
      <w:keepNext/>
      <w:spacing w:line="240" w:lineRule="auto"/>
      <w:jc w:val="center"/>
      <w:outlineLvl w:val="0"/>
    </w:pPr>
    <w:rPr>
      <w:u w:val="single"/>
    </w:rPr>
  </w:style>
  <w:style w:type="paragraph" w:styleId="Heading2">
    <w:name w:val="heading 2"/>
    <w:basedOn w:val="Normal"/>
    <w:next w:val="Normal"/>
    <w:qFormat/>
    <w:rsid w:val="001F16E2"/>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F16E2"/>
    <w:pPr>
      <w:tabs>
        <w:tab w:val="center" w:pos="4320"/>
        <w:tab w:val="right" w:pos="8640"/>
      </w:tabs>
    </w:pPr>
  </w:style>
  <w:style w:type="character" w:styleId="PageNumber">
    <w:name w:val="page number"/>
    <w:basedOn w:val="DefaultParagraphFont"/>
    <w:rsid w:val="001F16E2"/>
  </w:style>
  <w:style w:type="paragraph" w:styleId="BodyText">
    <w:name w:val="Body Text"/>
    <w:basedOn w:val="Normal"/>
    <w:link w:val="BodyTextChar"/>
    <w:rsid w:val="00555C71"/>
    <w:pPr>
      <w:jc w:val="both"/>
    </w:pPr>
    <w:rPr>
      <w:rFonts w:eastAsia="SimSun"/>
    </w:rPr>
  </w:style>
  <w:style w:type="paragraph" w:styleId="FootnoteText">
    <w:name w:val="footnote text"/>
    <w:basedOn w:val="Normal"/>
    <w:semiHidden/>
    <w:rsid w:val="004F60B1"/>
    <w:pPr>
      <w:spacing w:line="240" w:lineRule="auto"/>
    </w:pPr>
    <w:rPr>
      <w:sz w:val="20"/>
    </w:rPr>
  </w:style>
  <w:style w:type="character" w:styleId="FootnoteReference">
    <w:name w:val="footnote reference"/>
    <w:basedOn w:val="DefaultParagraphFont"/>
    <w:semiHidden/>
    <w:rsid w:val="004F60B1"/>
    <w:rPr>
      <w:vertAlign w:val="superscript"/>
    </w:rPr>
  </w:style>
  <w:style w:type="paragraph" w:styleId="Header">
    <w:name w:val="header"/>
    <w:basedOn w:val="Normal"/>
    <w:rsid w:val="00446A48"/>
    <w:pPr>
      <w:tabs>
        <w:tab w:val="center" w:pos="4320"/>
        <w:tab w:val="right" w:pos="8640"/>
      </w:tabs>
    </w:pPr>
  </w:style>
  <w:style w:type="paragraph" w:styleId="ListParagraph">
    <w:name w:val="List Paragraph"/>
    <w:basedOn w:val="Normal"/>
    <w:uiPriority w:val="34"/>
    <w:qFormat/>
    <w:rsid w:val="006C2C49"/>
    <w:pPr>
      <w:ind w:left="720"/>
      <w:contextualSpacing/>
    </w:pPr>
  </w:style>
  <w:style w:type="character" w:customStyle="1" w:styleId="BodyTextChar">
    <w:name w:val="Body Text Char"/>
    <w:basedOn w:val="DefaultParagraphFont"/>
    <w:link w:val="BodyText"/>
    <w:rsid w:val="00B34327"/>
    <w:rPr>
      <w:rFonts w:eastAsia="SimSun"/>
      <w:sz w:val="26"/>
    </w:rPr>
  </w:style>
  <w:style w:type="paragraph" w:styleId="BalloonText">
    <w:name w:val="Balloon Text"/>
    <w:basedOn w:val="Normal"/>
    <w:link w:val="BalloonTextChar"/>
    <w:rsid w:val="0002385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23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B18CE-C1F0-4045-AE60-9253E6E0A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PUC</dc:creator>
  <cp:lastModifiedBy>sandra elizabeth oldynski</cp:lastModifiedBy>
  <cp:revision>35</cp:revision>
  <cp:lastPrinted>2012-04-19T14:34:00Z</cp:lastPrinted>
  <dcterms:created xsi:type="dcterms:W3CDTF">2012-04-18T19:20:00Z</dcterms:created>
  <dcterms:modified xsi:type="dcterms:W3CDTF">2012-04-19T14:41:00Z</dcterms:modified>
</cp:coreProperties>
</file>