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704FD4" w:rsidP="00CE43B4">
      <w:pPr>
        <w:tabs>
          <w:tab w:val="left" w:pos="-720"/>
        </w:tabs>
        <w:suppressAutoHyphens/>
        <w:rPr>
          <w:b/>
          <w:bCs/>
          <w:spacing w:val="-3"/>
          <w:sz w:val="24"/>
          <w:szCs w:val="24"/>
        </w:rPr>
      </w:pPr>
      <w:r>
        <w:rPr>
          <w:bCs/>
          <w:spacing w:val="-3"/>
          <w:sz w:val="24"/>
          <w:szCs w:val="24"/>
        </w:rPr>
        <w:t>Mark Carter</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B67EFA">
        <w:rPr>
          <w:spacing w:val="-3"/>
          <w:sz w:val="24"/>
          <w:szCs w:val="24"/>
        </w:rPr>
        <w:tab/>
      </w:r>
      <w:r w:rsidR="00704FD4">
        <w:rPr>
          <w:spacing w:val="-3"/>
          <w:sz w:val="24"/>
          <w:szCs w:val="24"/>
        </w:rPr>
        <w:t>F-2011-2243376</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704FD4"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Pr="007965B0" w:rsidRDefault="00DB1328" w:rsidP="007965B0">
      <w:pPr>
        <w:tabs>
          <w:tab w:val="left" w:pos="-1440"/>
          <w:tab w:val="left" w:pos="-720"/>
        </w:tabs>
        <w:suppressAutoHyphens/>
        <w:spacing w:line="360" w:lineRule="auto"/>
        <w:ind w:firstLine="1440"/>
        <w:rPr>
          <w:sz w:val="24"/>
          <w:szCs w:val="24"/>
        </w:rPr>
      </w:pPr>
      <w:r>
        <w:rPr>
          <w:sz w:val="24"/>
          <w:szCs w:val="24"/>
        </w:rPr>
        <w:t>On</w:t>
      </w:r>
      <w:r w:rsidR="00312E1C">
        <w:rPr>
          <w:sz w:val="24"/>
          <w:szCs w:val="24"/>
        </w:rPr>
        <w:t xml:space="preserve"> or about</w:t>
      </w:r>
      <w:r w:rsidR="007965B0" w:rsidRPr="007965B0">
        <w:rPr>
          <w:sz w:val="24"/>
          <w:szCs w:val="24"/>
        </w:rPr>
        <w:t xml:space="preserve">, </w:t>
      </w:r>
      <w:r w:rsidR="0083553B">
        <w:rPr>
          <w:sz w:val="24"/>
          <w:szCs w:val="24"/>
        </w:rPr>
        <w:t>May 12, 2011, Mark Carter</w:t>
      </w:r>
      <w:r w:rsidR="007965B0" w:rsidRPr="007965B0">
        <w:rPr>
          <w:sz w:val="24"/>
          <w:szCs w:val="24"/>
        </w:rPr>
        <w:t xml:space="preserve"> (Complainant) filed a Formal Complaint with the Pennsylvania Public Utility Commission </w:t>
      </w:r>
      <w:r w:rsidR="0083553B">
        <w:rPr>
          <w:sz w:val="24"/>
          <w:szCs w:val="24"/>
        </w:rPr>
        <w:t xml:space="preserve">(PUC) </w:t>
      </w:r>
      <w:r w:rsidR="007965B0" w:rsidRPr="007965B0">
        <w:rPr>
          <w:sz w:val="24"/>
          <w:szCs w:val="24"/>
        </w:rPr>
        <w:t xml:space="preserve">against </w:t>
      </w:r>
      <w:r w:rsidR="0083553B">
        <w:rPr>
          <w:sz w:val="24"/>
          <w:szCs w:val="24"/>
        </w:rPr>
        <w:t>PPL Electric Utilities Corporation</w:t>
      </w:r>
      <w:r w:rsidR="007965B0" w:rsidRPr="007965B0">
        <w:rPr>
          <w:sz w:val="24"/>
          <w:szCs w:val="24"/>
        </w:rPr>
        <w:t xml:space="preserve"> (Respondent) alleging </w:t>
      </w:r>
      <w:r w:rsidR="0083553B">
        <w:rPr>
          <w:sz w:val="24"/>
          <w:szCs w:val="24"/>
        </w:rPr>
        <w:t>that he is being charged an incorrect rate</w:t>
      </w:r>
      <w:r w:rsidR="007965B0" w:rsidRPr="007965B0">
        <w:rPr>
          <w:sz w:val="24"/>
          <w:szCs w:val="24"/>
        </w:rPr>
        <w:t>.  This case is an appeal from a prior informal Bureau of Consumer Services (BCS) decision</w:t>
      </w:r>
      <w:r w:rsidR="00462553">
        <w:rPr>
          <w:sz w:val="24"/>
          <w:szCs w:val="24"/>
        </w:rPr>
        <w:t xml:space="preserve"> at Case No. 2809409</w:t>
      </w:r>
      <w:r w:rsidR="007965B0" w:rsidRPr="007965B0">
        <w:rPr>
          <w:sz w:val="24"/>
          <w:szCs w:val="24"/>
        </w:rPr>
        <w:t xml:space="preserve">.  On </w:t>
      </w:r>
      <w:r w:rsidR="00462553">
        <w:rPr>
          <w:sz w:val="24"/>
          <w:szCs w:val="24"/>
        </w:rPr>
        <w:t>June 15, 2011</w:t>
      </w:r>
      <w:r w:rsidR="007965B0" w:rsidRPr="007965B0">
        <w:rPr>
          <w:sz w:val="24"/>
          <w:szCs w:val="24"/>
        </w:rPr>
        <w:t>,</w:t>
      </w:r>
      <w:r w:rsidR="00462553">
        <w:rPr>
          <w:sz w:val="24"/>
          <w:szCs w:val="24"/>
        </w:rPr>
        <w:t xml:space="preserve"> the</w:t>
      </w:r>
      <w:r w:rsidR="007965B0" w:rsidRPr="007965B0">
        <w:rPr>
          <w:sz w:val="24"/>
          <w:szCs w:val="24"/>
        </w:rPr>
        <w:t xml:space="preserve"> Respondent filed an </w:t>
      </w:r>
      <w:r w:rsidR="007965B0" w:rsidRPr="007965B0">
        <w:rPr>
          <w:spacing w:val="-3"/>
          <w:sz w:val="24"/>
          <w:szCs w:val="24"/>
        </w:rPr>
        <w:t xml:space="preserve">Answer denying the material allegations of the Complaint.  </w:t>
      </w:r>
    </w:p>
    <w:p w:rsidR="007965B0" w:rsidRPr="007965B0" w:rsidRDefault="007965B0" w:rsidP="007965B0">
      <w:pPr>
        <w:tabs>
          <w:tab w:val="left" w:pos="2160"/>
        </w:tab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 xml:space="preserve">By Hearing Notice dated </w:t>
      </w:r>
      <w:r w:rsidR="00462553">
        <w:rPr>
          <w:sz w:val="24"/>
          <w:szCs w:val="24"/>
        </w:rPr>
        <w:t>November 29, 2011</w:t>
      </w:r>
      <w:r w:rsidRPr="007965B0">
        <w:rPr>
          <w:sz w:val="24"/>
          <w:szCs w:val="24"/>
        </w:rPr>
        <w:t xml:space="preserve">, the parties were notified that an Initial Hearing in this case was scheduled for the morning of </w:t>
      </w:r>
      <w:r w:rsidR="00462553">
        <w:rPr>
          <w:sz w:val="24"/>
          <w:szCs w:val="24"/>
        </w:rPr>
        <w:t>January 30, 2012</w:t>
      </w:r>
      <w:r w:rsidRPr="007965B0">
        <w:rPr>
          <w:sz w:val="24"/>
          <w:szCs w:val="24"/>
        </w:rPr>
        <w:t xml:space="preserve">.  A Prehearing Order was issued on </w:t>
      </w:r>
      <w:r w:rsidR="00462553">
        <w:rPr>
          <w:sz w:val="24"/>
          <w:szCs w:val="24"/>
        </w:rPr>
        <w:t>December 6,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EC41CE" w:rsidRDefault="007965B0" w:rsidP="007965B0">
      <w:pPr>
        <w:spacing w:line="360" w:lineRule="auto"/>
        <w:ind w:firstLine="1440"/>
        <w:rPr>
          <w:sz w:val="24"/>
          <w:szCs w:val="24"/>
        </w:rPr>
      </w:pPr>
      <w:r w:rsidRPr="007965B0">
        <w:rPr>
          <w:sz w:val="24"/>
          <w:szCs w:val="24"/>
        </w:rPr>
        <w:lastRenderedPageBreak/>
        <w:t>The hearing convened as scheduled.</w:t>
      </w:r>
      <w:r w:rsidR="00462553">
        <w:rPr>
          <w:sz w:val="24"/>
          <w:szCs w:val="24"/>
        </w:rPr>
        <w:t xml:space="preserve">  The Complainant proffered one (1) exhibit, that was entered into the record.  The Respondent proffered three (3) exhibits, all were entered into the record.  The record closed on February 29, 2012</w:t>
      </w:r>
      <w:r w:rsidR="00EC41CE">
        <w:rPr>
          <w:sz w:val="24"/>
          <w:szCs w:val="24"/>
        </w:rPr>
        <w:t>.</w:t>
      </w:r>
    </w:p>
    <w:p w:rsidR="00223E7E" w:rsidRPr="007965B0"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C419F9" w:rsidRDefault="00462553" w:rsidP="00C419F9">
      <w:pPr>
        <w:numPr>
          <w:ilvl w:val="0"/>
          <w:numId w:val="18"/>
        </w:numPr>
        <w:tabs>
          <w:tab w:val="left" w:pos="2160"/>
        </w:tabs>
        <w:spacing w:line="360" w:lineRule="auto"/>
        <w:ind w:left="0" w:firstLine="1440"/>
        <w:rPr>
          <w:sz w:val="24"/>
          <w:szCs w:val="24"/>
        </w:rPr>
      </w:pPr>
      <w:r>
        <w:rPr>
          <w:sz w:val="24"/>
          <w:szCs w:val="24"/>
        </w:rPr>
        <w:t>The Complainant is Mark Carter of 9 Mosier Street, Exeter, Pennsylvania 18704.</w:t>
      </w:r>
    </w:p>
    <w:p w:rsidR="00462553" w:rsidRDefault="00462553" w:rsidP="007F6DD6">
      <w:pPr>
        <w:spacing w:line="360" w:lineRule="auto"/>
        <w:ind w:left="1440"/>
        <w:rPr>
          <w:sz w:val="24"/>
          <w:szCs w:val="24"/>
        </w:rPr>
      </w:pPr>
    </w:p>
    <w:p w:rsidR="00462553" w:rsidRDefault="00462553" w:rsidP="00C419F9">
      <w:pPr>
        <w:numPr>
          <w:ilvl w:val="0"/>
          <w:numId w:val="18"/>
        </w:numPr>
        <w:tabs>
          <w:tab w:val="left" w:pos="2160"/>
        </w:tabs>
        <w:spacing w:line="360" w:lineRule="auto"/>
        <w:ind w:left="0" w:firstLine="1440"/>
        <w:rPr>
          <w:sz w:val="24"/>
          <w:szCs w:val="24"/>
        </w:rPr>
      </w:pPr>
      <w:r>
        <w:rPr>
          <w:sz w:val="24"/>
          <w:szCs w:val="24"/>
        </w:rPr>
        <w:t>The Respondent is PPL Electric Utilities Corporation, a jurisdictional public utility that provides electric service to Pennsylvania customers.</w:t>
      </w:r>
    </w:p>
    <w:p w:rsidR="00462553" w:rsidRDefault="00462553" w:rsidP="007F6DD6">
      <w:pPr>
        <w:pStyle w:val="ListParagraph"/>
        <w:spacing w:line="360" w:lineRule="auto"/>
        <w:rPr>
          <w:sz w:val="24"/>
          <w:szCs w:val="24"/>
        </w:rPr>
      </w:pPr>
    </w:p>
    <w:p w:rsidR="00462553" w:rsidRDefault="00CA6EE4" w:rsidP="00C419F9">
      <w:pPr>
        <w:numPr>
          <w:ilvl w:val="0"/>
          <w:numId w:val="18"/>
        </w:numPr>
        <w:tabs>
          <w:tab w:val="left" w:pos="2160"/>
        </w:tabs>
        <w:spacing w:line="360" w:lineRule="auto"/>
        <w:ind w:left="0" w:firstLine="1440"/>
        <w:rPr>
          <w:sz w:val="24"/>
          <w:szCs w:val="24"/>
        </w:rPr>
      </w:pPr>
      <w:r>
        <w:rPr>
          <w:sz w:val="24"/>
          <w:szCs w:val="24"/>
        </w:rPr>
        <w:t xml:space="preserve">The Complainant is charged at the “GS1” rate.  </w:t>
      </w:r>
      <w:r w:rsidR="00E869FD">
        <w:rPr>
          <w:sz w:val="24"/>
          <w:szCs w:val="24"/>
        </w:rPr>
        <w:t>(</w:t>
      </w:r>
      <w:r>
        <w:rPr>
          <w:sz w:val="24"/>
          <w:szCs w:val="24"/>
        </w:rPr>
        <w:t>PPL Exh. 1.</w:t>
      </w:r>
      <w:r w:rsidR="00E869FD">
        <w:rPr>
          <w:sz w:val="24"/>
          <w:szCs w:val="24"/>
        </w:rPr>
        <w:t>)</w:t>
      </w:r>
    </w:p>
    <w:p w:rsidR="00CA6EE4" w:rsidRDefault="00CA6EE4" w:rsidP="007F6DD6">
      <w:pPr>
        <w:pStyle w:val="ListParagraph"/>
        <w:spacing w:line="360" w:lineRule="auto"/>
        <w:rPr>
          <w:sz w:val="24"/>
          <w:szCs w:val="24"/>
        </w:rPr>
      </w:pPr>
    </w:p>
    <w:p w:rsidR="00CA6EE4" w:rsidRDefault="00CA6EE4" w:rsidP="00C419F9">
      <w:pPr>
        <w:numPr>
          <w:ilvl w:val="0"/>
          <w:numId w:val="18"/>
        </w:numPr>
        <w:tabs>
          <w:tab w:val="left" w:pos="2160"/>
        </w:tabs>
        <w:spacing w:line="360" w:lineRule="auto"/>
        <w:ind w:left="0" w:firstLine="1440"/>
        <w:rPr>
          <w:sz w:val="24"/>
          <w:szCs w:val="24"/>
        </w:rPr>
      </w:pPr>
      <w:r>
        <w:rPr>
          <w:sz w:val="24"/>
          <w:szCs w:val="24"/>
        </w:rPr>
        <w:t>The Complainant requested service be connected to his building August</w:t>
      </w:r>
      <w:r w:rsidR="00E55BC4">
        <w:rPr>
          <w:sz w:val="24"/>
          <w:szCs w:val="24"/>
        </w:rPr>
        <w:t> </w:t>
      </w:r>
      <w:r>
        <w:rPr>
          <w:sz w:val="24"/>
          <w:szCs w:val="24"/>
        </w:rPr>
        <w:t xml:space="preserve">14, 2007.  </w:t>
      </w:r>
      <w:r w:rsidR="00E869FD">
        <w:rPr>
          <w:sz w:val="24"/>
          <w:szCs w:val="24"/>
        </w:rPr>
        <w:t>(</w:t>
      </w:r>
      <w:r>
        <w:rPr>
          <w:sz w:val="24"/>
          <w:szCs w:val="24"/>
        </w:rPr>
        <w:t>PPL Exh. 1.</w:t>
      </w:r>
      <w:r w:rsidR="00E869FD">
        <w:rPr>
          <w:sz w:val="24"/>
          <w:szCs w:val="24"/>
        </w:rPr>
        <w:t>)</w:t>
      </w:r>
    </w:p>
    <w:p w:rsidR="00CA6EE4" w:rsidRDefault="00CA6EE4" w:rsidP="007F6DD6">
      <w:pPr>
        <w:pStyle w:val="ListParagraph"/>
        <w:spacing w:line="360" w:lineRule="auto"/>
        <w:rPr>
          <w:sz w:val="24"/>
          <w:szCs w:val="24"/>
        </w:rPr>
      </w:pPr>
    </w:p>
    <w:p w:rsidR="00CA6EE4" w:rsidRDefault="00CA6EE4" w:rsidP="00C419F9">
      <w:pPr>
        <w:numPr>
          <w:ilvl w:val="0"/>
          <w:numId w:val="18"/>
        </w:numPr>
        <w:tabs>
          <w:tab w:val="left" w:pos="2160"/>
        </w:tabs>
        <w:spacing w:line="360" w:lineRule="auto"/>
        <w:ind w:left="0" w:firstLine="1440"/>
        <w:rPr>
          <w:sz w:val="24"/>
          <w:szCs w:val="24"/>
        </w:rPr>
      </w:pPr>
      <w:r>
        <w:rPr>
          <w:sz w:val="24"/>
          <w:szCs w:val="24"/>
        </w:rPr>
        <w:t>The Respondent connected service to the Complainant’s building which had two meters, one for single phase and one for three</w:t>
      </w:r>
      <w:r w:rsidR="00B75D55">
        <w:rPr>
          <w:sz w:val="24"/>
          <w:szCs w:val="24"/>
        </w:rPr>
        <w:t>-</w:t>
      </w:r>
      <w:r>
        <w:rPr>
          <w:sz w:val="24"/>
          <w:szCs w:val="24"/>
        </w:rPr>
        <w:t xml:space="preserve">phase service.  </w:t>
      </w:r>
      <w:r w:rsidR="00E869FD">
        <w:rPr>
          <w:sz w:val="24"/>
          <w:szCs w:val="24"/>
        </w:rPr>
        <w:t>(</w:t>
      </w:r>
      <w:r>
        <w:rPr>
          <w:sz w:val="24"/>
          <w:szCs w:val="24"/>
        </w:rPr>
        <w:t>Tr. 29.</w:t>
      </w:r>
      <w:r w:rsidR="00E869FD">
        <w:rPr>
          <w:sz w:val="24"/>
          <w:szCs w:val="24"/>
        </w:rPr>
        <w:t>)</w:t>
      </w:r>
    </w:p>
    <w:p w:rsidR="00CA6EE4" w:rsidRDefault="00CA6EE4" w:rsidP="007F6DD6">
      <w:pPr>
        <w:pStyle w:val="ListParagraph"/>
        <w:spacing w:line="360" w:lineRule="auto"/>
        <w:rPr>
          <w:sz w:val="24"/>
          <w:szCs w:val="24"/>
        </w:rPr>
      </w:pPr>
    </w:p>
    <w:p w:rsidR="00CA6EE4" w:rsidRDefault="00CA6EE4" w:rsidP="00C419F9">
      <w:pPr>
        <w:numPr>
          <w:ilvl w:val="0"/>
          <w:numId w:val="18"/>
        </w:numPr>
        <w:tabs>
          <w:tab w:val="left" w:pos="2160"/>
        </w:tabs>
        <w:spacing w:line="360" w:lineRule="auto"/>
        <w:ind w:left="0" w:firstLine="1440"/>
        <w:rPr>
          <w:sz w:val="24"/>
          <w:szCs w:val="24"/>
        </w:rPr>
      </w:pPr>
      <w:r>
        <w:rPr>
          <w:sz w:val="24"/>
          <w:szCs w:val="24"/>
        </w:rPr>
        <w:t xml:space="preserve">The Complainant never asked the Respondent for advice about his electric service options. </w:t>
      </w:r>
      <w:r w:rsidR="0099023F">
        <w:rPr>
          <w:sz w:val="24"/>
          <w:szCs w:val="24"/>
        </w:rPr>
        <w:t xml:space="preserve"> </w:t>
      </w:r>
      <w:r w:rsidR="00E869FD">
        <w:rPr>
          <w:sz w:val="24"/>
          <w:szCs w:val="24"/>
        </w:rPr>
        <w:t>(</w:t>
      </w:r>
      <w:r>
        <w:rPr>
          <w:sz w:val="24"/>
          <w:szCs w:val="24"/>
        </w:rPr>
        <w:t>Tr. 1-42.</w:t>
      </w:r>
      <w:r w:rsidR="00E869FD">
        <w:rPr>
          <w:sz w:val="24"/>
          <w:szCs w:val="24"/>
        </w:rPr>
        <w:t>)</w:t>
      </w:r>
    </w:p>
    <w:p w:rsidR="00CA6EE4" w:rsidRDefault="00CA6EE4" w:rsidP="00713C7C">
      <w:pPr>
        <w:pStyle w:val="ListParagraph"/>
        <w:spacing w:line="360" w:lineRule="auto"/>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526743">
      <w:pPr>
        <w:spacing w:line="360" w:lineRule="auto"/>
        <w:jc w:val="center"/>
        <w:rPr>
          <w:sz w:val="24"/>
          <w:szCs w:val="24"/>
          <w:u w:val="single"/>
        </w:rPr>
      </w:pPr>
    </w:p>
    <w:p w:rsidR="00B0541E" w:rsidRDefault="00B0541E" w:rsidP="00B0541E">
      <w:pPr>
        <w:spacing w:line="360" w:lineRule="auto"/>
        <w:rPr>
          <w:sz w:val="24"/>
          <w:szCs w:val="24"/>
        </w:rPr>
      </w:pPr>
      <w:r w:rsidRPr="003325A0">
        <w:rPr>
          <w:sz w:val="24"/>
          <w:szCs w:val="24"/>
          <w:u w:val="single"/>
        </w:rPr>
        <w:t>Burden of Proof</w:t>
      </w:r>
      <w:r>
        <w:rPr>
          <w:sz w:val="24"/>
          <w:szCs w:val="24"/>
        </w:rPr>
        <w:t>:</w:t>
      </w:r>
    </w:p>
    <w:p w:rsidR="00B0541E" w:rsidRDefault="00B0541E" w:rsidP="00B0541E">
      <w:pPr>
        <w:spacing w:line="360" w:lineRule="auto"/>
        <w:rPr>
          <w:sz w:val="24"/>
          <w:szCs w:val="24"/>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0742E6">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008508BC">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602 A.2d 863 (1992).  That is,</w:t>
      </w:r>
      <w:r w:rsidR="000742E6">
        <w:rPr>
          <w:spacing w:val="-3"/>
          <w:sz w:val="24"/>
          <w:szCs w:val="24"/>
        </w:rPr>
        <w:t xml:space="preserve"> the Complainant must</w:t>
      </w:r>
      <w:r w:rsidRPr="000B72BC">
        <w:rPr>
          <w:spacing w:val="-3"/>
          <w:sz w:val="24"/>
          <w:szCs w:val="24"/>
        </w:rPr>
        <w:t xml:space="preserve"> present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Default="00B0541E" w:rsidP="000742E6">
      <w:pPr>
        <w:spacing w:line="360" w:lineRule="auto"/>
        <w:ind w:firstLine="1440"/>
        <w:rPr>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93595A">
        <w:rPr>
          <w:spacing w:val="-3"/>
          <w:sz w:val="24"/>
          <w:szCs w:val="24"/>
        </w:rPr>
        <w:t> </w:t>
      </w:r>
      <w:r w:rsidRPr="000B72BC">
        <w:rPr>
          <w:spacing w:val="-3"/>
          <w:sz w:val="24"/>
          <w:szCs w:val="24"/>
        </w:rPr>
        <w:t xml:space="preserve">704.  More is required than a mere trace of evidence or a suspicion of the existence of a fact 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Murphy v. Commonwealth, Dep’t. of Public Welfare, White Haven Center</w:t>
      </w:r>
      <w:r w:rsidRPr="000B72BC">
        <w:rPr>
          <w:spacing w:val="-3"/>
          <w:sz w:val="24"/>
          <w:szCs w:val="24"/>
        </w:rPr>
        <w:t>, 480 A.2d 382 (1984).</w:t>
      </w:r>
      <w:r w:rsidR="000742E6">
        <w:rPr>
          <w:spacing w:val="-3"/>
          <w:sz w:val="24"/>
          <w:szCs w:val="24"/>
        </w:rPr>
        <w:t xml:space="preserve">  </w:t>
      </w:r>
      <w:r w:rsidRPr="000B72BC">
        <w:rPr>
          <w:sz w:val="24"/>
          <w:szCs w:val="24"/>
        </w:rPr>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0742E6" w:rsidRDefault="000742E6" w:rsidP="000742E6">
      <w:pPr>
        <w:spacing w:line="360" w:lineRule="auto"/>
        <w:ind w:firstLine="1440"/>
        <w:rPr>
          <w:sz w:val="24"/>
          <w:szCs w:val="24"/>
        </w:rPr>
      </w:pPr>
    </w:p>
    <w:p w:rsidR="000742E6" w:rsidRDefault="000742E6" w:rsidP="000742E6">
      <w:pPr>
        <w:spacing w:line="360" w:lineRule="auto"/>
        <w:ind w:firstLine="1440"/>
        <w:rPr>
          <w:sz w:val="24"/>
          <w:szCs w:val="24"/>
        </w:rPr>
      </w:pPr>
      <w:r>
        <w:rPr>
          <w:sz w:val="24"/>
          <w:szCs w:val="24"/>
        </w:rPr>
        <w:t>Here, the Complainant alleges that he is being charged a higher rate for electric service than is proper.</w:t>
      </w:r>
    </w:p>
    <w:p w:rsidR="000742E6" w:rsidRDefault="000742E6" w:rsidP="000742E6">
      <w:pPr>
        <w:spacing w:line="360" w:lineRule="auto"/>
        <w:ind w:firstLine="1440"/>
        <w:rPr>
          <w:sz w:val="24"/>
          <w:szCs w:val="24"/>
        </w:rPr>
      </w:pPr>
    </w:p>
    <w:p w:rsidR="000742E6" w:rsidRDefault="000742E6" w:rsidP="000742E6">
      <w:pPr>
        <w:spacing w:line="360" w:lineRule="auto"/>
        <w:ind w:firstLine="1440"/>
        <w:rPr>
          <w:sz w:val="24"/>
          <w:szCs w:val="24"/>
        </w:rPr>
      </w:pPr>
      <w:r>
        <w:rPr>
          <w:sz w:val="24"/>
          <w:szCs w:val="24"/>
        </w:rPr>
        <w:t>The Complainant purchased a commercial building that he</w:t>
      </w:r>
      <w:r w:rsidR="00300CCA">
        <w:rPr>
          <w:sz w:val="24"/>
          <w:szCs w:val="24"/>
        </w:rPr>
        <w:t xml:space="preserve"> resides in and </w:t>
      </w:r>
      <w:r>
        <w:rPr>
          <w:sz w:val="24"/>
          <w:szCs w:val="24"/>
        </w:rPr>
        <w:t>uses for his auto d</w:t>
      </w:r>
      <w:r w:rsidR="00300CCA">
        <w:rPr>
          <w:sz w:val="24"/>
          <w:szCs w:val="24"/>
        </w:rPr>
        <w:t>etailing business</w:t>
      </w:r>
      <w:r>
        <w:rPr>
          <w:sz w:val="24"/>
          <w:szCs w:val="24"/>
        </w:rPr>
        <w:t xml:space="preserve">.  The building has two electrical connections and according to the Respondent, both connections must be working for the whole building to have </w:t>
      </w:r>
      <w:r w:rsidR="00300CCA">
        <w:rPr>
          <w:sz w:val="24"/>
          <w:szCs w:val="24"/>
        </w:rPr>
        <w:t xml:space="preserve">complete </w:t>
      </w:r>
      <w:r>
        <w:rPr>
          <w:sz w:val="24"/>
          <w:szCs w:val="24"/>
        </w:rPr>
        <w:t>service.  When the Complainant had service connected he was unaware that there were two connections.  When he began receiving two bills he was surprised.  Over time, paying the two bills became a hardship.</w:t>
      </w:r>
      <w:r w:rsidR="00300CCA">
        <w:rPr>
          <w:sz w:val="24"/>
          <w:szCs w:val="24"/>
        </w:rPr>
        <w:t xml:space="preserve"> </w:t>
      </w:r>
      <w:r w:rsidR="00DC1968">
        <w:rPr>
          <w:sz w:val="24"/>
          <w:szCs w:val="24"/>
        </w:rPr>
        <w:t xml:space="preserve">The Complainant argues that as a new customer, the Respondent had an obligation to survey his situation and </w:t>
      </w:r>
      <w:r w:rsidR="00472E76">
        <w:rPr>
          <w:sz w:val="24"/>
          <w:szCs w:val="24"/>
        </w:rPr>
        <w:t xml:space="preserve">to </w:t>
      </w:r>
      <w:r w:rsidR="00DC1968">
        <w:rPr>
          <w:sz w:val="24"/>
          <w:szCs w:val="24"/>
        </w:rPr>
        <w:t>advise him about his electrical needs, and that if that had been done, it would have been discovered that he did</w:t>
      </w:r>
      <w:r w:rsidR="00472E76">
        <w:rPr>
          <w:sz w:val="24"/>
          <w:szCs w:val="24"/>
        </w:rPr>
        <w:t xml:space="preserve"> not need the second connection </w:t>
      </w:r>
      <w:r w:rsidR="005576FA">
        <w:rPr>
          <w:sz w:val="24"/>
          <w:szCs w:val="24"/>
        </w:rPr>
        <w:t>and the</w:t>
      </w:r>
      <w:r w:rsidR="00472E76">
        <w:rPr>
          <w:sz w:val="24"/>
          <w:szCs w:val="24"/>
        </w:rPr>
        <w:t xml:space="preserve"> associated charges</w:t>
      </w:r>
      <w:r w:rsidR="005576FA">
        <w:rPr>
          <w:sz w:val="24"/>
          <w:szCs w:val="24"/>
        </w:rPr>
        <w:t>.</w:t>
      </w:r>
      <w:r w:rsidR="00DC1968">
        <w:rPr>
          <w:sz w:val="24"/>
          <w:szCs w:val="24"/>
        </w:rPr>
        <w:t xml:space="preserve">  The Complainant asks that the service charges for the second connection be waived</w:t>
      </w:r>
      <w:r w:rsidR="00472E76">
        <w:rPr>
          <w:sz w:val="24"/>
          <w:szCs w:val="24"/>
        </w:rPr>
        <w:t xml:space="preserve"> for as much time as that statute of limitations allows.  (Tr. 22).</w:t>
      </w:r>
    </w:p>
    <w:p w:rsidR="005576FA" w:rsidRDefault="005576FA" w:rsidP="000742E6">
      <w:pPr>
        <w:spacing w:line="360" w:lineRule="auto"/>
        <w:ind w:firstLine="1440"/>
        <w:rPr>
          <w:sz w:val="24"/>
          <w:szCs w:val="24"/>
        </w:rPr>
      </w:pPr>
    </w:p>
    <w:p w:rsidR="005576FA" w:rsidRDefault="005576FA" w:rsidP="000742E6">
      <w:pPr>
        <w:spacing w:line="360" w:lineRule="auto"/>
        <w:ind w:firstLine="1440"/>
        <w:rPr>
          <w:sz w:val="24"/>
          <w:szCs w:val="24"/>
        </w:rPr>
      </w:pPr>
      <w:r>
        <w:rPr>
          <w:sz w:val="24"/>
          <w:szCs w:val="24"/>
        </w:rPr>
        <w:t>Secon</w:t>
      </w:r>
      <w:r w:rsidR="001F03C7">
        <w:rPr>
          <w:sz w:val="24"/>
          <w:szCs w:val="24"/>
        </w:rPr>
        <w:t>d</w:t>
      </w:r>
      <w:r>
        <w:rPr>
          <w:sz w:val="24"/>
          <w:szCs w:val="24"/>
        </w:rPr>
        <w:t xml:space="preserve">ly, the Complainant argues that he should have been given the rate most advantageous to him.  </w:t>
      </w:r>
      <w:r w:rsidR="001F03C7">
        <w:rPr>
          <w:sz w:val="24"/>
          <w:szCs w:val="24"/>
        </w:rPr>
        <w:t>The Complainant is charged at the “GSI” rate (PPL Exh. 1).  The Complainant raised this issue during the hearing only to submit Complainant’s Exhibit 1, which is a handwritten sheet of paper.  This paper, purporting to obligate the Respondent to provide that rate most advantageous to a customer, is not fully explained, nor was any citation provided. Therefore, there is insufficient evidence in the record from which to determine if the GSI rate is the most advantageous to him.  He failed to meet his burden of proof regarding the rate challenge.</w:t>
      </w:r>
    </w:p>
    <w:p w:rsidR="00472E76" w:rsidRDefault="00472E76" w:rsidP="000742E6">
      <w:pPr>
        <w:spacing w:line="360" w:lineRule="auto"/>
        <w:ind w:firstLine="1440"/>
        <w:rPr>
          <w:sz w:val="24"/>
          <w:szCs w:val="24"/>
        </w:rPr>
      </w:pPr>
    </w:p>
    <w:p w:rsidR="00472E76" w:rsidRDefault="00472E76" w:rsidP="000742E6">
      <w:pPr>
        <w:spacing w:line="360" w:lineRule="auto"/>
        <w:ind w:firstLine="1440"/>
        <w:rPr>
          <w:sz w:val="24"/>
          <w:szCs w:val="24"/>
        </w:rPr>
      </w:pPr>
      <w:r>
        <w:rPr>
          <w:sz w:val="24"/>
          <w:szCs w:val="24"/>
        </w:rPr>
        <w:t xml:space="preserve">The Respondent </w:t>
      </w:r>
      <w:r w:rsidR="009178E7">
        <w:rPr>
          <w:sz w:val="24"/>
          <w:szCs w:val="24"/>
        </w:rPr>
        <w:t>connected service to the Complainant</w:t>
      </w:r>
      <w:r w:rsidR="002859B4">
        <w:rPr>
          <w:sz w:val="24"/>
          <w:szCs w:val="24"/>
        </w:rPr>
        <w:t>’s building</w:t>
      </w:r>
      <w:r w:rsidR="009178E7">
        <w:rPr>
          <w:sz w:val="24"/>
          <w:szCs w:val="24"/>
        </w:rPr>
        <w:t xml:space="preserve"> at the Complainant’s request on July 25, 2001.  (Tr. 29).  The premises had two meters; one meter had single phase service, the other meter had three-phase service.  On or about October 2007, the three-phase service was final billed at the Complainant’s request.  The final bill for the three-phase service was $2,808.82.  (Tr. 33).  That balance was ultimately transferred to the Complainant’s single phase bill through what the Respondent calls “continuous account transfer.”  </w:t>
      </w:r>
      <w:r w:rsidR="00023869">
        <w:rPr>
          <w:sz w:val="24"/>
          <w:szCs w:val="24"/>
        </w:rPr>
        <w:t>(</w:t>
      </w:r>
      <w:r w:rsidR="00300CCA">
        <w:rPr>
          <w:sz w:val="24"/>
          <w:szCs w:val="24"/>
        </w:rPr>
        <w:t>Continuous account transfer allows the Respondent to transfer a balance when a customer has closed an account</w:t>
      </w:r>
      <w:r w:rsidR="00023869">
        <w:rPr>
          <w:sz w:val="24"/>
          <w:szCs w:val="24"/>
        </w:rPr>
        <w:t xml:space="preserve"> with a residual balance, and</w:t>
      </w:r>
      <w:r w:rsidR="00300CCA">
        <w:rPr>
          <w:sz w:val="24"/>
          <w:szCs w:val="24"/>
        </w:rPr>
        <w:t xml:space="preserve"> has another account open.</w:t>
      </w:r>
      <w:r w:rsidR="00023869">
        <w:rPr>
          <w:sz w:val="24"/>
          <w:szCs w:val="24"/>
        </w:rPr>
        <w:t>)</w:t>
      </w:r>
      <w:r w:rsidR="00300CCA">
        <w:rPr>
          <w:rStyle w:val="FootnoteReference"/>
          <w:sz w:val="24"/>
          <w:szCs w:val="24"/>
        </w:rPr>
        <w:footnoteReference w:id="1"/>
      </w:r>
      <w:r w:rsidR="00300CCA">
        <w:rPr>
          <w:sz w:val="24"/>
          <w:szCs w:val="24"/>
        </w:rPr>
        <w:t xml:space="preserve"> </w:t>
      </w:r>
      <w:r w:rsidR="00E231EC">
        <w:rPr>
          <w:sz w:val="24"/>
          <w:szCs w:val="24"/>
        </w:rPr>
        <w:t xml:space="preserve"> </w:t>
      </w:r>
      <w:r w:rsidR="00300CCA">
        <w:rPr>
          <w:sz w:val="24"/>
          <w:szCs w:val="24"/>
        </w:rPr>
        <w:t xml:space="preserve">The Respondent argues that they have no obligation or responsibility to provide </w:t>
      </w:r>
      <w:r w:rsidR="00D25D0D">
        <w:rPr>
          <w:sz w:val="24"/>
          <w:szCs w:val="24"/>
        </w:rPr>
        <w:t xml:space="preserve">surveys </w:t>
      </w:r>
      <w:r w:rsidR="00300CCA">
        <w:rPr>
          <w:sz w:val="24"/>
          <w:szCs w:val="24"/>
        </w:rPr>
        <w:t xml:space="preserve">and </w:t>
      </w:r>
      <w:r w:rsidR="00D25D0D">
        <w:rPr>
          <w:sz w:val="24"/>
          <w:szCs w:val="24"/>
        </w:rPr>
        <w:t>advise customers</w:t>
      </w:r>
      <w:r w:rsidR="00300CCA">
        <w:rPr>
          <w:sz w:val="24"/>
          <w:szCs w:val="24"/>
        </w:rPr>
        <w:t>.  (Tr. 39).  Thus, the Respondent argues that all outstanding balances are due.</w:t>
      </w:r>
    </w:p>
    <w:p w:rsidR="00300CCA" w:rsidRDefault="00300CCA" w:rsidP="000742E6">
      <w:pPr>
        <w:spacing w:line="360" w:lineRule="auto"/>
        <w:ind w:firstLine="1440"/>
        <w:rPr>
          <w:sz w:val="24"/>
          <w:szCs w:val="24"/>
        </w:rPr>
      </w:pPr>
    </w:p>
    <w:p w:rsidR="00E9523D" w:rsidRDefault="00300CCA" w:rsidP="000742E6">
      <w:pPr>
        <w:spacing w:line="360" w:lineRule="auto"/>
        <w:ind w:firstLine="1440"/>
        <w:rPr>
          <w:sz w:val="24"/>
          <w:szCs w:val="24"/>
        </w:rPr>
      </w:pPr>
      <w:r>
        <w:rPr>
          <w:sz w:val="24"/>
          <w:szCs w:val="24"/>
        </w:rPr>
        <w:t>A utility is obligated to provide safe, adequate, effective and reasonable service.  66 Pa. C.S. § 1501</w:t>
      </w:r>
      <w:r w:rsidR="00331DCF">
        <w:rPr>
          <w:sz w:val="24"/>
          <w:szCs w:val="24"/>
        </w:rPr>
        <w:t>.</w:t>
      </w:r>
      <w:r w:rsidR="000C09B0">
        <w:rPr>
          <w:sz w:val="24"/>
          <w:szCs w:val="24"/>
        </w:rPr>
        <w:t xml:space="preserve">  </w:t>
      </w:r>
      <w:r w:rsidR="00E9523D">
        <w:rPr>
          <w:sz w:val="24"/>
          <w:szCs w:val="24"/>
        </w:rPr>
        <w:t xml:space="preserve">I do not find anywhere in the statute or regulations where a utility is obligated to provide a survey and advice to a new customer.  </w:t>
      </w:r>
    </w:p>
    <w:p w:rsidR="00E9523D" w:rsidRDefault="00E9523D" w:rsidP="000742E6">
      <w:pPr>
        <w:spacing w:line="360" w:lineRule="auto"/>
        <w:ind w:firstLine="1440"/>
        <w:rPr>
          <w:sz w:val="24"/>
          <w:szCs w:val="24"/>
        </w:rPr>
      </w:pPr>
    </w:p>
    <w:p w:rsidR="00E9523D" w:rsidRDefault="00E9523D" w:rsidP="00E9523D">
      <w:pPr>
        <w:spacing w:line="360" w:lineRule="auto"/>
        <w:ind w:firstLine="1440"/>
        <w:rPr>
          <w:sz w:val="24"/>
          <w:szCs w:val="24"/>
        </w:rPr>
      </w:pPr>
      <w:r>
        <w:rPr>
          <w:sz w:val="24"/>
          <w:szCs w:val="24"/>
        </w:rPr>
        <w:t xml:space="preserve">Here, the Complainant did not ask </w:t>
      </w:r>
      <w:r w:rsidR="00DC5B07">
        <w:rPr>
          <w:sz w:val="24"/>
          <w:szCs w:val="24"/>
        </w:rPr>
        <w:t xml:space="preserve">the Respondent </w:t>
      </w:r>
      <w:r>
        <w:rPr>
          <w:sz w:val="24"/>
          <w:szCs w:val="24"/>
        </w:rPr>
        <w:t xml:space="preserve">for a survey of his situation and advice concerning the same, he simply argues, after the fact that he should have received it.  I disagree. </w:t>
      </w:r>
      <w:r w:rsidR="00AE6C57">
        <w:rPr>
          <w:sz w:val="24"/>
          <w:szCs w:val="24"/>
        </w:rPr>
        <w:t xml:space="preserve"> </w:t>
      </w:r>
      <w:r>
        <w:rPr>
          <w:sz w:val="24"/>
          <w:szCs w:val="24"/>
        </w:rPr>
        <w:t>It is th</w:t>
      </w:r>
      <w:r w:rsidR="00DC5B07">
        <w:rPr>
          <w:sz w:val="24"/>
          <w:szCs w:val="24"/>
        </w:rPr>
        <w:t>e</w:t>
      </w:r>
      <w:r>
        <w:rPr>
          <w:sz w:val="24"/>
          <w:szCs w:val="24"/>
        </w:rPr>
        <w:t xml:space="preserve"> Complainant’s responsibility to know what he is asking for when he asks </w:t>
      </w:r>
      <w:r w:rsidR="00DC5B07">
        <w:rPr>
          <w:sz w:val="24"/>
          <w:szCs w:val="24"/>
        </w:rPr>
        <w:t>for service to be connected</w:t>
      </w:r>
      <w:r>
        <w:rPr>
          <w:sz w:val="24"/>
          <w:szCs w:val="24"/>
        </w:rPr>
        <w:t xml:space="preserve">.  Nothing </w:t>
      </w:r>
      <w:r w:rsidR="00023869">
        <w:rPr>
          <w:sz w:val="24"/>
          <w:szCs w:val="24"/>
        </w:rPr>
        <w:t>prevented</w:t>
      </w:r>
      <w:r>
        <w:rPr>
          <w:sz w:val="24"/>
          <w:szCs w:val="24"/>
        </w:rPr>
        <w:t xml:space="preserve"> the Complainant from seeking advice from the Respondent.  At all relevant times, the Complainant could have </w:t>
      </w:r>
      <w:r w:rsidR="00DC5B07">
        <w:rPr>
          <w:sz w:val="24"/>
          <w:szCs w:val="24"/>
        </w:rPr>
        <w:t xml:space="preserve">explained to the Respondent that he was the new owner of the building and </w:t>
      </w:r>
      <w:r w:rsidR="00023869">
        <w:rPr>
          <w:sz w:val="24"/>
          <w:szCs w:val="24"/>
        </w:rPr>
        <w:t xml:space="preserve">wanted </w:t>
      </w:r>
      <w:r w:rsidR="00DC5B07">
        <w:rPr>
          <w:sz w:val="24"/>
          <w:szCs w:val="24"/>
        </w:rPr>
        <w:t>advice</w:t>
      </w:r>
      <w:r w:rsidR="00023869">
        <w:rPr>
          <w:sz w:val="24"/>
          <w:szCs w:val="24"/>
        </w:rPr>
        <w:t xml:space="preserve"> about his electric service options;</w:t>
      </w:r>
      <w:r w:rsidR="00DC5B07">
        <w:rPr>
          <w:sz w:val="24"/>
          <w:szCs w:val="24"/>
        </w:rPr>
        <w:t xml:space="preserve"> and he could have asked that </w:t>
      </w:r>
      <w:r>
        <w:rPr>
          <w:sz w:val="24"/>
          <w:szCs w:val="24"/>
        </w:rPr>
        <w:t>the Respondent send a fie</w:t>
      </w:r>
      <w:r w:rsidR="00023869">
        <w:rPr>
          <w:sz w:val="24"/>
          <w:szCs w:val="24"/>
        </w:rPr>
        <w:t>ld</w:t>
      </w:r>
      <w:r>
        <w:rPr>
          <w:sz w:val="24"/>
          <w:szCs w:val="24"/>
        </w:rPr>
        <w:t xml:space="preserve"> representative to discuss </w:t>
      </w:r>
      <w:r w:rsidR="00023869">
        <w:rPr>
          <w:sz w:val="24"/>
          <w:szCs w:val="24"/>
        </w:rPr>
        <w:t>those</w:t>
      </w:r>
      <w:r>
        <w:rPr>
          <w:sz w:val="24"/>
          <w:szCs w:val="24"/>
        </w:rPr>
        <w:t xml:space="preserve"> options with him.</w:t>
      </w:r>
      <w:r w:rsidR="00DC5B07">
        <w:rPr>
          <w:sz w:val="24"/>
          <w:szCs w:val="24"/>
        </w:rPr>
        <w:t xml:space="preserve">  </w:t>
      </w:r>
    </w:p>
    <w:p w:rsidR="00E9523D" w:rsidRDefault="00DC5B07" w:rsidP="000742E6">
      <w:pPr>
        <w:spacing w:line="360" w:lineRule="auto"/>
        <w:ind w:firstLine="1440"/>
        <w:rPr>
          <w:sz w:val="24"/>
          <w:szCs w:val="24"/>
        </w:rPr>
      </w:pPr>
      <w:r>
        <w:rPr>
          <w:sz w:val="24"/>
          <w:szCs w:val="24"/>
        </w:rPr>
        <w:t>Instead</w:t>
      </w:r>
      <w:r w:rsidR="00E9523D">
        <w:rPr>
          <w:sz w:val="24"/>
          <w:szCs w:val="24"/>
        </w:rPr>
        <w:t>, he asked for service to be connected, and the Respondent promptly provided the requested electric service to the Complainant’s commercial building.  That Complainant was unaware of what electric service components his commercial building had is not the fault of the Respondent.</w:t>
      </w:r>
      <w:r>
        <w:rPr>
          <w:sz w:val="24"/>
          <w:szCs w:val="24"/>
        </w:rPr>
        <w:t xml:space="preserve">  When the Complainant received two bills and “was s</w:t>
      </w:r>
      <w:r w:rsidR="005576FA">
        <w:rPr>
          <w:sz w:val="24"/>
          <w:szCs w:val="24"/>
        </w:rPr>
        <w:t>hocked</w:t>
      </w:r>
      <w:r>
        <w:rPr>
          <w:sz w:val="24"/>
          <w:szCs w:val="24"/>
        </w:rPr>
        <w:t>” (Tr.</w:t>
      </w:r>
      <w:r w:rsidR="00A03D65">
        <w:rPr>
          <w:sz w:val="24"/>
          <w:szCs w:val="24"/>
        </w:rPr>
        <w:t xml:space="preserve"> </w:t>
      </w:r>
      <w:r w:rsidR="005576FA">
        <w:rPr>
          <w:sz w:val="24"/>
          <w:szCs w:val="24"/>
        </w:rPr>
        <w:t>7) that was another opportunity to request assistance from the Respondent, but again, instead, he accepted and paid for service until October 11, 2007 (Tr. 30), never choosing to request assistance.</w:t>
      </w:r>
      <w:r>
        <w:rPr>
          <w:sz w:val="24"/>
          <w:szCs w:val="24"/>
        </w:rPr>
        <w:t xml:space="preserve"> </w:t>
      </w:r>
      <w:r w:rsidR="00E9523D">
        <w:rPr>
          <w:sz w:val="24"/>
          <w:szCs w:val="24"/>
        </w:rPr>
        <w:t xml:space="preserve"> That the Complainant could have and ultimately did have the three-phase service disconnected is a choice that only a customer could make.  </w:t>
      </w:r>
    </w:p>
    <w:p w:rsidR="00E9523D" w:rsidRDefault="00E9523D" w:rsidP="000742E6">
      <w:pPr>
        <w:spacing w:line="360" w:lineRule="auto"/>
        <w:ind w:firstLine="1440"/>
        <w:rPr>
          <w:sz w:val="24"/>
          <w:szCs w:val="24"/>
        </w:rPr>
      </w:pPr>
    </w:p>
    <w:p w:rsidR="00E9523D" w:rsidRDefault="00023869" w:rsidP="000742E6">
      <w:pPr>
        <w:spacing w:line="360" w:lineRule="auto"/>
        <w:ind w:firstLine="1440"/>
        <w:rPr>
          <w:sz w:val="24"/>
          <w:szCs w:val="24"/>
        </w:rPr>
      </w:pPr>
      <w:r>
        <w:rPr>
          <w:sz w:val="24"/>
          <w:szCs w:val="24"/>
        </w:rPr>
        <w:t>T</w:t>
      </w:r>
      <w:r w:rsidR="005576FA">
        <w:rPr>
          <w:sz w:val="24"/>
          <w:szCs w:val="24"/>
        </w:rPr>
        <w:t>he Respondent properly connected service at the Complainant’s request and continued to provide that service until the Complainant requested that it be discontinued.  T</w:t>
      </w:r>
      <w:r w:rsidR="00E9523D">
        <w:rPr>
          <w:sz w:val="24"/>
          <w:szCs w:val="24"/>
        </w:rPr>
        <w:t>he amount</w:t>
      </w:r>
      <w:r w:rsidR="005576FA">
        <w:rPr>
          <w:sz w:val="24"/>
          <w:szCs w:val="24"/>
        </w:rPr>
        <w:t>s</w:t>
      </w:r>
      <w:r w:rsidR="00E9523D">
        <w:rPr>
          <w:sz w:val="24"/>
          <w:szCs w:val="24"/>
        </w:rPr>
        <w:t xml:space="preserve"> due are properly owed.</w:t>
      </w:r>
    </w:p>
    <w:p w:rsidR="00382B1A"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7934E4" w:rsidRDefault="00382B1A" w:rsidP="00DC5B07">
      <w:pPr>
        <w:tabs>
          <w:tab w:val="left" w:pos="2160"/>
        </w:tabs>
        <w:spacing w:line="360" w:lineRule="auto"/>
        <w:ind w:firstLine="1440"/>
        <w:rPr>
          <w:sz w:val="24"/>
          <w:szCs w:val="24"/>
        </w:rPr>
      </w:pPr>
      <w:r w:rsidRPr="007934E4">
        <w:rPr>
          <w:sz w:val="24"/>
          <w:szCs w:val="24"/>
        </w:rPr>
        <w:t>1.</w:t>
      </w:r>
      <w:r w:rsidRPr="007934E4">
        <w:rPr>
          <w:sz w:val="24"/>
          <w:szCs w:val="24"/>
        </w:rPr>
        <w:tab/>
        <w:t>The Commission has jurisdiction over the subject matter and parties to this Complaint.  66 Pa. C.S. §</w:t>
      </w:r>
      <w:r>
        <w:rPr>
          <w:sz w:val="24"/>
          <w:szCs w:val="24"/>
        </w:rPr>
        <w:t xml:space="preserve"> </w:t>
      </w:r>
      <w:r w:rsidRPr="007934E4">
        <w:rPr>
          <w:sz w:val="24"/>
          <w:szCs w:val="24"/>
        </w:rPr>
        <w:t>701.</w:t>
      </w:r>
    </w:p>
    <w:p w:rsidR="00382B1A" w:rsidRPr="007934E4" w:rsidRDefault="00382B1A" w:rsidP="00DC5B07">
      <w:pPr>
        <w:tabs>
          <w:tab w:val="left" w:pos="2160"/>
        </w:tabs>
        <w:spacing w:line="360" w:lineRule="auto"/>
        <w:ind w:firstLine="1440"/>
        <w:rPr>
          <w:sz w:val="24"/>
          <w:szCs w:val="24"/>
        </w:rPr>
      </w:pPr>
    </w:p>
    <w:p w:rsidR="00382B1A" w:rsidRPr="007934E4" w:rsidRDefault="00382B1A" w:rsidP="00DC5B07">
      <w:pPr>
        <w:tabs>
          <w:tab w:val="left" w:pos="2160"/>
        </w:tabs>
        <w:spacing w:line="360" w:lineRule="auto"/>
        <w:ind w:firstLine="1440"/>
        <w:rPr>
          <w:sz w:val="24"/>
          <w:szCs w:val="24"/>
        </w:rPr>
      </w:pPr>
      <w:r w:rsidRPr="007934E4">
        <w:rPr>
          <w:sz w:val="24"/>
          <w:szCs w:val="24"/>
        </w:rPr>
        <w:t>2.</w:t>
      </w:r>
      <w:r w:rsidRPr="007934E4">
        <w:rPr>
          <w:sz w:val="24"/>
          <w:szCs w:val="24"/>
        </w:rPr>
        <w:tab/>
        <w:t xml:space="preserve">As the party seeking affirmative relief from the Commission, </w:t>
      </w:r>
      <w:r w:rsidR="005E2CC0">
        <w:rPr>
          <w:sz w:val="24"/>
          <w:szCs w:val="24"/>
        </w:rPr>
        <w:t>Complainant</w:t>
      </w:r>
      <w:r w:rsidR="005E2CC0" w:rsidRPr="007934E4">
        <w:rPr>
          <w:sz w:val="24"/>
          <w:szCs w:val="24"/>
        </w:rPr>
        <w:t xml:space="preserve"> bears</w:t>
      </w:r>
      <w:r w:rsidRPr="007934E4">
        <w:rPr>
          <w:sz w:val="24"/>
          <w:szCs w:val="24"/>
        </w:rPr>
        <w:t xml:space="preserve"> the burden of proof.  66 Pa. C.S. §</w:t>
      </w:r>
      <w:r>
        <w:rPr>
          <w:sz w:val="24"/>
          <w:szCs w:val="24"/>
        </w:rPr>
        <w:t xml:space="preserve"> </w:t>
      </w:r>
      <w:r w:rsidRPr="007934E4">
        <w:rPr>
          <w:sz w:val="24"/>
          <w:szCs w:val="24"/>
        </w:rPr>
        <w:t>332(a).</w:t>
      </w:r>
    </w:p>
    <w:p w:rsidR="00382B1A" w:rsidRPr="007934E4" w:rsidRDefault="00382B1A" w:rsidP="00DC5B07">
      <w:pPr>
        <w:tabs>
          <w:tab w:val="left" w:pos="2160"/>
        </w:tabs>
        <w:spacing w:line="360" w:lineRule="auto"/>
        <w:ind w:firstLine="1440"/>
        <w:rPr>
          <w:sz w:val="24"/>
          <w:szCs w:val="24"/>
        </w:rPr>
      </w:pPr>
    </w:p>
    <w:p w:rsidR="00382B1A" w:rsidRPr="00DC5B07" w:rsidRDefault="005E4AB4" w:rsidP="005E4AB4">
      <w:pPr>
        <w:pStyle w:val="ListParagraph"/>
        <w:spacing w:line="360" w:lineRule="auto"/>
        <w:ind w:left="0" w:firstLine="1440"/>
        <w:rPr>
          <w:spacing w:val="-3"/>
          <w:sz w:val="24"/>
          <w:szCs w:val="24"/>
        </w:rPr>
      </w:pPr>
      <w:r>
        <w:rPr>
          <w:spacing w:val="-3"/>
          <w:sz w:val="24"/>
          <w:szCs w:val="24"/>
        </w:rPr>
        <w:t>3.</w:t>
      </w:r>
      <w:r>
        <w:rPr>
          <w:spacing w:val="-3"/>
          <w:sz w:val="24"/>
          <w:szCs w:val="24"/>
        </w:rPr>
        <w:tab/>
      </w:r>
      <w:r w:rsidR="00382B1A" w:rsidRPr="00DC5B07">
        <w:rPr>
          <w:spacing w:val="-3"/>
          <w:sz w:val="24"/>
          <w:szCs w:val="24"/>
        </w:rPr>
        <w:t xml:space="preserve">As a matter of general principle, a complainant must show that the named utility is responsible or accountable for the problem described in the Complaint in order to prevail.  </w:t>
      </w:r>
      <w:r w:rsidR="00382B1A" w:rsidRPr="00DC5B07">
        <w:rPr>
          <w:i/>
          <w:spacing w:val="-3"/>
          <w:sz w:val="24"/>
          <w:szCs w:val="24"/>
        </w:rPr>
        <w:t>Patterson v. Bell Telephone Company of Pennsylvania</w:t>
      </w:r>
      <w:r w:rsidR="00382B1A" w:rsidRPr="00DC5B07">
        <w:rPr>
          <w:spacing w:val="-3"/>
          <w:sz w:val="24"/>
          <w:szCs w:val="24"/>
        </w:rPr>
        <w:t>, 72 Pa. P</w:t>
      </w:r>
      <w:r w:rsidR="003E594B" w:rsidRPr="00DC5B07">
        <w:rPr>
          <w:spacing w:val="-3"/>
          <w:sz w:val="24"/>
          <w:szCs w:val="24"/>
        </w:rPr>
        <w:t xml:space="preserve">ub. </w:t>
      </w:r>
      <w:r w:rsidR="00382B1A" w:rsidRPr="00DC5B07">
        <w:rPr>
          <w:spacing w:val="-3"/>
          <w:sz w:val="24"/>
          <w:szCs w:val="24"/>
        </w:rPr>
        <w:t>U</w:t>
      </w:r>
      <w:r w:rsidR="003E594B" w:rsidRPr="00DC5B07">
        <w:rPr>
          <w:spacing w:val="-3"/>
          <w:sz w:val="24"/>
          <w:szCs w:val="24"/>
        </w:rPr>
        <w:t xml:space="preserve">til. </w:t>
      </w:r>
      <w:r w:rsidR="00382B1A" w:rsidRPr="00DC5B07">
        <w:rPr>
          <w:spacing w:val="-3"/>
          <w:sz w:val="24"/>
          <w:szCs w:val="24"/>
        </w:rPr>
        <w:t>C</w:t>
      </w:r>
      <w:r w:rsidR="003E594B" w:rsidRPr="00DC5B07">
        <w:rPr>
          <w:spacing w:val="-3"/>
          <w:sz w:val="24"/>
          <w:szCs w:val="24"/>
        </w:rPr>
        <w:t>omm’n</w:t>
      </w:r>
      <w:r w:rsidR="00382B1A" w:rsidRPr="00DC5B07">
        <w:rPr>
          <w:spacing w:val="-3"/>
          <w:sz w:val="24"/>
          <w:szCs w:val="24"/>
        </w:rPr>
        <w:t xml:space="preserve"> 196 (1990); </w:t>
      </w:r>
      <w:r w:rsidR="00382B1A" w:rsidRPr="00DC5B07">
        <w:rPr>
          <w:i/>
          <w:spacing w:val="-3"/>
          <w:sz w:val="24"/>
          <w:szCs w:val="24"/>
        </w:rPr>
        <w:t>Feinstein v. Philadelphia Suburban Water Company</w:t>
      </w:r>
      <w:r w:rsidR="00382B1A" w:rsidRPr="00DC5B07">
        <w:rPr>
          <w:spacing w:val="-3"/>
          <w:sz w:val="24"/>
          <w:szCs w:val="24"/>
        </w:rPr>
        <w:t>, 50 Pa. P</w:t>
      </w:r>
      <w:r w:rsidR="003E594B" w:rsidRPr="00DC5B07">
        <w:rPr>
          <w:spacing w:val="-3"/>
          <w:sz w:val="24"/>
          <w:szCs w:val="24"/>
        </w:rPr>
        <w:t xml:space="preserve">ub. </w:t>
      </w:r>
      <w:r w:rsidR="00382B1A" w:rsidRPr="00DC5B07">
        <w:rPr>
          <w:spacing w:val="-3"/>
          <w:sz w:val="24"/>
          <w:szCs w:val="24"/>
        </w:rPr>
        <w:t>U</w:t>
      </w:r>
      <w:r w:rsidR="003E594B" w:rsidRPr="00DC5B07">
        <w:rPr>
          <w:spacing w:val="-3"/>
          <w:sz w:val="24"/>
          <w:szCs w:val="24"/>
        </w:rPr>
        <w:t xml:space="preserve">til. </w:t>
      </w:r>
      <w:r w:rsidR="00382B1A" w:rsidRPr="00DC5B07">
        <w:rPr>
          <w:spacing w:val="-3"/>
          <w:sz w:val="24"/>
          <w:szCs w:val="24"/>
        </w:rPr>
        <w:t>C</w:t>
      </w:r>
      <w:r w:rsidR="003E594B" w:rsidRPr="00DC5B07">
        <w:rPr>
          <w:spacing w:val="-3"/>
          <w:sz w:val="24"/>
          <w:szCs w:val="24"/>
        </w:rPr>
        <w:t>omm’n</w:t>
      </w:r>
      <w:r w:rsidR="00382B1A" w:rsidRPr="00DC5B07">
        <w:rPr>
          <w:spacing w:val="-3"/>
          <w:sz w:val="24"/>
          <w:szCs w:val="24"/>
        </w:rPr>
        <w:t xml:space="preserve"> 300 (1976).  This must be shown by a preponderance of the evidence.  </w:t>
      </w:r>
      <w:r w:rsidR="003E594B" w:rsidRPr="00DC5B07">
        <w:rPr>
          <w:i/>
          <w:spacing w:val="-3"/>
          <w:sz w:val="24"/>
          <w:szCs w:val="24"/>
        </w:rPr>
        <w:t>Samuel J. Lansberry, Inc. v. Pa.</w:t>
      </w:r>
      <w:r w:rsidR="00382B1A" w:rsidRPr="00DC5B07">
        <w:rPr>
          <w:i/>
          <w:spacing w:val="-3"/>
          <w:sz w:val="24"/>
          <w:szCs w:val="24"/>
        </w:rPr>
        <w:t xml:space="preserve"> Pub</w:t>
      </w:r>
      <w:r w:rsidR="003E594B" w:rsidRPr="00DC5B07">
        <w:rPr>
          <w:i/>
          <w:spacing w:val="-3"/>
          <w:sz w:val="24"/>
          <w:szCs w:val="24"/>
        </w:rPr>
        <w:t>.</w:t>
      </w:r>
      <w:r w:rsidR="00382B1A" w:rsidRPr="00DC5B07">
        <w:rPr>
          <w:i/>
          <w:spacing w:val="-3"/>
          <w:sz w:val="24"/>
          <w:szCs w:val="24"/>
        </w:rPr>
        <w:t xml:space="preserve"> Util</w:t>
      </w:r>
      <w:r w:rsidR="003E594B" w:rsidRPr="00DC5B07">
        <w:rPr>
          <w:i/>
          <w:spacing w:val="-3"/>
          <w:sz w:val="24"/>
          <w:szCs w:val="24"/>
        </w:rPr>
        <w:t>.</w:t>
      </w:r>
      <w:r w:rsidR="00382B1A" w:rsidRPr="00DC5B07">
        <w:rPr>
          <w:i/>
          <w:spacing w:val="-3"/>
          <w:sz w:val="24"/>
          <w:szCs w:val="24"/>
        </w:rPr>
        <w:t xml:space="preserve"> Comm’n</w:t>
      </w:r>
      <w:r w:rsidR="00382B1A" w:rsidRPr="00DC5B07">
        <w:rPr>
          <w:spacing w:val="-3"/>
          <w:sz w:val="24"/>
          <w:szCs w:val="24"/>
        </w:rPr>
        <w:t xml:space="preserve">, 578 A.2d 600 (1990), </w:t>
      </w:r>
      <w:r w:rsidR="00382B1A" w:rsidRPr="00DC5B07">
        <w:rPr>
          <w:i/>
          <w:spacing w:val="-3"/>
          <w:sz w:val="24"/>
          <w:szCs w:val="24"/>
        </w:rPr>
        <w:t>alloc. den.</w:t>
      </w:r>
      <w:r w:rsidR="003E594B" w:rsidRPr="00DC5B07">
        <w:rPr>
          <w:spacing w:val="-3"/>
          <w:sz w:val="24"/>
          <w:szCs w:val="24"/>
        </w:rPr>
        <w:t xml:space="preserve">, 602 A.2d </w:t>
      </w:r>
      <w:r w:rsidR="00382B1A" w:rsidRPr="00DC5B07">
        <w:rPr>
          <w:spacing w:val="-3"/>
          <w:sz w:val="24"/>
          <w:szCs w:val="24"/>
        </w:rPr>
        <w:t>863 (1992).</w:t>
      </w:r>
    </w:p>
    <w:p w:rsidR="00DC5B07" w:rsidRDefault="00DC5B07" w:rsidP="00DC5B07">
      <w:pPr>
        <w:pStyle w:val="ListParagraph"/>
        <w:spacing w:line="360" w:lineRule="auto"/>
        <w:ind w:left="0" w:firstLine="2160"/>
        <w:rPr>
          <w:spacing w:val="-3"/>
          <w:sz w:val="24"/>
          <w:szCs w:val="24"/>
        </w:rPr>
      </w:pPr>
      <w:r>
        <w:rPr>
          <w:spacing w:val="-3"/>
          <w:sz w:val="24"/>
          <w:szCs w:val="24"/>
        </w:rPr>
        <w:t xml:space="preserve"> </w:t>
      </w:r>
    </w:p>
    <w:p w:rsidR="00DC5B07" w:rsidRPr="00023869" w:rsidRDefault="00DC5B07" w:rsidP="005979B1">
      <w:pPr>
        <w:pStyle w:val="ListParagraph"/>
        <w:numPr>
          <w:ilvl w:val="0"/>
          <w:numId w:val="19"/>
        </w:numPr>
        <w:spacing w:line="360" w:lineRule="auto"/>
        <w:ind w:left="0" w:firstLine="1440"/>
        <w:rPr>
          <w:spacing w:val="-3"/>
          <w:sz w:val="24"/>
          <w:szCs w:val="24"/>
        </w:rPr>
      </w:pPr>
      <w:r w:rsidRPr="00DC5B07">
        <w:rPr>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r w:rsidR="003210A5">
        <w:rPr>
          <w:sz w:val="24"/>
          <w:szCs w:val="24"/>
        </w:rPr>
        <w:t xml:space="preserve"> </w:t>
      </w:r>
      <w:r w:rsidRPr="00DC5B07">
        <w:rPr>
          <w:sz w:val="24"/>
          <w:szCs w:val="24"/>
        </w:rPr>
        <w:t xml:space="preserve">Such service also shall be reasonably continuous and without unreasonable interruptions or delay.  </w:t>
      </w:r>
      <w:r>
        <w:rPr>
          <w:sz w:val="24"/>
          <w:szCs w:val="24"/>
        </w:rPr>
        <w:t>66 Pa. C. S. § 1501.</w:t>
      </w:r>
    </w:p>
    <w:p w:rsidR="00023869" w:rsidRPr="00023869" w:rsidRDefault="00023869" w:rsidP="00023869">
      <w:pPr>
        <w:pStyle w:val="ListParagraph"/>
        <w:rPr>
          <w:spacing w:val="-3"/>
          <w:sz w:val="24"/>
          <w:szCs w:val="24"/>
        </w:rPr>
      </w:pPr>
    </w:p>
    <w:p w:rsidR="00023869" w:rsidRDefault="00023869" w:rsidP="004F1E8E">
      <w:pPr>
        <w:pStyle w:val="ListParagraph"/>
        <w:numPr>
          <w:ilvl w:val="0"/>
          <w:numId w:val="19"/>
        </w:numPr>
        <w:tabs>
          <w:tab w:val="left" w:pos="2160"/>
        </w:tabs>
        <w:spacing w:line="360" w:lineRule="auto"/>
        <w:ind w:left="0" w:firstLine="1440"/>
        <w:rPr>
          <w:spacing w:val="-3"/>
          <w:sz w:val="24"/>
          <w:szCs w:val="24"/>
        </w:rPr>
      </w:pPr>
      <w:r>
        <w:rPr>
          <w:spacing w:val="-3"/>
          <w:sz w:val="24"/>
          <w:szCs w:val="24"/>
        </w:rPr>
        <w:t>The Complainant failed to meet his burden of proof regarding his GS1 rate.</w:t>
      </w:r>
    </w:p>
    <w:p w:rsidR="00023869" w:rsidRPr="00023869" w:rsidRDefault="00023869" w:rsidP="004F3FF0">
      <w:pPr>
        <w:pStyle w:val="ListParagraph"/>
        <w:spacing w:line="360" w:lineRule="auto"/>
        <w:rPr>
          <w:spacing w:val="-3"/>
          <w:sz w:val="24"/>
          <w:szCs w:val="24"/>
        </w:rPr>
      </w:pPr>
    </w:p>
    <w:p w:rsidR="00023869" w:rsidRPr="00DC5B07" w:rsidRDefault="00023869" w:rsidP="004F1E8E">
      <w:pPr>
        <w:pStyle w:val="ListParagraph"/>
        <w:numPr>
          <w:ilvl w:val="0"/>
          <w:numId w:val="19"/>
        </w:numPr>
        <w:tabs>
          <w:tab w:val="left" w:pos="2160"/>
        </w:tabs>
        <w:spacing w:line="360" w:lineRule="auto"/>
        <w:ind w:left="0" w:firstLine="1440"/>
        <w:rPr>
          <w:spacing w:val="-3"/>
          <w:sz w:val="24"/>
          <w:szCs w:val="24"/>
        </w:rPr>
      </w:pPr>
      <w:r>
        <w:rPr>
          <w:spacing w:val="-3"/>
          <w:sz w:val="24"/>
          <w:szCs w:val="24"/>
        </w:rPr>
        <w:t>The Complainant failed to meet his burden of proof regarding safe</w:t>
      </w:r>
      <w:r w:rsidR="00D25D0D">
        <w:rPr>
          <w:spacing w:val="-3"/>
          <w:sz w:val="24"/>
          <w:szCs w:val="24"/>
        </w:rPr>
        <w:t>,</w:t>
      </w:r>
      <w:r>
        <w:rPr>
          <w:spacing w:val="-3"/>
          <w:sz w:val="24"/>
          <w:szCs w:val="24"/>
        </w:rPr>
        <w:t xml:space="preserve"> adequate, efficient and reasonable service.  66 Pa. C.S. § 1501.</w:t>
      </w:r>
    </w:p>
    <w:p w:rsidR="00C419F9" w:rsidRDefault="00C419F9" w:rsidP="00DE2348">
      <w:pPr>
        <w:spacing w:line="360" w:lineRule="auto"/>
        <w:jc w:val="center"/>
        <w:rPr>
          <w:sz w:val="24"/>
          <w:szCs w:val="24"/>
          <w:u w:val="single"/>
        </w:rPr>
      </w:pPr>
    </w:p>
    <w:p w:rsidR="00E55BC4" w:rsidRDefault="00E55BC4" w:rsidP="00DE2348">
      <w:pPr>
        <w:spacing w:line="360" w:lineRule="auto"/>
        <w:jc w:val="center"/>
        <w:rPr>
          <w:sz w:val="24"/>
          <w:szCs w:val="24"/>
          <w:u w:val="single"/>
        </w:rPr>
      </w:pPr>
      <w:bookmarkStart w:id="0" w:name="_GoBack"/>
      <w:bookmarkEnd w:id="0"/>
    </w:p>
    <w:p w:rsidR="009649FC" w:rsidRPr="00B33A52" w:rsidRDefault="009649FC" w:rsidP="00C21F78">
      <w:pPr>
        <w:spacing w:line="360" w:lineRule="auto"/>
        <w:jc w:val="center"/>
        <w:rPr>
          <w:b/>
          <w:sz w:val="24"/>
          <w:szCs w:val="24"/>
          <w:u w:val="single"/>
        </w:rPr>
      </w:pPr>
      <w:r w:rsidRPr="00B33A52">
        <w:rPr>
          <w:b/>
          <w:sz w:val="24"/>
          <w:szCs w:val="24"/>
          <w:u w:val="single"/>
        </w:rPr>
        <w:t>ORDER</w:t>
      </w:r>
    </w:p>
    <w:p w:rsidR="006C1047" w:rsidRDefault="006C1047"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023869" w:rsidP="002D554B">
      <w:pPr>
        <w:numPr>
          <w:ilvl w:val="0"/>
          <w:numId w:val="15"/>
        </w:numPr>
        <w:tabs>
          <w:tab w:val="clear" w:pos="2160"/>
        </w:tabs>
        <w:spacing w:line="360" w:lineRule="auto"/>
        <w:ind w:left="0" w:firstLine="1440"/>
        <w:rPr>
          <w:sz w:val="24"/>
          <w:szCs w:val="24"/>
        </w:rPr>
      </w:pPr>
      <w:r>
        <w:rPr>
          <w:sz w:val="24"/>
          <w:szCs w:val="24"/>
        </w:rPr>
        <w:t>That the formal complaint of Mark Ca</w:t>
      </w:r>
      <w:r w:rsidR="003210A5">
        <w:rPr>
          <w:sz w:val="24"/>
          <w:szCs w:val="24"/>
        </w:rPr>
        <w:t>r</w:t>
      </w:r>
      <w:r>
        <w:rPr>
          <w:sz w:val="24"/>
          <w:szCs w:val="24"/>
        </w:rPr>
        <w:t>ter v</w:t>
      </w:r>
      <w:r w:rsidR="003210A5">
        <w:rPr>
          <w:sz w:val="24"/>
          <w:szCs w:val="24"/>
        </w:rPr>
        <w:t>.</w:t>
      </w:r>
      <w:r>
        <w:rPr>
          <w:sz w:val="24"/>
          <w:szCs w:val="24"/>
        </w:rPr>
        <w:t xml:space="preserve"> PPL Electric Utilities Corporation is dismissed for failure to meet the burden of proof.</w:t>
      </w:r>
    </w:p>
    <w:p w:rsidR="00023869" w:rsidRDefault="00023869" w:rsidP="00023869">
      <w:pPr>
        <w:spacing w:line="360" w:lineRule="auto"/>
        <w:ind w:left="1440"/>
        <w:rPr>
          <w:sz w:val="24"/>
          <w:szCs w:val="24"/>
        </w:rPr>
      </w:pPr>
    </w:p>
    <w:p w:rsidR="00023869" w:rsidRDefault="00023869" w:rsidP="002D554B">
      <w:pPr>
        <w:numPr>
          <w:ilvl w:val="0"/>
          <w:numId w:val="15"/>
        </w:numPr>
        <w:tabs>
          <w:tab w:val="clear" w:pos="2160"/>
        </w:tabs>
        <w:spacing w:line="360" w:lineRule="auto"/>
        <w:ind w:left="0" w:firstLine="1440"/>
        <w:rPr>
          <w:sz w:val="24"/>
          <w:szCs w:val="24"/>
        </w:rPr>
      </w:pPr>
      <w:r>
        <w:rPr>
          <w:sz w:val="24"/>
          <w:szCs w:val="24"/>
        </w:rPr>
        <w:t>That the Secretary’s Bureau mark Docket No. F-2011-2243376 closed.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8233D5">
        <w:rPr>
          <w:sz w:val="24"/>
          <w:szCs w:val="24"/>
          <w:u w:val="single"/>
        </w:rPr>
        <w:t>April 11, 2012</w:t>
      </w:r>
      <w:r w:rsidR="00A02D20">
        <w:rPr>
          <w:sz w:val="24"/>
          <w:szCs w:val="24"/>
          <w:u w:val="single"/>
        </w:rPr>
        <w:tab/>
      </w:r>
      <w:r w:rsidR="001F7F73">
        <w:rPr>
          <w:sz w:val="24"/>
          <w:szCs w:val="24"/>
        </w:rPr>
        <w:tab/>
      </w:r>
      <w:r w:rsidR="001F7F73">
        <w:rPr>
          <w:sz w:val="24"/>
          <w:szCs w:val="24"/>
        </w:rPr>
        <w:tab/>
      </w:r>
      <w:r w:rsidR="001F7F73">
        <w:rPr>
          <w:sz w:val="24"/>
          <w:szCs w:val="24"/>
        </w:rPr>
        <w:tab/>
      </w:r>
      <w:r w:rsidR="001F7F73">
        <w:rPr>
          <w:sz w:val="24"/>
          <w:szCs w:val="24"/>
        </w:rPr>
        <w:tab/>
        <w:t>_________________________________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Pr>
          <w:sz w:val="24"/>
          <w:szCs w:val="24"/>
        </w:rPr>
        <w:t>Ember S. Jandebeur</w:t>
      </w:r>
    </w:p>
    <w:p w:rsidR="006034D3" w:rsidRDefault="00DE562E" w:rsidP="001027AA">
      <w:pPr>
        <w:jc w:val="both"/>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Pr="00DE562E">
        <w:rPr>
          <w:sz w:val="24"/>
          <w:szCs w:val="24"/>
        </w:rPr>
        <w:t>Administrative Law Judge</w:t>
      </w:r>
    </w:p>
    <w:p w:rsidR="006034D3" w:rsidRDefault="006034D3" w:rsidP="00E62618">
      <w:pPr>
        <w:tabs>
          <w:tab w:val="center" w:pos="4752"/>
        </w:tabs>
        <w:suppressAutoHyphens/>
        <w:ind w:firstLine="1440"/>
        <w:jc w:val="center"/>
        <w:rPr>
          <w:kern w:val="1"/>
        </w:rPr>
      </w:pPr>
    </w:p>
    <w:p w:rsidR="002B19D4" w:rsidRPr="001027AA" w:rsidRDefault="002B19D4" w:rsidP="001027AA">
      <w:pPr>
        <w:jc w:val="both"/>
        <w:rPr>
          <w:sz w:val="24"/>
          <w:szCs w:val="24"/>
        </w:rPr>
      </w:pPr>
    </w:p>
    <w:sectPr w:rsidR="002B19D4" w:rsidRPr="001027AA" w:rsidSect="00E55BC4">
      <w:footerReference w:type="even" r:id="rId9"/>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DAB" w:rsidRDefault="001B4DAB">
      <w:r>
        <w:separator/>
      </w:r>
    </w:p>
  </w:endnote>
  <w:endnote w:type="continuationSeparator" w:id="0">
    <w:p w:rsidR="001B4DAB" w:rsidRDefault="001B4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Default="005D4D0C"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E7E" w:rsidRPr="007B7990" w:rsidRDefault="005D4D0C" w:rsidP="0028114B">
    <w:pPr>
      <w:pStyle w:val="Footer"/>
      <w:framePr w:wrap="around" w:vAnchor="text" w:hAnchor="margin" w:xAlign="center" w:y="1"/>
      <w:rPr>
        <w:rStyle w:val="PageNumber"/>
        <w:sz w:val="24"/>
        <w:szCs w:val="24"/>
      </w:rPr>
    </w:pPr>
    <w:r w:rsidRPr="007B7990">
      <w:rPr>
        <w:rStyle w:val="PageNumber"/>
        <w:sz w:val="24"/>
        <w:szCs w:val="24"/>
      </w:rPr>
      <w:fldChar w:fldCharType="begin"/>
    </w:r>
    <w:r w:rsidR="00223E7E" w:rsidRPr="007B7990">
      <w:rPr>
        <w:rStyle w:val="PageNumber"/>
        <w:sz w:val="24"/>
        <w:szCs w:val="24"/>
      </w:rPr>
      <w:instrText xml:space="preserve">PAGE  </w:instrText>
    </w:r>
    <w:r w:rsidRPr="007B7990">
      <w:rPr>
        <w:rStyle w:val="PageNumber"/>
        <w:sz w:val="24"/>
        <w:szCs w:val="24"/>
      </w:rPr>
      <w:fldChar w:fldCharType="separate"/>
    </w:r>
    <w:r w:rsidR="005E2CC0">
      <w:rPr>
        <w:rStyle w:val="PageNumber"/>
        <w:noProof/>
        <w:sz w:val="24"/>
        <w:szCs w:val="24"/>
      </w:rPr>
      <w:t>5</w:t>
    </w:r>
    <w:r w:rsidRPr="007B7990">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DAB" w:rsidRDefault="001B4DAB">
      <w:r>
        <w:separator/>
      </w:r>
    </w:p>
  </w:footnote>
  <w:footnote w:type="continuationSeparator" w:id="0">
    <w:p w:rsidR="001B4DAB" w:rsidRDefault="001B4DAB">
      <w:r>
        <w:continuationSeparator/>
      </w:r>
    </w:p>
  </w:footnote>
  <w:footnote w:id="1">
    <w:p w:rsidR="00300CCA" w:rsidRDefault="00300CCA">
      <w:pPr>
        <w:pStyle w:val="FootnoteText"/>
      </w:pPr>
      <w:r>
        <w:rPr>
          <w:rStyle w:val="FootnoteReference"/>
        </w:rPr>
        <w:footnoteRef/>
      </w:r>
      <w:r>
        <w:t xml:space="preserve"> The parties did have some settlement discussions</w:t>
      </w:r>
      <w:r w:rsidR="000C09B0">
        <w:t xml:space="preserve"> pertaining to the balance due</w:t>
      </w:r>
      <w:r>
        <w:t>.  Settlement discussions and offers typically do not come before an ALJ due to the potential to “chill” potential settlements.  Here, although some details of settlement discussions were placed before me, I choose to ignore them, finding that they were inappropriately placed before me.</w:t>
      </w:r>
    </w:p>
    <w:p w:rsidR="000E156C" w:rsidRDefault="000E156C">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3">
    <w:nsid w:val="49837935"/>
    <w:multiLevelType w:val="hybridMultilevel"/>
    <w:tmpl w:val="E156466E"/>
    <w:lvl w:ilvl="0" w:tplc="66B6ADE0">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7">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5"/>
  </w:num>
  <w:num w:numId="3">
    <w:abstractNumId w:val="12"/>
  </w:num>
  <w:num w:numId="4">
    <w:abstractNumId w:val="2"/>
  </w:num>
  <w:num w:numId="5">
    <w:abstractNumId w:val="9"/>
  </w:num>
  <w:num w:numId="6">
    <w:abstractNumId w:val="6"/>
  </w:num>
  <w:num w:numId="7">
    <w:abstractNumId w:val="4"/>
  </w:num>
  <w:num w:numId="8">
    <w:abstractNumId w:val="0"/>
  </w:num>
  <w:num w:numId="9">
    <w:abstractNumId w:val="10"/>
  </w:num>
  <w:num w:numId="10">
    <w:abstractNumId w:val="14"/>
  </w:num>
  <w:num w:numId="11">
    <w:abstractNumId w:val="11"/>
  </w:num>
  <w:num w:numId="12">
    <w:abstractNumId w:val="18"/>
  </w:num>
  <w:num w:numId="13">
    <w:abstractNumId w:val="1"/>
  </w:num>
  <w:num w:numId="14">
    <w:abstractNumId w:val="5"/>
  </w:num>
  <w:num w:numId="15">
    <w:abstractNumId w:val="16"/>
  </w:num>
  <w:num w:numId="16">
    <w:abstractNumId w:val="17"/>
  </w:num>
  <w:num w:numId="17">
    <w:abstractNumId w:val="7"/>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AC3"/>
    <w:rsid w:val="00020AB1"/>
    <w:rsid w:val="00022997"/>
    <w:rsid w:val="00022D67"/>
    <w:rsid w:val="00023869"/>
    <w:rsid w:val="0002512E"/>
    <w:rsid w:val="00031C80"/>
    <w:rsid w:val="00034A86"/>
    <w:rsid w:val="00035C05"/>
    <w:rsid w:val="00035E78"/>
    <w:rsid w:val="000376EF"/>
    <w:rsid w:val="00042626"/>
    <w:rsid w:val="00055A89"/>
    <w:rsid w:val="00064F92"/>
    <w:rsid w:val="0006610A"/>
    <w:rsid w:val="00070E25"/>
    <w:rsid w:val="0007126E"/>
    <w:rsid w:val="000728A4"/>
    <w:rsid w:val="000742E6"/>
    <w:rsid w:val="00075A22"/>
    <w:rsid w:val="00082976"/>
    <w:rsid w:val="00091672"/>
    <w:rsid w:val="00091CE2"/>
    <w:rsid w:val="000967DB"/>
    <w:rsid w:val="000A001F"/>
    <w:rsid w:val="000A1CB9"/>
    <w:rsid w:val="000A20A3"/>
    <w:rsid w:val="000B5F6A"/>
    <w:rsid w:val="000C09B0"/>
    <w:rsid w:val="000C6F32"/>
    <w:rsid w:val="000D2C01"/>
    <w:rsid w:val="000E0BD8"/>
    <w:rsid w:val="000E156C"/>
    <w:rsid w:val="000E277A"/>
    <w:rsid w:val="000E2934"/>
    <w:rsid w:val="000E6B17"/>
    <w:rsid w:val="000F0833"/>
    <w:rsid w:val="000F1894"/>
    <w:rsid w:val="000F1F62"/>
    <w:rsid w:val="000F2F0A"/>
    <w:rsid w:val="001027AA"/>
    <w:rsid w:val="00110C23"/>
    <w:rsid w:val="001122A9"/>
    <w:rsid w:val="001155B6"/>
    <w:rsid w:val="00116136"/>
    <w:rsid w:val="00125871"/>
    <w:rsid w:val="00126207"/>
    <w:rsid w:val="001312A6"/>
    <w:rsid w:val="00134E8D"/>
    <w:rsid w:val="00141DF5"/>
    <w:rsid w:val="00143C49"/>
    <w:rsid w:val="001454F5"/>
    <w:rsid w:val="00147DEE"/>
    <w:rsid w:val="00152C6B"/>
    <w:rsid w:val="0015646C"/>
    <w:rsid w:val="001620CA"/>
    <w:rsid w:val="00176F82"/>
    <w:rsid w:val="0018160C"/>
    <w:rsid w:val="00187B87"/>
    <w:rsid w:val="001930DE"/>
    <w:rsid w:val="00193B6C"/>
    <w:rsid w:val="001A4CC0"/>
    <w:rsid w:val="001A721E"/>
    <w:rsid w:val="001B123C"/>
    <w:rsid w:val="001B3235"/>
    <w:rsid w:val="001B4DAB"/>
    <w:rsid w:val="001C20B7"/>
    <w:rsid w:val="001C715B"/>
    <w:rsid w:val="001D3206"/>
    <w:rsid w:val="001D6FCF"/>
    <w:rsid w:val="001E4FAC"/>
    <w:rsid w:val="001F03C7"/>
    <w:rsid w:val="001F0787"/>
    <w:rsid w:val="001F08B4"/>
    <w:rsid w:val="001F2116"/>
    <w:rsid w:val="001F6FC1"/>
    <w:rsid w:val="001F7F73"/>
    <w:rsid w:val="0020095D"/>
    <w:rsid w:val="00215B11"/>
    <w:rsid w:val="00220C5E"/>
    <w:rsid w:val="00223E7E"/>
    <w:rsid w:val="00234619"/>
    <w:rsid w:val="0023520D"/>
    <w:rsid w:val="00235C44"/>
    <w:rsid w:val="00236FF7"/>
    <w:rsid w:val="002416AB"/>
    <w:rsid w:val="0024496F"/>
    <w:rsid w:val="00244D86"/>
    <w:rsid w:val="0025315D"/>
    <w:rsid w:val="0025370D"/>
    <w:rsid w:val="00260D19"/>
    <w:rsid w:val="002732DC"/>
    <w:rsid w:val="0028114B"/>
    <w:rsid w:val="0028185A"/>
    <w:rsid w:val="002859B4"/>
    <w:rsid w:val="00290918"/>
    <w:rsid w:val="002919C6"/>
    <w:rsid w:val="00293557"/>
    <w:rsid w:val="002959E3"/>
    <w:rsid w:val="002A7C1C"/>
    <w:rsid w:val="002B19D4"/>
    <w:rsid w:val="002B3489"/>
    <w:rsid w:val="002B4EAE"/>
    <w:rsid w:val="002C3FDE"/>
    <w:rsid w:val="002D13C5"/>
    <w:rsid w:val="002D554B"/>
    <w:rsid w:val="002F66F9"/>
    <w:rsid w:val="002F6BC1"/>
    <w:rsid w:val="00300A0A"/>
    <w:rsid w:val="00300CB7"/>
    <w:rsid w:val="00300CCA"/>
    <w:rsid w:val="00300F91"/>
    <w:rsid w:val="00301437"/>
    <w:rsid w:val="0030207C"/>
    <w:rsid w:val="003129F7"/>
    <w:rsid w:val="00312E1C"/>
    <w:rsid w:val="00317B5C"/>
    <w:rsid w:val="003210A5"/>
    <w:rsid w:val="00323AAE"/>
    <w:rsid w:val="00324F3E"/>
    <w:rsid w:val="0033043C"/>
    <w:rsid w:val="00331DCF"/>
    <w:rsid w:val="003331CC"/>
    <w:rsid w:val="0033647C"/>
    <w:rsid w:val="00337C53"/>
    <w:rsid w:val="00340AB8"/>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B3678"/>
    <w:rsid w:val="003B715B"/>
    <w:rsid w:val="003C050F"/>
    <w:rsid w:val="003C0716"/>
    <w:rsid w:val="003C7143"/>
    <w:rsid w:val="003D139F"/>
    <w:rsid w:val="003D15FA"/>
    <w:rsid w:val="003D7EC6"/>
    <w:rsid w:val="003E292B"/>
    <w:rsid w:val="003E594B"/>
    <w:rsid w:val="003F5796"/>
    <w:rsid w:val="003F69BF"/>
    <w:rsid w:val="00402359"/>
    <w:rsid w:val="004064A8"/>
    <w:rsid w:val="0042160A"/>
    <w:rsid w:val="00422E29"/>
    <w:rsid w:val="00424A76"/>
    <w:rsid w:val="00427E73"/>
    <w:rsid w:val="004312BE"/>
    <w:rsid w:val="00431BEF"/>
    <w:rsid w:val="00442854"/>
    <w:rsid w:val="00444951"/>
    <w:rsid w:val="00462553"/>
    <w:rsid w:val="0046339D"/>
    <w:rsid w:val="00472E76"/>
    <w:rsid w:val="00476C8A"/>
    <w:rsid w:val="00486535"/>
    <w:rsid w:val="00490174"/>
    <w:rsid w:val="004917C1"/>
    <w:rsid w:val="00491C99"/>
    <w:rsid w:val="0049324A"/>
    <w:rsid w:val="00495450"/>
    <w:rsid w:val="004A1805"/>
    <w:rsid w:val="004A5AD6"/>
    <w:rsid w:val="004C3EFA"/>
    <w:rsid w:val="004D1B54"/>
    <w:rsid w:val="004D3108"/>
    <w:rsid w:val="004D46FD"/>
    <w:rsid w:val="004E20CB"/>
    <w:rsid w:val="004E2912"/>
    <w:rsid w:val="004E533F"/>
    <w:rsid w:val="004F1E8E"/>
    <w:rsid w:val="004F2D3D"/>
    <w:rsid w:val="004F3FF0"/>
    <w:rsid w:val="005032B5"/>
    <w:rsid w:val="00515937"/>
    <w:rsid w:val="00517AD1"/>
    <w:rsid w:val="00523780"/>
    <w:rsid w:val="00526743"/>
    <w:rsid w:val="00530D1B"/>
    <w:rsid w:val="00531226"/>
    <w:rsid w:val="00531409"/>
    <w:rsid w:val="00535DF7"/>
    <w:rsid w:val="00542107"/>
    <w:rsid w:val="00553EEB"/>
    <w:rsid w:val="005576FA"/>
    <w:rsid w:val="00564C41"/>
    <w:rsid w:val="00582896"/>
    <w:rsid w:val="00584798"/>
    <w:rsid w:val="0059070D"/>
    <w:rsid w:val="00592C86"/>
    <w:rsid w:val="005979B1"/>
    <w:rsid w:val="005A33D0"/>
    <w:rsid w:val="005B250B"/>
    <w:rsid w:val="005B6749"/>
    <w:rsid w:val="005B7834"/>
    <w:rsid w:val="005C28EC"/>
    <w:rsid w:val="005D19C4"/>
    <w:rsid w:val="005D2DEE"/>
    <w:rsid w:val="005D4D0C"/>
    <w:rsid w:val="005E2068"/>
    <w:rsid w:val="005E2CC0"/>
    <w:rsid w:val="005E3007"/>
    <w:rsid w:val="005E4AB4"/>
    <w:rsid w:val="005E6321"/>
    <w:rsid w:val="005E6C27"/>
    <w:rsid w:val="005F17F5"/>
    <w:rsid w:val="005F38EC"/>
    <w:rsid w:val="005F3B50"/>
    <w:rsid w:val="005F452A"/>
    <w:rsid w:val="006034D3"/>
    <w:rsid w:val="0062087D"/>
    <w:rsid w:val="006215E0"/>
    <w:rsid w:val="006306EB"/>
    <w:rsid w:val="00634A5C"/>
    <w:rsid w:val="006352B9"/>
    <w:rsid w:val="00641596"/>
    <w:rsid w:val="0064329B"/>
    <w:rsid w:val="006441F5"/>
    <w:rsid w:val="00644E60"/>
    <w:rsid w:val="00645B55"/>
    <w:rsid w:val="00652C21"/>
    <w:rsid w:val="0066237B"/>
    <w:rsid w:val="006656FC"/>
    <w:rsid w:val="00675607"/>
    <w:rsid w:val="00675986"/>
    <w:rsid w:val="00695694"/>
    <w:rsid w:val="006A21C2"/>
    <w:rsid w:val="006A3B47"/>
    <w:rsid w:val="006A7A0A"/>
    <w:rsid w:val="006C1047"/>
    <w:rsid w:val="006C3226"/>
    <w:rsid w:val="006D4BB7"/>
    <w:rsid w:val="006D75BD"/>
    <w:rsid w:val="006E4407"/>
    <w:rsid w:val="006F44F9"/>
    <w:rsid w:val="00704FD4"/>
    <w:rsid w:val="007114E7"/>
    <w:rsid w:val="00713C7C"/>
    <w:rsid w:val="0071588F"/>
    <w:rsid w:val="00722B51"/>
    <w:rsid w:val="0073239A"/>
    <w:rsid w:val="0073727C"/>
    <w:rsid w:val="00744AF3"/>
    <w:rsid w:val="00747E56"/>
    <w:rsid w:val="00751672"/>
    <w:rsid w:val="0075510C"/>
    <w:rsid w:val="00775593"/>
    <w:rsid w:val="00782A08"/>
    <w:rsid w:val="00786153"/>
    <w:rsid w:val="00792C70"/>
    <w:rsid w:val="007965B0"/>
    <w:rsid w:val="007A49B5"/>
    <w:rsid w:val="007B1672"/>
    <w:rsid w:val="007B1D2D"/>
    <w:rsid w:val="007B46F9"/>
    <w:rsid w:val="007B6CFE"/>
    <w:rsid w:val="007B7990"/>
    <w:rsid w:val="007C74E3"/>
    <w:rsid w:val="007D3E3E"/>
    <w:rsid w:val="007D6063"/>
    <w:rsid w:val="007E09E5"/>
    <w:rsid w:val="007E31DB"/>
    <w:rsid w:val="007E7871"/>
    <w:rsid w:val="007F6DD6"/>
    <w:rsid w:val="00803141"/>
    <w:rsid w:val="0081070B"/>
    <w:rsid w:val="008142EB"/>
    <w:rsid w:val="0081669B"/>
    <w:rsid w:val="0081696C"/>
    <w:rsid w:val="008228F3"/>
    <w:rsid w:val="008233D5"/>
    <w:rsid w:val="00823F91"/>
    <w:rsid w:val="00824683"/>
    <w:rsid w:val="008354C5"/>
    <w:rsid w:val="0083553B"/>
    <w:rsid w:val="0083691D"/>
    <w:rsid w:val="00840FD3"/>
    <w:rsid w:val="00841779"/>
    <w:rsid w:val="008506A0"/>
    <w:rsid w:val="008508BC"/>
    <w:rsid w:val="00851A4F"/>
    <w:rsid w:val="00866264"/>
    <w:rsid w:val="008663C0"/>
    <w:rsid w:val="008746E1"/>
    <w:rsid w:val="008803F7"/>
    <w:rsid w:val="00881C76"/>
    <w:rsid w:val="0088763C"/>
    <w:rsid w:val="00893B0E"/>
    <w:rsid w:val="00893F0B"/>
    <w:rsid w:val="00894839"/>
    <w:rsid w:val="0089761B"/>
    <w:rsid w:val="008A60E2"/>
    <w:rsid w:val="008B1A8B"/>
    <w:rsid w:val="008B2246"/>
    <w:rsid w:val="008B282A"/>
    <w:rsid w:val="008B2B8B"/>
    <w:rsid w:val="008D6D09"/>
    <w:rsid w:val="008D761F"/>
    <w:rsid w:val="008E5A53"/>
    <w:rsid w:val="008F013A"/>
    <w:rsid w:val="008F22F9"/>
    <w:rsid w:val="008F554F"/>
    <w:rsid w:val="008F6AC3"/>
    <w:rsid w:val="009077E3"/>
    <w:rsid w:val="00910EF2"/>
    <w:rsid w:val="00913B17"/>
    <w:rsid w:val="009166DD"/>
    <w:rsid w:val="0091672D"/>
    <w:rsid w:val="009178E7"/>
    <w:rsid w:val="00922FE6"/>
    <w:rsid w:val="009342E4"/>
    <w:rsid w:val="0093595A"/>
    <w:rsid w:val="009445E9"/>
    <w:rsid w:val="009634B4"/>
    <w:rsid w:val="009643E3"/>
    <w:rsid w:val="009649FC"/>
    <w:rsid w:val="00965F82"/>
    <w:rsid w:val="0098237A"/>
    <w:rsid w:val="00982B8E"/>
    <w:rsid w:val="009830C8"/>
    <w:rsid w:val="00983B9A"/>
    <w:rsid w:val="009877CF"/>
    <w:rsid w:val="00987B98"/>
    <w:rsid w:val="0099023F"/>
    <w:rsid w:val="00995E0A"/>
    <w:rsid w:val="009B1C06"/>
    <w:rsid w:val="009C22D0"/>
    <w:rsid w:val="009D5A08"/>
    <w:rsid w:val="009E69A1"/>
    <w:rsid w:val="009F24FB"/>
    <w:rsid w:val="009F2CA4"/>
    <w:rsid w:val="009F4939"/>
    <w:rsid w:val="009F7BD8"/>
    <w:rsid w:val="00A022C7"/>
    <w:rsid w:val="00A02D20"/>
    <w:rsid w:val="00A03D65"/>
    <w:rsid w:val="00A0627A"/>
    <w:rsid w:val="00A22653"/>
    <w:rsid w:val="00A23BC5"/>
    <w:rsid w:val="00A24F45"/>
    <w:rsid w:val="00A345AE"/>
    <w:rsid w:val="00A3552F"/>
    <w:rsid w:val="00A409B8"/>
    <w:rsid w:val="00A4383B"/>
    <w:rsid w:val="00A475EE"/>
    <w:rsid w:val="00A523A9"/>
    <w:rsid w:val="00A52E9C"/>
    <w:rsid w:val="00A67786"/>
    <w:rsid w:val="00A67C1E"/>
    <w:rsid w:val="00A761ED"/>
    <w:rsid w:val="00A76B1D"/>
    <w:rsid w:val="00A86505"/>
    <w:rsid w:val="00A94854"/>
    <w:rsid w:val="00AA00A9"/>
    <w:rsid w:val="00AA0438"/>
    <w:rsid w:val="00AA1DE2"/>
    <w:rsid w:val="00AA6434"/>
    <w:rsid w:val="00AA7B5D"/>
    <w:rsid w:val="00AB1E89"/>
    <w:rsid w:val="00AB3A78"/>
    <w:rsid w:val="00AC4DB7"/>
    <w:rsid w:val="00AC7513"/>
    <w:rsid w:val="00AC7FED"/>
    <w:rsid w:val="00AD0497"/>
    <w:rsid w:val="00AD0503"/>
    <w:rsid w:val="00AD0929"/>
    <w:rsid w:val="00AD507E"/>
    <w:rsid w:val="00AE00BA"/>
    <w:rsid w:val="00AE3E93"/>
    <w:rsid w:val="00AE6C57"/>
    <w:rsid w:val="00AE6D1F"/>
    <w:rsid w:val="00AF2068"/>
    <w:rsid w:val="00AF7EAE"/>
    <w:rsid w:val="00B03092"/>
    <w:rsid w:val="00B0541E"/>
    <w:rsid w:val="00B13849"/>
    <w:rsid w:val="00B229BD"/>
    <w:rsid w:val="00B23067"/>
    <w:rsid w:val="00B2590D"/>
    <w:rsid w:val="00B32E66"/>
    <w:rsid w:val="00B33A52"/>
    <w:rsid w:val="00B34848"/>
    <w:rsid w:val="00B40E21"/>
    <w:rsid w:val="00B45676"/>
    <w:rsid w:val="00B45F71"/>
    <w:rsid w:val="00B5018B"/>
    <w:rsid w:val="00B625D9"/>
    <w:rsid w:val="00B665D7"/>
    <w:rsid w:val="00B67EFA"/>
    <w:rsid w:val="00B70860"/>
    <w:rsid w:val="00B71D02"/>
    <w:rsid w:val="00B75D55"/>
    <w:rsid w:val="00B922CF"/>
    <w:rsid w:val="00BA47D2"/>
    <w:rsid w:val="00BA61F7"/>
    <w:rsid w:val="00BB3104"/>
    <w:rsid w:val="00BB352A"/>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22C5"/>
    <w:rsid w:val="00C34D87"/>
    <w:rsid w:val="00C37F96"/>
    <w:rsid w:val="00C419F9"/>
    <w:rsid w:val="00C426F5"/>
    <w:rsid w:val="00C44A2E"/>
    <w:rsid w:val="00C45D4C"/>
    <w:rsid w:val="00C546D2"/>
    <w:rsid w:val="00C61510"/>
    <w:rsid w:val="00C61561"/>
    <w:rsid w:val="00C6634A"/>
    <w:rsid w:val="00C7068E"/>
    <w:rsid w:val="00C769EE"/>
    <w:rsid w:val="00C86201"/>
    <w:rsid w:val="00C908AD"/>
    <w:rsid w:val="00C920E5"/>
    <w:rsid w:val="00C94BB9"/>
    <w:rsid w:val="00CA1E0E"/>
    <w:rsid w:val="00CA5BA3"/>
    <w:rsid w:val="00CA66F5"/>
    <w:rsid w:val="00CA6EE4"/>
    <w:rsid w:val="00CB0D2B"/>
    <w:rsid w:val="00CB4F5E"/>
    <w:rsid w:val="00CC49DA"/>
    <w:rsid w:val="00CC5E96"/>
    <w:rsid w:val="00CD4A78"/>
    <w:rsid w:val="00CD6B6A"/>
    <w:rsid w:val="00CE43B4"/>
    <w:rsid w:val="00CE68C6"/>
    <w:rsid w:val="00CF3BB0"/>
    <w:rsid w:val="00CF7138"/>
    <w:rsid w:val="00D02084"/>
    <w:rsid w:val="00D050DE"/>
    <w:rsid w:val="00D077EC"/>
    <w:rsid w:val="00D13B06"/>
    <w:rsid w:val="00D1728D"/>
    <w:rsid w:val="00D21BFC"/>
    <w:rsid w:val="00D21D55"/>
    <w:rsid w:val="00D21EF9"/>
    <w:rsid w:val="00D22F4A"/>
    <w:rsid w:val="00D23330"/>
    <w:rsid w:val="00D25D0D"/>
    <w:rsid w:val="00D32326"/>
    <w:rsid w:val="00D34B76"/>
    <w:rsid w:val="00D35F74"/>
    <w:rsid w:val="00D4029A"/>
    <w:rsid w:val="00D416A5"/>
    <w:rsid w:val="00D50C56"/>
    <w:rsid w:val="00D5488B"/>
    <w:rsid w:val="00D55074"/>
    <w:rsid w:val="00D55AA4"/>
    <w:rsid w:val="00D6261D"/>
    <w:rsid w:val="00D6598A"/>
    <w:rsid w:val="00D65F4B"/>
    <w:rsid w:val="00D71653"/>
    <w:rsid w:val="00D72436"/>
    <w:rsid w:val="00D8063C"/>
    <w:rsid w:val="00D926F9"/>
    <w:rsid w:val="00D93182"/>
    <w:rsid w:val="00D961B5"/>
    <w:rsid w:val="00DA7FD6"/>
    <w:rsid w:val="00DB1328"/>
    <w:rsid w:val="00DB7EE0"/>
    <w:rsid w:val="00DC1968"/>
    <w:rsid w:val="00DC5B07"/>
    <w:rsid w:val="00DD3E7F"/>
    <w:rsid w:val="00DE0ECC"/>
    <w:rsid w:val="00DE2348"/>
    <w:rsid w:val="00DE3943"/>
    <w:rsid w:val="00DE562E"/>
    <w:rsid w:val="00DE77F8"/>
    <w:rsid w:val="00DF0138"/>
    <w:rsid w:val="00DF294A"/>
    <w:rsid w:val="00E00EAF"/>
    <w:rsid w:val="00E0236A"/>
    <w:rsid w:val="00E11739"/>
    <w:rsid w:val="00E12F72"/>
    <w:rsid w:val="00E15A2D"/>
    <w:rsid w:val="00E15B2B"/>
    <w:rsid w:val="00E231EC"/>
    <w:rsid w:val="00E267A5"/>
    <w:rsid w:val="00E35AC9"/>
    <w:rsid w:val="00E413A9"/>
    <w:rsid w:val="00E5003A"/>
    <w:rsid w:val="00E514FA"/>
    <w:rsid w:val="00E55BC4"/>
    <w:rsid w:val="00E56529"/>
    <w:rsid w:val="00E6135C"/>
    <w:rsid w:val="00E62618"/>
    <w:rsid w:val="00E66725"/>
    <w:rsid w:val="00E67591"/>
    <w:rsid w:val="00E67A2A"/>
    <w:rsid w:val="00E728B0"/>
    <w:rsid w:val="00E75758"/>
    <w:rsid w:val="00E75BC0"/>
    <w:rsid w:val="00E85ECC"/>
    <w:rsid w:val="00E869FD"/>
    <w:rsid w:val="00E9292D"/>
    <w:rsid w:val="00E9523D"/>
    <w:rsid w:val="00EA2B0E"/>
    <w:rsid w:val="00EA56F6"/>
    <w:rsid w:val="00EA77CE"/>
    <w:rsid w:val="00EB1DAB"/>
    <w:rsid w:val="00EB1EEE"/>
    <w:rsid w:val="00EC15BD"/>
    <w:rsid w:val="00EC38D5"/>
    <w:rsid w:val="00EC41CE"/>
    <w:rsid w:val="00EC477B"/>
    <w:rsid w:val="00ED0F47"/>
    <w:rsid w:val="00EE34BE"/>
    <w:rsid w:val="00EF4BEA"/>
    <w:rsid w:val="00EF6C7F"/>
    <w:rsid w:val="00F2180F"/>
    <w:rsid w:val="00F31732"/>
    <w:rsid w:val="00F31F04"/>
    <w:rsid w:val="00F327E2"/>
    <w:rsid w:val="00F34A38"/>
    <w:rsid w:val="00F375FF"/>
    <w:rsid w:val="00F37B2E"/>
    <w:rsid w:val="00F50C2B"/>
    <w:rsid w:val="00F52771"/>
    <w:rsid w:val="00F566E6"/>
    <w:rsid w:val="00F702DD"/>
    <w:rsid w:val="00F721A2"/>
    <w:rsid w:val="00F72B51"/>
    <w:rsid w:val="00F734B6"/>
    <w:rsid w:val="00F76C50"/>
    <w:rsid w:val="00F84427"/>
    <w:rsid w:val="00F85050"/>
    <w:rsid w:val="00F86303"/>
    <w:rsid w:val="00F90652"/>
    <w:rsid w:val="00F95BD7"/>
    <w:rsid w:val="00F96E93"/>
    <w:rsid w:val="00FA1741"/>
    <w:rsid w:val="00FA6242"/>
    <w:rsid w:val="00FA643C"/>
    <w:rsid w:val="00FA7894"/>
    <w:rsid w:val="00FC4DCA"/>
    <w:rsid w:val="00FC4DD1"/>
    <w:rsid w:val="00FD1DCC"/>
    <w:rsid w:val="00FD2E3D"/>
    <w:rsid w:val="00FE1CF0"/>
    <w:rsid w:val="00FE5CAF"/>
    <w:rsid w:val="00FE6157"/>
    <w:rsid w:val="00FE74BE"/>
    <w:rsid w:val="00FF0B73"/>
    <w:rsid w:val="00FF1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4625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4625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F52D3-9A66-4F89-8A93-E22835279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JANDEBEUR</dc:creator>
  <cp:lastModifiedBy>shoffner</cp:lastModifiedBy>
  <cp:revision>40</cp:revision>
  <cp:lastPrinted>2012-05-01T12:15:00Z</cp:lastPrinted>
  <dcterms:created xsi:type="dcterms:W3CDTF">2012-04-12T14:53:00Z</dcterms:created>
  <dcterms:modified xsi:type="dcterms:W3CDTF">2012-05-01T12:16:00Z</dcterms:modified>
</cp:coreProperties>
</file>