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tab/>
      </w: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p w:rsidR="004B26E2" w:rsidRDefault="004B26E2" w:rsidP="004B26E2"/>
    <w:p w:rsidR="002F1B3F" w:rsidRDefault="002F1B3F" w:rsidP="002F1B3F">
      <w:r>
        <w:t>Wallace &amp; Janet Martin</w:t>
      </w:r>
      <w:r>
        <w:tab/>
      </w:r>
      <w:r>
        <w:tab/>
      </w:r>
      <w:r>
        <w:tab/>
      </w:r>
      <w:r>
        <w:tab/>
        <w:t>:</w:t>
      </w:r>
      <w:r>
        <w:tab/>
      </w:r>
    </w:p>
    <w:p w:rsidR="002F1B3F" w:rsidRDefault="002F1B3F" w:rsidP="002F1B3F">
      <w:r>
        <w:tab/>
      </w:r>
      <w:r>
        <w:tab/>
      </w:r>
      <w:r>
        <w:tab/>
      </w:r>
      <w:r>
        <w:tab/>
      </w:r>
      <w:r>
        <w:tab/>
      </w:r>
      <w:r>
        <w:tab/>
      </w:r>
      <w:r>
        <w:tab/>
        <w:t>:</w:t>
      </w:r>
    </w:p>
    <w:p w:rsidR="002F1B3F" w:rsidRDefault="002F1B3F" w:rsidP="002F1B3F">
      <w:pPr>
        <w:numPr>
          <w:ilvl w:val="0"/>
          <w:numId w:val="3"/>
        </w:numPr>
        <w:ind w:left="5040" w:hanging="4320"/>
      </w:pPr>
      <w:r>
        <w:t>:</w:t>
      </w:r>
      <w:r>
        <w:tab/>
      </w:r>
      <w:r>
        <w:tab/>
        <w:t>F-2010-2214227</w:t>
      </w:r>
    </w:p>
    <w:p w:rsidR="002F1B3F" w:rsidRDefault="002F1B3F" w:rsidP="002F1B3F">
      <w:pPr>
        <w:ind w:left="5040"/>
      </w:pPr>
      <w:r>
        <w:t>:</w:t>
      </w:r>
    </w:p>
    <w:p w:rsidR="002F1B3F" w:rsidRDefault="002F1B3F" w:rsidP="002F1B3F">
      <w:r>
        <w:t>Duquesne Light Company</w:t>
      </w:r>
      <w:r>
        <w:tab/>
      </w:r>
      <w:r>
        <w:tab/>
        <w:t xml:space="preserve"> </w:t>
      </w:r>
      <w:r>
        <w:tab/>
      </w:r>
      <w:r>
        <w:tab/>
        <w:t>:</w:t>
      </w:r>
    </w:p>
    <w:p w:rsidR="002E581E" w:rsidRDefault="002E581E" w:rsidP="002E581E">
      <w:pPr>
        <w:tabs>
          <w:tab w:val="left" w:pos="540"/>
          <w:tab w:val="left" w:pos="6480"/>
        </w:tabs>
      </w:pPr>
    </w:p>
    <w:p w:rsidR="004B26E2" w:rsidRDefault="004B26E2" w:rsidP="004B26E2">
      <w:pPr>
        <w:spacing w:line="360" w:lineRule="auto"/>
      </w:pPr>
    </w:p>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083D39" w:rsidRPr="00B36797" w:rsidRDefault="00061AA0" w:rsidP="00E85D5D">
      <w:pPr>
        <w:spacing w:line="360" w:lineRule="auto"/>
        <w:ind w:firstLine="1440"/>
        <w:jc w:val="both"/>
        <w:rPr>
          <w:b/>
        </w:rPr>
      </w:pPr>
      <w:r w:rsidRPr="00103290">
        <w:t>This is to advise all parties of record that the</w:t>
      </w:r>
      <w:r>
        <w:t xml:space="preserve"> </w:t>
      </w:r>
      <w:r w:rsidR="00FE25B2">
        <w:t xml:space="preserve">Initial </w:t>
      </w:r>
      <w:r w:rsidRPr="00103290">
        <w:t xml:space="preserve">Decision </w:t>
      </w:r>
      <w:r w:rsidR="00177A1C">
        <w:t xml:space="preserve">of ALJ </w:t>
      </w:r>
      <w:r w:rsidR="00FE25B2">
        <w:t>Mark A. Hoyer</w:t>
      </w:r>
      <w:r w:rsidR="00177A1C">
        <w:t xml:space="preserve"> </w:t>
      </w:r>
      <w:r w:rsidRPr="00103290">
        <w:t xml:space="preserve">issued on </w:t>
      </w:r>
      <w:r w:rsidR="00FE25B2">
        <w:t>March 5</w:t>
      </w:r>
      <w:r w:rsidR="00177A1C">
        <w:t>, 201</w:t>
      </w:r>
      <w:r w:rsidR="00FE25B2">
        <w:t>2</w:t>
      </w:r>
      <w:r w:rsidR="00177A1C">
        <w:t xml:space="preserve">, </w:t>
      </w:r>
      <w:r w:rsidRPr="00103290">
        <w:t>in the above-captioned proceeding</w:t>
      </w:r>
      <w:r w:rsidR="004A0629">
        <w:t>,</w:t>
      </w:r>
      <w:r w:rsidRPr="00103290">
        <w:t xml:space="preserve"> </w:t>
      </w:r>
      <w:r w:rsidR="004A0629" w:rsidRPr="00103290">
        <w:t xml:space="preserve">contains </w:t>
      </w:r>
      <w:r w:rsidR="002A2F73">
        <w:t>a recurring n</w:t>
      </w:r>
      <w:r w:rsidR="00FE25B2">
        <w:t xml:space="preserve">on-substantive error. </w:t>
      </w:r>
      <w:r w:rsidR="00A253F8">
        <w:t xml:space="preserve">  </w:t>
      </w:r>
      <w:r w:rsidR="00000C1B">
        <w:t xml:space="preserve">On page 4, Finding of Fact No. </w:t>
      </w:r>
      <w:r w:rsidR="00FE25B2">
        <w:t>9, the phrase “On that date”</w:t>
      </w:r>
      <w:r w:rsidR="002A2F73">
        <w:t xml:space="preserve"> should</w:t>
      </w:r>
      <w:r w:rsidR="00FE25B2">
        <w:t xml:space="preserve"> be deleted. The same language on page 7, paragraph 1, line 4, “On that date” should be deleted.  </w:t>
      </w:r>
    </w:p>
    <w:p w:rsidR="002A2F73" w:rsidRDefault="002A2F73" w:rsidP="00F10516">
      <w:pPr>
        <w:spacing w:line="360" w:lineRule="auto"/>
        <w:ind w:firstLine="1440"/>
        <w:jc w:val="both"/>
      </w:pPr>
    </w:p>
    <w:p w:rsidR="00F10516" w:rsidRPr="00103290" w:rsidRDefault="00F10516" w:rsidP="00F10516">
      <w:pPr>
        <w:spacing w:line="360" w:lineRule="auto"/>
        <w:ind w:firstLine="1440"/>
        <w:jc w:val="both"/>
        <w:rPr>
          <w:sz w:val="22"/>
          <w:szCs w:val="22"/>
        </w:rPr>
      </w:pPr>
      <w:r>
        <w:t xml:space="preserve">This correction will not affect the </w:t>
      </w:r>
      <w:r w:rsidR="00000C1B">
        <w:t>E</w:t>
      </w:r>
      <w:r>
        <w:t>xception</w:t>
      </w:r>
      <w:r w:rsidR="00000C1B">
        <w:t>/Reply Exception</w:t>
      </w:r>
      <w:r>
        <w:t xml:space="preserve"> period established by the Commission’s Service Letter. </w:t>
      </w:r>
      <w:r w:rsidRPr="00103290">
        <w:t xml:space="preserve">  </w:t>
      </w:r>
    </w:p>
    <w:p w:rsidR="00F10516" w:rsidRDefault="00F10516" w:rsidP="00E85D5D">
      <w:pPr>
        <w:spacing w:line="360" w:lineRule="auto"/>
        <w:ind w:firstLine="1440"/>
        <w:jc w:val="both"/>
      </w:pPr>
    </w:p>
    <w:p w:rsidR="00061AA0" w:rsidRDefault="00061AA0" w:rsidP="00E85D5D">
      <w:pPr>
        <w:spacing w:line="360" w:lineRule="auto"/>
        <w:ind w:firstLine="1440"/>
        <w:jc w:val="both"/>
      </w:pPr>
      <w:r w:rsidRPr="00103290">
        <w:t xml:space="preserve">The </w:t>
      </w:r>
      <w:r w:rsidR="00FE25B2">
        <w:t>Initial</w:t>
      </w:r>
      <w:r>
        <w:t xml:space="preserve"> </w:t>
      </w:r>
      <w:r w:rsidRPr="00103290">
        <w:t xml:space="preserve">Decision on the PA PUC website will be corrected as indicated above. </w:t>
      </w:r>
      <w:r w:rsidR="00000C1B" w:rsidRPr="00000C1B">
        <w:t>Please correct your copy of the Initial Decision</w:t>
      </w:r>
      <w:r w:rsidR="00000C1B">
        <w:t>.</w:t>
      </w:r>
    </w:p>
    <w:p w:rsidR="0099589D" w:rsidRDefault="0099589D" w:rsidP="00E85D5D">
      <w:pPr>
        <w:spacing w:line="360" w:lineRule="auto"/>
        <w:ind w:firstLine="1440"/>
        <w:jc w:val="both"/>
      </w:pPr>
    </w:p>
    <w:p w:rsidR="00FE25B2" w:rsidRDefault="0099589D" w:rsidP="00FE25B2">
      <w:pPr>
        <w:spacing w:line="360" w:lineRule="auto"/>
        <w:ind w:firstLine="1440"/>
      </w:pPr>
      <w:r>
        <w:br w:type="page"/>
      </w:r>
      <w:r w:rsidR="00FE25B2">
        <w:lastRenderedPageBreak/>
        <w:t xml:space="preserve">The telephone number Duquesne Light had listed for Complainants’ account was incorrect.  Duquesne Light’s records listed 412-731-5155 as the telephone number for contacting the Martin’s.  The correct telephone number is 412-731-5115 (Tr. 33, 43; Resp. Ex. 4).    </w:t>
      </w:r>
    </w:p>
    <w:p w:rsidR="00FE25B2" w:rsidRDefault="00FE25B2" w:rsidP="00FE25B2">
      <w:pPr>
        <w:spacing w:line="360" w:lineRule="auto"/>
      </w:pPr>
    </w:p>
    <w:p w:rsidR="00FE25B2" w:rsidRDefault="00FE25B2" w:rsidP="00FE25B2">
      <w:pPr>
        <w:spacing w:line="360" w:lineRule="auto"/>
      </w:pPr>
      <w:r>
        <w:tab/>
      </w:r>
      <w:r>
        <w:tab/>
        <w:t>9.</w:t>
      </w:r>
      <w:r>
        <w:tab/>
        <w:t xml:space="preserve">On October 11, 2010, the balance owed on Complainants’ Duquesne Light account was $173.79.  A payment was made in the amount of $173.39.  A balance of 40 cents remained due on the account after the payment was applied (Tr. 22-23; Resp. Ex. 1).    </w:t>
      </w:r>
    </w:p>
    <w:p w:rsidR="00FE25B2" w:rsidRDefault="00FE25B2" w:rsidP="00FE25B2">
      <w:pPr>
        <w:spacing w:line="360" w:lineRule="auto"/>
      </w:pPr>
    </w:p>
    <w:p w:rsidR="00FE25B2" w:rsidRDefault="00FE25B2" w:rsidP="00FE25B2">
      <w:pPr>
        <w:spacing w:line="360" w:lineRule="auto"/>
      </w:pPr>
      <w:r>
        <w:tab/>
      </w:r>
      <w:r>
        <w:tab/>
        <w:t>10.</w:t>
      </w:r>
      <w:r>
        <w:tab/>
        <w:t xml:space="preserve">Duquesne Light mailed a 10-day notice of termination to Complainants on October 20, 2010, after the Commission’s Bureau of Consumer Services had dismissed Complainants’ informal complaint on October 14, 2010 (Tr. 47).  </w:t>
      </w:r>
    </w:p>
    <w:p w:rsidR="00FE25B2" w:rsidRDefault="00FE25B2" w:rsidP="00FE25B2">
      <w:pPr>
        <w:spacing w:line="360" w:lineRule="auto"/>
      </w:pPr>
      <w:r>
        <w:t xml:space="preserve"> </w:t>
      </w:r>
    </w:p>
    <w:p w:rsidR="00FE25B2" w:rsidRDefault="00FE25B2" w:rsidP="00FE25B2">
      <w:pPr>
        <w:spacing w:line="360" w:lineRule="auto"/>
        <w:jc w:val="center"/>
      </w:pPr>
      <w:r w:rsidRPr="004B1CE0">
        <w:rPr>
          <w:u w:val="single"/>
        </w:rPr>
        <w:t>DISCUSSION</w:t>
      </w:r>
    </w:p>
    <w:p w:rsidR="00FE25B2" w:rsidRDefault="00FE25B2" w:rsidP="00FE25B2">
      <w:pPr>
        <w:spacing w:line="360" w:lineRule="auto"/>
      </w:pPr>
    </w:p>
    <w:p w:rsidR="00FE25B2" w:rsidRDefault="00FE25B2" w:rsidP="00FE25B2">
      <w:pPr>
        <w:spacing w:line="360" w:lineRule="auto"/>
      </w:pPr>
      <w:r>
        <w:rPr>
          <w:u w:val="single"/>
        </w:rPr>
        <w:t>Monetary Damages</w:t>
      </w:r>
    </w:p>
    <w:p w:rsidR="00FE25B2" w:rsidRDefault="00FE25B2" w:rsidP="00FE25B2">
      <w:pPr>
        <w:spacing w:line="360" w:lineRule="auto"/>
      </w:pPr>
    </w:p>
    <w:p w:rsidR="00FE25B2" w:rsidRDefault="00FE25B2" w:rsidP="00FE25B2">
      <w:pPr>
        <w:spacing w:line="360" w:lineRule="auto"/>
        <w:ind w:firstLine="1440"/>
      </w:pPr>
      <w:r>
        <w:t xml:space="preserve">The Commission has the powers, and can consider such matters as are expressly, or by necessary implication, given to it by the legislature.  It has no other powers.  The Public Utility Code, 66 Pa. C.S. §101 </w:t>
      </w:r>
      <w:r w:rsidRPr="00850377">
        <w:rPr>
          <w:i/>
        </w:rPr>
        <w:t>et seq</w:t>
      </w:r>
      <w:r>
        <w:t xml:space="preserve">. does not give the Commission jurisdiction over claims for damages.  </w:t>
      </w:r>
      <w:proofErr w:type="spellStart"/>
      <w:proofErr w:type="gramStart"/>
      <w:r>
        <w:rPr>
          <w:u w:val="single"/>
        </w:rPr>
        <w:t>Behrend</w:t>
      </w:r>
      <w:proofErr w:type="spellEnd"/>
      <w:r>
        <w:rPr>
          <w:u w:val="single"/>
        </w:rPr>
        <w:t xml:space="preserve"> v. Bell Telephone Co.</w:t>
      </w:r>
      <w:r>
        <w:t>, 242 Pa Superior Ct. 47, 363 A.2d 1152 (1976).</w:t>
      </w:r>
      <w:proofErr w:type="gramEnd"/>
      <w:r>
        <w:t xml:space="preserve">  The courts of Common Pleas retain original jurisdiction over suits for damages.  </w:t>
      </w:r>
      <w:proofErr w:type="spellStart"/>
      <w:proofErr w:type="gramStart"/>
      <w:r>
        <w:rPr>
          <w:u w:val="single"/>
        </w:rPr>
        <w:t>Behrend</w:t>
      </w:r>
      <w:proofErr w:type="spellEnd"/>
      <w:r>
        <w:rPr>
          <w:u w:val="single"/>
        </w:rPr>
        <w:t xml:space="preserve"> v. Bell Telephone Co.</w:t>
      </w:r>
      <w:r>
        <w:t>, 242 Pa Superior Ct. 47, 363 A.2d 1152 (1976).</w:t>
      </w:r>
      <w:proofErr w:type="gramEnd"/>
    </w:p>
    <w:p w:rsidR="00FE25B2" w:rsidRDefault="00FE25B2" w:rsidP="00FE25B2">
      <w:pPr>
        <w:spacing w:line="360" w:lineRule="auto"/>
        <w:ind w:firstLine="1440"/>
        <w:jc w:val="both"/>
      </w:pPr>
    </w:p>
    <w:p w:rsidR="00FE25B2" w:rsidRDefault="00FE25B2" w:rsidP="00FE25B2">
      <w:pPr>
        <w:spacing w:line="360" w:lineRule="auto"/>
        <w:ind w:firstLine="1440"/>
      </w:pPr>
      <w:r>
        <w:t xml:space="preserve">In this proceeding, the Commission does not have the requisite jurisdiction for awarding Complainants monetary damages.  The Commission cannot consider Complainants’ claim for reimbursement of the $75.00 sum paid Money Gram to investigate the five money orders allegedly sent to Duquesne Light.  Therefore, Complainants’ claim for reimbursement is dismissed for lack of jurisdiction.  </w:t>
      </w:r>
    </w:p>
    <w:p w:rsidR="00FE25B2" w:rsidRDefault="00FE25B2" w:rsidP="00FE25B2">
      <w:pPr>
        <w:spacing w:line="360" w:lineRule="auto"/>
        <w:jc w:val="both"/>
      </w:pPr>
    </w:p>
    <w:p w:rsidR="00FE25B2" w:rsidRDefault="00FE25B2">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2781300</wp:posOffset>
                </wp:positionH>
                <wp:positionV relativeFrom="paragraph">
                  <wp:posOffset>590550</wp:posOffset>
                </wp:positionV>
                <wp:extent cx="28575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solidFill>
                        <a:ln w="9525">
                          <a:noFill/>
                          <a:miter lim="800000"/>
                          <a:headEnd/>
                          <a:tailEnd/>
                        </a:ln>
                      </wps:spPr>
                      <wps:txbx>
                        <w:txbxContent>
                          <w:p w:rsidR="00FE25B2" w:rsidRDefault="00FE25B2" w:rsidP="00FE25B2">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pt;margin-top:46.5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" stroked="f">
                <v:textbox>
                  <w:txbxContent>
                    <w:p w:rsidR="00FE25B2" w:rsidRDefault="00FE25B2" w:rsidP="00FE25B2">
                      <w:pPr>
                        <w:jc w:val="center"/>
                      </w:pPr>
                      <w:r>
                        <w:t>4</w:t>
                      </w:r>
                    </w:p>
                  </w:txbxContent>
                </v:textbox>
              </v:shape>
            </w:pict>
          </mc:Fallback>
        </mc:AlternateContent>
      </w:r>
      <w:r>
        <w:br w:type="page"/>
      </w:r>
    </w:p>
    <w:p w:rsidR="00FE25B2" w:rsidRDefault="00FE25B2" w:rsidP="00FE25B2">
      <w:pPr>
        <w:pStyle w:val="BodyText"/>
        <w:jc w:val="left"/>
        <w:rPr>
          <w:sz w:val="24"/>
          <w:szCs w:val="24"/>
        </w:rPr>
      </w:pPr>
      <w:proofErr w:type="gramStart"/>
      <w:r>
        <w:rPr>
          <w:sz w:val="24"/>
          <w:szCs w:val="24"/>
        </w:rPr>
        <w:lastRenderedPageBreak/>
        <w:t>that</w:t>
      </w:r>
      <w:proofErr w:type="gramEnd"/>
      <w:r>
        <w:rPr>
          <w:sz w:val="24"/>
          <w:szCs w:val="24"/>
        </w:rPr>
        <w:t xml:space="preserve"> Duquesne Light violated the Public Utility Code, Commission regulations or any order </w:t>
      </w:r>
      <w:r w:rsidR="00AF47D8">
        <w:rPr>
          <w:sz w:val="24"/>
          <w:szCs w:val="24"/>
        </w:rPr>
        <w:t xml:space="preserve">  </w:t>
      </w:r>
      <w:bookmarkStart w:id="0" w:name="_GoBack"/>
      <w:bookmarkEnd w:id="0"/>
      <w:r>
        <w:rPr>
          <w:sz w:val="24"/>
          <w:szCs w:val="24"/>
        </w:rPr>
        <w:t>issued by the Commission.</w:t>
      </w:r>
    </w:p>
    <w:p w:rsidR="00FE25B2" w:rsidRDefault="00FE25B2" w:rsidP="00FE25B2">
      <w:pPr>
        <w:pStyle w:val="BodyText"/>
        <w:jc w:val="left"/>
        <w:rPr>
          <w:sz w:val="24"/>
          <w:szCs w:val="24"/>
        </w:rPr>
      </w:pPr>
    </w:p>
    <w:p w:rsidR="00FE25B2" w:rsidRDefault="00FE25B2" w:rsidP="00FE25B2">
      <w:pPr>
        <w:pStyle w:val="BodyText"/>
        <w:jc w:val="left"/>
        <w:rPr>
          <w:sz w:val="24"/>
          <w:szCs w:val="24"/>
        </w:rPr>
      </w:pPr>
      <w:r>
        <w:rPr>
          <w:sz w:val="24"/>
          <w:szCs w:val="24"/>
          <w:u w:val="single"/>
        </w:rPr>
        <w:t>Late Charge</w:t>
      </w:r>
    </w:p>
    <w:p w:rsidR="00FE25B2" w:rsidRDefault="00FE25B2" w:rsidP="00FE25B2">
      <w:pPr>
        <w:pStyle w:val="BodyText"/>
        <w:jc w:val="left"/>
        <w:rPr>
          <w:sz w:val="24"/>
          <w:szCs w:val="24"/>
        </w:rPr>
      </w:pPr>
    </w:p>
    <w:p w:rsidR="00FE25B2" w:rsidRDefault="00FE25B2" w:rsidP="00FE25B2">
      <w:pPr>
        <w:pStyle w:val="BodyText"/>
        <w:jc w:val="left"/>
        <w:rPr>
          <w:sz w:val="24"/>
          <w:szCs w:val="24"/>
        </w:rPr>
      </w:pPr>
      <w:r>
        <w:rPr>
          <w:sz w:val="24"/>
          <w:szCs w:val="24"/>
        </w:rPr>
        <w:tab/>
      </w:r>
      <w:r>
        <w:rPr>
          <w:sz w:val="24"/>
          <w:szCs w:val="24"/>
        </w:rPr>
        <w:tab/>
      </w:r>
      <w:r w:rsidRPr="00CF3C02">
        <w:rPr>
          <w:sz w:val="24"/>
          <w:szCs w:val="24"/>
        </w:rPr>
        <w:t xml:space="preserve">Complainants claim that there is an improper late charge </w:t>
      </w:r>
      <w:r>
        <w:rPr>
          <w:sz w:val="24"/>
          <w:szCs w:val="24"/>
        </w:rPr>
        <w:t>i</w:t>
      </w:r>
      <w:r w:rsidRPr="00CF3C02">
        <w:rPr>
          <w:sz w:val="24"/>
          <w:szCs w:val="24"/>
        </w:rPr>
        <w:t>n the amount of 40</w:t>
      </w:r>
      <w:r>
        <w:rPr>
          <w:sz w:val="24"/>
          <w:szCs w:val="24"/>
        </w:rPr>
        <w:t> </w:t>
      </w:r>
      <w:r w:rsidRPr="00CF3C02">
        <w:rPr>
          <w:sz w:val="24"/>
          <w:szCs w:val="24"/>
        </w:rPr>
        <w:t xml:space="preserve">cents on their account for service.  This claim is contrary to facts established at hearing.  On </w:t>
      </w:r>
      <w:r w:rsidR="00BA554A">
        <w:rPr>
          <w:sz w:val="24"/>
          <w:szCs w:val="24"/>
        </w:rPr>
        <w:t xml:space="preserve">       </w:t>
      </w:r>
      <w:r w:rsidRPr="00CF3C02">
        <w:rPr>
          <w:sz w:val="24"/>
          <w:szCs w:val="24"/>
        </w:rPr>
        <w:t xml:space="preserve">October 11, 2010, the balance owed on Complainants’ Duquesne Light account was $173.79.  </w:t>
      </w:r>
      <w:r>
        <w:rPr>
          <w:sz w:val="24"/>
          <w:szCs w:val="24"/>
        </w:rPr>
        <w:t>A</w:t>
      </w:r>
      <w:r w:rsidRPr="00CF3C02">
        <w:rPr>
          <w:sz w:val="24"/>
          <w:szCs w:val="24"/>
        </w:rPr>
        <w:t xml:space="preserve"> payment was made in the amount of $173.39.  A balance of 40 cents remained due on the account after the payment was applied</w:t>
      </w:r>
      <w:r>
        <w:rPr>
          <w:sz w:val="24"/>
          <w:szCs w:val="24"/>
        </w:rPr>
        <w:t xml:space="preserve">.  </w:t>
      </w:r>
      <w:proofErr w:type="gramStart"/>
      <w:r w:rsidRPr="00CF3C02">
        <w:rPr>
          <w:sz w:val="24"/>
          <w:szCs w:val="24"/>
        </w:rPr>
        <w:t>Tr. 22-23; Resp. Ex. 1</w:t>
      </w:r>
      <w:r>
        <w:rPr>
          <w:sz w:val="24"/>
          <w:szCs w:val="24"/>
        </w:rPr>
        <w:t>.</w:t>
      </w:r>
      <w:proofErr w:type="gramEnd"/>
      <w:r w:rsidRPr="00CF3C02">
        <w:rPr>
          <w:sz w:val="24"/>
          <w:szCs w:val="24"/>
        </w:rPr>
        <w:t xml:space="preserve"> </w:t>
      </w:r>
      <w:r>
        <w:rPr>
          <w:sz w:val="24"/>
          <w:szCs w:val="24"/>
        </w:rPr>
        <w:t xml:space="preserve"> This 40 cent balance is not a late charge.  It is the remaining balance after the October 11, 2010 payment was subtracted from the </w:t>
      </w:r>
      <w:r w:rsidR="00BA554A">
        <w:rPr>
          <w:sz w:val="24"/>
          <w:szCs w:val="24"/>
        </w:rPr>
        <w:t xml:space="preserve">      </w:t>
      </w:r>
      <w:r>
        <w:rPr>
          <w:sz w:val="24"/>
          <w:szCs w:val="24"/>
        </w:rPr>
        <w:t xml:space="preserve">account balance.  </w:t>
      </w:r>
    </w:p>
    <w:p w:rsidR="00FE25B2" w:rsidRDefault="00FE25B2" w:rsidP="00FE25B2">
      <w:pPr>
        <w:pStyle w:val="BodyText"/>
        <w:jc w:val="left"/>
        <w:rPr>
          <w:sz w:val="24"/>
          <w:szCs w:val="24"/>
        </w:rPr>
      </w:pPr>
    </w:p>
    <w:p w:rsidR="00FE25B2" w:rsidRDefault="00FE25B2" w:rsidP="00FE25B2">
      <w:pPr>
        <w:pStyle w:val="BodyText"/>
        <w:jc w:val="left"/>
      </w:pPr>
      <w:r>
        <w:rPr>
          <w:sz w:val="24"/>
          <w:szCs w:val="24"/>
        </w:rPr>
        <w:tab/>
      </w:r>
      <w:r>
        <w:rPr>
          <w:sz w:val="24"/>
          <w:szCs w:val="24"/>
        </w:rPr>
        <w:tab/>
        <w:t xml:space="preserve">Accordingly, Complainants’ claim that there is an improper late charge on their account for electric service is dismissed in the ordering paragraphs to follow.  </w:t>
      </w:r>
      <w:r>
        <w:t xml:space="preserve">  </w:t>
      </w:r>
    </w:p>
    <w:p w:rsidR="00FE25B2" w:rsidRPr="006D69C9" w:rsidRDefault="00FE25B2" w:rsidP="00FE25B2">
      <w:pPr>
        <w:spacing w:line="360" w:lineRule="auto"/>
        <w:jc w:val="both"/>
      </w:pPr>
      <w:r w:rsidRPr="004B1CE0">
        <w:tab/>
      </w:r>
      <w:r>
        <w:t xml:space="preserve">   </w:t>
      </w:r>
      <w:r>
        <w:tab/>
        <w:t xml:space="preserve">      </w:t>
      </w:r>
      <w:r w:rsidRPr="006D69C9">
        <w:t xml:space="preserve">   </w:t>
      </w:r>
    </w:p>
    <w:p w:rsidR="00FE25B2" w:rsidRDefault="00FE25B2" w:rsidP="00FE25B2">
      <w:pPr>
        <w:spacing w:line="360" w:lineRule="auto"/>
        <w:jc w:val="center"/>
        <w:rPr>
          <w:u w:val="single"/>
        </w:rPr>
      </w:pPr>
      <w:r w:rsidRPr="004B1CE0">
        <w:rPr>
          <w:u w:val="single"/>
        </w:rPr>
        <w:t>CONCLUSIONS OF LAW</w:t>
      </w:r>
    </w:p>
    <w:p w:rsidR="00FE25B2" w:rsidRPr="004B1CE0" w:rsidRDefault="00FE25B2" w:rsidP="00FE25B2">
      <w:pPr>
        <w:spacing w:line="360" w:lineRule="auto"/>
        <w:jc w:val="center"/>
      </w:pPr>
    </w:p>
    <w:p w:rsidR="00FE25B2" w:rsidRPr="004B1CE0" w:rsidRDefault="00FE25B2" w:rsidP="00FE25B2">
      <w:pPr>
        <w:spacing w:line="360" w:lineRule="auto"/>
      </w:pPr>
      <w:r w:rsidRPr="004B1CE0">
        <w:tab/>
      </w:r>
      <w:r w:rsidRPr="004B1CE0">
        <w:tab/>
        <w:t>1.</w:t>
      </w:r>
      <w:r w:rsidRPr="004B1CE0">
        <w:tab/>
        <w:t>The parties to and subject matter of this complaint proceeding are properly before the Commission</w:t>
      </w:r>
      <w:r>
        <w:t xml:space="preserve">, with the exception of Complainants’ claim for reimbursement of $75.00.  </w:t>
      </w:r>
      <w:proofErr w:type="gramStart"/>
      <w:r w:rsidRPr="004B1CE0">
        <w:t>66</w:t>
      </w:r>
      <w:r>
        <w:t xml:space="preserve"> </w:t>
      </w:r>
      <w:r w:rsidRPr="004B1CE0">
        <w:t>Pa. C.S. §701.</w:t>
      </w:r>
      <w:proofErr w:type="gramEnd"/>
    </w:p>
    <w:p w:rsidR="00FE25B2" w:rsidRPr="004B1CE0" w:rsidRDefault="00FE25B2" w:rsidP="00FE25B2">
      <w:pPr>
        <w:spacing w:line="360" w:lineRule="auto"/>
        <w:jc w:val="both"/>
      </w:pPr>
    </w:p>
    <w:p w:rsidR="00FE25B2" w:rsidRPr="004B1CE0" w:rsidRDefault="00FE25B2" w:rsidP="00FE25B2">
      <w:pPr>
        <w:spacing w:line="360" w:lineRule="auto"/>
      </w:pPr>
      <w:r w:rsidRPr="004B1CE0">
        <w:tab/>
      </w:r>
      <w:r w:rsidRPr="004B1CE0">
        <w:tab/>
        <w:t>2.</w:t>
      </w:r>
      <w:r w:rsidRPr="004B1CE0">
        <w:tab/>
      </w:r>
      <w:r>
        <w:t xml:space="preserve">Complainants, </w:t>
      </w:r>
      <w:r w:rsidRPr="004B1CE0">
        <w:t>as the party seeking affirmative relief from the Commission, ha</w:t>
      </w:r>
      <w:r>
        <w:t>ve</w:t>
      </w:r>
      <w:r w:rsidRPr="004B1CE0">
        <w:t xml:space="preserve"> the burden of proof.  </w:t>
      </w:r>
      <w:proofErr w:type="gramStart"/>
      <w:r w:rsidRPr="004B1CE0">
        <w:t>66 Pa. C.S. §332(a).</w:t>
      </w:r>
      <w:proofErr w:type="gramEnd"/>
    </w:p>
    <w:p w:rsidR="00FE25B2" w:rsidRPr="004B1CE0" w:rsidRDefault="00FE25B2" w:rsidP="00FE25B2">
      <w:pPr>
        <w:spacing w:line="360" w:lineRule="auto"/>
        <w:jc w:val="both"/>
      </w:pPr>
    </w:p>
    <w:p w:rsidR="00FE25B2" w:rsidRDefault="00FE25B2" w:rsidP="00FE25B2">
      <w:pPr>
        <w:spacing w:line="360" w:lineRule="auto"/>
        <w:jc w:val="both"/>
      </w:pPr>
      <w:r w:rsidRPr="004B1CE0">
        <w:tab/>
      </w:r>
      <w:r w:rsidRPr="004B1CE0">
        <w:tab/>
        <w:t>3.</w:t>
      </w:r>
      <w:r w:rsidRPr="004B1CE0">
        <w:tab/>
      </w:r>
      <w:r>
        <w:t xml:space="preserve">Complainants failed to meet their burden of proof. </w:t>
      </w:r>
      <w:r>
        <w:tab/>
      </w:r>
    </w:p>
    <w:p w:rsidR="00FE25B2" w:rsidRDefault="00FE25B2" w:rsidP="00FE25B2">
      <w:pPr>
        <w:spacing w:line="360" w:lineRule="auto"/>
        <w:jc w:val="both"/>
      </w:pPr>
    </w:p>
    <w:p w:rsidR="0099589D" w:rsidRDefault="00641EE7" w:rsidP="00BA554A">
      <w:pPr>
        <w:spacing w:line="360" w:lineRule="auto"/>
      </w:pPr>
      <w:r>
        <w:rPr>
          <w:noProof/>
        </w:rPr>
        <mc:AlternateContent>
          <mc:Choice Requires="wps">
            <w:drawing>
              <wp:anchor distT="0" distB="0" distL="114300" distR="114300" simplePos="0" relativeHeight="251661312" behindDoc="0" locked="0" layoutInCell="1" allowOverlap="1" wp14:anchorId="1D594765" wp14:editId="0514B88D">
                <wp:simplePos x="0" y="0"/>
                <wp:positionH relativeFrom="column">
                  <wp:posOffset>2933700</wp:posOffset>
                </wp:positionH>
                <wp:positionV relativeFrom="paragraph">
                  <wp:posOffset>1426845</wp:posOffset>
                </wp:positionV>
                <wp:extent cx="28575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solidFill>
                        <a:ln w="9525">
                          <a:noFill/>
                          <a:miter lim="800000"/>
                          <a:headEnd/>
                          <a:tailEnd/>
                        </a:ln>
                      </wps:spPr>
                      <wps:txbx>
                        <w:txbxContent>
                          <w:p w:rsidR="00641EE7" w:rsidRDefault="00641EE7" w:rsidP="00641EE7">
                            <w:pPr>
                              <w:jc w:val="center"/>
                            </w:pP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1pt;margin-top:112.35pt;width:2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" stroked="f">
                <v:textbox>
                  <w:txbxContent>
                    <w:p w:rsidR="00641EE7" w:rsidRDefault="00641EE7" w:rsidP="00641EE7">
                      <w:pPr>
                        <w:jc w:val="center"/>
                      </w:pPr>
                      <w:r>
                        <w:t>7</w:t>
                      </w:r>
                    </w:p>
                  </w:txbxContent>
                </v:textbox>
              </v:shape>
            </w:pict>
          </mc:Fallback>
        </mc:AlternateContent>
      </w:r>
      <w:r w:rsidR="00FE25B2">
        <w:tab/>
      </w:r>
      <w:r w:rsidR="00FE25B2">
        <w:tab/>
        <w:t>4.</w:t>
      </w:r>
      <w:r w:rsidR="00FE25B2">
        <w:tab/>
        <w:t xml:space="preserve">The Commission has the powers, and can consider such matters as are expressly, or by necessary implication, given to it by the legislature.  It has no other powers.  The Public Utility Code, 66 Pa. C.S. §101 </w:t>
      </w:r>
      <w:r w:rsidR="00FE25B2" w:rsidRPr="00850377">
        <w:rPr>
          <w:i/>
        </w:rPr>
        <w:t>et seq</w:t>
      </w:r>
      <w:r w:rsidR="00FE25B2">
        <w:t>. does not give the Commission jurisdiction over</w:t>
      </w:r>
    </w:p>
    <w:sectPr w:rsidR="0099589D" w:rsidSect="0099589D">
      <w:footerReference w:type="even" r:id="rId8"/>
      <w:footerReference w:type="first" r:id="rId9"/>
      <w:pgSz w:w="12240" w:h="15840" w:code="1"/>
      <w:pgMar w:top="1440" w:right="1350" w:bottom="1440" w:left="1440" w:header="720" w:footer="720" w:gutter="0"/>
      <w:paperSrc w:first="15"/>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3F" w:rsidRDefault="0099643F">
      <w:r>
        <w:separator/>
      </w:r>
    </w:p>
  </w:endnote>
  <w:endnote w:type="continuationSeparator" w:id="0">
    <w:p w:rsidR="0099643F" w:rsidRDefault="009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3C" w:rsidRDefault="00890F08" w:rsidP="004C67EF">
    <w:pPr>
      <w:pStyle w:val="Footer"/>
      <w:framePr w:wrap="around" w:vAnchor="text" w:hAnchor="margin" w:xAlign="center" w:y="1"/>
      <w:rPr>
        <w:rStyle w:val="PageNumber"/>
      </w:rPr>
    </w:pPr>
    <w:r>
      <w:rPr>
        <w:rStyle w:val="PageNumber"/>
      </w:rPr>
      <w:fldChar w:fldCharType="begin"/>
    </w:r>
    <w:r w:rsidR="000C3C3C">
      <w:rPr>
        <w:rStyle w:val="PageNumber"/>
      </w:rPr>
      <w:instrText xml:space="preserve">PAGE  </w:instrText>
    </w:r>
    <w:r>
      <w:rPr>
        <w:rStyle w:val="PageNumber"/>
      </w:rPr>
      <w:fldChar w:fldCharType="separate"/>
    </w:r>
    <w:r w:rsidR="000C3C3C">
      <w:rPr>
        <w:rStyle w:val="PageNumber"/>
        <w:noProof/>
      </w:rPr>
      <w:t>12</w:t>
    </w:r>
    <w:r>
      <w:rPr>
        <w:rStyle w:val="PageNumber"/>
      </w:rPr>
      <w:fldChar w:fldCharType="end"/>
    </w:r>
  </w:p>
  <w:p w:rsidR="000C3C3C" w:rsidRDefault="000C3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3C" w:rsidRPr="00DC42AE" w:rsidRDefault="000C3C3C" w:rsidP="004C67EF">
    <w:pPr>
      <w:pStyle w:val="Footer"/>
      <w:framePr w:wrap="around" w:vAnchor="text" w:hAnchor="margin" w:xAlign="center" w:y="1"/>
      <w:rPr>
        <w:rStyle w:val="PageNumber"/>
        <w:sz w:val="20"/>
        <w:szCs w:val="20"/>
      </w:rPr>
    </w:pPr>
  </w:p>
  <w:p w:rsidR="000C3C3C" w:rsidRDefault="000C3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3F" w:rsidRDefault="0099643F">
      <w:r>
        <w:separator/>
      </w:r>
    </w:p>
  </w:footnote>
  <w:footnote w:type="continuationSeparator" w:id="0">
    <w:p w:rsidR="0099643F" w:rsidRDefault="00996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0C1B"/>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34DF"/>
    <w:rsid w:val="0003703E"/>
    <w:rsid w:val="00043816"/>
    <w:rsid w:val="00047AA7"/>
    <w:rsid w:val="000506CC"/>
    <w:rsid w:val="0005265C"/>
    <w:rsid w:val="00052E00"/>
    <w:rsid w:val="00053876"/>
    <w:rsid w:val="00053F4A"/>
    <w:rsid w:val="00056C15"/>
    <w:rsid w:val="00057B42"/>
    <w:rsid w:val="00060C62"/>
    <w:rsid w:val="00061148"/>
    <w:rsid w:val="00061AA0"/>
    <w:rsid w:val="00061C90"/>
    <w:rsid w:val="00062745"/>
    <w:rsid w:val="000644C8"/>
    <w:rsid w:val="000666A6"/>
    <w:rsid w:val="00066BD9"/>
    <w:rsid w:val="00070539"/>
    <w:rsid w:val="000721A7"/>
    <w:rsid w:val="00076498"/>
    <w:rsid w:val="00080770"/>
    <w:rsid w:val="00082AE5"/>
    <w:rsid w:val="000836E8"/>
    <w:rsid w:val="00083D39"/>
    <w:rsid w:val="00084DC8"/>
    <w:rsid w:val="00086381"/>
    <w:rsid w:val="00086D28"/>
    <w:rsid w:val="000911D0"/>
    <w:rsid w:val="00091425"/>
    <w:rsid w:val="000929AD"/>
    <w:rsid w:val="0009326C"/>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3586B"/>
    <w:rsid w:val="00137061"/>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77A1C"/>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2F73"/>
    <w:rsid w:val="002A3CDB"/>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1B3F"/>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49D8"/>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629"/>
    <w:rsid w:val="004A083C"/>
    <w:rsid w:val="004B26E2"/>
    <w:rsid w:val="004B4893"/>
    <w:rsid w:val="004B7AFE"/>
    <w:rsid w:val="004C1464"/>
    <w:rsid w:val="004C1C78"/>
    <w:rsid w:val="004C329C"/>
    <w:rsid w:val="004C3ABE"/>
    <w:rsid w:val="004C67EF"/>
    <w:rsid w:val="004C7551"/>
    <w:rsid w:val="004D1B72"/>
    <w:rsid w:val="004E74A8"/>
    <w:rsid w:val="004E77CE"/>
    <w:rsid w:val="004F0156"/>
    <w:rsid w:val="004F0656"/>
    <w:rsid w:val="004F5CBF"/>
    <w:rsid w:val="0050179C"/>
    <w:rsid w:val="00504BF8"/>
    <w:rsid w:val="0050793F"/>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2A68"/>
    <w:rsid w:val="00544424"/>
    <w:rsid w:val="00550EBD"/>
    <w:rsid w:val="00555080"/>
    <w:rsid w:val="00555602"/>
    <w:rsid w:val="00555A03"/>
    <w:rsid w:val="00556BBF"/>
    <w:rsid w:val="00556F82"/>
    <w:rsid w:val="0055724C"/>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41EE7"/>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E2C03"/>
    <w:rsid w:val="006E672A"/>
    <w:rsid w:val="006F0D47"/>
    <w:rsid w:val="006F4DF0"/>
    <w:rsid w:val="006F5F77"/>
    <w:rsid w:val="006F5FAB"/>
    <w:rsid w:val="007003E2"/>
    <w:rsid w:val="0070686E"/>
    <w:rsid w:val="00706EF5"/>
    <w:rsid w:val="00710D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A7926"/>
    <w:rsid w:val="007B1083"/>
    <w:rsid w:val="007B165B"/>
    <w:rsid w:val="007B194F"/>
    <w:rsid w:val="007B1A75"/>
    <w:rsid w:val="007B2141"/>
    <w:rsid w:val="007B32EE"/>
    <w:rsid w:val="007C00F5"/>
    <w:rsid w:val="007C0461"/>
    <w:rsid w:val="007D430C"/>
    <w:rsid w:val="007D6AA4"/>
    <w:rsid w:val="007D6DE6"/>
    <w:rsid w:val="007F25D8"/>
    <w:rsid w:val="007F312D"/>
    <w:rsid w:val="007F553A"/>
    <w:rsid w:val="007F590B"/>
    <w:rsid w:val="007F710C"/>
    <w:rsid w:val="007F73A6"/>
    <w:rsid w:val="007F78EC"/>
    <w:rsid w:val="008025A3"/>
    <w:rsid w:val="00803DE2"/>
    <w:rsid w:val="0081274B"/>
    <w:rsid w:val="008139D7"/>
    <w:rsid w:val="00813D9D"/>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5D4C"/>
    <w:rsid w:val="008478A4"/>
    <w:rsid w:val="00851492"/>
    <w:rsid w:val="008519BB"/>
    <w:rsid w:val="008556AE"/>
    <w:rsid w:val="0086518F"/>
    <w:rsid w:val="00871810"/>
    <w:rsid w:val="008721B3"/>
    <w:rsid w:val="00876E00"/>
    <w:rsid w:val="00880988"/>
    <w:rsid w:val="00881843"/>
    <w:rsid w:val="0088541D"/>
    <w:rsid w:val="0088583B"/>
    <w:rsid w:val="00890589"/>
    <w:rsid w:val="00890F08"/>
    <w:rsid w:val="008934D9"/>
    <w:rsid w:val="00893605"/>
    <w:rsid w:val="0089405E"/>
    <w:rsid w:val="008A10CD"/>
    <w:rsid w:val="008A272D"/>
    <w:rsid w:val="008A7917"/>
    <w:rsid w:val="008A7DB4"/>
    <w:rsid w:val="008C049A"/>
    <w:rsid w:val="008C21C2"/>
    <w:rsid w:val="008C49C6"/>
    <w:rsid w:val="008C524A"/>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0E95"/>
    <w:rsid w:val="00954C64"/>
    <w:rsid w:val="0096435A"/>
    <w:rsid w:val="0096565E"/>
    <w:rsid w:val="00965869"/>
    <w:rsid w:val="009659A8"/>
    <w:rsid w:val="00967435"/>
    <w:rsid w:val="00967588"/>
    <w:rsid w:val="00967FB6"/>
    <w:rsid w:val="009700A1"/>
    <w:rsid w:val="009735B7"/>
    <w:rsid w:val="009757E7"/>
    <w:rsid w:val="00982FD1"/>
    <w:rsid w:val="00984610"/>
    <w:rsid w:val="00990EE0"/>
    <w:rsid w:val="0099589D"/>
    <w:rsid w:val="0099643F"/>
    <w:rsid w:val="00997F6D"/>
    <w:rsid w:val="009A157D"/>
    <w:rsid w:val="009A1D91"/>
    <w:rsid w:val="009A43C4"/>
    <w:rsid w:val="009B2075"/>
    <w:rsid w:val="009B46F3"/>
    <w:rsid w:val="009B4E4C"/>
    <w:rsid w:val="009B5F4C"/>
    <w:rsid w:val="009B62A9"/>
    <w:rsid w:val="009B713A"/>
    <w:rsid w:val="009C1258"/>
    <w:rsid w:val="009C2124"/>
    <w:rsid w:val="009C5480"/>
    <w:rsid w:val="009C74EE"/>
    <w:rsid w:val="009D1322"/>
    <w:rsid w:val="009D3A7C"/>
    <w:rsid w:val="009F17E9"/>
    <w:rsid w:val="009F40EE"/>
    <w:rsid w:val="009F44D4"/>
    <w:rsid w:val="009F512D"/>
    <w:rsid w:val="009F6261"/>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5DC7"/>
    <w:rsid w:val="00AD5DE0"/>
    <w:rsid w:val="00AE3992"/>
    <w:rsid w:val="00AE3C18"/>
    <w:rsid w:val="00AE6470"/>
    <w:rsid w:val="00AF014A"/>
    <w:rsid w:val="00AF02A6"/>
    <w:rsid w:val="00AF47D8"/>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A336D"/>
    <w:rsid w:val="00BA554A"/>
    <w:rsid w:val="00BA60E2"/>
    <w:rsid w:val="00BB20ED"/>
    <w:rsid w:val="00BB2292"/>
    <w:rsid w:val="00BB2C94"/>
    <w:rsid w:val="00BB3122"/>
    <w:rsid w:val="00BB4DE1"/>
    <w:rsid w:val="00BC1A68"/>
    <w:rsid w:val="00BC364B"/>
    <w:rsid w:val="00BC3F88"/>
    <w:rsid w:val="00BC411D"/>
    <w:rsid w:val="00BC637B"/>
    <w:rsid w:val="00BD0301"/>
    <w:rsid w:val="00BD4834"/>
    <w:rsid w:val="00BD483F"/>
    <w:rsid w:val="00BE3526"/>
    <w:rsid w:val="00BE4E4D"/>
    <w:rsid w:val="00BE7164"/>
    <w:rsid w:val="00BE74A5"/>
    <w:rsid w:val="00BF058C"/>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40BC8"/>
    <w:rsid w:val="00D44A31"/>
    <w:rsid w:val="00D458A3"/>
    <w:rsid w:val="00D47E63"/>
    <w:rsid w:val="00D510DE"/>
    <w:rsid w:val="00D56F36"/>
    <w:rsid w:val="00D617B8"/>
    <w:rsid w:val="00D6203F"/>
    <w:rsid w:val="00D63E28"/>
    <w:rsid w:val="00D6591C"/>
    <w:rsid w:val="00D67B68"/>
    <w:rsid w:val="00D71BA5"/>
    <w:rsid w:val="00D72AE5"/>
    <w:rsid w:val="00D75D0C"/>
    <w:rsid w:val="00D76A1B"/>
    <w:rsid w:val="00D80DC1"/>
    <w:rsid w:val="00D81047"/>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1541"/>
    <w:rsid w:val="00E03D9C"/>
    <w:rsid w:val="00E12EA0"/>
    <w:rsid w:val="00E14EEC"/>
    <w:rsid w:val="00E16DBE"/>
    <w:rsid w:val="00E21287"/>
    <w:rsid w:val="00E2305D"/>
    <w:rsid w:val="00E254A3"/>
    <w:rsid w:val="00E267CD"/>
    <w:rsid w:val="00E310CB"/>
    <w:rsid w:val="00E3530D"/>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516"/>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5B59"/>
    <w:rsid w:val="00F97D93"/>
    <w:rsid w:val="00FA348B"/>
    <w:rsid w:val="00FA44F4"/>
    <w:rsid w:val="00FC1647"/>
    <w:rsid w:val="00FC329C"/>
    <w:rsid w:val="00FC3E7B"/>
    <w:rsid w:val="00FD1DDC"/>
    <w:rsid w:val="00FD2AE4"/>
    <w:rsid w:val="00FD2F14"/>
    <w:rsid w:val="00FE0074"/>
    <w:rsid w:val="00FE212F"/>
    <w:rsid w:val="00FE25B2"/>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99589D"/>
    <w:rPr>
      <w:sz w:val="24"/>
      <w:szCs w:val="24"/>
    </w:rPr>
  </w:style>
  <w:style w:type="paragraph" w:styleId="BodyText">
    <w:name w:val="Body Text"/>
    <w:basedOn w:val="Normal"/>
    <w:link w:val="BodyTextChar"/>
    <w:rsid w:val="00FE25B2"/>
    <w:pPr>
      <w:spacing w:line="360" w:lineRule="auto"/>
      <w:jc w:val="both"/>
    </w:pPr>
    <w:rPr>
      <w:rFonts w:eastAsia="SimSun"/>
      <w:sz w:val="26"/>
      <w:szCs w:val="20"/>
    </w:rPr>
  </w:style>
  <w:style w:type="character" w:customStyle="1" w:styleId="BodyTextChar">
    <w:name w:val="Body Text Char"/>
    <w:basedOn w:val="DefaultParagraphFont"/>
    <w:link w:val="BodyText"/>
    <w:rsid w:val="00FE25B2"/>
    <w:rPr>
      <w:rFonts w:eastAsia="SimSun"/>
      <w:sz w:val="26"/>
    </w:rPr>
  </w:style>
  <w:style w:type="paragraph" w:styleId="BalloonText">
    <w:name w:val="Balloon Text"/>
    <w:basedOn w:val="Normal"/>
    <w:link w:val="BalloonTextChar"/>
    <w:rsid w:val="00FE25B2"/>
    <w:rPr>
      <w:rFonts w:ascii="Tahoma" w:hAnsi="Tahoma" w:cs="Tahoma"/>
      <w:sz w:val="16"/>
      <w:szCs w:val="16"/>
    </w:rPr>
  </w:style>
  <w:style w:type="character" w:customStyle="1" w:styleId="BalloonTextChar">
    <w:name w:val="Balloon Text Char"/>
    <w:basedOn w:val="DefaultParagraphFont"/>
    <w:link w:val="BalloonText"/>
    <w:rsid w:val="00FE25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99589D"/>
    <w:rPr>
      <w:sz w:val="24"/>
      <w:szCs w:val="24"/>
    </w:rPr>
  </w:style>
  <w:style w:type="paragraph" w:styleId="BodyText">
    <w:name w:val="Body Text"/>
    <w:basedOn w:val="Normal"/>
    <w:link w:val="BodyTextChar"/>
    <w:rsid w:val="00FE25B2"/>
    <w:pPr>
      <w:spacing w:line="360" w:lineRule="auto"/>
      <w:jc w:val="both"/>
    </w:pPr>
    <w:rPr>
      <w:rFonts w:eastAsia="SimSun"/>
      <w:sz w:val="26"/>
      <w:szCs w:val="20"/>
    </w:rPr>
  </w:style>
  <w:style w:type="character" w:customStyle="1" w:styleId="BodyTextChar">
    <w:name w:val="Body Text Char"/>
    <w:basedOn w:val="DefaultParagraphFont"/>
    <w:link w:val="BodyText"/>
    <w:rsid w:val="00FE25B2"/>
    <w:rPr>
      <w:rFonts w:eastAsia="SimSun"/>
      <w:sz w:val="26"/>
    </w:rPr>
  </w:style>
  <w:style w:type="paragraph" w:styleId="BalloonText">
    <w:name w:val="Balloon Text"/>
    <w:basedOn w:val="Normal"/>
    <w:link w:val="BalloonTextChar"/>
    <w:rsid w:val="00FE25B2"/>
    <w:rPr>
      <w:rFonts w:ascii="Tahoma" w:hAnsi="Tahoma" w:cs="Tahoma"/>
      <w:sz w:val="16"/>
      <w:szCs w:val="16"/>
    </w:rPr>
  </w:style>
  <w:style w:type="character" w:customStyle="1" w:styleId="BalloonTextChar">
    <w:name w:val="Balloon Text Char"/>
    <w:basedOn w:val="DefaultParagraphFont"/>
    <w:link w:val="BalloonText"/>
    <w:rsid w:val="00FE2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tibikunle</cp:lastModifiedBy>
  <cp:revision>4</cp:revision>
  <cp:lastPrinted>2012-05-03T14:30:00Z</cp:lastPrinted>
  <dcterms:created xsi:type="dcterms:W3CDTF">2012-05-02T19:48:00Z</dcterms:created>
  <dcterms:modified xsi:type="dcterms:W3CDTF">2012-05-03T14:30:00Z</dcterms:modified>
</cp:coreProperties>
</file>