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17C" w:rsidRDefault="006E15F8" w:rsidP="006E15F8">
      <w:pPr>
        <w:jc w:val="center"/>
        <w:rPr>
          <w:b/>
        </w:rPr>
      </w:pPr>
      <w:bookmarkStart w:id="0" w:name="_GoBack"/>
      <w:bookmarkEnd w:id="0"/>
      <w:r>
        <w:rPr>
          <w:b/>
        </w:rPr>
        <w:t>BEFORE THE</w:t>
      </w:r>
    </w:p>
    <w:p w:rsidR="006E15F8" w:rsidRDefault="006E15F8" w:rsidP="006E15F8">
      <w:pPr>
        <w:jc w:val="center"/>
      </w:pPr>
      <w:r>
        <w:rPr>
          <w:b/>
        </w:rPr>
        <w:t>PENNSYLVANIA PUBLIC UTILITY COMMISSION</w:t>
      </w:r>
    </w:p>
    <w:p w:rsidR="006E15F8" w:rsidRDefault="006E15F8" w:rsidP="006E15F8"/>
    <w:p w:rsidR="006E15F8" w:rsidRDefault="006E15F8" w:rsidP="006E15F8"/>
    <w:p w:rsidR="006E15F8" w:rsidRDefault="006E15F8" w:rsidP="006E15F8"/>
    <w:p w:rsidR="006E15F8" w:rsidRDefault="006E15F8" w:rsidP="006E15F8">
      <w:r>
        <w:t>Ann Lindholm</w:t>
      </w:r>
      <w:r>
        <w:tab/>
      </w:r>
      <w:r>
        <w:tab/>
      </w:r>
      <w:r>
        <w:tab/>
      </w:r>
      <w:r>
        <w:tab/>
      </w:r>
      <w:r>
        <w:tab/>
      </w:r>
      <w:r>
        <w:tab/>
        <w:t>:</w:t>
      </w:r>
    </w:p>
    <w:p w:rsidR="006E15F8" w:rsidRDefault="006E15F8" w:rsidP="006E15F8">
      <w:r>
        <w:tab/>
      </w:r>
      <w:r>
        <w:tab/>
      </w:r>
      <w:r>
        <w:tab/>
      </w:r>
      <w:r>
        <w:tab/>
      </w:r>
      <w:r>
        <w:tab/>
      </w:r>
      <w:r>
        <w:tab/>
      </w:r>
      <w:r>
        <w:tab/>
        <w:t>:</w:t>
      </w:r>
    </w:p>
    <w:p w:rsidR="006E15F8" w:rsidRDefault="006E15F8" w:rsidP="006E15F8">
      <w:r>
        <w:tab/>
        <w:t>v.</w:t>
      </w:r>
      <w:r>
        <w:tab/>
      </w:r>
      <w:r>
        <w:tab/>
      </w:r>
      <w:r>
        <w:tab/>
      </w:r>
      <w:r>
        <w:tab/>
      </w:r>
      <w:r>
        <w:tab/>
      </w:r>
      <w:r>
        <w:tab/>
        <w:t>:</w:t>
      </w:r>
      <w:r>
        <w:tab/>
      </w:r>
      <w:r>
        <w:tab/>
        <w:t>C-2011-2235704</w:t>
      </w:r>
    </w:p>
    <w:p w:rsidR="006E15F8" w:rsidRDefault="006E15F8" w:rsidP="006E15F8">
      <w:r>
        <w:tab/>
      </w:r>
      <w:r>
        <w:tab/>
      </w:r>
      <w:r>
        <w:tab/>
      </w:r>
      <w:r>
        <w:tab/>
      </w:r>
      <w:r>
        <w:tab/>
      </w:r>
      <w:r>
        <w:tab/>
      </w:r>
      <w:r>
        <w:tab/>
        <w:t>:</w:t>
      </w:r>
    </w:p>
    <w:p w:rsidR="006E15F8" w:rsidRDefault="006E15F8" w:rsidP="006E15F8">
      <w:r>
        <w:t>PPL Electric Utilities Corporation</w:t>
      </w:r>
      <w:r>
        <w:tab/>
      </w:r>
      <w:r>
        <w:tab/>
      </w:r>
      <w:r>
        <w:tab/>
        <w:t>:</w:t>
      </w:r>
    </w:p>
    <w:p w:rsidR="006E15F8" w:rsidRDefault="006E15F8" w:rsidP="006E15F8"/>
    <w:p w:rsidR="006E15F8" w:rsidRDefault="006E15F8" w:rsidP="006E15F8"/>
    <w:p w:rsidR="006E15F8" w:rsidRDefault="006E15F8" w:rsidP="006E15F8"/>
    <w:p w:rsidR="006E15F8" w:rsidRDefault="006E15F8" w:rsidP="006E15F8">
      <w:pPr>
        <w:jc w:val="center"/>
      </w:pPr>
      <w:r>
        <w:rPr>
          <w:b/>
          <w:u w:val="single"/>
        </w:rPr>
        <w:t>INITIAL DECISION</w:t>
      </w:r>
    </w:p>
    <w:p w:rsidR="006E15F8" w:rsidRDefault="006E15F8" w:rsidP="006E15F8">
      <w:pPr>
        <w:jc w:val="center"/>
      </w:pPr>
    </w:p>
    <w:p w:rsidR="006E15F8" w:rsidRDefault="006E15F8" w:rsidP="006E15F8">
      <w:pPr>
        <w:jc w:val="center"/>
      </w:pPr>
    </w:p>
    <w:p w:rsidR="006E15F8" w:rsidRDefault="006E15F8" w:rsidP="006E15F8">
      <w:pPr>
        <w:jc w:val="center"/>
      </w:pPr>
      <w:r>
        <w:t>Before</w:t>
      </w:r>
    </w:p>
    <w:p w:rsidR="006E15F8" w:rsidRDefault="006E15F8" w:rsidP="006E15F8">
      <w:pPr>
        <w:jc w:val="center"/>
      </w:pPr>
      <w:r>
        <w:t>John H. Corbett, Jr.</w:t>
      </w:r>
    </w:p>
    <w:p w:rsidR="006E15F8" w:rsidRDefault="006E15F8" w:rsidP="006E15F8">
      <w:pPr>
        <w:jc w:val="center"/>
      </w:pPr>
      <w:r>
        <w:t>Administrative Law Judge</w:t>
      </w:r>
    </w:p>
    <w:p w:rsidR="006E15F8" w:rsidRDefault="006E15F8" w:rsidP="006E15F8">
      <w:pPr>
        <w:jc w:val="center"/>
      </w:pPr>
    </w:p>
    <w:p w:rsidR="006E15F8" w:rsidRDefault="006E15F8" w:rsidP="006E15F8">
      <w:pPr>
        <w:jc w:val="center"/>
      </w:pPr>
    </w:p>
    <w:p w:rsidR="006E15F8" w:rsidRDefault="006E15F8" w:rsidP="006E15F8">
      <w:pPr>
        <w:jc w:val="center"/>
      </w:pPr>
      <w:r>
        <w:rPr>
          <w:u w:val="single"/>
        </w:rPr>
        <w:t>HISTORY OF THE PROCEEDING</w:t>
      </w:r>
    </w:p>
    <w:p w:rsidR="006E15F8" w:rsidRDefault="006E15F8" w:rsidP="006E15F8"/>
    <w:p w:rsidR="006E15F8" w:rsidRDefault="006E15F8" w:rsidP="006E15F8"/>
    <w:p w:rsidR="002E16B1" w:rsidRDefault="002E39CC" w:rsidP="006E15F8">
      <w:pPr>
        <w:spacing w:line="360" w:lineRule="auto"/>
      </w:pPr>
      <w:r>
        <w:tab/>
      </w:r>
      <w:r>
        <w:tab/>
        <w:t xml:space="preserve">On April 1, 2011, Ann Lindholm (“Complainant”) filed a complaint with the Pennsylvania Public Utility Commission (“Commission”) disputing certain charges on her bill for residential electric service provided by PPL Electric Utilities Corporation (“Respondent” or “PPL”).  For relief, </w:t>
      </w:r>
      <w:r w:rsidR="00676F31">
        <w:t xml:space="preserve">Complainant wants </w:t>
      </w:r>
      <w:r w:rsidR="005632BC">
        <w:t xml:space="preserve">the charges </w:t>
      </w:r>
      <w:r w:rsidR="00306EA2">
        <w:t xml:space="preserve">adjusted </w:t>
      </w:r>
      <w:r w:rsidR="005632BC">
        <w:t>to reflect her actual usage.</w:t>
      </w:r>
      <w:r w:rsidR="00B23E14">
        <w:t xml:space="preserve">  On May 4, 2011, Respondent answered the complaint</w:t>
      </w:r>
      <w:r w:rsidR="002E16B1">
        <w:t xml:space="preserve"> denying that it improperly billed Complainant.</w:t>
      </w:r>
    </w:p>
    <w:p w:rsidR="002E16B1" w:rsidRDefault="002E16B1" w:rsidP="006E15F8">
      <w:pPr>
        <w:spacing w:line="360" w:lineRule="auto"/>
      </w:pPr>
    </w:p>
    <w:p w:rsidR="002E16B1" w:rsidRDefault="002E16B1" w:rsidP="006E15F8">
      <w:pPr>
        <w:spacing w:line="360" w:lineRule="auto"/>
      </w:pPr>
      <w:r>
        <w:tab/>
      </w:r>
      <w:r>
        <w:tab/>
        <w:t>I received this case assignment on November 3, 2011.  A standard Prehearing Order was issued on November 4, 2011.</w:t>
      </w:r>
      <w:r w:rsidR="008119F7">
        <w:t xml:space="preserve">  A telephonic hearing</w:t>
      </w:r>
      <w:r>
        <w:t xml:space="preserve"> </w:t>
      </w:r>
      <w:r w:rsidR="008119F7">
        <w:t>scheduled for December 20, 2011 was continued when Complainant’s son, John Lindholm, appeared instead of his mother.</w:t>
      </w:r>
    </w:p>
    <w:p w:rsidR="008119F7" w:rsidRDefault="008119F7" w:rsidP="006E15F8">
      <w:pPr>
        <w:spacing w:line="360" w:lineRule="auto"/>
      </w:pPr>
    </w:p>
    <w:p w:rsidR="008119F7" w:rsidRDefault="008119F7" w:rsidP="006E15F8">
      <w:pPr>
        <w:spacing w:line="360" w:lineRule="auto"/>
      </w:pPr>
      <w:r>
        <w:tab/>
      </w:r>
      <w:r>
        <w:tab/>
        <w:t xml:space="preserve">A further telephonic hearing was held on March 16, 2012.  Complainant appeared </w:t>
      </w:r>
      <w:r>
        <w:rPr>
          <w:i/>
        </w:rPr>
        <w:t>pro se</w:t>
      </w:r>
      <w:r>
        <w:t xml:space="preserve">.  </w:t>
      </w:r>
      <w:r w:rsidR="00C31CEB">
        <w:t>Her son, John Lindholm, appeared by telephone</w:t>
      </w:r>
      <w:r w:rsidR="004E3FCB">
        <w:t xml:space="preserve"> and</w:t>
      </w:r>
      <w:r w:rsidR="00C31CEB">
        <w:t xml:space="preserve"> testif</w:t>
      </w:r>
      <w:r w:rsidR="004E3FCB">
        <w:t>ied</w:t>
      </w:r>
      <w:r w:rsidR="00C31CEB">
        <w:t xml:space="preserve">.  Graig M. Schultz, Esq., represented Respondent, which offered </w:t>
      </w:r>
      <w:r w:rsidR="004E3FCB">
        <w:t>the testimony of a witness</w:t>
      </w:r>
      <w:r w:rsidR="009F6ACD">
        <w:t>, Kevin George,</w:t>
      </w:r>
      <w:r w:rsidR="004E3FCB">
        <w:t xml:space="preserve"> and submitted </w:t>
      </w:r>
      <w:r w:rsidR="00C31CEB">
        <w:t>two exhibits for the record (PPL Exhs. 1A and 4).  The hearing generated 45 pages of notes of testimony.  No briefs were filed.  The record closed on April 16, 2012.</w:t>
      </w:r>
    </w:p>
    <w:p w:rsidR="00D04B01" w:rsidRDefault="00D04B01" w:rsidP="00D04B01">
      <w:pPr>
        <w:spacing w:line="360" w:lineRule="auto"/>
        <w:jc w:val="center"/>
      </w:pPr>
      <w:r>
        <w:rPr>
          <w:u w:val="single"/>
        </w:rPr>
        <w:lastRenderedPageBreak/>
        <w:t>FINDINGS OF FACT</w:t>
      </w:r>
    </w:p>
    <w:p w:rsidR="00D04B01" w:rsidRDefault="00D04B01" w:rsidP="00D04B01">
      <w:pPr>
        <w:spacing w:line="360" w:lineRule="auto"/>
      </w:pPr>
    </w:p>
    <w:p w:rsidR="00D04B01" w:rsidRDefault="00D04B01" w:rsidP="00D04B01">
      <w:pPr>
        <w:pStyle w:val="ListParagraph"/>
        <w:numPr>
          <w:ilvl w:val="0"/>
          <w:numId w:val="1"/>
        </w:numPr>
        <w:spacing w:line="360" w:lineRule="auto"/>
        <w:ind w:left="0" w:firstLine="1440"/>
      </w:pPr>
      <w:r>
        <w:t>Complainant, Ann Lindholm, resides at 3019 Donegal Drive, Macungie, Pennsylvania 18062 (N.T. 9-10).</w:t>
      </w:r>
      <w:r>
        <w:rPr>
          <w:rStyle w:val="FootnoteReference"/>
        </w:rPr>
        <w:footnoteReference w:id="1"/>
      </w:r>
    </w:p>
    <w:p w:rsidR="00740480" w:rsidRDefault="00740480" w:rsidP="00740480">
      <w:pPr>
        <w:pStyle w:val="ListParagraph"/>
        <w:spacing w:line="360" w:lineRule="auto"/>
        <w:ind w:left="1440"/>
      </w:pPr>
    </w:p>
    <w:p w:rsidR="00740480" w:rsidRDefault="00B11A47" w:rsidP="00D04B01">
      <w:pPr>
        <w:pStyle w:val="ListParagraph"/>
        <w:numPr>
          <w:ilvl w:val="0"/>
          <w:numId w:val="1"/>
        </w:numPr>
        <w:spacing w:line="360" w:lineRule="auto"/>
        <w:ind w:left="0" w:firstLine="1440"/>
      </w:pPr>
      <w:r>
        <w:t xml:space="preserve">Complainant has owned a </w:t>
      </w:r>
      <w:r w:rsidR="005F5751">
        <w:t xml:space="preserve">cottage </w:t>
      </w:r>
      <w:r>
        <w:t>at 1305 Paradise Falls, Cresco, Pennsylvania 18326 for the last ten years</w:t>
      </w:r>
      <w:r w:rsidR="004961B2">
        <w:t>.  It is part of an association of 87 houses in this community</w:t>
      </w:r>
      <w:r>
        <w:t xml:space="preserve"> (N.T. 10</w:t>
      </w:r>
      <w:r w:rsidR="004961B2">
        <w:t>, 21, 23</w:t>
      </w:r>
      <w:r>
        <w:t>).</w:t>
      </w:r>
    </w:p>
    <w:p w:rsidR="00B11A47" w:rsidRDefault="00B11A47" w:rsidP="00B11A47">
      <w:pPr>
        <w:pStyle w:val="ListParagraph"/>
      </w:pPr>
    </w:p>
    <w:p w:rsidR="00B11A47" w:rsidRDefault="00B11A47" w:rsidP="00D04B01">
      <w:pPr>
        <w:pStyle w:val="ListParagraph"/>
        <w:numPr>
          <w:ilvl w:val="0"/>
          <w:numId w:val="1"/>
        </w:numPr>
        <w:spacing w:line="360" w:lineRule="auto"/>
        <w:ind w:left="0" w:firstLine="1440"/>
      </w:pPr>
      <w:r>
        <w:t>Respondent, PPL Electric Utilities Corporation, provides residential electric service to Complainant at 1305 Paradise Falls (N.T. </w:t>
      </w:r>
      <w:r w:rsidR="00BD2071">
        <w:t>10-11</w:t>
      </w:r>
      <w:r>
        <w:t>).</w:t>
      </w:r>
    </w:p>
    <w:p w:rsidR="00BD2071" w:rsidRDefault="00BD2071" w:rsidP="00BD2071">
      <w:pPr>
        <w:pStyle w:val="ListParagraph"/>
      </w:pPr>
    </w:p>
    <w:p w:rsidR="00BD2071" w:rsidRDefault="00456CBF" w:rsidP="00D04B01">
      <w:pPr>
        <w:pStyle w:val="ListParagraph"/>
        <w:numPr>
          <w:ilvl w:val="0"/>
          <w:numId w:val="1"/>
        </w:numPr>
        <w:spacing w:line="360" w:lineRule="auto"/>
        <w:ind w:left="0" w:firstLine="1440"/>
      </w:pPr>
      <w:r>
        <w:t>1305 Paradise Falls is a stone house built in 1928 and consists of a living room, dining room, kitchen, three bedrooms, and a bathroom</w:t>
      </w:r>
      <w:r w:rsidR="001325C7">
        <w:t>.  It has no basement and a partial, unheated attic</w:t>
      </w:r>
      <w:r>
        <w:t xml:space="preserve"> (N.T. 11-13).</w:t>
      </w:r>
    </w:p>
    <w:p w:rsidR="00456CBF" w:rsidRDefault="00456CBF" w:rsidP="00456CBF">
      <w:pPr>
        <w:pStyle w:val="ListParagraph"/>
      </w:pPr>
    </w:p>
    <w:p w:rsidR="00456CBF" w:rsidRDefault="001057F8" w:rsidP="00D04B01">
      <w:pPr>
        <w:pStyle w:val="ListParagraph"/>
        <w:numPr>
          <w:ilvl w:val="0"/>
          <w:numId w:val="1"/>
        </w:numPr>
        <w:spacing w:line="360" w:lineRule="auto"/>
        <w:ind w:left="0" w:firstLine="1440"/>
      </w:pPr>
      <w:r>
        <w:t xml:space="preserve">For electrical appliances, 1305 Paradise Falls has a kitchen stove, a microwave, a refrigerator, two television sets, a washer and dryer, </w:t>
      </w:r>
      <w:r w:rsidR="005D40C2">
        <w:t xml:space="preserve">a water heater, </w:t>
      </w:r>
      <w:r>
        <w:t>a ceiling fan, and 73 feet of baseboard heaters</w:t>
      </w:r>
      <w:r w:rsidR="004961B2">
        <w:t>; a pellet stove has an electric fan on it</w:t>
      </w:r>
      <w:r>
        <w:t xml:space="preserve"> (N.T. 13-14</w:t>
      </w:r>
      <w:r w:rsidR="005D40C2">
        <w:t>, 17-18</w:t>
      </w:r>
      <w:r w:rsidR="004961B2">
        <w:t>, 21, 24-25</w:t>
      </w:r>
      <w:r w:rsidR="00657444">
        <w:t>, 35-36, 39</w:t>
      </w:r>
      <w:r>
        <w:t>).</w:t>
      </w:r>
    </w:p>
    <w:p w:rsidR="005F5751" w:rsidRDefault="005F5751" w:rsidP="005F5751">
      <w:pPr>
        <w:pStyle w:val="ListParagraph"/>
      </w:pPr>
    </w:p>
    <w:p w:rsidR="005F5751" w:rsidRDefault="005F5751" w:rsidP="00D04B01">
      <w:pPr>
        <w:pStyle w:val="ListParagraph"/>
        <w:numPr>
          <w:ilvl w:val="0"/>
          <w:numId w:val="1"/>
        </w:numPr>
        <w:spacing w:line="360" w:lineRule="auto"/>
        <w:ind w:left="0" w:firstLine="1440"/>
      </w:pPr>
      <w:r>
        <w:t>1305 Paradise Falls receives no natural gas service (N.T. 18).</w:t>
      </w:r>
    </w:p>
    <w:p w:rsidR="001057F8" w:rsidRDefault="001057F8" w:rsidP="001057F8">
      <w:pPr>
        <w:pStyle w:val="ListParagraph"/>
      </w:pPr>
    </w:p>
    <w:p w:rsidR="001057F8" w:rsidRDefault="00300CD2" w:rsidP="00D04B01">
      <w:pPr>
        <w:pStyle w:val="ListParagraph"/>
        <w:numPr>
          <w:ilvl w:val="0"/>
          <w:numId w:val="1"/>
        </w:numPr>
        <w:spacing w:line="360" w:lineRule="auto"/>
        <w:ind w:left="0" w:firstLine="1440"/>
      </w:pPr>
      <w:r>
        <w:t>Complainant disputes as unreasonably high the bills she received for electric service from December 2009 through February 2010</w:t>
      </w:r>
      <w:r w:rsidR="005F5751">
        <w:t>, and for the same period during the previous years</w:t>
      </w:r>
      <w:r>
        <w:t xml:space="preserve"> (N.T. 14</w:t>
      </w:r>
      <w:r w:rsidR="005F5751">
        <w:t>, 18-19</w:t>
      </w:r>
      <w:r>
        <w:t>).</w:t>
      </w:r>
    </w:p>
    <w:p w:rsidR="00300CD2" w:rsidRDefault="00300CD2" w:rsidP="00300CD2">
      <w:pPr>
        <w:pStyle w:val="ListParagraph"/>
      </w:pPr>
    </w:p>
    <w:p w:rsidR="00300CD2" w:rsidRDefault="00300CD2" w:rsidP="00D04B01">
      <w:pPr>
        <w:pStyle w:val="ListParagraph"/>
        <w:numPr>
          <w:ilvl w:val="0"/>
          <w:numId w:val="1"/>
        </w:numPr>
        <w:spacing w:line="360" w:lineRule="auto"/>
        <w:ind w:left="0" w:firstLine="1440"/>
      </w:pPr>
      <w:r>
        <w:t xml:space="preserve">Complainant explains no one lives at 1305 Paradise Falls from December through February of each year.  She lives there alone from June through mid-September every year, except when her grandchildren visit her on some weekends.  The </w:t>
      </w:r>
      <w:r w:rsidR="00733D5D">
        <w:t>family, consisting of seven or eight people, spends four days over the Thanksgiving Holiday there also (N.T. 15-16</w:t>
      </w:r>
      <w:r w:rsidR="009F6ACD">
        <w:t>, 25</w:t>
      </w:r>
      <w:r w:rsidR="00733D5D">
        <w:t>).</w:t>
      </w:r>
    </w:p>
    <w:p w:rsidR="00733D5D" w:rsidRDefault="006A76E3" w:rsidP="00D04B01">
      <w:pPr>
        <w:pStyle w:val="ListParagraph"/>
        <w:numPr>
          <w:ilvl w:val="0"/>
          <w:numId w:val="1"/>
        </w:numPr>
        <w:spacing w:line="360" w:lineRule="auto"/>
        <w:ind w:left="0" w:firstLine="1440"/>
      </w:pPr>
      <w:r>
        <w:lastRenderedPageBreak/>
        <w:t xml:space="preserve">Complainant has a </w:t>
      </w:r>
      <w:r w:rsidR="009F6ACD">
        <w:t>plumber/</w:t>
      </w:r>
      <w:r>
        <w:t xml:space="preserve">maintenance man, who “shuts everything off” </w:t>
      </w:r>
      <w:r w:rsidR="005D40C2">
        <w:t xml:space="preserve">and drains the water pipes </w:t>
      </w:r>
      <w:r>
        <w:t>for her at 1305 Paradise Falls</w:t>
      </w:r>
      <w:r w:rsidR="005D40C2">
        <w:t xml:space="preserve"> after Thanksgiving.  He sets the house up for Complainant to live there the following June.  He follows the same routine every year (N.T. 16-17</w:t>
      </w:r>
      <w:r w:rsidR="009F6ACD">
        <w:t>, 26</w:t>
      </w:r>
      <w:r w:rsidR="005D40C2">
        <w:t>).</w:t>
      </w:r>
    </w:p>
    <w:p w:rsidR="008831FD" w:rsidRDefault="008831FD" w:rsidP="008831FD">
      <w:pPr>
        <w:pStyle w:val="ListParagraph"/>
      </w:pPr>
    </w:p>
    <w:p w:rsidR="008831FD" w:rsidRDefault="00EC7351" w:rsidP="00D04B01">
      <w:pPr>
        <w:pStyle w:val="ListParagraph"/>
        <w:numPr>
          <w:ilvl w:val="0"/>
          <w:numId w:val="1"/>
        </w:numPr>
        <w:spacing w:line="360" w:lineRule="auto"/>
        <w:ind w:left="0" w:firstLine="1440"/>
      </w:pPr>
      <w:r>
        <w:t>As far as she knows, Complainant believes the electricity is shut off at the breaker box at the end of each season (N.T. 16).</w:t>
      </w:r>
    </w:p>
    <w:p w:rsidR="00EC7351" w:rsidRDefault="00EC7351" w:rsidP="00EC7351">
      <w:pPr>
        <w:pStyle w:val="ListParagraph"/>
      </w:pPr>
    </w:p>
    <w:p w:rsidR="00EC7351" w:rsidRDefault="00530B02" w:rsidP="00D04B01">
      <w:pPr>
        <w:pStyle w:val="ListParagraph"/>
        <w:numPr>
          <w:ilvl w:val="0"/>
          <w:numId w:val="1"/>
        </w:numPr>
        <w:spacing w:line="360" w:lineRule="auto"/>
        <w:ind w:left="0" w:firstLine="1440"/>
      </w:pPr>
      <w:r>
        <w:t>Complainant challenges her electric bills because she insists she paid the same amount year-round, regardless of whether she lived at 1305 Paradise Falls or not, and her bills there during the winter were higher than where she lives now in Macungie (N.T. 18-19).</w:t>
      </w:r>
    </w:p>
    <w:p w:rsidR="00530B02" w:rsidRDefault="00530B02" w:rsidP="00530B02">
      <w:pPr>
        <w:pStyle w:val="ListParagraph"/>
      </w:pPr>
    </w:p>
    <w:p w:rsidR="00530B02" w:rsidRDefault="00D914CC" w:rsidP="00D04B01">
      <w:pPr>
        <w:pStyle w:val="ListParagraph"/>
        <w:numPr>
          <w:ilvl w:val="0"/>
          <w:numId w:val="1"/>
        </w:numPr>
        <w:spacing w:line="360" w:lineRule="auto"/>
        <w:ind w:left="0" w:firstLine="1440"/>
      </w:pPr>
      <w:r>
        <w:t xml:space="preserve">PPL notes Complainant was on budget billing during this time, which takes her annual usage and </w:t>
      </w:r>
      <w:r w:rsidR="00EB43C6">
        <w:t>divides that amount by 12 to derive an average monthly bill (N.T. 32).</w:t>
      </w:r>
    </w:p>
    <w:p w:rsidR="00EB43C6" w:rsidRDefault="00EB43C6" w:rsidP="00EB43C6">
      <w:pPr>
        <w:pStyle w:val="ListParagraph"/>
      </w:pPr>
    </w:p>
    <w:p w:rsidR="00EB43C6" w:rsidRDefault="00EB43C6" w:rsidP="00D04B01">
      <w:pPr>
        <w:pStyle w:val="ListParagraph"/>
        <w:numPr>
          <w:ilvl w:val="0"/>
          <w:numId w:val="1"/>
        </w:numPr>
        <w:spacing w:line="360" w:lineRule="auto"/>
        <w:ind w:left="0" w:firstLine="1440"/>
      </w:pPr>
      <w:r>
        <w:t>PPL introduces an Account Activity Statement</w:t>
      </w:r>
      <w:r w:rsidR="008072DD">
        <w:t xml:space="preserve">, which </w:t>
      </w:r>
      <w:r w:rsidR="000925FB">
        <w:t xml:space="preserve">shows </w:t>
      </w:r>
      <w:r w:rsidR="008072DD">
        <w:t>the billing on Complainant’s account for the period of February 25, 2008 to June 28, 2011 (N.T. 28-32; PPL Exh. 1A).</w:t>
      </w:r>
    </w:p>
    <w:p w:rsidR="008072DD" w:rsidRDefault="008072DD" w:rsidP="008072DD">
      <w:pPr>
        <w:pStyle w:val="ListParagraph"/>
      </w:pPr>
    </w:p>
    <w:p w:rsidR="008072DD" w:rsidRDefault="000925FB" w:rsidP="00D04B01">
      <w:pPr>
        <w:pStyle w:val="ListParagraph"/>
        <w:numPr>
          <w:ilvl w:val="0"/>
          <w:numId w:val="1"/>
        </w:numPr>
        <w:spacing w:line="360" w:lineRule="auto"/>
        <w:ind w:left="0" w:firstLine="1440"/>
      </w:pPr>
      <w:r>
        <w:t>The Account Activity Statement discloses the amount of electricity consumed for each month, December through March, for the years 2008 to 2011 to be as follows:</w:t>
      </w:r>
    </w:p>
    <w:p w:rsidR="00D254AD" w:rsidRDefault="00D254AD" w:rsidP="00D254AD">
      <w:pPr>
        <w:pStyle w:val="ListParagraph"/>
      </w:pPr>
    </w:p>
    <w:p w:rsidR="00D254AD" w:rsidRDefault="00D254AD" w:rsidP="00D254AD"/>
    <w:tbl>
      <w:tblPr>
        <w:tblStyle w:val="TableGrid"/>
        <w:tblW w:w="0" w:type="auto"/>
        <w:tblLook w:val="04A0" w:firstRow="1" w:lastRow="0" w:firstColumn="1" w:lastColumn="0" w:noHBand="0" w:noVBand="1"/>
      </w:tblPr>
      <w:tblGrid>
        <w:gridCol w:w="595"/>
        <w:gridCol w:w="597"/>
        <w:gridCol w:w="598"/>
        <w:gridCol w:w="601"/>
        <w:gridCol w:w="596"/>
        <w:gridCol w:w="598"/>
        <w:gridCol w:w="598"/>
        <w:gridCol w:w="601"/>
        <w:gridCol w:w="597"/>
        <w:gridCol w:w="599"/>
        <w:gridCol w:w="599"/>
        <w:gridCol w:w="601"/>
        <w:gridCol w:w="597"/>
        <w:gridCol w:w="599"/>
        <w:gridCol w:w="599"/>
        <w:gridCol w:w="601"/>
      </w:tblGrid>
      <w:tr w:rsidR="00D254AD" w:rsidTr="0090095F">
        <w:tc>
          <w:tcPr>
            <w:tcW w:w="598" w:type="dxa"/>
            <w:tcBorders>
              <w:top w:val="thinThickSmallGap" w:sz="24" w:space="0" w:color="auto"/>
              <w:left w:val="thinThickSmallGap" w:sz="24" w:space="0" w:color="auto"/>
            </w:tcBorders>
          </w:tcPr>
          <w:p w:rsidR="00D254AD" w:rsidRPr="00FE2E73" w:rsidRDefault="00D254AD" w:rsidP="0090095F">
            <w:pPr>
              <w:rPr>
                <w:b/>
                <w:sz w:val="18"/>
                <w:szCs w:val="18"/>
                <w:u w:val="single"/>
              </w:rPr>
            </w:pPr>
            <w:r w:rsidRPr="00FE2E73">
              <w:rPr>
                <w:b/>
                <w:sz w:val="18"/>
                <w:szCs w:val="18"/>
                <w:u w:val="single"/>
              </w:rPr>
              <w:t>Date</w:t>
            </w:r>
          </w:p>
        </w:tc>
        <w:tc>
          <w:tcPr>
            <w:tcW w:w="598" w:type="dxa"/>
            <w:tcBorders>
              <w:top w:val="thinThickSmallGap" w:sz="24" w:space="0" w:color="auto"/>
            </w:tcBorders>
          </w:tcPr>
          <w:p w:rsidR="00D254AD" w:rsidRPr="00FE2E73" w:rsidRDefault="00D254AD" w:rsidP="0090095F">
            <w:pPr>
              <w:rPr>
                <w:b/>
                <w:sz w:val="18"/>
                <w:szCs w:val="18"/>
                <w:u w:val="single"/>
              </w:rPr>
            </w:pPr>
            <w:r w:rsidRPr="00FE2E73">
              <w:rPr>
                <w:b/>
                <w:sz w:val="18"/>
                <w:szCs w:val="18"/>
                <w:u w:val="single"/>
              </w:rPr>
              <w:t>Days</w:t>
            </w:r>
          </w:p>
        </w:tc>
        <w:tc>
          <w:tcPr>
            <w:tcW w:w="598" w:type="dxa"/>
            <w:tcBorders>
              <w:top w:val="thinThickSmallGap" w:sz="24" w:space="0" w:color="auto"/>
            </w:tcBorders>
          </w:tcPr>
          <w:p w:rsidR="00D254AD" w:rsidRPr="00FE2E73" w:rsidRDefault="00D254AD" w:rsidP="0090095F">
            <w:pPr>
              <w:rPr>
                <w:b/>
                <w:sz w:val="18"/>
                <w:szCs w:val="18"/>
                <w:u w:val="single"/>
              </w:rPr>
            </w:pPr>
            <w:r w:rsidRPr="00FE2E73">
              <w:rPr>
                <w:b/>
                <w:sz w:val="18"/>
                <w:szCs w:val="18"/>
                <w:u w:val="single"/>
              </w:rPr>
              <w:t>kWh</w:t>
            </w:r>
          </w:p>
        </w:tc>
        <w:tc>
          <w:tcPr>
            <w:tcW w:w="598" w:type="dxa"/>
            <w:tcBorders>
              <w:top w:val="thinThickSmallGap" w:sz="24" w:space="0" w:color="auto"/>
            </w:tcBorders>
          </w:tcPr>
          <w:p w:rsidR="00D254AD" w:rsidRPr="00FE2E73" w:rsidRDefault="00D254AD" w:rsidP="0090095F">
            <w:pPr>
              <w:rPr>
                <w:b/>
                <w:sz w:val="18"/>
                <w:szCs w:val="18"/>
                <w:u w:val="single"/>
              </w:rPr>
            </w:pPr>
            <w:r w:rsidRPr="00FE2E73">
              <w:rPr>
                <w:b/>
                <w:sz w:val="18"/>
                <w:szCs w:val="18"/>
                <w:u w:val="single"/>
              </w:rPr>
              <w:t>Bill</w:t>
            </w:r>
          </w:p>
        </w:tc>
        <w:tc>
          <w:tcPr>
            <w:tcW w:w="598" w:type="dxa"/>
            <w:tcBorders>
              <w:top w:val="thinThickSmallGap" w:sz="24" w:space="0" w:color="auto"/>
            </w:tcBorders>
          </w:tcPr>
          <w:p w:rsidR="00D254AD" w:rsidRPr="00FE2E73" w:rsidRDefault="00D254AD" w:rsidP="0090095F">
            <w:pPr>
              <w:rPr>
                <w:b/>
                <w:sz w:val="18"/>
                <w:szCs w:val="18"/>
                <w:u w:val="single"/>
              </w:rPr>
            </w:pPr>
            <w:r w:rsidRPr="00FE2E73">
              <w:rPr>
                <w:b/>
                <w:sz w:val="18"/>
                <w:szCs w:val="18"/>
                <w:u w:val="single"/>
              </w:rPr>
              <w:t>Date</w:t>
            </w:r>
          </w:p>
        </w:tc>
        <w:tc>
          <w:tcPr>
            <w:tcW w:w="598" w:type="dxa"/>
            <w:tcBorders>
              <w:top w:val="thinThickSmallGap" w:sz="24" w:space="0" w:color="auto"/>
            </w:tcBorders>
          </w:tcPr>
          <w:p w:rsidR="00D254AD" w:rsidRPr="00FE2E73" w:rsidRDefault="00D254AD" w:rsidP="0090095F">
            <w:pPr>
              <w:rPr>
                <w:b/>
                <w:sz w:val="18"/>
                <w:szCs w:val="18"/>
                <w:u w:val="single"/>
              </w:rPr>
            </w:pPr>
            <w:r w:rsidRPr="00FE2E73">
              <w:rPr>
                <w:b/>
                <w:sz w:val="18"/>
                <w:szCs w:val="18"/>
                <w:u w:val="single"/>
              </w:rPr>
              <w:t>Days</w:t>
            </w:r>
          </w:p>
        </w:tc>
        <w:tc>
          <w:tcPr>
            <w:tcW w:w="598" w:type="dxa"/>
            <w:tcBorders>
              <w:top w:val="thinThickSmallGap" w:sz="24" w:space="0" w:color="auto"/>
            </w:tcBorders>
          </w:tcPr>
          <w:p w:rsidR="00D254AD" w:rsidRPr="00FE2E73" w:rsidRDefault="00D254AD" w:rsidP="0090095F">
            <w:pPr>
              <w:rPr>
                <w:b/>
                <w:sz w:val="18"/>
                <w:szCs w:val="18"/>
                <w:u w:val="single"/>
              </w:rPr>
            </w:pPr>
            <w:r w:rsidRPr="00FE2E73">
              <w:rPr>
                <w:b/>
                <w:sz w:val="18"/>
                <w:szCs w:val="18"/>
                <w:u w:val="single"/>
              </w:rPr>
              <w:t>kWh</w:t>
            </w:r>
          </w:p>
        </w:tc>
        <w:tc>
          <w:tcPr>
            <w:tcW w:w="598" w:type="dxa"/>
            <w:tcBorders>
              <w:top w:val="thinThickSmallGap" w:sz="24" w:space="0" w:color="auto"/>
            </w:tcBorders>
          </w:tcPr>
          <w:p w:rsidR="00D254AD" w:rsidRPr="00FE2E73" w:rsidRDefault="00D254AD" w:rsidP="0090095F">
            <w:pPr>
              <w:rPr>
                <w:b/>
                <w:sz w:val="18"/>
                <w:szCs w:val="18"/>
                <w:u w:val="single"/>
              </w:rPr>
            </w:pPr>
            <w:r w:rsidRPr="00FE2E73">
              <w:rPr>
                <w:b/>
                <w:sz w:val="18"/>
                <w:szCs w:val="18"/>
                <w:u w:val="single"/>
              </w:rPr>
              <w:t>Bill</w:t>
            </w:r>
          </w:p>
        </w:tc>
        <w:tc>
          <w:tcPr>
            <w:tcW w:w="599" w:type="dxa"/>
            <w:tcBorders>
              <w:top w:val="thinThickSmallGap" w:sz="24" w:space="0" w:color="auto"/>
            </w:tcBorders>
          </w:tcPr>
          <w:p w:rsidR="00D254AD" w:rsidRPr="00FE2E73" w:rsidRDefault="00D254AD" w:rsidP="0090095F">
            <w:pPr>
              <w:rPr>
                <w:b/>
                <w:sz w:val="18"/>
                <w:szCs w:val="18"/>
                <w:u w:val="single"/>
              </w:rPr>
            </w:pPr>
            <w:r w:rsidRPr="00FE2E73">
              <w:rPr>
                <w:b/>
                <w:sz w:val="18"/>
                <w:szCs w:val="18"/>
                <w:u w:val="single"/>
              </w:rPr>
              <w:t>Date</w:t>
            </w:r>
          </w:p>
        </w:tc>
        <w:tc>
          <w:tcPr>
            <w:tcW w:w="599" w:type="dxa"/>
            <w:tcBorders>
              <w:top w:val="thinThickSmallGap" w:sz="24" w:space="0" w:color="auto"/>
            </w:tcBorders>
          </w:tcPr>
          <w:p w:rsidR="00D254AD" w:rsidRPr="00FE2E73" w:rsidRDefault="00D254AD" w:rsidP="0090095F">
            <w:pPr>
              <w:rPr>
                <w:b/>
                <w:sz w:val="18"/>
                <w:szCs w:val="18"/>
                <w:u w:val="single"/>
              </w:rPr>
            </w:pPr>
            <w:r w:rsidRPr="00FE2E73">
              <w:rPr>
                <w:b/>
                <w:sz w:val="18"/>
                <w:szCs w:val="18"/>
                <w:u w:val="single"/>
              </w:rPr>
              <w:t>Days</w:t>
            </w:r>
          </w:p>
        </w:tc>
        <w:tc>
          <w:tcPr>
            <w:tcW w:w="599" w:type="dxa"/>
            <w:tcBorders>
              <w:top w:val="thinThickSmallGap" w:sz="24" w:space="0" w:color="auto"/>
            </w:tcBorders>
          </w:tcPr>
          <w:p w:rsidR="00D254AD" w:rsidRPr="00FE2E73" w:rsidRDefault="00D254AD" w:rsidP="0090095F">
            <w:pPr>
              <w:rPr>
                <w:b/>
                <w:sz w:val="18"/>
                <w:szCs w:val="18"/>
                <w:u w:val="single"/>
              </w:rPr>
            </w:pPr>
            <w:r w:rsidRPr="00FE2E73">
              <w:rPr>
                <w:b/>
                <w:sz w:val="18"/>
                <w:szCs w:val="18"/>
                <w:u w:val="single"/>
              </w:rPr>
              <w:t>kWh</w:t>
            </w:r>
          </w:p>
        </w:tc>
        <w:tc>
          <w:tcPr>
            <w:tcW w:w="599" w:type="dxa"/>
            <w:tcBorders>
              <w:top w:val="thinThickSmallGap" w:sz="24" w:space="0" w:color="auto"/>
            </w:tcBorders>
          </w:tcPr>
          <w:p w:rsidR="00D254AD" w:rsidRPr="00FE2E73" w:rsidRDefault="00D254AD" w:rsidP="0090095F">
            <w:pPr>
              <w:rPr>
                <w:b/>
                <w:sz w:val="18"/>
                <w:szCs w:val="18"/>
                <w:u w:val="single"/>
              </w:rPr>
            </w:pPr>
            <w:r w:rsidRPr="00FE2E73">
              <w:rPr>
                <w:b/>
                <w:sz w:val="18"/>
                <w:szCs w:val="18"/>
                <w:u w:val="single"/>
              </w:rPr>
              <w:t>Bill</w:t>
            </w:r>
          </w:p>
        </w:tc>
        <w:tc>
          <w:tcPr>
            <w:tcW w:w="599" w:type="dxa"/>
            <w:tcBorders>
              <w:top w:val="thinThickSmallGap" w:sz="24" w:space="0" w:color="auto"/>
            </w:tcBorders>
          </w:tcPr>
          <w:p w:rsidR="00D254AD" w:rsidRPr="00FE2E73" w:rsidRDefault="00D254AD" w:rsidP="0090095F">
            <w:pPr>
              <w:rPr>
                <w:b/>
                <w:sz w:val="18"/>
                <w:szCs w:val="18"/>
                <w:u w:val="single"/>
              </w:rPr>
            </w:pPr>
            <w:r w:rsidRPr="00FE2E73">
              <w:rPr>
                <w:b/>
                <w:sz w:val="18"/>
                <w:szCs w:val="18"/>
                <w:u w:val="single"/>
              </w:rPr>
              <w:t>Date</w:t>
            </w:r>
          </w:p>
        </w:tc>
        <w:tc>
          <w:tcPr>
            <w:tcW w:w="599" w:type="dxa"/>
            <w:tcBorders>
              <w:top w:val="thinThickSmallGap" w:sz="24" w:space="0" w:color="auto"/>
            </w:tcBorders>
          </w:tcPr>
          <w:p w:rsidR="00D254AD" w:rsidRPr="00FE2E73" w:rsidRDefault="00D254AD" w:rsidP="0090095F">
            <w:pPr>
              <w:rPr>
                <w:b/>
                <w:sz w:val="18"/>
                <w:szCs w:val="18"/>
                <w:u w:val="single"/>
              </w:rPr>
            </w:pPr>
            <w:r w:rsidRPr="00FE2E73">
              <w:rPr>
                <w:b/>
                <w:sz w:val="18"/>
                <w:szCs w:val="18"/>
                <w:u w:val="single"/>
              </w:rPr>
              <w:t>Days</w:t>
            </w:r>
          </w:p>
        </w:tc>
        <w:tc>
          <w:tcPr>
            <w:tcW w:w="599" w:type="dxa"/>
            <w:tcBorders>
              <w:top w:val="thinThickSmallGap" w:sz="24" w:space="0" w:color="auto"/>
            </w:tcBorders>
          </w:tcPr>
          <w:p w:rsidR="00D254AD" w:rsidRPr="00FE2E73" w:rsidRDefault="00D254AD" w:rsidP="0090095F">
            <w:pPr>
              <w:rPr>
                <w:b/>
                <w:sz w:val="18"/>
                <w:szCs w:val="18"/>
                <w:u w:val="single"/>
              </w:rPr>
            </w:pPr>
            <w:r w:rsidRPr="00FE2E73">
              <w:rPr>
                <w:b/>
                <w:sz w:val="18"/>
                <w:szCs w:val="18"/>
                <w:u w:val="single"/>
              </w:rPr>
              <w:t>kWh</w:t>
            </w:r>
          </w:p>
        </w:tc>
        <w:tc>
          <w:tcPr>
            <w:tcW w:w="599" w:type="dxa"/>
            <w:tcBorders>
              <w:top w:val="thinThickSmallGap" w:sz="24" w:space="0" w:color="auto"/>
              <w:right w:val="thickThinSmallGap" w:sz="24" w:space="0" w:color="auto"/>
            </w:tcBorders>
          </w:tcPr>
          <w:p w:rsidR="00D254AD" w:rsidRPr="00FE2E73" w:rsidRDefault="00D254AD" w:rsidP="0090095F">
            <w:pPr>
              <w:rPr>
                <w:b/>
                <w:sz w:val="18"/>
                <w:szCs w:val="18"/>
                <w:u w:val="single"/>
              </w:rPr>
            </w:pPr>
            <w:r w:rsidRPr="00FE2E73">
              <w:rPr>
                <w:b/>
                <w:sz w:val="18"/>
                <w:szCs w:val="18"/>
                <w:u w:val="single"/>
              </w:rPr>
              <w:t>Bill</w:t>
            </w:r>
          </w:p>
        </w:tc>
      </w:tr>
      <w:tr w:rsidR="00D254AD" w:rsidTr="0090095F">
        <w:tc>
          <w:tcPr>
            <w:tcW w:w="598" w:type="dxa"/>
            <w:tcBorders>
              <w:left w:val="thinThickSmallGap" w:sz="24" w:space="0" w:color="auto"/>
            </w:tcBorders>
          </w:tcPr>
          <w:p w:rsidR="00D254AD" w:rsidRPr="007A54E7" w:rsidRDefault="00D254AD" w:rsidP="0090095F">
            <w:pPr>
              <w:rPr>
                <w:sz w:val="14"/>
                <w:szCs w:val="14"/>
              </w:rPr>
            </w:pPr>
          </w:p>
        </w:tc>
        <w:tc>
          <w:tcPr>
            <w:tcW w:w="598" w:type="dxa"/>
          </w:tcPr>
          <w:p w:rsidR="00D254AD" w:rsidRPr="007A54E7" w:rsidRDefault="00D254AD" w:rsidP="0090095F">
            <w:pPr>
              <w:rPr>
                <w:sz w:val="14"/>
                <w:szCs w:val="14"/>
              </w:rPr>
            </w:pPr>
          </w:p>
        </w:tc>
        <w:tc>
          <w:tcPr>
            <w:tcW w:w="598" w:type="dxa"/>
          </w:tcPr>
          <w:p w:rsidR="00D254AD" w:rsidRPr="007A54E7" w:rsidRDefault="00D254AD" w:rsidP="0090095F">
            <w:pPr>
              <w:rPr>
                <w:sz w:val="14"/>
                <w:szCs w:val="14"/>
              </w:rPr>
            </w:pPr>
          </w:p>
        </w:tc>
        <w:tc>
          <w:tcPr>
            <w:tcW w:w="598" w:type="dxa"/>
          </w:tcPr>
          <w:p w:rsidR="00D254AD" w:rsidRPr="007A54E7" w:rsidRDefault="00D254AD" w:rsidP="0090095F">
            <w:pPr>
              <w:rPr>
                <w:sz w:val="14"/>
                <w:szCs w:val="14"/>
              </w:rPr>
            </w:pPr>
          </w:p>
        </w:tc>
        <w:tc>
          <w:tcPr>
            <w:tcW w:w="598" w:type="dxa"/>
          </w:tcPr>
          <w:p w:rsidR="00D254AD" w:rsidRPr="007A54E7" w:rsidRDefault="00D254AD" w:rsidP="0090095F">
            <w:pPr>
              <w:rPr>
                <w:sz w:val="14"/>
                <w:szCs w:val="14"/>
              </w:rPr>
            </w:pPr>
            <w:r>
              <w:rPr>
                <w:sz w:val="14"/>
                <w:szCs w:val="14"/>
              </w:rPr>
              <w:t>12/08</w:t>
            </w:r>
          </w:p>
        </w:tc>
        <w:tc>
          <w:tcPr>
            <w:tcW w:w="598" w:type="dxa"/>
          </w:tcPr>
          <w:p w:rsidR="00D254AD" w:rsidRPr="007A54E7" w:rsidRDefault="00D254AD" w:rsidP="0090095F">
            <w:pPr>
              <w:rPr>
                <w:sz w:val="14"/>
                <w:szCs w:val="14"/>
              </w:rPr>
            </w:pPr>
            <w:r>
              <w:rPr>
                <w:sz w:val="14"/>
                <w:szCs w:val="14"/>
              </w:rPr>
              <w:t>32</w:t>
            </w:r>
          </w:p>
        </w:tc>
        <w:tc>
          <w:tcPr>
            <w:tcW w:w="598" w:type="dxa"/>
          </w:tcPr>
          <w:p w:rsidR="00D254AD" w:rsidRPr="007A54E7" w:rsidRDefault="00D254AD" w:rsidP="0090095F">
            <w:pPr>
              <w:rPr>
                <w:sz w:val="14"/>
                <w:szCs w:val="14"/>
              </w:rPr>
            </w:pPr>
            <w:r>
              <w:rPr>
                <w:sz w:val="14"/>
                <w:szCs w:val="14"/>
              </w:rPr>
              <w:t>4624</w:t>
            </w:r>
          </w:p>
        </w:tc>
        <w:tc>
          <w:tcPr>
            <w:tcW w:w="598" w:type="dxa"/>
          </w:tcPr>
          <w:p w:rsidR="00D254AD" w:rsidRPr="007A54E7" w:rsidRDefault="00D254AD" w:rsidP="0090095F">
            <w:pPr>
              <w:rPr>
                <w:sz w:val="14"/>
                <w:szCs w:val="14"/>
              </w:rPr>
            </w:pPr>
            <w:r>
              <w:rPr>
                <w:sz w:val="14"/>
                <w:szCs w:val="14"/>
              </w:rPr>
              <w:t>426.87</w:t>
            </w:r>
          </w:p>
        </w:tc>
        <w:tc>
          <w:tcPr>
            <w:tcW w:w="599" w:type="dxa"/>
          </w:tcPr>
          <w:p w:rsidR="00D254AD" w:rsidRPr="007A54E7" w:rsidRDefault="00D254AD" w:rsidP="0090095F">
            <w:pPr>
              <w:rPr>
                <w:sz w:val="14"/>
                <w:szCs w:val="14"/>
              </w:rPr>
            </w:pPr>
            <w:r>
              <w:rPr>
                <w:sz w:val="14"/>
                <w:szCs w:val="14"/>
              </w:rPr>
              <w:t>12/09</w:t>
            </w:r>
          </w:p>
        </w:tc>
        <w:tc>
          <w:tcPr>
            <w:tcW w:w="599" w:type="dxa"/>
          </w:tcPr>
          <w:p w:rsidR="00D254AD" w:rsidRPr="007A54E7" w:rsidRDefault="00D254AD" w:rsidP="0090095F">
            <w:pPr>
              <w:rPr>
                <w:sz w:val="14"/>
                <w:szCs w:val="14"/>
              </w:rPr>
            </w:pPr>
            <w:r>
              <w:rPr>
                <w:sz w:val="14"/>
                <w:szCs w:val="14"/>
              </w:rPr>
              <w:t>34</w:t>
            </w:r>
          </w:p>
        </w:tc>
        <w:tc>
          <w:tcPr>
            <w:tcW w:w="599" w:type="dxa"/>
          </w:tcPr>
          <w:p w:rsidR="00D254AD" w:rsidRPr="007A54E7" w:rsidRDefault="00D254AD" w:rsidP="0090095F">
            <w:pPr>
              <w:rPr>
                <w:sz w:val="14"/>
                <w:szCs w:val="14"/>
              </w:rPr>
            </w:pPr>
            <w:r>
              <w:rPr>
                <w:sz w:val="14"/>
                <w:szCs w:val="14"/>
              </w:rPr>
              <w:t>4498</w:t>
            </w:r>
          </w:p>
        </w:tc>
        <w:tc>
          <w:tcPr>
            <w:tcW w:w="599" w:type="dxa"/>
          </w:tcPr>
          <w:p w:rsidR="00D254AD" w:rsidRPr="007A54E7" w:rsidRDefault="00D254AD" w:rsidP="0090095F">
            <w:pPr>
              <w:rPr>
                <w:sz w:val="14"/>
                <w:szCs w:val="14"/>
              </w:rPr>
            </w:pPr>
            <w:r>
              <w:rPr>
                <w:sz w:val="14"/>
                <w:szCs w:val="14"/>
              </w:rPr>
              <w:t>421.63</w:t>
            </w:r>
          </w:p>
        </w:tc>
        <w:tc>
          <w:tcPr>
            <w:tcW w:w="599" w:type="dxa"/>
          </w:tcPr>
          <w:p w:rsidR="00D254AD" w:rsidRPr="007A54E7" w:rsidRDefault="00D254AD" w:rsidP="0090095F">
            <w:pPr>
              <w:rPr>
                <w:sz w:val="14"/>
                <w:szCs w:val="14"/>
              </w:rPr>
            </w:pPr>
            <w:r>
              <w:rPr>
                <w:sz w:val="14"/>
                <w:szCs w:val="14"/>
              </w:rPr>
              <w:t>12/10</w:t>
            </w:r>
          </w:p>
        </w:tc>
        <w:tc>
          <w:tcPr>
            <w:tcW w:w="599" w:type="dxa"/>
          </w:tcPr>
          <w:p w:rsidR="00D254AD" w:rsidRPr="007A54E7" w:rsidRDefault="00D254AD" w:rsidP="0090095F">
            <w:pPr>
              <w:rPr>
                <w:sz w:val="14"/>
                <w:szCs w:val="14"/>
              </w:rPr>
            </w:pPr>
            <w:r>
              <w:rPr>
                <w:sz w:val="14"/>
                <w:szCs w:val="14"/>
              </w:rPr>
              <w:t>34</w:t>
            </w:r>
          </w:p>
        </w:tc>
        <w:tc>
          <w:tcPr>
            <w:tcW w:w="599" w:type="dxa"/>
          </w:tcPr>
          <w:p w:rsidR="00D254AD" w:rsidRPr="007A54E7" w:rsidRDefault="00D254AD" w:rsidP="0090095F">
            <w:pPr>
              <w:rPr>
                <w:sz w:val="14"/>
                <w:szCs w:val="14"/>
              </w:rPr>
            </w:pPr>
            <w:r>
              <w:rPr>
                <w:sz w:val="14"/>
                <w:szCs w:val="14"/>
              </w:rPr>
              <w:t>1601</w:t>
            </w:r>
          </w:p>
        </w:tc>
        <w:tc>
          <w:tcPr>
            <w:tcW w:w="599" w:type="dxa"/>
            <w:tcBorders>
              <w:right w:val="thickThinSmallGap" w:sz="24" w:space="0" w:color="auto"/>
            </w:tcBorders>
          </w:tcPr>
          <w:p w:rsidR="00D254AD" w:rsidRPr="007A54E7" w:rsidRDefault="00D254AD" w:rsidP="0090095F">
            <w:pPr>
              <w:rPr>
                <w:sz w:val="14"/>
                <w:szCs w:val="14"/>
              </w:rPr>
            </w:pPr>
            <w:r>
              <w:rPr>
                <w:sz w:val="14"/>
                <w:szCs w:val="14"/>
              </w:rPr>
              <w:t>197.35</w:t>
            </w:r>
          </w:p>
        </w:tc>
      </w:tr>
      <w:tr w:rsidR="00D254AD" w:rsidTr="0090095F">
        <w:tc>
          <w:tcPr>
            <w:tcW w:w="598" w:type="dxa"/>
            <w:tcBorders>
              <w:left w:val="thinThickSmallGap" w:sz="24" w:space="0" w:color="auto"/>
            </w:tcBorders>
          </w:tcPr>
          <w:p w:rsidR="00D254AD" w:rsidRPr="007A54E7" w:rsidRDefault="00D254AD" w:rsidP="0090095F">
            <w:pPr>
              <w:rPr>
                <w:sz w:val="14"/>
                <w:szCs w:val="14"/>
              </w:rPr>
            </w:pPr>
          </w:p>
        </w:tc>
        <w:tc>
          <w:tcPr>
            <w:tcW w:w="598" w:type="dxa"/>
          </w:tcPr>
          <w:p w:rsidR="00D254AD" w:rsidRPr="007A54E7" w:rsidRDefault="00D254AD" w:rsidP="0090095F">
            <w:pPr>
              <w:rPr>
                <w:sz w:val="14"/>
                <w:szCs w:val="14"/>
              </w:rPr>
            </w:pPr>
          </w:p>
        </w:tc>
        <w:tc>
          <w:tcPr>
            <w:tcW w:w="598" w:type="dxa"/>
          </w:tcPr>
          <w:p w:rsidR="00D254AD" w:rsidRPr="007A54E7" w:rsidRDefault="00D254AD" w:rsidP="0090095F">
            <w:pPr>
              <w:rPr>
                <w:sz w:val="14"/>
                <w:szCs w:val="14"/>
              </w:rPr>
            </w:pPr>
          </w:p>
        </w:tc>
        <w:tc>
          <w:tcPr>
            <w:tcW w:w="598" w:type="dxa"/>
          </w:tcPr>
          <w:p w:rsidR="00D254AD" w:rsidRPr="007A54E7" w:rsidRDefault="00D254AD" w:rsidP="0090095F">
            <w:pPr>
              <w:rPr>
                <w:sz w:val="14"/>
                <w:szCs w:val="14"/>
              </w:rPr>
            </w:pPr>
          </w:p>
        </w:tc>
        <w:tc>
          <w:tcPr>
            <w:tcW w:w="598" w:type="dxa"/>
          </w:tcPr>
          <w:p w:rsidR="00D254AD" w:rsidRPr="007A54E7" w:rsidRDefault="00D254AD" w:rsidP="0090095F">
            <w:pPr>
              <w:rPr>
                <w:sz w:val="14"/>
                <w:szCs w:val="14"/>
              </w:rPr>
            </w:pPr>
            <w:r>
              <w:rPr>
                <w:sz w:val="14"/>
                <w:szCs w:val="14"/>
              </w:rPr>
              <w:t>01/09</w:t>
            </w:r>
          </w:p>
        </w:tc>
        <w:tc>
          <w:tcPr>
            <w:tcW w:w="598" w:type="dxa"/>
          </w:tcPr>
          <w:p w:rsidR="00D254AD" w:rsidRPr="007A54E7" w:rsidRDefault="00D254AD" w:rsidP="0090095F">
            <w:pPr>
              <w:rPr>
                <w:sz w:val="14"/>
                <w:szCs w:val="14"/>
              </w:rPr>
            </w:pPr>
            <w:r>
              <w:rPr>
                <w:sz w:val="14"/>
                <w:szCs w:val="14"/>
              </w:rPr>
              <w:t>32</w:t>
            </w:r>
          </w:p>
        </w:tc>
        <w:tc>
          <w:tcPr>
            <w:tcW w:w="598" w:type="dxa"/>
          </w:tcPr>
          <w:p w:rsidR="00D254AD" w:rsidRPr="007A54E7" w:rsidRDefault="00D254AD" w:rsidP="0090095F">
            <w:pPr>
              <w:rPr>
                <w:sz w:val="14"/>
                <w:szCs w:val="14"/>
              </w:rPr>
            </w:pPr>
            <w:r>
              <w:rPr>
                <w:sz w:val="14"/>
                <w:szCs w:val="14"/>
              </w:rPr>
              <w:t>4188</w:t>
            </w:r>
          </w:p>
        </w:tc>
        <w:tc>
          <w:tcPr>
            <w:tcW w:w="598" w:type="dxa"/>
          </w:tcPr>
          <w:p w:rsidR="00D254AD" w:rsidRPr="007A54E7" w:rsidRDefault="00D254AD" w:rsidP="0090095F">
            <w:pPr>
              <w:rPr>
                <w:sz w:val="14"/>
                <w:szCs w:val="14"/>
              </w:rPr>
            </w:pPr>
            <w:r>
              <w:rPr>
                <w:sz w:val="14"/>
                <w:szCs w:val="14"/>
              </w:rPr>
              <w:t>392.80</w:t>
            </w:r>
          </w:p>
        </w:tc>
        <w:tc>
          <w:tcPr>
            <w:tcW w:w="599" w:type="dxa"/>
          </w:tcPr>
          <w:p w:rsidR="00D254AD" w:rsidRPr="007A54E7" w:rsidRDefault="00D254AD" w:rsidP="0090095F">
            <w:pPr>
              <w:rPr>
                <w:sz w:val="14"/>
                <w:szCs w:val="14"/>
              </w:rPr>
            </w:pPr>
            <w:r>
              <w:rPr>
                <w:sz w:val="14"/>
                <w:szCs w:val="14"/>
              </w:rPr>
              <w:t>01/10</w:t>
            </w:r>
          </w:p>
        </w:tc>
        <w:tc>
          <w:tcPr>
            <w:tcW w:w="599" w:type="dxa"/>
          </w:tcPr>
          <w:p w:rsidR="00D254AD" w:rsidRPr="007A54E7" w:rsidRDefault="00D254AD" w:rsidP="0090095F">
            <w:pPr>
              <w:rPr>
                <w:sz w:val="14"/>
                <w:szCs w:val="14"/>
              </w:rPr>
            </w:pPr>
            <w:r>
              <w:rPr>
                <w:sz w:val="14"/>
                <w:szCs w:val="14"/>
              </w:rPr>
              <w:t>29</w:t>
            </w:r>
          </w:p>
        </w:tc>
        <w:tc>
          <w:tcPr>
            <w:tcW w:w="599" w:type="dxa"/>
          </w:tcPr>
          <w:p w:rsidR="00D254AD" w:rsidRPr="007A54E7" w:rsidRDefault="00D254AD" w:rsidP="0090095F">
            <w:pPr>
              <w:rPr>
                <w:sz w:val="14"/>
                <w:szCs w:val="14"/>
              </w:rPr>
            </w:pPr>
            <w:r>
              <w:rPr>
                <w:sz w:val="14"/>
                <w:szCs w:val="14"/>
              </w:rPr>
              <w:t>4399</w:t>
            </w:r>
          </w:p>
        </w:tc>
        <w:tc>
          <w:tcPr>
            <w:tcW w:w="599" w:type="dxa"/>
          </w:tcPr>
          <w:p w:rsidR="00D254AD" w:rsidRPr="007A54E7" w:rsidRDefault="00D254AD" w:rsidP="0090095F">
            <w:pPr>
              <w:rPr>
                <w:sz w:val="14"/>
                <w:szCs w:val="14"/>
              </w:rPr>
            </w:pPr>
            <w:r>
              <w:rPr>
                <w:sz w:val="14"/>
                <w:szCs w:val="14"/>
              </w:rPr>
              <w:t>559.22</w:t>
            </w:r>
          </w:p>
        </w:tc>
        <w:tc>
          <w:tcPr>
            <w:tcW w:w="599" w:type="dxa"/>
          </w:tcPr>
          <w:p w:rsidR="00D254AD" w:rsidRPr="007A54E7" w:rsidRDefault="00D254AD" w:rsidP="0090095F">
            <w:pPr>
              <w:rPr>
                <w:sz w:val="14"/>
                <w:szCs w:val="14"/>
              </w:rPr>
            </w:pPr>
            <w:r>
              <w:rPr>
                <w:sz w:val="14"/>
                <w:szCs w:val="14"/>
              </w:rPr>
              <w:t>01/11</w:t>
            </w:r>
          </w:p>
        </w:tc>
        <w:tc>
          <w:tcPr>
            <w:tcW w:w="599" w:type="dxa"/>
          </w:tcPr>
          <w:p w:rsidR="00D254AD" w:rsidRPr="007A54E7" w:rsidRDefault="00D254AD" w:rsidP="0090095F">
            <w:pPr>
              <w:rPr>
                <w:sz w:val="14"/>
                <w:szCs w:val="14"/>
              </w:rPr>
            </w:pPr>
            <w:r>
              <w:rPr>
                <w:sz w:val="14"/>
                <w:szCs w:val="14"/>
              </w:rPr>
              <w:t>29</w:t>
            </w:r>
          </w:p>
        </w:tc>
        <w:tc>
          <w:tcPr>
            <w:tcW w:w="599" w:type="dxa"/>
          </w:tcPr>
          <w:p w:rsidR="00D254AD" w:rsidRPr="007A54E7" w:rsidRDefault="00D254AD" w:rsidP="0090095F">
            <w:pPr>
              <w:rPr>
                <w:sz w:val="14"/>
                <w:szCs w:val="14"/>
              </w:rPr>
            </w:pPr>
            <w:r>
              <w:rPr>
                <w:sz w:val="14"/>
                <w:szCs w:val="14"/>
              </w:rPr>
              <w:t>47</w:t>
            </w:r>
          </w:p>
        </w:tc>
        <w:tc>
          <w:tcPr>
            <w:tcW w:w="599" w:type="dxa"/>
            <w:tcBorders>
              <w:right w:val="thickThinSmallGap" w:sz="24" w:space="0" w:color="auto"/>
            </w:tcBorders>
          </w:tcPr>
          <w:p w:rsidR="00D254AD" w:rsidRPr="007A54E7" w:rsidRDefault="00D254AD" w:rsidP="0090095F">
            <w:pPr>
              <w:rPr>
                <w:sz w:val="14"/>
                <w:szCs w:val="14"/>
              </w:rPr>
            </w:pPr>
            <w:r>
              <w:rPr>
                <w:sz w:val="14"/>
                <w:szCs w:val="14"/>
              </w:rPr>
              <w:t>14.55</w:t>
            </w:r>
          </w:p>
        </w:tc>
      </w:tr>
      <w:tr w:rsidR="00D254AD" w:rsidTr="0090095F">
        <w:tc>
          <w:tcPr>
            <w:tcW w:w="598" w:type="dxa"/>
            <w:tcBorders>
              <w:left w:val="thinThickSmallGap" w:sz="24" w:space="0" w:color="auto"/>
            </w:tcBorders>
          </w:tcPr>
          <w:p w:rsidR="00D254AD" w:rsidRPr="007A54E7" w:rsidRDefault="00D254AD" w:rsidP="0090095F">
            <w:pPr>
              <w:rPr>
                <w:sz w:val="14"/>
                <w:szCs w:val="14"/>
              </w:rPr>
            </w:pPr>
            <w:r w:rsidRPr="007A54E7">
              <w:rPr>
                <w:sz w:val="14"/>
                <w:szCs w:val="14"/>
              </w:rPr>
              <w:t>02/08</w:t>
            </w:r>
          </w:p>
        </w:tc>
        <w:tc>
          <w:tcPr>
            <w:tcW w:w="598" w:type="dxa"/>
          </w:tcPr>
          <w:p w:rsidR="00D254AD" w:rsidRPr="007A54E7" w:rsidRDefault="00D254AD" w:rsidP="0090095F">
            <w:pPr>
              <w:rPr>
                <w:sz w:val="14"/>
                <w:szCs w:val="14"/>
              </w:rPr>
            </w:pPr>
            <w:r w:rsidRPr="007A54E7">
              <w:rPr>
                <w:sz w:val="14"/>
                <w:szCs w:val="14"/>
              </w:rPr>
              <w:t>31</w:t>
            </w:r>
          </w:p>
        </w:tc>
        <w:tc>
          <w:tcPr>
            <w:tcW w:w="598" w:type="dxa"/>
          </w:tcPr>
          <w:p w:rsidR="00D254AD" w:rsidRPr="007A54E7" w:rsidRDefault="00D254AD" w:rsidP="0090095F">
            <w:pPr>
              <w:rPr>
                <w:sz w:val="14"/>
                <w:szCs w:val="14"/>
              </w:rPr>
            </w:pPr>
            <w:r w:rsidRPr="007A54E7">
              <w:rPr>
                <w:sz w:val="14"/>
                <w:szCs w:val="14"/>
              </w:rPr>
              <w:t>3122</w:t>
            </w:r>
          </w:p>
        </w:tc>
        <w:tc>
          <w:tcPr>
            <w:tcW w:w="598" w:type="dxa"/>
          </w:tcPr>
          <w:p w:rsidR="00D254AD" w:rsidRPr="007A54E7" w:rsidRDefault="00D254AD" w:rsidP="0090095F">
            <w:pPr>
              <w:rPr>
                <w:sz w:val="14"/>
                <w:szCs w:val="14"/>
              </w:rPr>
            </w:pPr>
            <w:r w:rsidRPr="007A54E7">
              <w:rPr>
                <w:sz w:val="14"/>
                <w:szCs w:val="14"/>
              </w:rPr>
              <w:t>293.32</w:t>
            </w:r>
          </w:p>
        </w:tc>
        <w:tc>
          <w:tcPr>
            <w:tcW w:w="598" w:type="dxa"/>
          </w:tcPr>
          <w:p w:rsidR="00D254AD" w:rsidRPr="007A54E7" w:rsidRDefault="00D254AD" w:rsidP="0090095F">
            <w:pPr>
              <w:rPr>
                <w:sz w:val="14"/>
                <w:szCs w:val="14"/>
              </w:rPr>
            </w:pPr>
            <w:r w:rsidRPr="007A54E7">
              <w:rPr>
                <w:sz w:val="14"/>
                <w:szCs w:val="14"/>
              </w:rPr>
              <w:t>02/09</w:t>
            </w:r>
          </w:p>
        </w:tc>
        <w:tc>
          <w:tcPr>
            <w:tcW w:w="598" w:type="dxa"/>
          </w:tcPr>
          <w:p w:rsidR="00D254AD" w:rsidRPr="007A54E7" w:rsidRDefault="00D254AD" w:rsidP="0090095F">
            <w:pPr>
              <w:rPr>
                <w:sz w:val="14"/>
                <w:szCs w:val="14"/>
              </w:rPr>
            </w:pPr>
            <w:r w:rsidRPr="007A54E7">
              <w:rPr>
                <w:sz w:val="14"/>
                <w:szCs w:val="14"/>
              </w:rPr>
              <w:t>29</w:t>
            </w:r>
          </w:p>
        </w:tc>
        <w:tc>
          <w:tcPr>
            <w:tcW w:w="598" w:type="dxa"/>
          </w:tcPr>
          <w:p w:rsidR="00D254AD" w:rsidRPr="007A54E7" w:rsidRDefault="00D254AD" w:rsidP="0090095F">
            <w:pPr>
              <w:rPr>
                <w:sz w:val="14"/>
                <w:szCs w:val="14"/>
              </w:rPr>
            </w:pPr>
            <w:r w:rsidRPr="007A54E7">
              <w:rPr>
                <w:sz w:val="14"/>
                <w:szCs w:val="14"/>
              </w:rPr>
              <w:t>3698</w:t>
            </w:r>
          </w:p>
        </w:tc>
        <w:tc>
          <w:tcPr>
            <w:tcW w:w="598" w:type="dxa"/>
          </w:tcPr>
          <w:p w:rsidR="00D254AD" w:rsidRPr="007A54E7" w:rsidRDefault="00D254AD" w:rsidP="0090095F">
            <w:pPr>
              <w:rPr>
                <w:sz w:val="14"/>
                <w:szCs w:val="14"/>
              </w:rPr>
            </w:pPr>
            <w:r w:rsidRPr="007A54E7">
              <w:rPr>
                <w:sz w:val="14"/>
                <w:szCs w:val="14"/>
              </w:rPr>
              <w:t>349.45</w:t>
            </w:r>
          </w:p>
        </w:tc>
        <w:tc>
          <w:tcPr>
            <w:tcW w:w="599" w:type="dxa"/>
          </w:tcPr>
          <w:p w:rsidR="00D254AD" w:rsidRPr="007A54E7" w:rsidRDefault="00D254AD" w:rsidP="0090095F">
            <w:pPr>
              <w:rPr>
                <w:sz w:val="14"/>
                <w:szCs w:val="14"/>
              </w:rPr>
            </w:pPr>
            <w:r w:rsidRPr="007A54E7">
              <w:rPr>
                <w:sz w:val="14"/>
                <w:szCs w:val="14"/>
              </w:rPr>
              <w:t>02/10</w:t>
            </w:r>
          </w:p>
        </w:tc>
        <w:tc>
          <w:tcPr>
            <w:tcW w:w="599" w:type="dxa"/>
          </w:tcPr>
          <w:p w:rsidR="00D254AD" w:rsidRPr="007A54E7" w:rsidRDefault="00D254AD" w:rsidP="0090095F">
            <w:pPr>
              <w:rPr>
                <w:sz w:val="14"/>
                <w:szCs w:val="14"/>
              </w:rPr>
            </w:pPr>
            <w:r w:rsidRPr="007A54E7">
              <w:rPr>
                <w:sz w:val="14"/>
                <w:szCs w:val="14"/>
              </w:rPr>
              <w:t>30</w:t>
            </w:r>
          </w:p>
        </w:tc>
        <w:tc>
          <w:tcPr>
            <w:tcW w:w="599" w:type="dxa"/>
          </w:tcPr>
          <w:p w:rsidR="00D254AD" w:rsidRPr="007A54E7" w:rsidRDefault="00D254AD" w:rsidP="0090095F">
            <w:pPr>
              <w:rPr>
                <w:sz w:val="14"/>
                <w:szCs w:val="14"/>
              </w:rPr>
            </w:pPr>
            <w:r w:rsidRPr="007A54E7">
              <w:rPr>
                <w:sz w:val="14"/>
                <w:szCs w:val="14"/>
              </w:rPr>
              <w:t>4132</w:t>
            </w:r>
          </w:p>
        </w:tc>
        <w:tc>
          <w:tcPr>
            <w:tcW w:w="599" w:type="dxa"/>
          </w:tcPr>
          <w:p w:rsidR="00D254AD" w:rsidRPr="007A54E7" w:rsidRDefault="00D254AD" w:rsidP="0090095F">
            <w:pPr>
              <w:rPr>
                <w:sz w:val="14"/>
                <w:szCs w:val="14"/>
              </w:rPr>
            </w:pPr>
            <w:r w:rsidRPr="007A54E7">
              <w:rPr>
                <w:sz w:val="14"/>
                <w:szCs w:val="14"/>
              </w:rPr>
              <w:t>536.08</w:t>
            </w:r>
          </w:p>
        </w:tc>
        <w:tc>
          <w:tcPr>
            <w:tcW w:w="599" w:type="dxa"/>
          </w:tcPr>
          <w:p w:rsidR="00D254AD" w:rsidRPr="007A54E7" w:rsidRDefault="00D254AD" w:rsidP="0090095F">
            <w:pPr>
              <w:rPr>
                <w:sz w:val="14"/>
                <w:szCs w:val="14"/>
              </w:rPr>
            </w:pPr>
            <w:r w:rsidRPr="007A54E7">
              <w:rPr>
                <w:sz w:val="14"/>
                <w:szCs w:val="14"/>
              </w:rPr>
              <w:t>02/11</w:t>
            </w:r>
          </w:p>
        </w:tc>
        <w:tc>
          <w:tcPr>
            <w:tcW w:w="599" w:type="dxa"/>
          </w:tcPr>
          <w:p w:rsidR="00D254AD" w:rsidRPr="007A54E7" w:rsidRDefault="00D254AD" w:rsidP="0090095F">
            <w:pPr>
              <w:rPr>
                <w:sz w:val="14"/>
                <w:szCs w:val="14"/>
              </w:rPr>
            </w:pPr>
            <w:r w:rsidRPr="007A54E7">
              <w:rPr>
                <w:sz w:val="14"/>
                <w:szCs w:val="14"/>
              </w:rPr>
              <w:t>30</w:t>
            </w:r>
          </w:p>
        </w:tc>
        <w:tc>
          <w:tcPr>
            <w:tcW w:w="599" w:type="dxa"/>
          </w:tcPr>
          <w:p w:rsidR="00D254AD" w:rsidRPr="007A54E7" w:rsidRDefault="00D254AD" w:rsidP="0090095F">
            <w:pPr>
              <w:rPr>
                <w:sz w:val="14"/>
                <w:szCs w:val="14"/>
              </w:rPr>
            </w:pPr>
            <w:r w:rsidRPr="007A54E7">
              <w:rPr>
                <w:sz w:val="14"/>
                <w:szCs w:val="14"/>
              </w:rPr>
              <w:t>47</w:t>
            </w:r>
          </w:p>
        </w:tc>
        <w:tc>
          <w:tcPr>
            <w:tcW w:w="599" w:type="dxa"/>
            <w:tcBorders>
              <w:right w:val="thickThinSmallGap" w:sz="24" w:space="0" w:color="auto"/>
            </w:tcBorders>
          </w:tcPr>
          <w:p w:rsidR="00D254AD" w:rsidRPr="007A54E7" w:rsidRDefault="00D254AD" w:rsidP="0090095F">
            <w:pPr>
              <w:rPr>
                <w:sz w:val="14"/>
                <w:szCs w:val="14"/>
              </w:rPr>
            </w:pPr>
            <w:r w:rsidRPr="007A54E7">
              <w:rPr>
                <w:sz w:val="14"/>
                <w:szCs w:val="14"/>
              </w:rPr>
              <w:t>14.68</w:t>
            </w:r>
          </w:p>
        </w:tc>
      </w:tr>
      <w:tr w:rsidR="00D254AD" w:rsidTr="0090095F">
        <w:tc>
          <w:tcPr>
            <w:tcW w:w="598" w:type="dxa"/>
            <w:tcBorders>
              <w:left w:val="thinThickSmallGap" w:sz="24" w:space="0" w:color="auto"/>
              <w:bottom w:val="thickThinSmallGap" w:sz="24" w:space="0" w:color="auto"/>
            </w:tcBorders>
          </w:tcPr>
          <w:p w:rsidR="00D254AD" w:rsidRPr="007A54E7" w:rsidRDefault="00D254AD" w:rsidP="0090095F">
            <w:pPr>
              <w:rPr>
                <w:sz w:val="14"/>
                <w:szCs w:val="14"/>
              </w:rPr>
            </w:pPr>
            <w:r>
              <w:rPr>
                <w:sz w:val="14"/>
                <w:szCs w:val="14"/>
              </w:rPr>
              <w:t>03/08</w:t>
            </w:r>
          </w:p>
        </w:tc>
        <w:tc>
          <w:tcPr>
            <w:tcW w:w="598" w:type="dxa"/>
            <w:tcBorders>
              <w:bottom w:val="thickThinSmallGap" w:sz="24" w:space="0" w:color="auto"/>
            </w:tcBorders>
          </w:tcPr>
          <w:p w:rsidR="00D254AD" w:rsidRPr="007A54E7" w:rsidRDefault="00D254AD" w:rsidP="0090095F">
            <w:pPr>
              <w:rPr>
                <w:sz w:val="14"/>
                <w:szCs w:val="14"/>
              </w:rPr>
            </w:pPr>
            <w:r>
              <w:rPr>
                <w:sz w:val="14"/>
                <w:szCs w:val="14"/>
              </w:rPr>
              <w:t>30</w:t>
            </w:r>
          </w:p>
        </w:tc>
        <w:tc>
          <w:tcPr>
            <w:tcW w:w="598" w:type="dxa"/>
            <w:tcBorders>
              <w:bottom w:val="thickThinSmallGap" w:sz="24" w:space="0" w:color="auto"/>
            </w:tcBorders>
          </w:tcPr>
          <w:p w:rsidR="00D254AD" w:rsidRPr="007A54E7" w:rsidRDefault="00D254AD" w:rsidP="0090095F">
            <w:pPr>
              <w:rPr>
                <w:sz w:val="14"/>
                <w:szCs w:val="14"/>
              </w:rPr>
            </w:pPr>
            <w:r>
              <w:rPr>
                <w:sz w:val="14"/>
                <w:szCs w:val="14"/>
              </w:rPr>
              <w:t>2043</w:t>
            </w:r>
          </w:p>
        </w:tc>
        <w:tc>
          <w:tcPr>
            <w:tcW w:w="598" w:type="dxa"/>
            <w:tcBorders>
              <w:bottom w:val="thickThinSmallGap" w:sz="24" w:space="0" w:color="auto"/>
            </w:tcBorders>
          </w:tcPr>
          <w:p w:rsidR="00D254AD" w:rsidRPr="007A54E7" w:rsidRDefault="00D254AD" w:rsidP="0090095F">
            <w:pPr>
              <w:rPr>
                <w:sz w:val="14"/>
                <w:szCs w:val="14"/>
              </w:rPr>
            </w:pPr>
            <w:r>
              <w:rPr>
                <w:sz w:val="14"/>
                <w:szCs w:val="14"/>
              </w:rPr>
              <w:t>197.35</w:t>
            </w:r>
          </w:p>
        </w:tc>
        <w:tc>
          <w:tcPr>
            <w:tcW w:w="598" w:type="dxa"/>
            <w:tcBorders>
              <w:bottom w:val="thickThinSmallGap" w:sz="24" w:space="0" w:color="auto"/>
            </w:tcBorders>
          </w:tcPr>
          <w:p w:rsidR="00D254AD" w:rsidRPr="007A54E7" w:rsidRDefault="00D254AD" w:rsidP="0090095F">
            <w:pPr>
              <w:rPr>
                <w:sz w:val="14"/>
                <w:szCs w:val="14"/>
              </w:rPr>
            </w:pPr>
            <w:r>
              <w:rPr>
                <w:sz w:val="14"/>
                <w:szCs w:val="14"/>
              </w:rPr>
              <w:t>03/09</w:t>
            </w:r>
          </w:p>
        </w:tc>
        <w:tc>
          <w:tcPr>
            <w:tcW w:w="598" w:type="dxa"/>
            <w:tcBorders>
              <w:bottom w:val="thickThinSmallGap" w:sz="24" w:space="0" w:color="auto"/>
            </w:tcBorders>
          </w:tcPr>
          <w:p w:rsidR="00D254AD" w:rsidRPr="007A54E7" w:rsidRDefault="00D254AD" w:rsidP="0090095F">
            <w:pPr>
              <w:rPr>
                <w:sz w:val="14"/>
                <w:szCs w:val="14"/>
              </w:rPr>
            </w:pPr>
            <w:r>
              <w:rPr>
                <w:sz w:val="14"/>
                <w:szCs w:val="14"/>
              </w:rPr>
              <w:t>29</w:t>
            </w:r>
          </w:p>
        </w:tc>
        <w:tc>
          <w:tcPr>
            <w:tcW w:w="598" w:type="dxa"/>
            <w:tcBorders>
              <w:bottom w:val="thickThinSmallGap" w:sz="24" w:space="0" w:color="auto"/>
            </w:tcBorders>
          </w:tcPr>
          <w:p w:rsidR="00D254AD" w:rsidRPr="007A54E7" w:rsidRDefault="00D254AD" w:rsidP="0090095F">
            <w:pPr>
              <w:rPr>
                <w:sz w:val="14"/>
                <w:szCs w:val="14"/>
              </w:rPr>
            </w:pPr>
            <w:r>
              <w:rPr>
                <w:sz w:val="14"/>
                <w:szCs w:val="14"/>
              </w:rPr>
              <w:t>3072</w:t>
            </w:r>
          </w:p>
        </w:tc>
        <w:tc>
          <w:tcPr>
            <w:tcW w:w="598" w:type="dxa"/>
            <w:tcBorders>
              <w:bottom w:val="thickThinSmallGap" w:sz="24" w:space="0" w:color="auto"/>
            </w:tcBorders>
          </w:tcPr>
          <w:p w:rsidR="00D254AD" w:rsidRPr="007A54E7" w:rsidRDefault="00D254AD" w:rsidP="0090095F">
            <w:pPr>
              <w:rPr>
                <w:sz w:val="14"/>
                <w:szCs w:val="14"/>
              </w:rPr>
            </w:pPr>
            <w:r>
              <w:rPr>
                <w:sz w:val="14"/>
                <w:szCs w:val="14"/>
              </w:rPr>
              <w:t>292.99</w:t>
            </w:r>
          </w:p>
        </w:tc>
        <w:tc>
          <w:tcPr>
            <w:tcW w:w="599" w:type="dxa"/>
            <w:tcBorders>
              <w:bottom w:val="thickThinSmallGap" w:sz="24" w:space="0" w:color="auto"/>
            </w:tcBorders>
          </w:tcPr>
          <w:p w:rsidR="00D254AD" w:rsidRPr="007A54E7" w:rsidRDefault="00D254AD" w:rsidP="0090095F">
            <w:pPr>
              <w:rPr>
                <w:sz w:val="14"/>
                <w:szCs w:val="14"/>
              </w:rPr>
            </w:pPr>
            <w:r>
              <w:rPr>
                <w:sz w:val="14"/>
                <w:szCs w:val="14"/>
              </w:rPr>
              <w:t>03/10</w:t>
            </w:r>
          </w:p>
        </w:tc>
        <w:tc>
          <w:tcPr>
            <w:tcW w:w="599" w:type="dxa"/>
            <w:tcBorders>
              <w:bottom w:val="thickThinSmallGap" w:sz="24" w:space="0" w:color="auto"/>
            </w:tcBorders>
          </w:tcPr>
          <w:p w:rsidR="00D254AD" w:rsidRPr="007A54E7" w:rsidRDefault="00D254AD" w:rsidP="0090095F">
            <w:pPr>
              <w:rPr>
                <w:sz w:val="14"/>
                <w:szCs w:val="14"/>
              </w:rPr>
            </w:pPr>
            <w:r>
              <w:rPr>
                <w:sz w:val="14"/>
                <w:szCs w:val="14"/>
              </w:rPr>
              <w:t>31</w:t>
            </w:r>
          </w:p>
        </w:tc>
        <w:tc>
          <w:tcPr>
            <w:tcW w:w="599" w:type="dxa"/>
            <w:tcBorders>
              <w:bottom w:val="thickThinSmallGap" w:sz="24" w:space="0" w:color="auto"/>
            </w:tcBorders>
          </w:tcPr>
          <w:p w:rsidR="00D254AD" w:rsidRPr="007A54E7" w:rsidRDefault="00D254AD" w:rsidP="0090095F">
            <w:pPr>
              <w:rPr>
                <w:sz w:val="14"/>
                <w:szCs w:val="14"/>
              </w:rPr>
            </w:pPr>
            <w:r>
              <w:rPr>
                <w:sz w:val="14"/>
                <w:szCs w:val="14"/>
              </w:rPr>
              <w:t>2044</w:t>
            </w:r>
          </w:p>
        </w:tc>
        <w:tc>
          <w:tcPr>
            <w:tcW w:w="599" w:type="dxa"/>
            <w:tcBorders>
              <w:bottom w:val="thickThinSmallGap" w:sz="24" w:space="0" w:color="auto"/>
            </w:tcBorders>
          </w:tcPr>
          <w:p w:rsidR="00D254AD" w:rsidRPr="007A54E7" w:rsidRDefault="00D254AD" w:rsidP="0090095F">
            <w:pPr>
              <w:rPr>
                <w:sz w:val="14"/>
                <w:szCs w:val="14"/>
              </w:rPr>
            </w:pPr>
            <w:r>
              <w:rPr>
                <w:sz w:val="14"/>
                <w:szCs w:val="14"/>
              </w:rPr>
              <w:t>270.24</w:t>
            </w:r>
          </w:p>
        </w:tc>
        <w:tc>
          <w:tcPr>
            <w:tcW w:w="599" w:type="dxa"/>
            <w:tcBorders>
              <w:bottom w:val="thickThinSmallGap" w:sz="24" w:space="0" w:color="auto"/>
            </w:tcBorders>
          </w:tcPr>
          <w:p w:rsidR="00D254AD" w:rsidRPr="007A54E7" w:rsidRDefault="00D254AD" w:rsidP="0090095F">
            <w:pPr>
              <w:rPr>
                <w:sz w:val="14"/>
                <w:szCs w:val="14"/>
              </w:rPr>
            </w:pPr>
            <w:r>
              <w:rPr>
                <w:sz w:val="14"/>
                <w:szCs w:val="14"/>
              </w:rPr>
              <w:t>03/11</w:t>
            </w:r>
          </w:p>
        </w:tc>
        <w:tc>
          <w:tcPr>
            <w:tcW w:w="599" w:type="dxa"/>
            <w:tcBorders>
              <w:bottom w:val="thickThinSmallGap" w:sz="24" w:space="0" w:color="auto"/>
            </w:tcBorders>
          </w:tcPr>
          <w:p w:rsidR="00D254AD" w:rsidRPr="007A54E7" w:rsidRDefault="00D254AD" w:rsidP="0090095F">
            <w:pPr>
              <w:rPr>
                <w:sz w:val="14"/>
                <w:szCs w:val="14"/>
              </w:rPr>
            </w:pPr>
            <w:r>
              <w:rPr>
                <w:sz w:val="14"/>
                <w:szCs w:val="14"/>
              </w:rPr>
              <w:t>31</w:t>
            </w:r>
          </w:p>
        </w:tc>
        <w:tc>
          <w:tcPr>
            <w:tcW w:w="599" w:type="dxa"/>
            <w:tcBorders>
              <w:bottom w:val="thickThinSmallGap" w:sz="24" w:space="0" w:color="auto"/>
            </w:tcBorders>
          </w:tcPr>
          <w:p w:rsidR="00D254AD" w:rsidRPr="007A54E7" w:rsidRDefault="00D254AD" w:rsidP="0090095F">
            <w:pPr>
              <w:rPr>
                <w:sz w:val="14"/>
                <w:szCs w:val="14"/>
              </w:rPr>
            </w:pPr>
            <w:r>
              <w:rPr>
                <w:sz w:val="14"/>
                <w:szCs w:val="14"/>
              </w:rPr>
              <w:t>73</w:t>
            </w:r>
          </w:p>
        </w:tc>
        <w:tc>
          <w:tcPr>
            <w:tcW w:w="599" w:type="dxa"/>
            <w:tcBorders>
              <w:bottom w:val="thickThinSmallGap" w:sz="24" w:space="0" w:color="auto"/>
              <w:right w:val="thickThinSmallGap" w:sz="24" w:space="0" w:color="auto"/>
            </w:tcBorders>
          </w:tcPr>
          <w:p w:rsidR="00D254AD" w:rsidRPr="007A54E7" w:rsidRDefault="00D254AD" w:rsidP="0090095F">
            <w:pPr>
              <w:rPr>
                <w:sz w:val="14"/>
                <w:szCs w:val="14"/>
              </w:rPr>
            </w:pPr>
            <w:r>
              <w:rPr>
                <w:sz w:val="14"/>
                <w:szCs w:val="14"/>
              </w:rPr>
              <w:t>17.98</w:t>
            </w:r>
          </w:p>
        </w:tc>
      </w:tr>
    </w:tbl>
    <w:p w:rsidR="00D254AD" w:rsidRDefault="00D254AD" w:rsidP="00D254AD"/>
    <w:p w:rsidR="00D254AD" w:rsidRDefault="00D254AD" w:rsidP="00D254AD">
      <w:pPr>
        <w:spacing w:line="360" w:lineRule="auto"/>
      </w:pPr>
    </w:p>
    <w:p w:rsidR="00D254AD" w:rsidRDefault="00D254AD" w:rsidP="00D254AD">
      <w:pPr>
        <w:spacing w:line="360" w:lineRule="auto"/>
      </w:pPr>
      <w:r>
        <w:t>(N.T. 30-34; PPL Exh. 1-A).</w:t>
      </w:r>
    </w:p>
    <w:p w:rsidR="00D254AD" w:rsidRDefault="00D254AD" w:rsidP="00D254AD">
      <w:pPr>
        <w:spacing w:line="360" w:lineRule="auto"/>
      </w:pPr>
    </w:p>
    <w:p w:rsidR="00D254AD" w:rsidRDefault="00D254AD" w:rsidP="00D254AD">
      <w:pPr>
        <w:pStyle w:val="ListParagraph"/>
        <w:numPr>
          <w:ilvl w:val="0"/>
          <w:numId w:val="1"/>
        </w:numPr>
        <w:spacing w:line="360" w:lineRule="auto"/>
        <w:ind w:left="0" w:firstLine="1440"/>
      </w:pPr>
      <w:r>
        <w:t xml:space="preserve">PPL conducted a walk-through and performed an energy audit </w:t>
      </w:r>
      <w:r w:rsidR="00B87526">
        <w:t>of the appliances at 1305 Paradise Falls on December 15, 2010 (N.T. 34-35).</w:t>
      </w:r>
    </w:p>
    <w:p w:rsidR="00B87526" w:rsidRDefault="00B87526" w:rsidP="00F05AAB">
      <w:pPr>
        <w:pStyle w:val="ListParagraph"/>
        <w:numPr>
          <w:ilvl w:val="0"/>
          <w:numId w:val="1"/>
        </w:numPr>
        <w:spacing w:line="360" w:lineRule="auto"/>
        <w:ind w:left="0" w:firstLine="1440"/>
      </w:pPr>
      <w:r>
        <w:lastRenderedPageBreak/>
        <w:t>PPL estimates the 73 feet of baseboard heaters at 1305 Paradise Falls have the potential to consume 13,140 kWh during a 30-day period (N.T. 35-36).</w:t>
      </w:r>
    </w:p>
    <w:p w:rsidR="00B87526" w:rsidRDefault="00B87526" w:rsidP="00F05AAB">
      <w:pPr>
        <w:pStyle w:val="ListParagraph"/>
        <w:spacing w:line="360" w:lineRule="auto"/>
        <w:ind w:left="1440"/>
      </w:pPr>
    </w:p>
    <w:p w:rsidR="00B87526" w:rsidRDefault="00C02B5B" w:rsidP="00F05AAB">
      <w:pPr>
        <w:pStyle w:val="ListParagraph"/>
        <w:numPr>
          <w:ilvl w:val="0"/>
          <w:numId w:val="1"/>
        </w:numPr>
        <w:spacing w:line="360" w:lineRule="auto"/>
        <w:ind w:left="0" w:firstLine="1440"/>
      </w:pPr>
      <w:r>
        <w:t>PPL removed the electric meter at 1305 Paradise Falls and tested it on April 27, 2011, finding that it was 99.8% accurate (N.T. 36-37; PPL Exh. 4).</w:t>
      </w:r>
    </w:p>
    <w:p w:rsidR="00C02B5B" w:rsidRDefault="00C02B5B" w:rsidP="00F05AAB">
      <w:pPr>
        <w:pStyle w:val="ListParagraph"/>
        <w:spacing w:line="360" w:lineRule="auto"/>
      </w:pPr>
    </w:p>
    <w:p w:rsidR="00C02B5B" w:rsidRDefault="001B077B" w:rsidP="00F05AAB">
      <w:pPr>
        <w:pStyle w:val="ListParagraph"/>
        <w:numPr>
          <w:ilvl w:val="0"/>
          <w:numId w:val="1"/>
        </w:numPr>
        <w:spacing w:line="360" w:lineRule="auto"/>
        <w:ind w:left="0" w:firstLine="1440"/>
      </w:pPr>
      <w:r>
        <w:t xml:space="preserve">PPL read </w:t>
      </w:r>
      <w:r w:rsidR="00C02B5B">
        <w:t xml:space="preserve">Complainant’s electric meter on a daily basis through the electric lines back to </w:t>
      </w:r>
      <w:r>
        <w:t xml:space="preserve">PPL’s </w:t>
      </w:r>
      <w:r w:rsidR="00C02B5B">
        <w:t>computer system (N.T. 37</w:t>
      </w:r>
      <w:r w:rsidR="00A74445">
        <w:t>-39</w:t>
      </w:r>
      <w:r w:rsidR="00C02B5B">
        <w:t>).</w:t>
      </w:r>
    </w:p>
    <w:p w:rsidR="00C02B5B" w:rsidRDefault="00C02B5B" w:rsidP="00F05AAB">
      <w:pPr>
        <w:pStyle w:val="ListParagraph"/>
        <w:spacing w:line="360" w:lineRule="auto"/>
      </w:pPr>
    </w:p>
    <w:p w:rsidR="00C02B5B" w:rsidRDefault="003717F7" w:rsidP="00F05AAB">
      <w:pPr>
        <w:pStyle w:val="ListParagraph"/>
        <w:numPr>
          <w:ilvl w:val="0"/>
          <w:numId w:val="1"/>
        </w:numPr>
        <w:spacing w:line="360" w:lineRule="auto"/>
        <w:ind w:left="0" w:firstLine="1440"/>
      </w:pPr>
      <w:r>
        <w:t>Complainant owes a balance of $126.93 on this account (N.T. 40-41).</w:t>
      </w:r>
    </w:p>
    <w:p w:rsidR="003717F7" w:rsidRDefault="003717F7" w:rsidP="00F05AAB">
      <w:pPr>
        <w:pStyle w:val="ListParagraph"/>
        <w:spacing w:line="360" w:lineRule="auto"/>
      </w:pPr>
    </w:p>
    <w:p w:rsidR="003717F7" w:rsidRDefault="003717F7" w:rsidP="00F05AAB">
      <w:pPr>
        <w:pStyle w:val="ListParagraph"/>
        <w:numPr>
          <w:ilvl w:val="0"/>
          <w:numId w:val="1"/>
        </w:numPr>
        <w:spacing w:line="360" w:lineRule="auto"/>
        <w:ind w:left="0" w:firstLine="1440"/>
      </w:pPr>
      <w:r>
        <w:t>Complainant’s account was finalized and placed in the name of her daughter, Christina L. Knabe, on June 28, 2011 (N.T. 40-41).</w:t>
      </w:r>
    </w:p>
    <w:p w:rsidR="003717F7" w:rsidRDefault="003717F7" w:rsidP="00F05AAB">
      <w:pPr>
        <w:pStyle w:val="ListParagraph"/>
        <w:spacing w:line="360" w:lineRule="auto"/>
      </w:pPr>
    </w:p>
    <w:p w:rsidR="003717F7" w:rsidRDefault="003717F7" w:rsidP="00F05AAB">
      <w:pPr>
        <w:spacing w:line="360" w:lineRule="auto"/>
        <w:jc w:val="center"/>
      </w:pPr>
      <w:r>
        <w:rPr>
          <w:u w:val="single"/>
        </w:rPr>
        <w:t>DISCUSSION</w:t>
      </w:r>
    </w:p>
    <w:p w:rsidR="003717F7" w:rsidRDefault="003717F7" w:rsidP="00F05AAB">
      <w:pPr>
        <w:spacing w:line="360" w:lineRule="auto"/>
      </w:pPr>
    </w:p>
    <w:p w:rsidR="00843FB4" w:rsidRDefault="00843FB4" w:rsidP="00F05AAB">
      <w:pPr>
        <w:spacing w:line="360" w:lineRule="auto"/>
      </w:pPr>
      <w:r>
        <w:tab/>
      </w:r>
      <w:r>
        <w:tab/>
        <w:t xml:space="preserve">Complainant disputes as unreasonably high the bills she received from Respondent for residential electric service during the cold weather months of December 2009 through February 2010, and for the same period during the previous years (N.T. 14, 18-19).  Complainant wants the charges adjusted to reflect her actual usage.  </w:t>
      </w:r>
      <w:r w:rsidRPr="00C7307B">
        <w:t xml:space="preserve">As the party seeking affirmative relief from the Commission, Complainant bears the burden of proving </w:t>
      </w:r>
      <w:r>
        <w:t xml:space="preserve">that she </w:t>
      </w:r>
      <w:r w:rsidRPr="00C7307B">
        <w:t>is entitle</w:t>
      </w:r>
      <w:r>
        <w:t>d</w:t>
      </w:r>
      <w:r w:rsidRPr="00C7307B">
        <w:t xml:space="preserve"> to relief.  66 Pa. C.S. §332(a).</w:t>
      </w:r>
    </w:p>
    <w:p w:rsidR="00843FB4" w:rsidRDefault="00843FB4" w:rsidP="00843FB4">
      <w:pPr>
        <w:spacing w:line="360" w:lineRule="auto"/>
      </w:pPr>
    </w:p>
    <w:p w:rsidR="00843FB4" w:rsidRDefault="00843FB4" w:rsidP="00843FB4">
      <w:pPr>
        <w:spacing w:line="360" w:lineRule="auto"/>
      </w:pPr>
      <w:r>
        <w:tab/>
      </w:r>
      <w:r>
        <w:tab/>
      </w:r>
      <w:r w:rsidRPr="00C24DC1">
        <w:t xml:space="preserve">The term “burden of proof” means a duty to establish a fact by a preponderance of the evidence.  </w:t>
      </w:r>
      <w:r w:rsidRPr="00A539BD">
        <w:rPr>
          <w:u w:val="single"/>
        </w:rPr>
        <w:t>Se-Ling Hosiery v. Mar</w:t>
      </w:r>
      <w:r>
        <w:rPr>
          <w:u w:val="single"/>
        </w:rPr>
        <w:t>g</w:t>
      </w:r>
      <w:r w:rsidRPr="00A539BD">
        <w:rPr>
          <w:u w:val="single"/>
        </w:rPr>
        <w:t>ulies</w:t>
      </w:r>
      <w:r w:rsidRPr="00C24DC1">
        <w:t>, 364 Pa. 45, 70 A.2d 854 (195</w:t>
      </w:r>
      <w:r>
        <w:t>0</w:t>
      </w:r>
      <w:r w:rsidRPr="00C24DC1">
        <w:t xml:space="preserve">); </w:t>
      </w:r>
      <w:r w:rsidRPr="00A539BD">
        <w:rPr>
          <w:u w:val="single"/>
        </w:rPr>
        <w:t>Feinstein v. Philadelphia Suburban Water Company</w:t>
      </w:r>
      <w:r w:rsidRPr="00C24DC1">
        <w:t xml:space="preserve">, 50 Pa. P.U.C. 300 (1976).  The term “preponderance of the evidence” means one party must present evidence which is more convincing, by even the smallest amount, than the evidence presented by the other party.  </w:t>
      </w:r>
      <w:smartTag w:uri="urn:schemas-microsoft-com:office:smarttags" w:element="State">
        <w:smartTag w:uri="urn:schemas-microsoft-com:office:smarttags" w:element="place">
          <w:r w:rsidRPr="00287572">
            <w:rPr>
              <w:i/>
            </w:rPr>
            <w:t>Id</w:t>
          </w:r>
          <w:r w:rsidRPr="00C24DC1">
            <w:t>.</w:t>
          </w:r>
        </w:smartTag>
      </w:smartTag>
      <w:r w:rsidRPr="00C24DC1">
        <w:t xml:space="preserve">  Accordingly, one must review the record in this case to determine whether Complainant has satisfied </w:t>
      </w:r>
      <w:r>
        <w:t xml:space="preserve">her </w:t>
      </w:r>
      <w:r w:rsidRPr="00C24DC1">
        <w:t xml:space="preserve">burden of proof.  If the review indicates the burden has been satisfied, one must then determine whether Respondent has submitted evidence of co-equal value or weight to refute Complainant’s </w:t>
      </w:r>
      <w:r w:rsidRPr="00C24DC1">
        <w:lastRenderedPageBreak/>
        <w:t xml:space="preserve">evidence.  If this has occurred, the burden of proof cannot be satisfied, unless the party bearing the burden of proof presents additional evidence.  </w:t>
      </w:r>
      <w:r w:rsidRPr="00287572">
        <w:rPr>
          <w:u w:val="single"/>
        </w:rPr>
        <w:t>Morrissey v. Pa. Dept. of Highways</w:t>
      </w:r>
      <w:r w:rsidRPr="00C24DC1">
        <w:t xml:space="preserve">, 424 Pa. 87, 225 A.2d 895 (1967); </w:t>
      </w:r>
      <w:r w:rsidRPr="00287572">
        <w:rPr>
          <w:u w:val="single"/>
        </w:rPr>
        <w:t>Burleson v. Pa. P.U.C.</w:t>
      </w:r>
      <w:r w:rsidRPr="00C24DC1">
        <w:t>, 443 A.2d 1373 (Pa. Cmwlth. 1982).</w:t>
      </w:r>
    </w:p>
    <w:p w:rsidR="00843FB4" w:rsidRDefault="00843FB4" w:rsidP="00843FB4">
      <w:pPr>
        <w:spacing w:line="360" w:lineRule="auto"/>
      </w:pPr>
    </w:p>
    <w:p w:rsidR="00843FB4" w:rsidRDefault="00843FB4" w:rsidP="00843FB4">
      <w:pPr>
        <w:spacing w:line="360" w:lineRule="auto"/>
      </w:pPr>
      <w:r>
        <w:tab/>
      </w:r>
      <w:r>
        <w:tab/>
      </w:r>
      <w:r w:rsidRPr="00C24DC1">
        <w:t xml:space="preserve">Furthermore, substantial evidence in the record must support the decision of the Commission.  </w:t>
      </w:r>
      <w:r w:rsidRPr="00F03E90">
        <w:rPr>
          <w:i/>
        </w:rPr>
        <w:t>See</w:t>
      </w:r>
      <w:r w:rsidRPr="00C24DC1">
        <w:t xml:space="preserve">, </w:t>
      </w:r>
      <w:r w:rsidRPr="00F03E90">
        <w:rPr>
          <w:i/>
        </w:rPr>
        <w:t>e.g.</w:t>
      </w:r>
      <w:r w:rsidRPr="00C24DC1">
        <w:t xml:space="preserve">, Section 704 of the Administrative Agency Law, 2 Pa. C.S. §704; </w:t>
      </w:r>
      <w:r w:rsidRPr="00F03E90">
        <w:rPr>
          <w:u w:val="single"/>
        </w:rPr>
        <w:t>Yellow Cab Company v. Pa. P.U.C.</w:t>
      </w:r>
      <w:r w:rsidRPr="00C24DC1">
        <w:t>, 524 A.2d 1069 (Pa. Cmwlth. 1987).  The term “substantial evidence” mean</w:t>
      </w:r>
      <w:r>
        <w:t>s</w:t>
      </w:r>
      <w:r w:rsidRPr="00C24DC1">
        <w:t xml:space="preserve"> such relevant evidence that a reasonable mind may accept as adequate to support a conclusion.  More is required than a mere trace of evidence or a suspicion of the existence of a fact sought to be established.  </w:t>
      </w:r>
      <w:r w:rsidRPr="00F03E90">
        <w:rPr>
          <w:u w:val="single"/>
        </w:rPr>
        <w:t>Norfolk &amp; Western Ry. Co. v. Pa. P.U.C.</w:t>
      </w:r>
      <w:r w:rsidRPr="00C24DC1">
        <w:t xml:space="preserve">, 489 Pa. 109, 413 A.2d 1037 (1980); </w:t>
      </w:r>
      <w:r w:rsidRPr="00F03E90">
        <w:rPr>
          <w:u w:val="single"/>
        </w:rPr>
        <w:t>Erie Resistor Corp. v. Unemployment Comp. Bd. of Review</w:t>
      </w:r>
      <w:r w:rsidRPr="00C24DC1">
        <w:t xml:space="preserve">, 194 Pa. Superior Ct. 278, 166 A.2d 96 (1961); </w:t>
      </w:r>
      <w:r w:rsidRPr="00F03E90">
        <w:rPr>
          <w:u w:val="single"/>
        </w:rPr>
        <w:t>Murphy v. Pa. Dept. of Public Welfare, White Haven Center</w:t>
      </w:r>
      <w:r w:rsidRPr="00C24DC1">
        <w:t xml:space="preserve">, 480 A.2d 382 (Pa. Cmwlth. 1984).  The Commission has held that a complainant, to establish a sufficient case against a utility and satisfy the burden of proof, must show the utility is responsible or accountable for the problem described in the complaint.  </w:t>
      </w:r>
      <w:r w:rsidRPr="00F03E90">
        <w:rPr>
          <w:u w:val="single"/>
        </w:rPr>
        <w:t>Feinstein</w:t>
      </w:r>
      <w:r w:rsidRPr="00C24DC1">
        <w:t xml:space="preserve">, </w:t>
      </w:r>
      <w:r w:rsidRPr="00F03E90">
        <w:rPr>
          <w:i/>
        </w:rPr>
        <w:t>supra</w:t>
      </w:r>
      <w:r w:rsidRPr="00C24DC1">
        <w:t>.</w:t>
      </w:r>
    </w:p>
    <w:p w:rsidR="00843FB4" w:rsidRDefault="00843FB4" w:rsidP="00843FB4">
      <w:pPr>
        <w:spacing w:line="360" w:lineRule="auto"/>
      </w:pPr>
    </w:p>
    <w:p w:rsidR="00843FB4" w:rsidRPr="00156790" w:rsidRDefault="00843FB4" w:rsidP="00843FB4">
      <w:pPr>
        <w:spacing w:line="360" w:lineRule="auto"/>
      </w:pPr>
      <w:r>
        <w:tab/>
      </w:r>
      <w:r>
        <w:tab/>
      </w:r>
      <w:r w:rsidRPr="00156790">
        <w:t xml:space="preserve">In </w:t>
      </w:r>
      <w:r w:rsidRPr="00156790">
        <w:rPr>
          <w:u w:val="single"/>
        </w:rPr>
        <w:t>Waldron v. Philadelphia Electric Company</w:t>
      </w:r>
      <w:r w:rsidRPr="00156790">
        <w:t xml:space="preserve">, 54 Pa. P.U.C. 98 (1980), the Commission outlined the general dynamics for the burden of proof in a case that raises a high bill dispute.  In order to determine whether a complainant has established a </w:t>
      </w:r>
      <w:r w:rsidRPr="00156790">
        <w:rPr>
          <w:i/>
        </w:rPr>
        <w:t>prima facie</w:t>
      </w:r>
      <w:r w:rsidRPr="00156790">
        <w:t xml:space="preserve"> case </w:t>
      </w:r>
    </w:p>
    <w:p w:rsidR="00843FB4" w:rsidRDefault="00843FB4" w:rsidP="00843FB4">
      <w:pPr>
        <w:spacing w:line="360" w:lineRule="auto"/>
      </w:pPr>
      <w:r w:rsidRPr="00156790">
        <w:t xml:space="preserve">where there are claims of unusually high bills, this Commission has declared that certain factors must be considered.  While the accuracy of the meter is an important factor in resolving a billing dispute, it is not the sole criterion.  </w:t>
      </w:r>
      <w:r w:rsidRPr="00156790">
        <w:rPr>
          <w:i/>
        </w:rPr>
        <w:t>Id</w:t>
      </w:r>
      <w:r w:rsidRPr="00156790">
        <w:t xml:space="preserve">. at 100.  A complainant may establish a </w:t>
      </w:r>
      <w:r w:rsidRPr="00156790">
        <w:rPr>
          <w:i/>
        </w:rPr>
        <w:t>prima facie</w:t>
      </w:r>
      <w:r w:rsidRPr="00156790">
        <w:t xml:space="preserve"> case by showing that: (1) the disputed bill was abnormally high when compared to prior usage patterns; and (2) his/her pattern of usage had not changed.  </w:t>
      </w:r>
      <w:smartTag w:uri="urn:schemas-microsoft-com:office:smarttags" w:element="place">
        <w:smartTag w:uri="urn:schemas-microsoft-com:office:smarttags" w:element="State">
          <w:r w:rsidRPr="00156790">
            <w:rPr>
              <w:i/>
            </w:rPr>
            <w:t>Id</w:t>
          </w:r>
          <w:r w:rsidRPr="00156790">
            <w:t>.</w:t>
          </w:r>
        </w:smartTag>
      </w:smartTag>
      <w:r w:rsidRPr="00156790">
        <w:t xml:space="preserve">  In looking at these criteria, one may consider the billing history of the account, any change in the number of occupants residing in the household, the potential for energy utilization, and any other relevant facts or circumstances that come to light during the proceeding.  </w:t>
      </w:r>
      <w:r w:rsidRPr="00156790">
        <w:rPr>
          <w:u w:val="single"/>
        </w:rPr>
        <w:t>Replogle v. Pennsylvania Electric Company</w:t>
      </w:r>
      <w:r w:rsidRPr="00156790">
        <w:t xml:space="preserve">, 54 Pa. P.U.C. </w:t>
      </w:r>
      <w:r>
        <w:t xml:space="preserve">528 (1980); </w:t>
      </w:r>
      <w:r>
        <w:rPr>
          <w:u w:val="single"/>
        </w:rPr>
        <w:t>Bennett v. The Peoples Natural Gas Company, LLC</w:t>
      </w:r>
      <w:r>
        <w:t xml:space="preserve">, Docket No. C-2009-2122979 (Order entered October 13, 2010); </w:t>
      </w:r>
      <w:r>
        <w:rPr>
          <w:u w:val="single"/>
        </w:rPr>
        <w:t>Thomas v. PECO Energy Company</w:t>
      </w:r>
      <w:r>
        <w:t>, Docket No. C-2010-2187197 (Order entered November 15, 2011).</w:t>
      </w:r>
      <w:r w:rsidRPr="00156790">
        <w:t xml:space="preserve">  In this way, a </w:t>
      </w:r>
      <w:r w:rsidRPr="00156790">
        <w:lastRenderedPageBreak/>
        <w:t xml:space="preserve">complainant may prove entitlement to relief by wholly circumstantial evidence, rather than direct evidence of some utility misfeasance.  </w:t>
      </w:r>
      <w:proofErr w:type="gramStart"/>
      <w:r w:rsidRPr="00156790">
        <w:rPr>
          <w:u w:val="single"/>
        </w:rPr>
        <w:t>Milkie v. Pa. P.U.C.</w:t>
      </w:r>
      <w:r w:rsidRPr="00156790">
        <w:t>, 768 A.2d 1217 (Pa. Cmwlth. 2001).</w:t>
      </w:r>
      <w:proofErr w:type="gramEnd"/>
    </w:p>
    <w:p w:rsidR="00F05AAB" w:rsidRPr="00156790" w:rsidRDefault="00F05AAB" w:rsidP="00843FB4">
      <w:pPr>
        <w:spacing w:line="360" w:lineRule="auto"/>
      </w:pPr>
    </w:p>
    <w:p w:rsidR="00843FB4" w:rsidRDefault="00843FB4" w:rsidP="00843FB4">
      <w:pPr>
        <w:spacing w:line="360" w:lineRule="auto"/>
      </w:pPr>
      <w:r w:rsidRPr="00156790">
        <w:tab/>
      </w:r>
      <w:r w:rsidRPr="00156790">
        <w:tab/>
        <w:t xml:space="preserve">The “Waldron Rule” is nothing more than an evidentiary rule, which the Commission adopted to apportion the burden of going forward with the evidence.  </w:t>
      </w:r>
      <w:r w:rsidRPr="00156790">
        <w:rPr>
          <w:u w:val="single"/>
        </w:rPr>
        <w:t>Pennsylvania Electric Company v. Pa. P.U.C.</w:t>
      </w:r>
      <w:r w:rsidRPr="00156790">
        <w:t>, 473 A.2d 704, 705-</w:t>
      </w:r>
      <w:r>
        <w:t>70</w:t>
      </w:r>
      <w:r w:rsidRPr="00156790">
        <w:t xml:space="preserve">6 (Pa. Cmwlth. 1984).  As such, it is immaterial to the applicability of the rule whether the customer is residential, commercial or industrial.  </w:t>
      </w:r>
      <w:r w:rsidRPr="00156790">
        <w:rPr>
          <w:u w:val="single"/>
        </w:rPr>
        <w:t>Kupstas v. Pennsylvania Gas &amp; Water Company</w:t>
      </w:r>
      <w:r w:rsidRPr="00156790">
        <w:t xml:space="preserve">, Docket No. F-09136863 (Order entered September 17, 1992).  The Commission applied the Waldron Rule to a commercial account in </w:t>
      </w:r>
      <w:r w:rsidRPr="00156790">
        <w:rPr>
          <w:u w:val="single"/>
        </w:rPr>
        <w:t>Chiaverini v. Duquesne Light Company</w:t>
      </w:r>
      <w:r w:rsidRPr="00156790">
        <w:t>, Docket No. C-00945562 (Order entered February 13, 1995).  Appl</w:t>
      </w:r>
      <w:r>
        <w:t>ying</w:t>
      </w:r>
      <w:r w:rsidRPr="00156790">
        <w:t xml:space="preserve"> these criteria to the present case reveals </w:t>
      </w:r>
      <w:r>
        <w:t>the following.</w:t>
      </w:r>
    </w:p>
    <w:p w:rsidR="003F2040" w:rsidRDefault="003F2040" w:rsidP="00843FB4">
      <w:pPr>
        <w:spacing w:line="360" w:lineRule="auto"/>
      </w:pPr>
    </w:p>
    <w:p w:rsidR="003F2040" w:rsidRDefault="003F2040" w:rsidP="00843FB4">
      <w:pPr>
        <w:spacing w:line="360" w:lineRule="auto"/>
      </w:pPr>
      <w:r>
        <w:tab/>
      </w:r>
      <w:r>
        <w:tab/>
        <w:t>Initially, Complainant challenges her electric bills because she insists she paid the same amount year-round, regardless of whether she lived at 1305 Paradise Falls or not (N.T. 18</w:t>
      </w:r>
      <w:r>
        <w:noBreakHyphen/>
        <w:t>19).  PPL explains Complainant was on budget billing during this time, which takes her annual usage and divides that amount by 12 to derive an average monthly bill (N.T. 32).</w:t>
      </w:r>
      <w:r w:rsidR="0003081B">
        <w:t xml:space="preserve">  Thus, Complainant was paying the same amount every month, because the total annual bill was spread out over 12</w:t>
      </w:r>
      <w:r w:rsidR="00D33564">
        <w:t xml:space="preserve"> </w:t>
      </w:r>
      <w:r w:rsidR="0003081B">
        <w:t>months.</w:t>
      </w:r>
      <w:r w:rsidR="00D15533">
        <w:t xml:space="preserve">  Commission regulation permits a public utility to offer budget billing as an option.  52 Pa. Code §56.12(7).</w:t>
      </w:r>
    </w:p>
    <w:p w:rsidR="00843FB4" w:rsidRDefault="00843FB4" w:rsidP="00843FB4">
      <w:pPr>
        <w:spacing w:line="360" w:lineRule="auto"/>
      </w:pPr>
    </w:p>
    <w:p w:rsidR="008770F9" w:rsidRPr="008770F9" w:rsidRDefault="00843FB4" w:rsidP="00843FB4">
      <w:pPr>
        <w:spacing w:line="360" w:lineRule="auto"/>
        <w:rPr>
          <w:vertAlign w:val="superscript"/>
        </w:rPr>
      </w:pPr>
      <w:r>
        <w:tab/>
      </w:r>
      <w:r>
        <w:tab/>
      </w:r>
      <w:r w:rsidR="00D15533">
        <w:t xml:space="preserve">Next, </w:t>
      </w:r>
      <w:r>
        <w:t xml:space="preserve">Complainant disputes the bills for electric service in </w:t>
      </w:r>
      <w:r w:rsidR="00731ACE">
        <w:t xml:space="preserve">December 2009 through February 2010, and for the same period during the previous years </w:t>
      </w:r>
      <w:r>
        <w:t>as being too high</w:t>
      </w:r>
      <w:r w:rsidR="00731ACE">
        <w:t xml:space="preserve"> (N.T. 14, 18</w:t>
      </w:r>
      <w:r w:rsidR="00731ACE">
        <w:noBreakHyphen/>
        <w:t>19).</w:t>
      </w:r>
      <w:r>
        <w:t xml:space="preserve">  She was billed for </w:t>
      </w:r>
      <w:r w:rsidR="00731ACE">
        <w:t>4,498 kWh in December 2009, 4,399</w:t>
      </w:r>
      <w:r>
        <w:t xml:space="preserve"> kWh in January 201</w:t>
      </w:r>
      <w:r w:rsidR="00A339BF">
        <w:t>0</w:t>
      </w:r>
      <w:r>
        <w:t xml:space="preserve">, </w:t>
      </w:r>
      <w:r w:rsidR="00731ACE">
        <w:t xml:space="preserve">and 4,132 </w:t>
      </w:r>
      <w:r>
        <w:t>kWh in February 201</w:t>
      </w:r>
      <w:r w:rsidR="00A339BF">
        <w:t xml:space="preserve">0; she was billed for </w:t>
      </w:r>
      <w:r w:rsidR="00161682">
        <w:t>4,624 kWh in December 2008, 4,188 kWh in January 2009, and 3,698 kWh in February 2009</w:t>
      </w:r>
      <w:r w:rsidR="00731ACE">
        <w:t xml:space="preserve"> (PPL Exh. 1-A).</w:t>
      </w:r>
      <w:r w:rsidR="00133378">
        <w:t xml:space="preserve">  In fact, a review of PPL’s Account Activity Statement (PPL Exh. 1-A), with one notable exception to be discussed</w:t>
      </w:r>
      <w:r w:rsidR="008770F9">
        <w:t xml:space="preserve"> </w:t>
      </w:r>
      <w:r w:rsidR="008770F9">
        <w:rPr>
          <w:i/>
        </w:rPr>
        <w:t>infra</w:t>
      </w:r>
      <w:r w:rsidR="008770F9">
        <w:t>,</w:t>
      </w:r>
      <w:r w:rsidR="00133378">
        <w:t xml:space="preserve"> shows electric consumption for the period of December through March of each year to be </w:t>
      </w:r>
      <w:r w:rsidR="008770F9">
        <w:t xml:space="preserve">consistently and </w:t>
      </w:r>
      <w:r w:rsidR="00133378">
        <w:t>significantly higher than for the remainder of each year.</w:t>
      </w:r>
      <w:r w:rsidR="00133378" w:rsidRPr="00133378">
        <w:rPr>
          <w:rStyle w:val="FootnoteReference"/>
        </w:rPr>
        <w:t xml:space="preserve"> </w:t>
      </w:r>
      <w:r w:rsidR="00133378">
        <w:rPr>
          <w:rStyle w:val="FootnoteReference"/>
        </w:rPr>
        <w:footnoteReference w:id="2"/>
      </w:r>
    </w:p>
    <w:p w:rsidR="00843FB4" w:rsidRDefault="00843FB4" w:rsidP="00843FB4">
      <w:pPr>
        <w:spacing w:line="360" w:lineRule="auto"/>
      </w:pPr>
    </w:p>
    <w:p w:rsidR="008770F9" w:rsidRDefault="008770F9" w:rsidP="00843FB4">
      <w:pPr>
        <w:spacing w:line="360" w:lineRule="auto"/>
      </w:pPr>
      <w:r>
        <w:lastRenderedPageBreak/>
        <w:tab/>
      </w:r>
      <w:r>
        <w:tab/>
        <w:t xml:space="preserve">Complainant relates that she lives </w:t>
      </w:r>
      <w:r w:rsidR="00844E38">
        <w:t xml:space="preserve">alone </w:t>
      </w:r>
      <w:r>
        <w:t xml:space="preserve">at 1305 Paradise Falls during the months of June through mid-September.  </w:t>
      </w:r>
      <w:r w:rsidR="00844E38">
        <w:t>Her grandchildren visit occasionally on weekends and seven or eight family members gather there for four days over the Thanksgiving Holiday.  Otherwise, the house is vacant (N.T. 15-16, 25).</w:t>
      </w:r>
    </w:p>
    <w:p w:rsidR="00F05AAB" w:rsidRDefault="00F05AAB" w:rsidP="00843FB4">
      <w:pPr>
        <w:spacing w:line="360" w:lineRule="auto"/>
      </w:pPr>
    </w:p>
    <w:p w:rsidR="007C3A8C" w:rsidRDefault="007C3A8C" w:rsidP="00843FB4">
      <w:pPr>
        <w:spacing w:line="360" w:lineRule="auto"/>
      </w:pPr>
      <w:r>
        <w:tab/>
      </w:r>
      <w:r>
        <w:tab/>
        <w:t>Complainant has a plumber/maintenance man, who “shuts everything off” and drains the water pipes for her at 1305 Paradise Falls after Thanksgiving.  He sets the house up for Complainant to live there the following June.  He follows the same routine every year (N.T. 16</w:t>
      </w:r>
      <w:r>
        <w:noBreakHyphen/>
        <w:t>17, 26).  As far as she knows, Complainant believes the electricity is shut off at the breaker box at the end of each season (N.T. 16).</w:t>
      </w:r>
    </w:p>
    <w:p w:rsidR="007C3A8C" w:rsidRDefault="007C3A8C" w:rsidP="00843FB4">
      <w:pPr>
        <w:spacing w:line="360" w:lineRule="auto"/>
      </w:pPr>
    </w:p>
    <w:p w:rsidR="00843FB4" w:rsidRDefault="00843FB4" w:rsidP="00843FB4">
      <w:pPr>
        <w:spacing w:line="360" w:lineRule="auto"/>
      </w:pPr>
      <w:r>
        <w:tab/>
      </w:r>
      <w:r>
        <w:tab/>
      </w:r>
      <w:r w:rsidR="007C3A8C">
        <w:t xml:space="preserve">As part of its investigation into her high-bill complaint, </w:t>
      </w:r>
      <w:r w:rsidR="008E737A">
        <w:t xml:space="preserve">PPL </w:t>
      </w:r>
      <w:r>
        <w:t>removed Complainant’s electric meter and tested it on</w:t>
      </w:r>
      <w:r w:rsidR="008E737A">
        <w:t xml:space="preserve"> April 27</w:t>
      </w:r>
      <w:r>
        <w:t xml:space="preserve">, 2011.  </w:t>
      </w:r>
      <w:r w:rsidR="008E737A">
        <w:t>PPL found t</w:t>
      </w:r>
      <w:r>
        <w:t xml:space="preserve">he meter </w:t>
      </w:r>
      <w:r w:rsidR="008E737A">
        <w:t xml:space="preserve">to be </w:t>
      </w:r>
      <w:r>
        <w:t>99.</w:t>
      </w:r>
      <w:r w:rsidR="008E737A">
        <w:t>8</w:t>
      </w:r>
      <w:r>
        <w:t xml:space="preserve">% accurate </w:t>
      </w:r>
      <w:r w:rsidR="008E737A">
        <w:t xml:space="preserve">(N.T. 36-37; PPL Exh. 4). </w:t>
      </w:r>
      <w:r>
        <w:t xml:space="preserve"> </w:t>
      </w:r>
      <w:r w:rsidR="00A460AB">
        <w:t>Since it is within ±2% of 100% accuracy, t</w:t>
      </w:r>
      <w:r>
        <w:t>h</w:t>
      </w:r>
      <w:r w:rsidR="008E737A">
        <w:t>is</w:t>
      </w:r>
      <w:r>
        <w:t xml:space="preserve"> test result comport</w:t>
      </w:r>
      <w:r w:rsidR="008E737A">
        <w:t>s</w:t>
      </w:r>
      <w:r>
        <w:t xml:space="preserve"> with Commission regulations pertai</w:t>
      </w:r>
      <w:r w:rsidR="00A460AB">
        <w:t>ning to electric meter accuracy</w:t>
      </w:r>
      <w:r>
        <w:t xml:space="preserve">.  </w:t>
      </w:r>
      <w:proofErr w:type="gramStart"/>
      <w:r>
        <w:t>52 Pa. Code §§57.20</w:t>
      </w:r>
      <w:r w:rsidR="00D02822">
        <w:t xml:space="preserve">, </w:t>
      </w:r>
      <w:r>
        <w:t>57.24.</w:t>
      </w:r>
      <w:proofErr w:type="gramEnd"/>
    </w:p>
    <w:p w:rsidR="003717F7" w:rsidRDefault="003717F7" w:rsidP="003717F7">
      <w:pPr>
        <w:spacing w:line="360" w:lineRule="auto"/>
      </w:pPr>
    </w:p>
    <w:p w:rsidR="007C3A8C" w:rsidRDefault="007C3A8C" w:rsidP="003717F7">
      <w:pPr>
        <w:spacing w:line="360" w:lineRule="auto"/>
      </w:pPr>
      <w:r>
        <w:tab/>
      </w:r>
      <w:r>
        <w:tab/>
        <w:t xml:space="preserve">Also as part of its investigation, </w:t>
      </w:r>
      <w:r w:rsidR="007A6B83">
        <w:t>PPL conducted a walk-through and performed an energy audit of the appliances at 1305 Paradise Falls on December 15, 2010 (N.T. 34-35).  For electrical appliances, 1305 Paradise Falls has a kitchen stove, a microwave, a refrigerator, two television sets, a washer and dryer, a water heater, a ceiling fan, and 73 feet of baseboard heaters; a pellet stove has an electric fan on it (N.T. 13-14, 17-18, 21, 24-25, 35-36, 39).  PPL estimates the 73 feet of baseboard heaters alone have the potential to consume 13,140 kWh during a 30</w:t>
      </w:r>
      <w:r w:rsidR="007A6B83">
        <w:noBreakHyphen/>
        <w:t>day period (N.T. 35-36).</w:t>
      </w:r>
      <w:r w:rsidR="003920CD">
        <w:t xml:space="preserve">  </w:t>
      </w:r>
      <w:r w:rsidR="004C0C10">
        <w:t>Hence, t</w:t>
      </w:r>
      <w:r w:rsidR="003920CD">
        <w:t xml:space="preserve">he highest recorded usage of 4,624 kWh </w:t>
      </w:r>
      <w:r w:rsidR="004C0C10">
        <w:t xml:space="preserve">that </w:t>
      </w:r>
      <w:r w:rsidR="003920CD">
        <w:t xml:space="preserve">occurred </w:t>
      </w:r>
      <w:r w:rsidR="004C0C10">
        <w:t xml:space="preserve">during </w:t>
      </w:r>
      <w:r w:rsidR="003920CD">
        <w:t>a 32-day period on the December 26, 2008 bill</w:t>
      </w:r>
      <w:r w:rsidR="004C0C10">
        <w:t xml:space="preserve"> was significantly lower than the potential</w:t>
      </w:r>
      <w:r w:rsidR="003920CD">
        <w:t xml:space="preserve"> </w:t>
      </w:r>
      <w:r w:rsidR="004C0C10">
        <w:t xml:space="preserve">consumption </w:t>
      </w:r>
      <w:r w:rsidR="003920CD">
        <w:t>(PPL Exh. </w:t>
      </w:r>
      <w:r w:rsidR="004C0C10">
        <w:t>1-A).</w:t>
      </w:r>
      <w:r w:rsidR="003920CD">
        <w:t xml:space="preserve"> </w:t>
      </w:r>
    </w:p>
    <w:p w:rsidR="00D20A01" w:rsidRDefault="00D20A01" w:rsidP="003717F7">
      <w:pPr>
        <w:spacing w:line="360" w:lineRule="auto"/>
      </w:pPr>
    </w:p>
    <w:p w:rsidR="005F49BE" w:rsidRDefault="00D20A01" w:rsidP="003717F7">
      <w:pPr>
        <w:spacing w:line="360" w:lineRule="auto"/>
      </w:pPr>
      <w:r>
        <w:tab/>
      </w:r>
      <w:r>
        <w:tab/>
        <w:t>While Complainant may honestly believe electric service was shut off at the breaker box for the premises at the end of each season, she has not proven that to be the case.  Notable is the fact that after PPL conducted its walk-through and performed an energy audit on December 15, 2010</w:t>
      </w:r>
      <w:r w:rsidR="00C638EE">
        <w:t xml:space="preserve">, the recorded electric consumption dropped precipitously to 47 kWh in each </w:t>
      </w:r>
      <w:r w:rsidR="00C638EE">
        <w:lastRenderedPageBreak/>
        <w:t xml:space="preserve">of the months of January and February 2011 </w:t>
      </w:r>
      <w:r w:rsidR="00502F75">
        <w:t xml:space="preserve">and remained appreciably lower thereafter </w:t>
      </w:r>
      <w:r w:rsidR="00C638EE">
        <w:t>(PPL Exh. 1-A).</w:t>
      </w:r>
      <w:r w:rsidR="007E616D">
        <w:t xml:space="preserve">  While </w:t>
      </w:r>
      <w:r w:rsidR="000469E7">
        <w:t xml:space="preserve">certainly assigning </w:t>
      </w:r>
      <w:r w:rsidR="007E616D">
        <w:t xml:space="preserve">no wrongdoing for this occurrence, </w:t>
      </w:r>
      <w:r w:rsidR="000469E7">
        <w:t>it is, nevertheless, noteworthy and but one circumstance to cast doubt upon the assertion that electric service was indeed shut off after each season.</w:t>
      </w:r>
    </w:p>
    <w:p w:rsidR="005F49BE" w:rsidRDefault="005F49BE" w:rsidP="003717F7">
      <w:pPr>
        <w:spacing w:line="360" w:lineRule="auto"/>
      </w:pPr>
    </w:p>
    <w:p w:rsidR="00D20A01" w:rsidRDefault="005F49BE" w:rsidP="003717F7">
      <w:pPr>
        <w:spacing w:line="360" w:lineRule="auto"/>
      </w:pPr>
      <w:r>
        <w:tab/>
      </w:r>
      <w:r>
        <w:tab/>
      </w:r>
      <w:r w:rsidR="006F56BD">
        <w:t>In summary, the record reflects that</w:t>
      </w:r>
      <w:r w:rsidR="00A374CF">
        <w:t xml:space="preserve"> until January 2011</w:t>
      </w:r>
      <w:r w:rsidR="006F56BD">
        <w:t xml:space="preserve">, this account consistently experienced the highest billing during the cold weather months of December through </w:t>
      </w:r>
      <w:r w:rsidR="00185779">
        <w:t xml:space="preserve">March </w:t>
      </w:r>
      <w:r w:rsidR="006F56BD">
        <w:t xml:space="preserve">of each year, </w:t>
      </w:r>
      <w:r>
        <w:t>Complainant had the potential to consume the amount of electricity for which she was billed</w:t>
      </w:r>
      <w:r w:rsidR="0063061B">
        <w:t xml:space="preserve"> by virtue of electric baseboard heaters</w:t>
      </w:r>
      <w:r w:rsidR="006F56BD">
        <w:t>,</w:t>
      </w:r>
      <w:r w:rsidR="00185779">
        <w:t xml:space="preserve"> and she has not proved</w:t>
      </w:r>
      <w:r>
        <w:t xml:space="preserve"> that the service was shut off at the end of each season</w:t>
      </w:r>
      <w:r w:rsidR="006F56BD">
        <w:t xml:space="preserve">. </w:t>
      </w:r>
      <w:r>
        <w:t xml:space="preserve"> </w:t>
      </w:r>
      <w:r w:rsidR="00185779">
        <w:t xml:space="preserve">Consequently, </w:t>
      </w:r>
      <w:r>
        <w:t>Complainant has not met her burden of prov</w:t>
      </w:r>
      <w:r w:rsidR="00185779">
        <w:t>ing</w:t>
      </w:r>
      <w:r>
        <w:t xml:space="preserve"> that she is entitled to relief.  Accordingly, the complaint must be</w:t>
      </w:r>
      <w:r w:rsidR="00185779">
        <w:t xml:space="preserve"> denied</w:t>
      </w:r>
      <w:r>
        <w:t>.</w:t>
      </w:r>
    </w:p>
    <w:p w:rsidR="00A374CF" w:rsidRDefault="00A374CF" w:rsidP="003717F7">
      <w:pPr>
        <w:spacing w:line="360" w:lineRule="auto"/>
      </w:pPr>
    </w:p>
    <w:p w:rsidR="00A374CF" w:rsidRDefault="00A374CF" w:rsidP="00A374CF">
      <w:pPr>
        <w:spacing w:line="360" w:lineRule="auto"/>
        <w:jc w:val="center"/>
      </w:pPr>
      <w:r>
        <w:rPr>
          <w:u w:val="single"/>
        </w:rPr>
        <w:t>CONCLUSIONS OF LAW</w:t>
      </w:r>
    </w:p>
    <w:p w:rsidR="00A374CF" w:rsidRDefault="00A374CF" w:rsidP="00A374CF">
      <w:pPr>
        <w:spacing w:line="360" w:lineRule="auto"/>
      </w:pPr>
    </w:p>
    <w:p w:rsidR="00A374CF" w:rsidRDefault="001564A7" w:rsidP="0063061B">
      <w:pPr>
        <w:pStyle w:val="ListParagraph"/>
        <w:numPr>
          <w:ilvl w:val="0"/>
          <w:numId w:val="2"/>
        </w:numPr>
        <w:spacing w:line="360" w:lineRule="auto"/>
        <w:ind w:left="0" w:firstLine="1440"/>
      </w:pPr>
      <w:r>
        <w:t xml:space="preserve">The Commission has jurisdiction over the subject matter and the parties to this proceeding.  66 Pa. C.S. §§701, </w:t>
      </w:r>
      <w:r>
        <w:rPr>
          <w:i/>
        </w:rPr>
        <w:t>et seq</w:t>
      </w:r>
      <w:r>
        <w:t>.</w:t>
      </w:r>
    </w:p>
    <w:p w:rsidR="001564A7" w:rsidRDefault="001564A7" w:rsidP="001564A7">
      <w:pPr>
        <w:pStyle w:val="ListParagraph"/>
        <w:spacing w:line="360" w:lineRule="auto"/>
        <w:ind w:left="1440"/>
      </w:pPr>
    </w:p>
    <w:p w:rsidR="001564A7" w:rsidRDefault="001564A7" w:rsidP="0063061B">
      <w:pPr>
        <w:pStyle w:val="ListParagraph"/>
        <w:numPr>
          <w:ilvl w:val="0"/>
          <w:numId w:val="2"/>
        </w:numPr>
        <w:spacing w:line="360" w:lineRule="auto"/>
        <w:ind w:left="0" w:firstLine="1440"/>
      </w:pPr>
      <w:r>
        <w:t>Complainant has not met her burden of proving that she is entitled to relief.  66 Pa. C.S. §332(a).</w:t>
      </w:r>
    </w:p>
    <w:p w:rsidR="001564A7" w:rsidRDefault="001564A7" w:rsidP="00F05AAB">
      <w:pPr>
        <w:pStyle w:val="ListParagraph"/>
      </w:pPr>
    </w:p>
    <w:p w:rsidR="001564A7" w:rsidRDefault="001564A7" w:rsidP="00F05AAB">
      <w:pPr>
        <w:jc w:val="center"/>
      </w:pPr>
      <w:r>
        <w:rPr>
          <w:u w:val="single"/>
        </w:rPr>
        <w:t>ORDER</w:t>
      </w:r>
    </w:p>
    <w:p w:rsidR="001564A7" w:rsidRDefault="001564A7" w:rsidP="001564A7">
      <w:pPr>
        <w:spacing w:line="360" w:lineRule="auto"/>
      </w:pPr>
    </w:p>
    <w:p w:rsidR="001564A7" w:rsidRDefault="001564A7" w:rsidP="001564A7">
      <w:pPr>
        <w:spacing w:line="360" w:lineRule="auto"/>
      </w:pPr>
      <w:r>
        <w:tab/>
      </w:r>
      <w:r>
        <w:tab/>
        <w:t>THEREFORE,</w:t>
      </w:r>
    </w:p>
    <w:p w:rsidR="001564A7" w:rsidRDefault="001564A7" w:rsidP="001564A7">
      <w:pPr>
        <w:spacing w:line="360" w:lineRule="auto"/>
      </w:pPr>
    </w:p>
    <w:p w:rsidR="001564A7" w:rsidRDefault="001564A7" w:rsidP="001564A7">
      <w:pPr>
        <w:spacing w:line="360" w:lineRule="auto"/>
      </w:pPr>
      <w:r>
        <w:tab/>
      </w:r>
      <w:r>
        <w:tab/>
        <w:t>IT IS ORDERED:</w:t>
      </w:r>
    </w:p>
    <w:p w:rsidR="001564A7" w:rsidRDefault="001564A7" w:rsidP="001564A7">
      <w:pPr>
        <w:spacing w:line="360" w:lineRule="auto"/>
      </w:pPr>
    </w:p>
    <w:p w:rsidR="001564A7" w:rsidRDefault="001564A7" w:rsidP="001564A7">
      <w:pPr>
        <w:spacing w:line="360" w:lineRule="auto"/>
      </w:pPr>
      <w:r>
        <w:tab/>
      </w:r>
      <w:r>
        <w:tab/>
        <w:t>That the complaint of Ann Lindholm against PPL Electric Utilities Corporation at Docket No. C-2011-2235704 is hereby denied.</w:t>
      </w:r>
    </w:p>
    <w:p w:rsidR="001564A7" w:rsidRDefault="001564A7" w:rsidP="001564A7">
      <w:pPr>
        <w:spacing w:line="360" w:lineRule="auto"/>
      </w:pPr>
    </w:p>
    <w:p w:rsidR="001564A7" w:rsidRDefault="001564A7" w:rsidP="00F05AAB"/>
    <w:p w:rsidR="001564A7" w:rsidRDefault="001564A7" w:rsidP="00F05AAB">
      <w:r>
        <w:t xml:space="preserve">Date:  </w:t>
      </w:r>
      <w:r>
        <w:rPr>
          <w:u w:val="single"/>
        </w:rPr>
        <w:t>April 27, 2012</w:t>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1564A7" w:rsidRDefault="001564A7" w:rsidP="00F05AAB">
      <w:r>
        <w:tab/>
      </w:r>
      <w:r>
        <w:tab/>
      </w:r>
      <w:r>
        <w:tab/>
      </w:r>
      <w:r>
        <w:tab/>
      </w:r>
      <w:r>
        <w:tab/>
      </w:r>
      <w:r>
        <w:tab/>
      </w:r>
      <w:r>
        <w:tab/>
        <w:t>John H. Corbett, Jr.</w:t>
      </w:r>
    </w:p>
    <w:p w:rsidR="001564A7" w:rsidRPr="001564A7" w:rsidRDefault="001564A7" w:rsidP="001564A7">
      <w:r>
        <w:tab/>
      </w:r>
      <w:r>
        <w:tab/>
      </w:r>
      <w:r>
        <w:tab/>
      </w:r>
      <w:r>
        <w:tab/>
      </w:r>
      <w:r>
        <w:tab/>
      </w:r>
      <w:r>
        <w:tab/>
      </w:r>
      <w:r>
        <w:tab/>
        <w:t>Administrative Law Judge</w:t>
      </w:r>
    </w:p>
    <w:sectPr w:rsidR="001564A7" w:rsidRPr="001564A7" w:rsidSect="006E15F8">
      <w:footerReference w:type="default" r:id="rId8"/>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B84" w:rsidRDefault="002A3B84" w:rsidP="00D04B01">
      <w:r>
        <w:separator/>
      </w:r>
    </w:p>
  </w:endnote>
  <w:endnote w:type="continuationSeparator" w:id="0">
    <w:p w:rsidR="002A3B84" w:rsidRDefault="002A3B84" w:rsidP="00D04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728941"/>
      <w:docPartObj>
        <w:docPartGallery w:val="Page Numbers (Bottom of Page)"/>
        <w:docPartUnique/>
      </w:docPartObj>
    </w:sdtPr>
    <w:sdtEndPr>
      <w:rPr>
        <w:noProof/>
      </w:rPr>
    </w:sdtEndPr>
    <w:sdtContent>
      <w:p w:rsidR="00740480" w:rsidRDefault="00740480">
        <w:pPr>
          <w:pStyle w:val="Footer"/>
          <w:jc w:val="center"/>
        </w:pPr>
        <w:r>
          <w:fldChar w:fldCharType="begin"/>
        </w:r>
        <w:r>
          <w:instrText xml:space="preserve"> PAGE   \* MERGEFORMAT </w:instrText>
        </w:r>
        <w:r>
          <w:fldChar w:fldCharType="separate"/>
        </w:r>
        <w:r w:rsidR="000709E9">
          <w:rPr>
            <w:noProof/>
          </w:rPr>
          <w:t>8</w:t>
        </w:r>
        <w:r>
          <w:rPr>
            <w:noProof/>
          </w:rPr>
          <w:fldChar w:fldCharType="end"/>
        </w:r>
      </w:p>
    </w:sdtContent>
  </w:sdt>
  <w:p w:rsidR="00740480" w:rsidRDefault="007404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B84" w:rsidRDefault="002A3B84" w:rsidP="00D04B01">
      <w:r>
        <w:separator/>
      </w:r>
    </w:p>
  </w:footnote>
  <w:footnote w:type="continuationSeparator" w:id="0">
    <w:p w:rsidR="002A3B84" w:rsidRDefault="002A3B84" w:rsidP="00D04B01">
      <w:r>
        <w:continuationSeparator/>
      </w:r>
    </w:p>
  </w:footnote>
  <w:footnote w:id="1">
    <w:p w:rsidR="00D04B01" w:rsidRDefault="00D04B01" w:rsidP="00D04B01">
      <w:pPr>
        <w:pStyle w:val="FootnoteText"/>
        <w:ind w:firstLine="720"/>
      </w:pPr>
      <w:r>
        <w:rPr>
          <w:rStyle w:val="FootnoteReference"/>
        </w:rPr>
        <w:footnoteRef/>
      </w:r>
      <w:r>
        <w:t xml:space="preserve"> </w:t>
      </w:r>
      <w:r>
        <w:tab/>
        <w:t xml:space="preserve">The citations to the record appearing in this decision refer to </w:t>
      </w:r>
      <w:r w:rsidR="00740480">
        <w:t>the hearing on March 16, 2012.</w:t>
      </w:r>
    </w:p>
  </w:footnote>
  <w:footnote w:id="2">
    <w:p w:rsidR="00133378" w:rsidRPr="00161682" w:rsidRDefault="00133378" w:rsidP="00133378">
      <w:pPr>
        <w:pStyle w:val="FootnoteText"/>
        <w:ind w:firstLine="720"/>
      </w:pPr>
      <w:r>
        <w:rPr>
          <w:rStyle w:val="FootnoteReference"/>
        </w:rPr>
        <w:footnoteRef/>
      </w:r>
      <w:r>
        <w:t xml:space="preserve"> </w:t>
      </w:r>
      <w:r>
        <w:tab/>
      </w:r>
      <w:r>
        <w:rPr>
          <w:i/>
        </w:rPr>
        <w:t>See</w:t>
      </w:r>
      <w:r>
        <w:t xml:space="preserve">, Finding of Fact No. 14, </w:t>
      </w:r>
      <w:r>
        <w:rPr>
          <w:i/>
        </w:rPr>
        <w:t>supra</w:t>
      </w:r>
      <w:r w:rsidR="008770F9">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B399B"/>
    <w:multiLevelType w:val="hybridMultilevel"/>
    <w:tmpl w:val="B94C3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003F76"/>
    <w:multiLevelType w:val="hybridMultilevel"/>
    <w:tmpl w:val="AB7E8D76"/>
    <w:lvl w:ilvl="0" w:tplc="AAB8E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5F8"/>
    <w:rsid w:val="00002E71"/>
    <w:rsid w:val="0000610B"/>
    <w:rsid w:val="0001444C"/>
    <w:rsid w:val="000158F5"/>
    <w:rsid w:val="00015C87"/>
    <w:rsid w:val="000200B5"/>
    <w:rsid w:val="00022031"/>
    <w:rsid w:val="00022664"/>
    <w:rsid w:val="00024AA5"/>
    <w:rsid w:val="00027171"/>
    <w:rsid w:val="00027E4C"/>
    <w:rsid w:val="0003081B"/>
    <w:rsid w:val="0003505B"/>
    <w:rsid w:val="00035D88"/>
    <w:rsid w:val="000404B5"/>
    <w:rsid w:val="00041450"/>
    <w:rsid w:val="00041943"/>
    <w:rsid w:val="00042860"/>
    <w:rsid w:val="00044944"/>
    <w:rsid w:val="0004591A"/>
    <w:rsid w:val="000469E7"/>
    <w:rsid w:val="00047F6E"/>
    <w:rsid w:val="0005471E"/>
    <w:rsid w:val="00056339"/>
    <w:rsid w:val="00063896"/>
    <w:rsid w:val="0006554F"/>
    <w:rsid w:val="00067C8F"/>
    <w:rsid w:val="000709E9"/>
    <w:rsid w:val="00070D98"/>
    <w:rsid w:val="000716B7"/>
    <w:rsid w:val="000767FF"/>
    <w:rsid w:val="0008135A"/>
    <w:rsid w:val="0008257A"/>
    <w:rsid w:val="00085610"/>
    <w:rsid w:val="00087CC5"/>
    <w:rsid w:val="0009005C"/>
    <w:rsid w:val="000921BC"/>
    <w:rsid w:val="000925FB"/>
    <w:rsid w:val="00095B50"/>
    <w:rsid w:val="00096F74"/>
    <w:rsid w:val="000A0A7F"/>
    <w:rsid w:val="000A510C"/>
    <w:rsid w:val="000A7EFE"/>
    <w:rsid w:val="000B3598"/>
    <w:rsid w:val="000B53F0"/>
    <w:rsid w:val="000B629F"/>
    <w:rsid w:val="000B6D95"/>
    <w:rsid w:val="000C1A6B"/>
    <w:rsid w:val="000C269C"/>
    <w:rsid w:val="000C5510"/>
    <w:rsid w:val="000C71B2"/>
    <w:rsid w:val="000C76C7"/>
    <w:rsid w:val="000D0A51"/>
    <w:rsid w:val="000D1336"/>
    <w:rsid w:val="000D42A6"/>
    <w:rsid w:val="000D715A"/>
    <w:rsid w:val="000D7906"/>
    <w:rsid w:val="000E0C64"/>
    <w:rsid w:val="000E1700"/>
    <w:rsid w:val="000E4E82"/>
    <w:rsid w:val="000E6C36"/>
    <w:rsid w:val="000F0CB0"/>
    <w:rsid w:val="000F1E2C"/>
    <w:rsid w:val="000F22AD"/>
    <w:rsid w:val="000F331D"/>
    <w:rsid w:val="000F6BCB"/>
    <w:rsid w:val="0010180F"/>
    <w:rsid w:val="00105690"/>
    <w:rsid w:val="001057F8"/>
    <w:rsid w:val="001059C3"/>
    <w:rsid w:val="001079C3"/>
    <w:rsid w:val="0011082D"/>
    <w:rsid w:val="00114A5C"/>
    <w:rsid w:val="00114D69"/>
    <w:rsid w:val="001163B8"/>
    <w:rsid w:val="00117158"/>
    <w:rsid w:val="0012337D"/>
    <w:rsid w:val="00126555"/>
    <w:rsid w:val="001325C7"/>
    <w:rsid w:val="00133378"/>
    <w:rsid w:val="0013358A"/>
    <w:rsid w:val="001336B2"/>
    <w:rsid w:val="0013746C"/>
    <w:rsid w:val="00140ED5"/>
    <w:rsid w:val="001422C9"/>
    <w:rsid w:val="00145D70"/>
    <w:rsid w:val="0014695E"/>
    <w:rsid w:val="00147A1C"/>
    <w:rsid w:val="00150F38"/>
    <w:rsid w:val="00151828"/>
    <w:rsid w:val="00152DD8"/>
    <w:rsid w:val="001534FA"/>
    <w:rsid w:val="00153BB2"/>
    <w:rsid w:val="001551FE"/>
    <w:rsid w:val="00155E3F"/>
    <w:rsid w:val="001564A7"/>
    <w:rsid w:val="00157F7C"/>
    <w:rsid w:val="00161682"/>
    <w:rsid w:val="00163667"/>
    <w:rsid w:val="00171BA7"/>
    <w:rsid w:val="00177B41"/>
    <w:rsid w:val="00177C22"/>
    <w:rsid w:val="0018502A"/>
    <w:rsid w:val="00185779"/>
    <w:rsid w:val="00186713"/>
    <w:rsid w:val="00190B52"/>
    <w:rsid w:val="00192F81"/>
    <w:rsid w:val="00194EDA"/>
    <w:rsid w:val="00197214"/>
    <w:rsid w:val="00197FE7"/>
    <w:rsid w:val="001A517C"/>
    <w:rsid w:val="001A6616"/>
    <w:rsid w:val="001B077B"/>
    <w:rsid w:val="001B1283"/>
    <w:rsid w:val="001B37F9"/>
    <w:rsid w:val="001B389A"/>
    <w:rsid w:val="001B6147"/>
    <w:rsid w:val="001B669F"/>
    <w:rsid w:val="001B6767"/>
    <w:rsid w:val="001B7B44"/>
    <w:rsid w:val="001C16F1"/>
    <w:rsid w:val="001C1DA4"/>
    <w:rsid w:val="001D0B3C"/>
    <w:rsid w:val="001D4EAA"/>
    <w:rsid w:val="001E13F6"/>
    <w:rsid w:val="001E4606"/>
    <w:rsid w:val="001E480F"/>
    <w:rsid w:val="001E49BB"/>
    <w:rsid w:val="001E6948"/>
    <w:rsid w:val="001E6AC2"/>
    <w:rsid w:val="001E7A10"/>
    <w:rsid w:val="001F1F9D"/>
    <w:rsid w:val="001F1FC5"/>
    <w:rsid w:val="001F5E84"/>
    <w:rsid w:val="001F73E8"/>
    <w:rsid w:val="002002ED"/>
    <w:rsid w:val="00202271"/>
    <w:rsid w:val="00205676"/>
    <w:rsid w:val="0020746B"/>
    <w:rsid w:val="002107F3"/>
    <w:rsid w:val="00212F85"/>
    <w:rsid w:val="00213B19"/>
    <w:rsid w:val="0021472B"/>
    <w:rsid w:val="00215CE0"/>
    <w:rsid w:val="00216054"/>
    <w:rsid w:val="00221630"/>
    <w:rsid w:val="00222675"/>
    <w:rsid w:val="00222A1D"/>
    <w:rsid w:val="002231E7"/>
    <w:rsid w:val="00224D1A"/>
    <w:rsid w:val="00225F5E"/>
    <w:rsid w:val="0022623F"/>
    <w:rsid w:val="002270C7"/>
    <w:rsid w:val="00234986"/>
    <w:rsid w:val="0023594C"/>
    <w:rsid w:val="00237F95"/>
    <w:rsid w:val="002432B5"/>
    <w:rsid w:val="00244DC3"/>
    <w:rsid w:val="00254AC4"/>
    <w:rsid w:val="0025505D"/>
    <w:rsid w:val="0025568C"/>
    <w:rsid w:val="0025624A"/>
    <w:rsid w:val="00256602"/>
    <w:rsid w:val="002569D2"/>
    <w:rsid w:val="00256F15"/>
    <w:rsid w:val="00264827"/>
    <w:rsid w:val="002659C1"/>
    <w:rsid w:val="00265F08"/>
    <w:rsid w:val="00266EEA"/>
    <w:rsid w:val="002705F3"/>
    <w:rsid w:val="002715D6"/>
    <w:rsid w:val="00273113"/>
    <w:rsid w:val="00273CD5"/>
    <w:rsid w:val="00274AEB"/>
    <w:rsid w:val="0028196A"/>
    <w:rsid w:val="00282E72"/>
    <w:rsid w:val="00286013"/>
    <w:rsid w:val="00286E18"/>
    <w:rsid w:val="00292413"/>
    <w:rsid w:val="00292C52"/>
    <w:rsid w:val="0029312D"/>
    <w:rsid w:val="00297007"/>
    <w:rsid w:val="002A08AE"/>
    <w:rsid w:val="002A0C6D"/>
    <w:rsid w:val="002A3B84"/>
    <w:rsid w:val="002A5634"/>
    <w:rsid w:val="002B080D"/>
    <w:rsid w:val="002B43C8"/>
    <w:rsid w:val="002B693E"/>
    <w:rsid w:val="002C0A83"/>
    <w:rsid w:val="002C5195"/>
    <w:rsid w:val="002C6736"/>
    <w:rsid w:val="002D15FF"/>
    <w:rsid w:val="002D3212"/>
    <w:rsid w:val="002D46AD"/>
    <w:rsid w:val="002D50E8"/>
    <w:rsid w:val="002E16B1"/>
    <w:rsid w:val="002E39CC"/>
    <w:rsid w:val="002E414F"/>
    <w:rsid w:val="002E62AE"/>
    <w:rsid w:val="002E7B4F"/>
    <w:rsid w:val="002E7CBD"/>
    <w:rsid w:val="002F0988"/>
    <w:rsid w:val="002F0CDC"/>
    <w:rsid w:val="002F584B"/>
    <w:rsid w:val="002F58C1"/>
    <w:rsid w:val="003009B5"/>
    <w:rsid w:val="00300CD2"/>
    <w:rsid w:val="00303C1E"/>
    <w:rsid w:val="003065A6"/>
    <w:rsid w:val="00306EA2"/>
    <w:rsid w:val="003105EB"/>
    <w:rsid w:val="00313224"/>
    <w:rsid w:val="00314634"/>
    <w:rsid w:val="0031504C"/>
    <w:rsid w:val="00320C3C"/>
    <w:rsid w:val="0032184B"/>
    <w:rsid w:val="00322AAB"/>
    <w:rsid w:val="00323CE9"/>
    <w:rsid w:val="0032536B"/>
    <w:rsid w:val="0032582D"/>
    <w:rsid w:val="003367D1"/>
    <w:rsid w:val="003413E4"/>
    <w:rsid w:val="00343DF7"/>
    <w:rsid w:val="00344BBD"/>
    <w:rsid w:val="00347D4D"/>
    <w:rsid w:val="00354367"/>
    <w:rsid w:val="003560A1"/>
    <w:rsid w:val="003567DC"/>
    <w:rsid w:val="0036055F"/>
    <w:rsid w:val="00363FC4"/>
    <w:rsid w:val="00364892"/>
    <w:rsid w:val="003717F7"/>
    <w:rsid w:val="00372BCE"/>
    <w:rsid w:val="00375FC7"/>
    <w:rsid w:val="00376FD2"/>
    <w:rsid w:val="00377219"/>
    <w:rsid w:val="00383E9E"/>
    <w:rsid w:val="00386EC2"/>
    <w:rsid w:val="003914A1"/>
    <w:rsid w:val="003915CD"/>
    <w:rsid w:val="003920CD"/>
    <w:rsid w:val="003928FD"/>
    <w:rsid w:val="00393A51"/>
    <w:rsid w:val="00397337"/>
    <w:rsid w:val="003A51FD"/>
    <w:rsid w:val="003A5775"/>
    <w:rsid w:val="003A645A"/>
    <w:rsid w:val="003A7731"/>
    <w:rsid w:val="003B0F7E"/>
    <w:rsid w:val="003B5554"/>
    <w:rsid w:val="003C0F08"/>
    <w:rsid w:val="003C49C9"/>
    <w:rsid w:val="003C4FBC"/>
    <w:rsid w:val="003D00C1"/>
    <w:rsid w:val="003D15D0"/>
    <w:rsid w:val="003D38F7"/>
    <w:rsid w:val="003D42D0"/>
    <w:rsid w:val="003D500C"/>
    <w:rsid w:val="003D5AB0"/>
    <w:rsid w:val="003D6669"/>
    <w:rsid w:val="003D6830"/>
    <w:rsid w:val="003E5628"/>
    <w:rsid w:val="003E5D1E"/>
    <w:rsid w:val="003E6C83"/>
    <w:rsid w:val="003F100E"/>
    <w:rsid w:val="003F2040"/>
    <w:rsid w:val="003F347A"/>
    <w:rsid w:val="003F69AF"/>
    <w:rsid w:val="003F69C5"/>
    <w:rsid w:val="0040464B"/>
    <w:rsid w:val="00405757"/>
    <w:rsid w:val="00407E2D"/>
    <w:rsid w:val="00415484"/>
    <w:rsid w:val="0041758B"/>
    <w:rsid w:val="00417A48"/>
    <w:rsid w:val="00417FB9"/>
    <w:rsid w:val="004255AD"/>
    <w:rsid w:val="00425F5E"/>
    <w:rsid w:val="00427446"/>
    <w:rsid w:val="00427731"/>
    <w:rsid w:val="00431ED9"/>
    <w:rsid w:val="0043213F"/>
    <w:rsid w:val="004345F2"/>
    <w:rsid w:val="00441E8C"/>
    <w:rsid w:val="00443FC3"/>
    <w:rsid w:val="00444F84"/>
    <w:rsid w:val="00447594"/>
    <w:rsid w:val="00447DAD"/>
    <w:rsid w:val="00451BB3"/>
    <w:rsid w:val="00456B68"/>
    <w:rsid w:val="00456CBF"/>
    <w:rsid w:val="004606F8"/>
    <w:rsid w:val="004610DD"/>
    <w:rsid w:val="00465CA9"/>
    <w:rsid w:val="00466EEB"/>
    <w:rsid w:val="004763CF"/>
    <w:rsid w:val="00476406"/>
    <w:rsid w:val="004801CF"/>
    <w:rsid w:val="00492902"/>
    <w:rsid w:val="00493B06"/>
    <w:rsid w:val="004961B2"/>
    <w:rsid w:val="004A0D2F"/>
    <w:rsid w:val="004A3A17"/>
    <w:rsid w:val="004A4379"/>
    <w:rsid w:val="004A4472"/>
    <w:rsid w:val="004A5F2D"/>
    <w:rsid w:val="004A5F6F"/>
    <w:rsid w:val="004B07B7"/>
    <w:rsid w:val="004B1125"/>
    <w:rsid w:val="004B1E4E"/>
    <w:rsid w:val="004B35C3"/>
    <w:rsid w:val="004B4793"/>
    <w:rsid w:val="004B58A0"/>
    <w:rsid w:val="004C0903"/>
    <w:rsid w:val="004C0C10"/>
    <w:rsid w:val="004C1ADF"/>
    <w:rsid w:val="004C231D"/>
    <w:rsid w:val="004C3351"/>
    <w:rsid w:val="004C6ACC"/>
    <w:rsid w:val="004D0F86"/>
    <w:rsid w:val="004D17EE"/>
    <w:rsid w:val="004D1AF6"/>
    <w:rsid w:val="004D26B3"/>
    <w:rsid w:val="004D3CF4"/>
    <w:rsid w:val="004D5571"/>
    <w:rsid w:val="004D6A84"/>
    <w:rsid w:val="004E1384"/>
    <w:rsid w:val="004E1A31"/>
    <w:rsid w:val="004E1AA7"/>
    <w:rsid w:val="004E2DEE"/>
    <w:rsid w:val="004E3130"/>
    <w:rsid w:val="004E3916"/>
    <w:rsid w:val="004E3FCB"/>
    <w:rsid w:val="004E48B8"/>
    <w:rsid w:val="004E56E5"/>
    <w:rsid w:val="004F3674"/>
    <w:rsid w:val="004F52CA"/>
    <w:rsid w:val="00500E04"/>
    <w:rsid w:val="00501290"/>
    <w:rsid w:val="005013AB"/>
    <w:rsid w:val="00502F75"/>
    <w:rsid w:val="00503B65"/>
    <w:rsid w:val="005055FD"/>
    <w:rsid w:val="005071E6"/>
    <w:rsid w:val="00510BCD"/>
    <w:rsid w:val="00513A0D"/>
    <w:rsid w:val="00513E78"/>
    <w:rsid w:val="00520B4D"/>
    <w:rsid w:val="00522F41"/>
    <w:rsid w:val="005235D3"/>
    <w:rsid w:val="005245B1"/>
    <w:rsid w:val="00526125"/>
    <w:rsid w:val="0052693F"/>
    <w:rsid w:val="00530B02"/>
    <w:rsid w:val="005319D7"/>
    <w:rsid w:val="00544B49"/>
    <w:rsid w:val="005463A9"/>
    <w:rsid w:val="00546F57"/>
    <w:rsid w:val="005474D6"/>
    <w:rsid w:val="0055234E"/>
    <w:rsid w:val="00553A47"/>
    <w:rsid w:val="00562BF1"/>
    <w:rsid w:val="0056301D"/>
    <w:rsid w:val="005632BC"/>
    <w:rsid w:val="0057174D"/>
    <w:rsid w:val="005756A2"/>
    <w:rsid w:val="005756F9"/>
    <w:rsid w:val="00575B38"/>
    <w:rsid w:val="00576844"/>
    <w:rsid w:val="005773BD"/>
    <w:rsid w:val="00580C5C"/>
    <w:rsid w:val="0058134C"/>
    <w:rsid w:val="00581E78"/>
    <w:rsid w:val="0058593F"/>
    <w:rsid w:val="00590615"/>
    <w:rsid w:val="005945F6"/>
    <w:rsid w:val="00595C07"/>
    <w:rsid w:val="005963C4"/>
    <w:rsid w:val="005A127F"/>
    <w:rsid w:val="005A560D"/>
    <w:rsid w:val="005B0099"/>
    <w:rsid w:val="005B04D0"/>
    <w:rsid w:val="005B4EAA"/>
    <w:rsid w:val="005B7AAB"/>
    <w:rsid w:val="005C5138"/>
    <w:rsid w:val="005C5ED9"/>
    <w:rsid w:val="005C6FAE"/>
    <w:rsid w:val="005D141F"/>
    <w:rsid w:val="005D40C2"/>
    <w:rsid w:val="005D45C9"/>
    <w:rsid w:val="005D5EE7"/>
    <w:rsid w:val="005E3C0F"/>
    <w:rsid w:val="005E45BD"/>
    <w:rsid w:val="005E6C7E"/>
    <w:rsid w:val="005F4331"/>
    <w:rsid w:val="005F49BE"/>
    <w:rsid w:val="005F4AA1"/>
    <w:rsid w:val="005F5751"/>
    <w:rsid w:val="0060255E"/>
    <w:rsid w:val="00603FCF"/>
    <w:rsid w:val="00605A5C"/>
    <w:rsid w:val="00611B45"/>
    <w:rsid w:val="00613DA8"/>
    <w:rsid w:val="00614058"/>
    <w:rsid w:val="00614B07"/>
    <w:rsid w:val="006168E8"/>
    <w:rsid w:val="00616EF1"/>
    <w:rsid w:val="0062040F"/>
    <w:rsid w:val="00622936"/>
    <w:rsid w:val="0062391C"/>
    <w:rsid w:val="0063061B"/>
    <w:rsid w:val="00631809"/>
    <w:rsid w:val="00631CED"/>
    <w:rsid w:val="006352C1"/>
    <w:rsid w:val="00635E6D"/>
    <w:rsid w:val="00636172"/>
    <w:rsid w:val="0064016B"/>
    <w:rsid w:val="006503D8"/>
    <w:rsid w:val="00651BF9"/>
    <w:rsid w:val="0065509C"/>
    <w:rsid w:val="00655A67"/>
    <w:rsid w:val="0065674E"/>
    <w:rsid w:val="00657444"/>
    <w:rsid w:val="00657F07"/>
    <w:rsid w:val="00661B4E"/>
    <w:rsid w:val="00662C19"/>
    <w:rsid w:val="006646A6"/>
    <w:rsid w:val="0067080A"/>
    <w:rsid w:val="00670B1B"/>
    <w:rsid w:val="006729FF"/>
    <w:rsid w:val="006734EC"/>
    <w:rsid w:val="00675F41"/>
    <w:rsid w:val="00676400"/>
    <w:rsid w:val="00676F31"/>
    <w:rsid w:val="00677E47"/>
    <w:rsid w:val="0068098C"/>
    <w:rsid w:val="00686666"/>
    <w:rsid w:val="00692D9A"/>
    <w:rsid w:val="00694B4C"/>
    <w:rsid w:val="006A1BB3"/>
    <w:rsid w:val="006A3C03"/>
    <w:rsid w:val="006A4740"/>
    <w:rsid w:val="006A6097"/>
    <w:rsid w:val="006A64F2"/>
    <w:rsid w:val="006A76E3"/>
    <w:rsid w:val="006B3C1B"/>
    <w:rsid w:val="006B3EFB"/>
    <w:rsid w:val="006B690F"/>
    <w:rsid w:val="006C245B"/>
    <w:rsid w:val="006C3402"/>
    <w:rsid w:val="006C3AD5"/>
    <w:rsid w:val="006C5DA4"/>
    <w:rsid w:val="006C6F08"/>
    <w:rsid w:val="006C7836"/>
    <w:rsid w:val="006D251B"/>
    <w:rsid w:val="006D370E"/>
    <w:rsid w:val="006D3B1F"/>
    <w:rsid w:val="006D491B"/>
    <w:rsid w:val="006D4B7E"/>
    <w:rsid w:val="006D4E8D"/>
    <w:rsid w:val="006D51A2"/>
    <w:rsid w:val="006E15F8"/>
    <w:rsid w:val="006E1DF2"/>
    <w:rsid w:val="006E57E8"/>
    <w:rsid w:val="006E6989"/>
    <w:rsid w:val="006F08AE"/>
    <w:rsid w:val="006F2ACE"/>
    <w:rsid w:val="006F56BD"/>
    <w:rsid w:val="007000FB"/>
    <w:rsid w:val="007008E0"/>
    <w:rsid w:val="00705235"/>
    <w:rsid w:val="007107AD"/>
    <w:rsid w:val="00724A27"/>
    <w:rsid w:val="00731ACE"/>
    <w:rsid w:val="00733D5D"/>
    <w:rsid w:val="007342EA"/>
    <w:rsid w:val="00735001"/>
    <w:rsid w:val="007354F0"/>
    <w:rsid w:val="00740480"/>
    <w:rsid w:val="00742C25"/>
    <w:rsid w:val="00743300"/>
    <w:rsid w:val="00745364"/>
    <w:rsid w:val="00747A6F"/>
    <w:rsid w:val="007520AB"/>
    <w:rsid w:val="00752308"/>
    <w:rsid w:val="00752B0E"/>
    <w:rsid w:val="00756B4F"/>
    <w:rsid w:val="007575D6"/>
    <w:rsid w:val="00763043"/>
    <w:rsid w:val="00766C21"/>
    <w:rsid w:val="0077010C"/>
    <w:rsid w:val="00770452"/>
    <w:rsid w:val="00781BAD"/>
    <w:rsid w:val="007854CF"/>
    <w:rsid w:val="00787B82"/>
    <w:rsid w:val="007900D4"/>
    <w:rsid w:val="00796F08"/>
    <w:rsid w:val="007A0FA3"/>
    <w:rsid w:val="007A1A4C"/>
    <w:rsid w:val="007A4181"/>
    <w:rsid w:val="007A46A0"/>
    <w:rsid w:val="007A6B83"/>
    <w:rsid w:val="007A7CF3"/>
    <w:rsid w:val="007A7EA7"/>
    <w:rsid w:val="007B21DD"/>
    <w:rsid w:val="007B430A"/>
    <w:rsid w:val="007B5630"/>
    <w:rsid w:val="007C0BAC"/>
    <w:rsid w:val="007C3A8C"/>
    <w:rsid w:val="007C679F"/>
    <w:rsid w:val="007D2137"/>
    <w:rsid w:val="007D6606"/>
    <w:rsid w:val="007D67D1"/>
    <w:rsid w:val="007D682B"/>
    <w:rsid w:val="007E2A88"/>
    <w:rsid w:val="007E5C59"/>
    <w:rsid w:val="007E616D"/>
    <w:rsid w:val="007E6CAF"/>
    <w:rsid w:val="007E73C3"/>
    <w:rsid w:val="007F378A"/>
    <w:rsid w:val="008046A7"/>
    <w:rsid w:val="00805E1E"/>
    <w:rsid w:val="008072DD"/>
    <w:rsid w:val="0080763A"/>
    <w:rsid w:val="008101A5"/>
    <w:rsid w:val="008119F7"/>
    <w:rsid w:val="00812DE7"/>
    <w:rsid w:val="0082072C"/>
    <w:rsid w:val="008211B6"/>
    <w:rsid w:val="008215F2"/>
    <w:rsid w:val="0082561C"/>
    <w:rsid w:val="00831A19"/>
    <w:rsid w:val="00831EDA"/>
    <w:rsid w:val="008363BD"/>
    <w:rsid w:val="00836A1D"/>
    <w:rsid w:val="00837349"/>
    <w:rsid w:val="008433EA"/>
    <w:rsid w:val="00843FB4"/>
    <w:rsid w:val="00844572"/>
    <w:rsid w:val="00844E38"/>
    <w:rsid w:val="008461EA"/>
    <w:rsid w:val="00847619"/>
    <w:rsid w:val="008527AF"/>
    <w:rsid w:val="00853982"/>
    <w:rsid w:val="00854310"/>
    <w:rsid w:val="0085796E"/>
    <w:rsid w:val="00860CE9"/>
    <w:rsid w:val="00870493"/>
    <w:rsid w:val="008733F2"/>
    <w:rsid w:val="008739F3"/>
    <w:rsid w:val="00875888"/>
    <w:rsid w:val="008770F9"/>
    <w:rsid w:val="00877335"/>
    <w:rsid w:val="00881A7C"/>
    <w:rsid w:val="008831FD"/>
    <w:rsid w:val="00884320"/>
    <w:rsid w:val="00885412"/>
    <w:rsid w:val="0089092B"/>
    <w:rsid w:val="00890FD6"/>
    <w:rsid w:val="0089104A"/>
    <w:rsid w:val="00891D27"/>
    <w:rsid w:val="00895B38"/>
    <w:rsid w:val="008979D0"/>
    <w:rsid w:val="008A3128"/>
    <w:rsid w:val="008A53F1"/>
    <w:rsid w:val="008B629C"/>
    <w:rsid w:val="008B6C4F"/>
    <w:rsid w:val="008C0A8C"/>
    <w:rsid w:val="008C1CCC"/>
    <w:rsid w:val="008C4B08"/>
    <w:rsid w:val="008C4DAE"/>
    <w:rsid w:val="008C6C90"/>
    <w:rsid w:val="008C6CD3"/>
    <w:rsid w:val="008D25CC"/>
    <w:rsid w:val="008D3E8B"/>
    <w:rsid w:val="008D409A"/>
    <w:rsid w:val="008D4EA2"/>
    <w:rsid w:val="008D70A6"/>
    <w:rsid w:val="008E121E"/>
    <w:rsid w:val="008E31F7"/>
    <w:rsid w:val="008E737A"/>
    <w:rsid w:val="008F6929"/>
    <w:rsid w:val="00904091"/>
    <w:rsid w:val="009044B7"/>
    <w:rsid w:val="00906E26"/>
    <w:rsid w:val="00912360"/>
    <w:rsid w:val="00914472"/>
    <w:rsid w:val="00917AE9"/>
    <w:rsid w:val="0092041D"/>
    <w:rsid w:val="00921DA9"/>
    <w:rsid w:val="00922734"/>
    <w:rsid w:val="00923457"/>
    <w:rsid w:val="009262AC"/>
    <w:rsid w:val="0093663B"/>
    <w:rsid w:val="0094137F"/>
    <w:rsid w:val="00941BFF"/>
    <w:rsid w:val="00941E0A"/>
    <w:rsid w:val="00942B3C"/>
    <w:rsid w:val="00945A38"/>
    <w:rsid w:val="00950A70"/>
    <w:rsid w:val="00951681"/>
    <w:rsid w:val="00951BC4"/>
    <w:rsid w:val="009603C9"/>
    <w:rsid w:val="00960B87"/>
    <w:rsid w:val="00962AAD"/>
    <w:rsid w:val="009635AB"/>
    <w:rsid w:val="00964ECF"/>
    <w:rsid w:val="00971A09"/>
    <w:rsid w:val="0097213D"/>
    <w:rsid w:val="009758CE"/>
    <w:rsid w:val="00975E03"/>
    <w:rsid w:val="009803DF"/>
    <w:rsid w:val="00980566"/>
    <w:rsid w:val="00982ED8"/>
    <w:rsid w:val="00984A9D"/>
    <w:rsid w:val="00986732"/>
    <w:rsid w:val="00986ECD"/>
    <w:rsid w:val="009903E3"/>
    <w:rsid w:val="0099176B"/>
    <w:rsid w:val="0099459B"/>
    <w:rsid w:val="009966EF"/>
    <w:rsid w:val="009972E5"/>
    <w:rsid w:val="009A2737"/>
    <w:rsid w:val="009A2A70"/>
    <w:rsid w:val="009A3BBF"/>
    <w:rsid w:val="009A3D45"/>
    <w:rsid w:val="009A68DE"/>
    <w:rsid w:val="009A7D1A"/>
    <w:rsid w:val="009B3268"/>
    <w:rsid w:val="009B5FBB"/>
    <w:rsid w:val="009B64C4"/>
    <w:rsid w:val="009D0659"/>
    <w:rsid w:val="009D119A"/>
    <w:rsid w:val="009E047A"/>
    <w:rsid w:val="009E0743"/>
    <w:rsid w:val="009E0762"/>
    <w:rsid w:val="009E0D5F"/>
    <w:rsid w:val="009E16BB"/>
    <w:rsid w:val="009E3575"/>
    <w:rsid w:val="009E3DB9"/>
    <w:rsid w:val="009E558C"/>
    <w:rsid w:val="009E6878"/>
    <w:rsid w:val="009F07ED"/>
    <w:rsid w:val="009F17FE"/>
    <w:rsid w:val="009F34A1"/>
    <w:rsid w:val="009F4221"/>
    <w:rsid w:val="009F4617"/>
    <w:rsid w:val="009F47A7"/>
    <w:rsid w:val="009F5718"/>
    <w:rsid w:val="009F61DA"/>
    <w:rsid w:val="009F6ACD"/>
    <w:rsid w:val="009F707B"/>
    <w:rsid w:val="009F7990"/>
    <w:rsid w:val="009F7A6D"/>
    <w:rsid w:val="00A009D4"/>
    <w:rsid w:val="00A0320E"/>
    <w:rsid w:val="00A12944"/>
    <w:rsid w:val="00A14EFC"/>
    <w:rsid w:val="00A1691E"/>
    <w:rsid w:val="00A22BE0"/>
    <w:rsid w:val="00A22FF3"/>
    <w:rsid w:val="00A2365D"/>
    <w:rsid w:val="00A24980"/>
    <w:rsid w:val="00A24C4F"/>
    <w:rsid w:val="00A2719F"/>
    <w:rsid w:val="00A312B8"/>
    <w:rsid w:val="00A32C82"/>
    <w:rsid w:val="00A339BF"/>
    <w:rsid w:val="00A33A9C"/>
    <w:rsid w:val="00A3408C"/>
    <w:rsid w:val="00A35315"/>
    <w:rsid w:val="00A374CF"/>
    <w:rsid w:val="00A442C3"/>
    <w:rsid w:val="00A460AB"/>
    <w:rsid w:val="00A4684B"/>
    <w:rsid w:val="00A474D4"/>
    <w:rsid w:val="00A50F6C"/>
    <w:rsid w:val="00A5372D"/>
    <w:rsid w:val="00A6600B"/>
    <w:rsid w:val="00A66018"/>
    <w:rsid w:val="00A66558"/>
    <w:rsid w:val="00A7014D"/>
    <w:rsid w:val="00A71047"/>
    <w:rsid w:val="00A71A8E"/>
    <w:rsid w:val="00A72D1A"/>
    <w:rsid w:val="00A74445"/>
    <w:rsid w:val="00A751B8"/>
    <w:rsid w:val="00A835FF"/>
    <w:rsid w:val="00A83846"/>
    <w:rsid w:val="00A83E30"/>
    <w:rsid w:val="00A85EA9"/>
    <w:rsid w:val="00A916E8"/>
    <w:rsid w:val="00A92349"/>
    <w:rsid w:val="00A944BC"/>
    <w:rsid w:val="00AA1CCA"/>
    <w:rsid w:val="00AB0007"/>
    <w:rsid w:val="00AB07B5"/>
    <w:rsid w:val="00AB0B25"/>
    <w:rsid w:val="00AB6557"/>
    <w:rsid w:val="00AC0550"/>
    <w:rsid w:val="00AC3607"/>
    <w:rsid w:val="00AC54FF"/>
    <w:rsid w:val="00AC7B96"/>
    <w:rsid w:val="00AD066A"/>
    <w:rsid w:val="00AD069F"/>
    <w:rsid w:val="00AD6C0F"/>
    <w:rsid w:val="00AE3450"/>
    <w:rsid w:val="00AE5055"/>
    <w:rsid w:val="00AE699D"/>
    <w:rsid w:val="00AF0886"/>
    <w:rsid w:val="00AF1477"/>
    <w:rsid w:val="00AF33FC"/>
    <w:rsid w:val="00AF4C7A"/>
    <w:rsid w:val="00AF5D5B"/>
    <w:rsid w:val="00AF6B9A"/>
    <w:rsid w:val="00B00AA3"/>
    <w:rsid w:val="00B026D9"/>
    <w:rsid w:val="00B05442"/>
    <w:rsid w:val="00B072ED"/>
    <w:rsid w:val="00B10BF4"/>
    <w:rsid w:val="00B1170E"/>
    <w:rsid w:val="00B11A47"/>
    <w:rsid w:val="00B11A62"/>
    <w:rsid w:val="00B14A97"/>
    <w:rsid w:val="00B15030"/>
    <w:rsid w:val="00B150FA"/>
    <w:rsid w:val="00B20D8C"/>
    <w:rsid w:val="00B20EE3"/>
    <w:rsid w:val="00B21B7C"/>
    <w:rsid w:val="00B22AC5"/>
    <w:rsid w:val="00B23E14"/>
    <w:rsid w:val="00B24C6D"/>
    <w:rsid w:val="00B273CB"/>
    <w:rsid w:val="00B323F0"/>
    <w:rsid w:val="00B34146"/>
    <w:rsid w:val="00B3465A"/>
    <w:rsid w:val="00B37E41"/>
    <w:rsid w:val="00B43E1A"/>
    <w:rsid w:val="00B47709"/>
    <w:rsid w:val="00B50794"/>
    <w:rsid w:val="00B51738"/>
    <w:rsid w:val="00B51E90"/>
    <w:rsid w:val="00B57380"/>
    <w:rsid w:val="00B67C1A"/>
    <w:rsid w:val="00B7271C"/>
    <w:rsid w:val="00B763C7"/>
    <w:rsid w:val="00B763FA"/>
    <w:rsid w:val="00B774A8"/>
    <w:rsid w:val="00B816DD"/>
    <w:rsid w:val="00B81A18"/>
    <w:rsid w:val="00B81D8F"/>
    <w:rsid w:val="00B82AC2"/>
    <w:rsid w:val="00B83C4A"/>
    <w:rsid w:val="00B87526"/>
    <w:rsid w:val="00B91A4A"/>
    <w:rsid w:val="00B97B9F"/>
    <w:rsid w:val="00BA3333"/>
    <w:rsid w:val="00BA36B3"/>
    <w:rsid w:val="00BA5B1F"/>
    <w:rsid w:val="00BA66B1"/>
    <w:rsid w:val="00BA6EBC"/>
    <w:rsid w:val="00BB1638"/>
    <w:rsid w:val="00BB34F9"/>
    <w:rsid w:val="00BB4BAF"/>
    <w:rsid w:val="00BB7E8B"/>
    <w:rsid w:val="00BC0B12"/>
    <w:rsid w:val="00BC0E96"/>
    <w:rsid w:val="00BC12E2"/>
    <w:rsid w:val="00BC1DCF"/>
    <w:rsid w:val="00BC346D"/>
    <w:rsid w:val="00BC35D4"/>
    <w:rsid w:val="00BC3D16"/>
    <w:rsid w:val="00BD2071"/>
    <w:rsid w:val="00BD4345"/>
    <w:rsid w:val="00BD4DFB"/>
    <w:rsid w:val="00BE3510"/>
    <w:rsid w:val="00BE4CCA"/>
    <w:rsid w:val="00BE74C8"/>
    <w:rsid w:val="00BE761E"/>
    <w:rsid w:val="00BF0827"/>
    <w:rsid w:val="00BF0A35"/>
    <w:rsid w:val="00BF2F4A"/>
    <w:rsid w:val="00BF3093"/>
    <w:rsid w:val="00BF3C89"/>
    <w:rsid w:val="00C02B5B"/>
    <w:rsid w:val="00C04531"/>
    <w:rsid w:val="00C04558"/>
    <w:rsid w:val="00C04EA1"/>
    <w:rsid w:val="00C07C80"/>
    <w:rsid w:val="00C11AAF"/>
    <w:rsid w:val="00C11EFF"/>
    <w:rsid w:val="00C124E6"/>
    <w:rsid w:val="00C13F83"/>
    <w:rsid w:val="00C15382"/>
    <w:rsid w:val="00C15ECA"/>
    <w:rsid w:val="00C1633C"/>
    <w:rsid w:val="00C17E8D"/>
    <w:rsid w:val="00C20215"/>
    <w:rsid w:val="00C20E93"/>
    <w:rsid w:val="00C21DF1"/>
    <w:rsid w:val="00C222F3"/>
    <w:rsid w:val="00C23BF2"/>
    <w:rsid w:val="00C24004"/>
    <w:rsid w:val="00C24455"/>
    <w:rsid w:val="00C254F0"/>
    <w:rsid w:val="00C27855"/>
    <w:rsid w:val="00C31CEB"/>
    <w:rsid w:val="00C374CC"/>
    <w:rsid w:val="00C379FE"/>
    <w:rsid w:val="00C37CD0"/>
    <w:rsid w:val="00C43CFE"/>
    <w:rsid w:val="00C46557"/>
    <w:rsid w:val="00C46DC6"/>
    <w:rsid w:val="00C4789A"/>
    <w:rsid w:val="00C5077F"/>
    <w:rsid w:val="00C5093C"/>
    <w:rsid w:val="00C52731"/>
    <w:rsid w:val="00C55401"/>
    <w:rsid w:val="00C60CCE"/>
    <w:rsid w:val="00C638EE"/>
    <w:rsid w:val="00C669E5"/>
    <w:rsid w:val="00C679CE"/>
    <w:rsid w:val="00C704C9"/>
    <w:rsid w:val="00C71914"/>
    <w:rsid w:val="00C7784C"/>
    <w:rsid w:val="00C80F04"/>
    <w:rsid w:val="00C81090"/>
    <w:rsid w:val="00C81C16"/>
    <w:rsid w:val="00C86564"/>
    <w:rsid w:val="00C90531"/>
    <w:rsid w:val="00C93740"/>
    <w:rsid w:val="00CA06B1"/>
    <w:rsid w:val="00CA6B55"/>
    <w:rsid w:val="00CB75FF"/>
    <w:rsid w:val="00CB7B6B"/>
    <w:rsid w:val="00CC0060"/>
    <w:rsid w:val="00CC0BE8"/>
    <w:rsid w:val="00CC147D"/>
    <w:rsid w:val="00CC3E11"/>
    <w:rsid w:val="00CC6237"/>
    <w:rsid w:val="00CC6700"/>
    <w:rsid w:val="00CC6D89"/>
    <w:rsid w:val="00CC6F63"/>
    <w:rsid w:val="00CD1451"/>
    <w:rsid w:val="00CD20F8"/>
    <w:rsid w:val="00CD3316"/>
    <w:rsid w:val="00CD34E9"/>
    <w:rsid w:val="00CD3706"/>
    <w:rsid w:val="00CE116F"/>
    <w:rsid w:val="00CE1403"/>
    <w:rsid w:val="00CE2FD5"/>
    <w:rsid w:val="00CF1A8C"/>
    <w:rsid w:val="00CF35E9"/>
    <w:rsid w:val="00CF43F2"/>
    <w:rsid w:val="00CF4B8D"/>
    <w:rsid w:val="00CF543F"/>
    <w:rsid w:val="00D02312"/>
    <w:rsid w:val="00D02822"/>
    <w:rsid w:val="00D04B01"/>
    <w:rsid w:val="00D0622E"/>
    <w:rsid w:val="00D06CF4"/>
    <w:rsid w:val="00D1088E"/>
    <w:rsid w:val="00D12BD9"/>
    <w:rsid w:val="00D15533"/>
    <w:rsid w:val="00D162BC"/>
    <w:rsid w:val="00D167BB"/>
    <w:rsid w:val="00D16D6E"/>
    <w:rsid w:val="00D205BA"/>
    <w:rsid w:val="00D20A01"/>
    <w:rsid w:val="00D22216"/>
    <w:rsid w:val="00D254AD"/>
    <w:rsid w:val="00D25F59"/>
    <w:rsid w:val="00D266C2"/>
    <w:rsid w:val="00D3255C"/>
    <w:rsid w:val="00D33564"/>
    <w:rsid w:val="00D3420E"/>
    <w:rsid w:val="00D3478E"/>
    <w:rsid w:val="00D356CF"/>
    <w:rsid w:val="00D4206A"/>
    <w:rsid w:val="00D4620B"/>
    <w:rsid w:val="00D50C61"/>
    <w:rsid w:val="00D5467C"/>
    <w:rsid w:val="00D621DA"/>
    <w:rsid w:val="00D648E0"/>
    <w:rsid w:val="00D65AC8"/>
    <w:rsid w:val="00D7008E"/>
    <w:rsid w:val="00D722CD"/>
    <w:rsid w:val="00D72F00"/>
    <w:rsid w:val="00D745FB"/>
    <w:rsid w:val="00D753D9"/>
    <w:rsid w:val="00D7641A"/>
    <w:rsid w:val="00D807D1"/>
    <w:rsid w:val="00D8224F"/>
    <w:rsid w:val="00D857FB"/>
    <w:rsid w:val="00D85BF7"/>
    <w:rsid w:val="00D86802"/>
    <w:rsid w:val="00D90A8A"/>
    <w:rsid w:val="00D90DCC"/>
    <w:rsid w:val="00D914CC"/>
    <w:rsid w:val="00D91676"/>
    <w:rsid w:val="00D9281D"/>
    <w:rsid w:val="00D969EB"/>
    <w:rsid w:val="00D974FF"/>
    <w:rsid w:val="00DA0270"/>
    <w:rsid w:val="00DA04D6"/>
    <w:rsid w:val="00DA06FC"/>
    <w:rsid w:val="00DA56F0"/>
    <w:rsid w:val="00DA5F0B"/>
    <w:rsid w:val="00DA7A60"/>
    <w:rsid w:val="00DB4818"/>
    <w:rsid w:val="00DB5F13"/>
    <w:rsid w:val="00DB6200"/>
    <w:rsid w:val="00DC5B32"/>
    <w:rsid w:val="00DD173D"/>
    <w:rsid w:val="00DD40C0"/>
    <w:rsid w:val="00DE2FEA"/>
    <w:rsid w:val="00DE4AC1"/>
    <w:rsid w:val="00DE5630"/>
    <w:rsid w:val="00DE5FF0"/>
    <w:rsid w:val="00DF0EC6"/>
    <w:rsid w:val="00DF26E7"/>
    <w:rsid w:val="00DF4B57"/>
    <w:rsid w:val="00DF54D3"/>
    <w:rsid w:val="00DF6DBF"/>
    <w:rsid w:val="00E02E3B"/>
    <w:rsid w:val="00E049A4"/>
    <w:rsid w:val="00E04D8F"/>
    <w:rsid w:val="00E072AC"/>
    <w:rsid w:val="00E078FD"/>
    <w:rsid w:val="00E11477"/>
    <w:rsid w:val="00E11B0F"/>
    <w:rsid w:val="00E125AF"/>
    <w:rsid w:val="00E13082"/>
    <w:rsid w:val="00E1342A"/>
    <w:rsid w:val="00E14388"/>
    <w:rsid w:val="00E1687C"/>
    <w:rsid w:val="00E2017C"/>
    <w:rsid w:val="00E2076C"/>
    <w:rsid w:val="00E21788"/>
    <w:rsid w:val="00E242D3"/>
    <w:rsid w:val="00E24CA4"/>
    <w:rsid w:val="00E27A3B"/>
    <w:rsid w:val="00E322FF"/>
    <w:rsid w:val="00E32889"/>
    <w:rsid w:val="00E33AFF"/>
    <w:rsid w:val="00E36C6E"/>
    <w:rsid w:val="00E37FA1"/>
    <w:rsid w:val="00E414F8"/>
    <w:rsid w:val="00E43A15"/>
    <w:rsid w:val="00E4472A"/>
    <w:rsid w:val="00E47077"/>
    <w:rsid w:val="00E51C4C"/>
    <w:rsid w:val="00E52101"/>
    <w:rsid w:val="00E52779"/>
    <w:rsid w:val="00E53C53"/>
    <w:rsid w:val="00E553D5"/>
    <w:rsid w:val="00E56ADF"/>
    <w:rsid w:val="00E626F1"/>
    <w:rsid w:val="00E641A6"/>
    <w:rsid w:val="00E65624"/>
    <w:rsid w:val="00E6714F"/>
    <w:rsid w:val="00E705D3"/>
    <w:rsid w:val="00E7317F"/>
    <w:rsid w:val="00E73276"/>
    <w:rsid w:val="00E737FA"/>
    <w:rsid w:val="00E76ACE"/>
    <w:rsid w:val="00E84012"/>
    <w:rsid w:val="00E861DA"/>
    <w:rsid w:val="00E86364"/>
    <w:rsid w:val="00E904E5"/>
    <w:rsid w:val="00E959E8"/>
    <w:rsid w:val="00E96A0E"/>
    <w:rsid w:val="00EA174A"/>
    <w:rsid w:val="00EA4441"/>
    <w:rsid w:val="00EA460D"/>
    <w:rsid w:val="00EA7897"/>
    <w:rsid w:val="00EB154E"/>
    <w:rsid w:val="00EB1B66"/>
    <w:rsid w:val="00EB208A"/>
    <w:rsid w:val="00EB2FB3"/>
    <w:rsid w:val="00EB43C6"/>
    <w:rsid w:val="00EB4B99"/>
    <w:rsid w:val="00EB7E3D"/>
    <w:rsid w:val="00EC11E4"/>
    <w:rsid w:val="00EC1AE7"/>
    <w:rsid w:val="00EC439F"/>
    <w:rsid w:val="00EC7351"/>
    <w:rsid w:val="00EC7FD4"/>
    <w:rsid w:val="00ED1EC3"/>
    <w:rsid w:val="00ED2F45"/>
    <w:rsid w:val="00ED4012"/>
    <w:rsid w:val="00ED55A2"/>
    <w:rsid w:val="00EE010A"/>
    <w:rsid w:val="00EF0A65"/>
    <w:rsid w:val="00EF12CB"/>
    <w:rsid w:val="00EF331C"/>
    <w:rsid w:val="00EF3332"/>
    <w:rsid w:val="00EF41AC"/>
    <w:rsid w:val="00EF4F0C"/>
    <w:rsid w:val="00F0033E"/>
    <w:rsid w:val="00F02A7A"/>
    <w:rsid w:val="00F03624"/>
    <w:rsid w:val="00F05AAB"/>
    <w:rsid w:val="00F06057"/>
    <w:rsid w:val="00F26B72"/>
    <w:rsid w:val="00F3014C"/>
    <w:rsid w:val="00F353CE"/>
    <w:rsid w:val="00F3651B"/>
    <w:rsid w:val="00F37163"/>
    <w:rsid w:val="00F435F1"/>
    <w:rsid w:val="00F45F9D"/>
    <w:rsid w:val="00F47958"/>
    <w:rsid w:val="00F51224"/>
    <w:rsid w:val="00F56248"/>
    <w:rsid w:val="00F61397"/>
    <w:rsid w:val="00F61F43"/>
    <w:rsid w:val="00F65411"/>
    <w:rsid w:val="00F66425"/>
    <w:rsid w:val="00F66C87"/>
    <w:rsid w:val="00F710FC"/>
    <w:rsid w:val="00F7161F"/>
    <w:rsid w:val="00F736A6"/>
    <w:rsid w:val="00F73E58"/>
    <w:rsid w:val="00F7406E"/>
    <w:rsid w:val="00F74249"/>
    <w:rsid w:val="00F75473"/>
    <w:rsid w:val="00F838BA"/>
    <w:rsid w:val="00F839BB"/>
    <w:rsid w:val="00F84751"/>
    <w:rsid w:val="00F85075"/>
    <w:rsid w:val="00F8554D"/>
    <w:rsid w:val="00F85AD4"/>
    <w:rsid w:val="00F93E48"/>
    <w:rsid w:val="00F95D50"/>
    <w:rsid w:val="00F96AA9"/>
    <w:rsid w:val="00FA2073"/>
    <w:rsid w:val="00FA2A0D"/>
    <w:rsid w:val="00FA521B"/>
    <w:rsid w:val="00FA7E0A"/>
    <w:rsid w:val="00FB0B72"/>
    <w:rsid w:val="00FB0CB0"/>
    <w:rsid w:val="00FB1797"/>
    <w:rsid w:val="00FC789F"/>
    <w:rsid w:val="00FD241B"/>
    <w:rsid w:val="00FD3AAB"/>
    <w:rsid w:val="00FD4B19"/>
    <w:rsid w:val="00FD6D4E"/>
    <w:rsid w:val="00FE0A6D"/>
    <w:rsid w:val="00FE2301"/>
    <w:rsid w:val="00FE251E"/>
    <w:rsid w:val="00FE2D9A"/>
    <w:rsid w:val="00FE3202"/>
    <w:rsid w:val="00FE33A9"/>
    <w:rsid w:val="00FE3976"/>
    <w:rsid w:val="00FE3C14"/>
    <w:rsid w:val="00FE4274"/>
    <w:rsid w:val="00FE5327"/>
    <w:rsid w:val="00FE6A03"/>
    <w:rsid w:val="00FE6FF7"/>
    <w:rsid w:val="00FF6210"/>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B01"/>
    <w:pPr>
      <w:ind w:left="720"/>
      <w:contextualSpacing/>
    </w:pPr>
  </w:style>
  <w:style w:type="paragraph" w:styleId="FootnoteText">
    <w:name w:val="footnote text"/>
    <w:basedOn w:val="Normal"/>
    <w:link w:val="FootnoteTextChar"/>
    <w:rsid w:val="00D04B01"/>
    <w:rPr>
      <w:sz w:val="20"/>
      <w:szCs w:val="20"/>
    </w:rPr>
  </w:style>
  <w:style w:type="character" w:customStyle="1" w:styleId="FootnoteTextChar">
    <w:name w:val="Footnote Text Char"/>
    <w:basedOn w:val="DefaultParagraphFont"/>
    <w:link w:val="FootnoteText"/>
    <w:rsid w:val="00D04B01"/>
  </w:style>
  <w:style w:type="character" w:styleId="FootnoteReference">
    <w:name w:val="footnote reference"/>
    <w:basedOn w:val="DefaultParagraphFont"/>
    <w:rsid w:val="00D04B01"/>
    <w:rPr>
      <w:vertAlign w:val="superscript"/>
    </w:rPr>
  </w:style>
  <w:style w:type="paragraph" w:styleId="Header">
    <w:name w:val="header"/>
    <w:basedOn w:val="Normal"/>
    <w:link w:val="HeaderChar"/>
    <w:rsid w:val="00740480"/>
    <w:pPr>
      <w:tabs>
        <w:tab w:val="center" w:pos="4680"/>
        <w:tab w:val="right" w:pos="9360"/>
      </w:tabs>
    </w:pPr>
  </w:style>
  <w:style w:type="character" w:customStyle="1" w:styleId="HeaderChar">
    <w:name w:val="Header Char"/>
    <w:basedOn w:val="DefaultParagraphFont"/>
    <w:link w:val="Header"/>
    <w:rsid w:val="00740480"/>
    <w:rPr>
      <w:sz w:val="24"/>
      <w:szCs w:val="24"/>
    </w:rPr>
  </w:style>
  <w:style w:type="paragraph" w:styleId="Footer">
    <w:name w:val="footer"/>
    <w:basedOn w:val="Normal"/>
    <w:link w:val="FooterChar"/>
    <w:uiPriority w:val="99"/>
    <w:rsid w:val="00740480"/>
    <w:pPr>
      <w:tabs>
        <w:tab w:val="center" w:pos="4680"/>
        <w:tab w:val="right" w:pos="9360"/>
      </w:tabs>
    </w:pPr>
  </w:style>
  <w:style w:type="character" w:customStyle="1" w:styleId="FooterChar">
    <w:name w:val="Footer Char"/>
    <w:basedOn w:val="DefaultParagraphFont"/>
    <w:link w:val="Footer"/>
    <w:uiPriority w:val="99"/>
    <w:rsid w:val="00740480"/>
    <w:rPr>
      <w:sz w:val="24"/>
      <w:szCs w:val="24"/>
    </w:rPr>
  </w:style>
  <w:style w:type="table" w:styleId="TableGrid">
    <w:name w:val="Table Grid"/>
    <w:basedOn w:val="TableNormal"/>
    <w:rsid w:val="00D25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71A8E"/>
    <w:rPr>
      <w:rFonts w:ascii="Tahoma" w:hAnsi="Tahoma" w:cs="Tahoma"/>
      <w:sz w:val="16"/>
      <w:szCs w:val="16"/>
    </w:rPr>
  </w:style>
  <w:style w:type="character" w:customStyle="1" w:styleId="BalloonTextChar">
    <w:name w:val="Balloon Text Char"/>
    <w:basedOn w:val="DefaultParagraphFont"/>
    <w:link w:val="BalloonText"/>
    <w:rsid w:val="00A71A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B01"/>
    <w:pPr>
      <w:ind w:left="720"/>
      <w:contextualSpacing/>
    </w:pPr>
  </w:style>
  <w:style w:type="paragraph" w:styleId="FootnoteText">
    <w:name w:val="footnote text"/>
    <w:basedOn w:val="Normal"/>
    <w:link w:val="FootnoteTextChar"/>
    <w:rsid w:val="00D04B01"/>
    <w:rPr>
      <w:sz w:val="20"/>
      <w:szCs w:val="20"/>
    </w:rPr>
  </w:style>
  <w:style w:type="character" w:customStyle="1" w:styleId="FootnoteTextChar">
    <w:name w:val="Footnote Text Char"/>
    <w:basedOn w:val="DefaultParagraphFont"/>
    <w:link w:val="FootnoteText"/>
    <w:rsid w:val="00D04B01"/>
  </w:style>
  <w:style w:type="character" w:styleId="FootnoteReference">
    <w:name w:val="footnote reference"/>
    <w:basedOn w:val="DefaultParagraphFont"/>
    <w:rsid w:val="00D04B01"/>
    <w:rPr>
      <w:vertAlign w:val="superscript"/>
    </w:rPr>
  </w:style>
  <w:style w:type="paragraph" w:styleId="Header">
    <w:name w:val="header"/>
    <w:basedOn w:val="Normal"/>
    <w:link w:val="HeaderChar"/>
    <w:rsid w:val="00740480"/>
    <w:pPr>
      <w:tabs>
        <w:tab w:val="center" w:pos="4680"/>
        <w:tab w:val="right" w:pos="9360"/>
      </w:tabs>
    </w:pPr>
  </w:style>
  <w:style w:type="character" w:customStyle="1" w:styleId="HeaderChar">
    <w:name w:val="Header Char"/>
    <w:basedOn w:val="DefaultParagraphFont"/>
    <w:link w:val="Header"/>
    <w:rsid w:val="00740480"/>
    <w:rPr>
      <w:sz w:val="24"/>
      <w:szCs w:val="24"/>
    </w:rPr>
  </w:style>
  <w:style w:type="paragraph" w:styleId="Footer">
    <w:name w:val="footer"/>
    <w:basedOn w:val="Normal"/>
    <w:link w:val="FooterChar"/>
    <w:uiPriority w:val="99"/>
    <w:rsid w:val="00740480"/>
    <w:pPr>
      <w:tabs>
        <w:tab w:val="center" w:pos="4680"/>
        <w:tab w:val="right" w:pos="9360"/>
      </w:tabs>
    </w:pPr>
  </w:style>
  <w:style w:type="character" w:customStyle="1" w:styleId="FooterChar">
    <w:name w:val="Footer Char"/>
    <w:basedOn w:val="DefaultParagraphFont"/>
    <w:link w:val="Footer"/>
    <w:uiPriority w:val="99"/>
    <w:rsid w:val="00740480"/>
    <w:rPr>
      <w:sz w:val="24"/>
      <w:szCs w:val="24"/>
    </w:rPr>
  </w:style>
  <w:style w:type="table" w:styleId="TableGrid">
    <w:name w:val="Table Grid"/>
    <w:basedOn w:val="TableNormal"/>
    <w:rsid w:val="00D25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71A8E"/>
    <w:rPr>
      <w:rFonts w:ascii="Tahoma" w:hAnsi="Tahoma" w:cs="Tahoma"/>
      <w:sz w:val="16"/>
      <w:szCs w:val="16"/>
    </w:rPr>
  </w:style>
  <w:style w:type="character" w:customStyle="1" w:styleId="BalloonTextChar">
    <w:name w:val="Balloon Text Char"/>
    <w:basedOn w:val="DefaultParagraphFont"/>
    <w:link w:val="BalloonText"/>
    <w:rsid w:val="00A71A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2213</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johcorbett</dc:creator>
  <cp:lastModifiedBy>bfaccenda</cp:lastModifiedBy>
  <cp:revision>2</cp:revision>
  <cp:lastPrinted>2012-04-27T14:44:00Z</cp:lastPrinted>
  <dcterms:created xsi:type="dcterms:W3CDTF">2012-04-27T17:11:00Z</dcterms:created>
  <dcterms:modified xsi:type="dcterms:W3CDTF">2012-04-27T17:11:00Z</dcterms:modified>
</cp:coreProperties>
</file>