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08D" w:rsidRPr="00BD099E" w:rsidRDefault="0082408D" w:rsidP="00A71F6C">
      <w:pPr>
        <w:pStyle w:val="Title"/>
        <w:ind w:right="-720"/>
        <w:rPr>
          <w:rFonts w:ascii="Times New Roman" w:hAnsi="Times New Roman"/>
          <w:szCs w:val="24"/>
        </w:rPr>
      </w:pPr>
      <w:r w:rsidRPr="00BD099E">
        <w:rPr>
          <w:rFonts w:ascii="Times New Roman" w:hAnsi="Times New Roman"/>
          <w:szCs w:val="24"/>
        </w:rPr>
        <w:t>BEFORE THE</w:t>
      </w:r>
    </w:p>
    <w:p w:rsidR="0082408D" w:rsidRPr="00BD099E" w:rsidRDefault="0082408D" w:rsidP="00A71F6C">
      <w:pPr>
        <w:pStyle w:val="Subtitle"/>
        <w:ind w:right="-720"/>
        <w:rPr>
          <w:rFonts w:ascii="Times New Roman" w:hAnsi="Times New Roman"/>
          <w:szCs w:val="24"/>
        </w:rPr>
      </w:pPr>
      <w:smartTag w:uri="urn:schemas-microsoft-com:office:smarttags" w:element="State">
        <w:smartTag w:uri="urn:schemas-microsoft-com:office:smarttags" w:element="place">
          <w:r w:rsidRPr="00BD099E">
            <w:rPr>
              <w:rFonts w:ascii="Times New Roman" w:hAnsi="Times New Roman"/>
              <w:szCs w:val="24"/>
            </w:rPr>
            <w:t>PENNSYLVANIA</w:t>
          </w:r>
        </w:smartTag>
      </w:smartTag>
      <w:r w:rsidRPr="00BD099E">
        <w:rPr>
          <w:rFonts w:ascii="Times New Roman" w:hAnsi="Times New Roman"/>
          <w:szCs w:val="24"/>
        </w:rPr>
        <w:t xml:space="preserve"> PUBLIC UTILITY COMMISSION</w:t>
      </w:r>
    </w:p>
    <w:p w:rsidR="0082408D" w:rsidRPr="00BD099E" w:rsidRDefault="0082408D" w:rsidP="00A71F6C">
      <w:pPr>
        <w:ind w:right="-720"/>
        <w:jc w:val="both"/>
        <w:rPr>
          <w:sz w:val="24"/>
          <w:szCs w:val="24"/>
        </w:rPr>
      </w:pPr>
    </w:p>
    <w:p w:rsidR="0082408D" w:rsidRPr="00BD099E" w:rsidRDefault="0082408D" w:rsidP="00A71F6C">
      <w:pPr>
        <w:ind w:right="-720"/>
        <w:jc w:val="both"/>
        <w:rPr>
          <w:sz w:val="24"/>
          <w:szCs w:val="24"/>
        </w:rPr>
      </w:pPr>
    </w:p>
    <w:p w:rsidR="00477873" w:rsidRPr="00BD099E" w:rsidRDefault="000837A0" w:rsidP="00A71F6C">
      <w:pPr>
        <w:ind w:right="-720"/>
        <w:jc w:val="both"/>
        <w:rPr>
          <w:sz w:val="24"/>
          <w:szCs w:val="24"/>
        </w:rPr>
      </w:pPr>
      <w:r>
        <w:rPr>
          <w:sz w:val="24"/>
          <w:szCs w:val="24"/>
        </w:rPr>
        <w:t>Keenya Walker</w:t>
      </w:r>
      <w:r w:rsidR="001D32C7">
        <w:rPr>
          <w:sz w:val="24"/>
          <w:szCs w:val="24"/>
        </w:rPr>
        <w:tab/>
      </w:r>
      <w:r w:rsidR="007042D6" w:rsidRPr="00BD099E">
        <w:rPr>
          <w:sz w:val="24"/>
          <w:szCs w:val="24"/>
        </w:rPr>
        <w:tab/>
      </w:r>
      <w:r w:rsidR="007042D6" w:rsidRPr="00BD099E">
        <w:rPr>
          <w:sz w:val="24"/>
          <w:szCs w:val="24"/>
        </w:rPr>
        <w:tab/>
      </w:r>
      <w:r w:rsidR="007042D6" w:rsidRPr="00BD099E">
        <w:rPr>
          <w:sz w:val="24"/>
          <w:szCs w:val="24"/>
        </w:rPr>
        <w:tab/>
        <w:t>:</w:t>
      </w:r>
    </w:p>
    <w:p w:rsidR="006555D7" w:rsidRDefault="0082408D" w:rsidP="00A71F6C">
      <w:pPr>
        <w:ind w:right="-720"/>
        <w:jc w:val="both"/>
        <w:rPr>
          <w:sz w:val="24"/>
          <w:szCs w:val="24"/>
        </w:rPr>
      </w:pPr>
      <w:r w:rsidRPr="00BD099E">
        <w:rPr>
          <w:sz w:val="24"/>
          <w:szCs w:val="24"/>
        </w:rPr>
        <w:tab/>
      </w:r>
      <w:r w:rsidRPr="00BD099E">
        <w:rPr>
          <w:sz w:val="24"/>
          <w:szCs w:val="24"/>
        </w:rPr>
        <w:tab/>
      </w:r>
      <w:r w:rsidR="00A050D1">
        <w:rPr>
          <w:sz w:val="24"/>
          <w:szCs w:val="24"/>
        </w:rPr>
        <w:tab/>
      </w:r>
      <w:r w:rsidRPr="00BD099E">
        <w:rPr>
          <w:sz w:val="24"/>
          <w:szCs w:val="24"/>
        </w:rPr>
        <w:tab/>
      </w:r>
      <w:r w:rsidRPr="00BD099E">
        <w:rPr>
          <w:sz w:val="24"/>
          <w:szCs w:val="24"/>
        </w:rPr>
        <w:tab/>
      </w:r>
      <w:r w:rsidRPr="00BD099E">
        <w:rPr>
          <w:sz w:val="24"/>
          <w:szCs w:val="24"/>
        </w:rPr>
        <w:tab/>
        <w:t>:</w:t>
      </w:r>
      <w:r w:rsidR="007042D6" w:rsidRPr="00BD099E">
        <w:rPr>
          <w:sz w:val="24"/>
          <w:szCs w:val="24"/>
        </w:rPr>
        <w:tab/>
      </w:r>
    </w:p>
    <w:p w:rsidR="0082408D" w:rsidRPr="00BD099E" w:rsidRDefault="006555D7" w:rsidP="00A71F6C">
      <w:pPr>
        <w:ind w:right="-720"/>
        <w:jc w:val="both"/>
        <w:rPr>
          <w:sz w:val="24"/>
          <w:szCs w:val="24"/>
        </w:rPr>
      </w:pPr>
      <w:r>
        <w:rPr>
          <w:sz w:val="24"/>
          <w:szCs w:val="24"/>
        </w:rPr>
        <w:tab/>
      </w:r>
      <w:r w:rsidR="0082408D" w:rsidRPr="00BD099E">
        <w:rPr>
          <w:sz w:val="24"/>
          <w:szCs w:val="24"/>
        </w:rPr>
        <w:t>v.</w:t>
      </w:r>
      <w:r w:rsidR="0082408D" w:rsidRPr="00BD099E">
        <w:rPr>
          <w:sz w:val="24"/>
          <w:szCs w:val="24"/>
        </w:rPr>
        <w:tab/>
      </w:r>
      <w:r w:rsidR="0082408D" w:rsidRPr="00BD099E">
        <w:rPr>
          <w:sz w:val="24"/>
          <w:szCs w:val="24"/>
        </w:rPr>
        <w:tab/>
      </w:r>
      <w:r w:rsidR="0082408D" w:rsidRPr="00BD099E">
        <w:rPr>
          <w:sz w:val="24"/>
          <w:szCs w:val="24"/>
        </w:rPr>
        <w:tab/>
      </w:r>
      <w:r w:rsidR="0082408D" w:rsidRPr="00BD099E">
        <w:rPr>
          <w:sz w:val="24"/>
          <w:szCs w:val="24"/>
        </w:rPr>
        <w:tab/>
      </w:r>
      <w:r w:rsidR="0082408D" w:rsidRPr="00BD099E">
        <w:rPr>
          <w:sz w:val="24"/>
          <w:szCs w:val="24"/>
        </w:rPr>
        <w:tab/>
        <w:t>:</w:t>
      </w:r>
      <w:r>
        <w:rPr>
          <w:sz w:val="24"/>
          <w:szCs w:val="24"/>
        </w:rPr>
        <w:tab/>
      </w:r>
      <w:r>
        <w:rPr>
          <w:sz w:val="24"/>
          <w:szCs w:val="24"/>
        </w:rPr>
        <w:tab/>
      </w:r>
      <w:r w:rsidR="00A050D1">
        <w:rPr>
          <w:sz w:val="24"/>
          <w:szCs w:val="24"/>
        </w:rPr>
        <w:t>C</w:t>
      </w:r>
      <w:r w:rsidRPr="00BD099E">
        <w:rPr>
          <w:sz w:val="24"/>
          <w:szCs w:val="24"/>
        </w:rPr>
        <w:t>-20</w:t>
      </w:r>
      <w:r w:rsidR="001D32C7">
        <w:rPr>
          <w:sz w:val="24"/>
          <w:szCs w:val="24"/>
        </w:rPr>
        <w:t>1</w:t>
      </w:r>
      <w:r w:rsidR="000837A0">
        <w:rPr>
          <w:sz w:val="24"/>
          <w:szCs w:val="24"/>
        </w:rPr>
        <w:t>1</w:t>
      </w:r>
      <w:r w:rsidRPr="00BD099E">
        <w:rPr>
          <w:sz w:val="24"/>
          <w:szCs w:val="24"/>
        </w:rPr>
        <w:t>-</w:t>
      </w:r>
      <w:r>
        <w:rPr>
          <w:sz w:val="24"/>
          <w:szCs w:val="24"/>
        </w:rPr>
        <w:t>2</w:t>
      </w:r>
      <w:r w:rsidR="00A050D1">
        <w:rPr>
          <w:sz w:val="24"/>
          <w:szCs w:val="24"/>
        </w:rPr>
        <w:t>2</w:t>
      </w:r>
      <w:r w:rsidR="000837A0">
        <w:rPr>
          <w:sz w:val="24"/>
          <w:szCs w:val="24"/>
        </w:rPr>
        <w:t>70234</w:t>
      </w:r>
    </w:p>
    <w:p w:rsidR="0082408D" w:rsidRPr="00BD099E" w:rsidRDefault="0082408D" w:rsidP="00A71F6C">
      <w:pPr>
        <w:ind w:right="-720" w:firstLine="720"/>
        <w:jc w:val="both"/>
        <w:rPr>
          <w:sz w:val="24"/>
          <w:szCs w:val="24"/>
        </w:rPr>
      </w:pPr>
      <w:r w:rsidRPr="00BD099E">
        <w:rPr>
          <w:sz w:val="24"/>
          <w:szCs w:val="24"/>
        </w:rPr>
        <w:tab/>
      </w:r>
      <w:r w:rsidRPr="00BD099E">
        <w:rPr>
          <w:sz w:val="24"/>
          <w:szCs w:val="24"/>
        </w:rPr>
        <w:tab/>
      </w:r>
      <w:r w:rsidRPr="00BD099E">
        <w:rPr>
          <w:sz w:val="24"/>
          <w:szCs w:val="24"/>
        </w:rPr>
        <w:tab/>
      </w:r>
      <w:r w:rsidRPr="00BD099E">
        <w:rPr>
          <w:sz w:val="24"/>
          <w:szCs w:val="24"/>
        </w:rPr>
        <w:tab/>
      </w:r>
      <w:r w:rsidRPr="00BD099E">
        <w:rPr>
          <w:sz w:val="24"/>
          <w:szCs w:val="24"/>
        </w:rPr>
        <w:tab/>
        <w:t>:</w:t>
      </w:r>
    </w:p>
    <w:p w:rsidR="0082408D" w:rsidRPr="00BD099E" w:rsidRDefault="000837A0" w:rsidP="00A71F6C">
      <w:pPr>
        <w:ind w:right="-720"/>
        <w:jc w:val="both"/>
        <w:rPr>
          <w:sz w:val="24"/>
          <w:szCs w:val="24"/>
        </w:rPr>
      </w:pPr>
      <w:r>
        <w:rPr>
          <w:sz w:val="24"/>
          <w:szCs w:val="24"/>
        </w:rPr>
        <w:t>Verizon Pennsylvania, Inc.</w:t>
      </w:r>
      <w:r>
        <w:rPr>
          <w:sz w:val="24"/>
          <w:szCs w:val="24"/>
        </w:rPr>
        <w:tab/>
      </w:r>
      <w:r>
        <w:rPr>
          <w:sz w:val="24"/>
          <w:szCs w:val="24"/>
        </w:rPr>
        <w:tab/>
      </w:r>
      <w:r w:rsidR="0082408D" w:rsidRPr="00BD099E">
        <w:rPr>
          <w:sz w:val="24"/>
          <w:szCs w:val="24"/>
        </w:rPr>
        <w:tab/>
        <w:t>:</w:t>
      </w:r>
    </w:p>
    <w:p w:rsidR="0082408D" w:rsidRDefault="0082408D" w:rsidP="00A71F6C">
      <w:pPr>
        <w:ind w:right="-720"/>
        <w:jc w:val="both"/>
        <w:rPr>
          <w:sz w:val="24"/>
          <w:szCs w:val="24"/>
        </w:rPr>
      </w:pPr>
    </w:p>
    <w:p w:rsidR="00A050D1" w:rsidRDefault="00A050D1" w:rsidP="00A71F6C">
      <w:pPr>
        <w:ind w:right="-720"/>
        <w:jc w:val="both"/>
        <w:rPr>
          <w:sz w:val="24"/>
          <w:szCs w:val="24"/>
        </w:rPr>
      </w:pPr>
    </w:p>
    <w:p w:rsidR="000837A0" w:rsidRDefault="000837A0" w:rsidP="00A71F6C">
      <w:pPr>
        <w:ind w:right="-720"/>
        <w:jc w:val="both"/>
        <w:rPr>
          <w:sz w:val="24"/>
          <w:szCs w:val="24"/>
        </w:rPr>
      </w:pPr>
    </w:p>
    <w:p w:rsidR="006555D7" w:rsidRPr="00BD099E" w:rsidRDefault="006555D7" w:rsidP="00A71F6C">
      <w:pPr>
        <w:ind w:right="-720"/>
        <w:jc w:val="both"/>
        <w:rPr>
          <w:sz w:val="24"/>
          <w:szCs w:val="24"/>
        </w:rPr>
      </w:pPr>
    </w:p>
    <w:p w:rsidR="000837A0" w:rsidRPr="000837A0" w:rsidRDefault="000026EB" w:rsidP="00395897">
      <w:pPr>
        <w:tabs>
          <w:tab w:val="center" w:pos="4320"/>
        </w:tabs>
        <w:suppressAutoHyphens/>
        <w:ind w:right="-720"/>
        <w:jc w:val="center"/>
        <w:rPr>
          <w:b/>
          <w:bCs/>
          <w:spacing w:val="-3"/>
          <w:sz w:val="24"/>
          <w:szCs w:val="24"/>
        </w:rPr>
      </w:pPr>
      <w:r w:rsidRPr="00844690">
        <w:rPr>
          <w:sz w:val="24"/>
          <w:szCs w:val="24"/>
        </w:rPr>
        <w:tab/>
      </w:r>
      <w:r w:rsidR="000837A0" w:rsidRPr="000837A0">
        <w:rPr>
          <w:b/>
          <w:bCs/>
          <w:spacing w:val="-3"/>
          <w:sz w:val="24"/>
          <w:szCs w:val="24"/>
          <w:u w:val="single"/>
        </w:rPr>
        <w:t>ORDER REFERRING COMPLAINT TO MEDIATION UNIT</w:t>
      </w:r>
    </w:p>
    <w:p w:rsidR="000837A0" w:rsidRDefault="000837A0" w:rsidP="000837A0">
      <w:pPr>
        <w:tabs>
          <w:tab w:val="left" w:pos="-720"/>
        </w:tabs>
        <w:suppressAutoHyphens/>
        <w:autoSpaceDE w:val="0"/>
        <w:autoSpaceDN w:val="0"/>
        <w:spacing w:line="360" w:lineRule="auto"/>
        <w:ind w:firstLine="1440"/>
        <w:rPr>
          <w:spacing w:val="-3"/>
          <w:sz w:val="24"/>
          <w:szCs w:val="24"/>
        </w:rPr>
      </w:pPr>
    </w:p>
    <w:p w:rsidR="000837A0" w:rsidRDefault="000837A0" w:rsidP="00A71F6C">
      <w:pPr>
        <w:tabs>
          <w:tab w:val="left" w:pos="-720"/>
        </w:tabs>
        <w:suppressAutoHyphens/>
        <w:autoSpaceDE w:val="0"/>
        <w:autoSpaceDN w:val="0"/>
        <w:spacing w:line="360" w:lineRule="auto"/>
        <w:ind w:left="90" w:right="-720" w:firstLine="1350"/>
        <w:rPr>
          <w:sz w:val="24"/>
          <w:szCs w:val="24"/>
        </w:rPr>
      </w:pPr>
      <w:r w:rsidRPr="000837A0">
        <w:rPr>
          <w:sz w:val="24"/>
          <w:szCs w:val="24"/>
        </w:rPr>
        <w:t xml:space="preserve">On </w:t>
      </w:r>
      <w:r>
        <w:rPr>
          <w:sz w:val="24"/>
          <w:szCs w:val="24"/>
        </w:rPr>
        <w:t>October 25, 2011</w:t>
      </w:r>
      <w:r w:rsidRPr="000837A0">
        <w:rPr>
          <w:sz w:val="24"/>
          <w:szCs w:val="24"/>
        </w:rPr>
        <w:t xml:space="preserve">, </w:t>
      </w:r>
      <w:r>
        <w:rPr>
          <w:sz w:val="24"/>
          <w:szCs w:val="24"/>
        </w:rPr>
        <w:t>Keenya Walker</w:t>
      </w:r>
      <w:r w:rsidRPr="000837A0">
        <w:rPr>
          <w:sz w:val="24"/>
          <w:szCs w:val="24"/>
        </w:rPr>
        <w:t xml:space="preserve"> (Complainant) filed a complaint with the Pennsylvania Public Utility Commission (Commission) against </w:t>
      </w:r>
      <w:r>
        <w:rPr>
          <w:sz w:val="24"/>
          <w:szCs w:val="24"/>
        </w:rPr>
        <w:t xml:space="preserve">Verizon Pennsylvania Inc. </w:t>
      </w:r>
      <w:r w:rsidRPr="000837A0">
        <w:rPr>
          <w:sz w:val="24"/>
          <w:szCs w:val="24"/>
        </w:rPr>
        <w:t>(</w:t>
      </w:r>
      <w:r>
        <w:rPr>
          <w:sz w:val="24"/>
          <w:szCs w:val="24"/>
        </w:rPr>
        <w:t xml:space="preserve">Verizon or </w:t>
      </w:r>
      <w:r w:rsidRPr="000837A0">
        <w:rPr>
          <w:sz w:val="24"/>
          <w:szCs w:val="24"/>
        </w:rPr>
        <w:t>Respondent).</w:t>
      </w:r>
      <w:r>
        <w:rPr>
          <w:rStyle w:val="FootnoteReference"/>
          <w:sz w:val="24"/>
          <w:szCs w:val="24"/>
        </w:rPr>
        <w:footnoteReference w:id="1"/>
      </w:r>
      <w:r w:rsidRPr="000837A0">
        <w:rPr>
          <w:sz w:val="24"/>
          <w:szCs w:val="24"/>
        </w:rPr>
        <w:t xml:space="preserve">  The</w:t>
      </w:r>
      <w:r w:rsidR="00810E73">
        <w:rPr>
          <w:sz w:val="24"/>
          <w:szCs w:val="24"/>
        </w:rPr>
        <w:t xml:space="preserve"> lengthy</w:t>
      </w:r>
      <w:r w:rsidRPr="000837A0">
        <w:rPr>
          <w:sz w:val="24"/>
          <w:szCs w:val="24"/>
        </w:rPr>
        <w:t xml:space="preserve"> Complainant </w:t>
      </w:r>
      <w:r>
        <w:rPr>
          <w:sz w:val="24"/>
          <w:szCs w:val="24"/>
        </w:rPr>
        <w:t>alleged reliability, safety or quality of service problems along with accusations of fraud, misrepresentation and denial of service by Verizon.</w:t>
      </w:r>
      <w:r w:rsidR="00810E73">
        <w:rPr>
          <w:sz w:val="24"/>
          <w:szCs w:val="24"/>
        </w:rPr>
        <w:t xml:space="preserve">  The many imprecise references in the Complaint make even the facts alleged by the Complainant difficult to ascertain.</w:t>
      </w:r>
    </w:p>
    <w:p w:rsidR="000837A0" w:rsidRDefault="000837A0" w:rsidP="00A71F6C">
      <w:pPr>
        <w:tabs>
          <w:tab w:val="left" w:pos="-720"/>
        </w:tabs>
        <w:suppressAutoHyphens/>
        <w:autoSpaceDE w:val="0"/>
        <w:autoSpaceDN w:val="0"/>
        <w:spacing w:line="360" w:lineRule="auto"/>
        <w:ind w:left="90" w:right="-720" w:firstLine="1350"/>
        <w:rPr>
          <w:sz w:val="24"/>
          <w:szCs w:val="24"/>
        </w:rPr>
      </w:pPr>
    </w:p>
    <w:p w:rsidR="000837A0" w:rsidRDefault="000837A0" w:rsidP="00A71F6C">
      <w:pPr>
        <w:tabs>
          <w:tab w:val="left" w:pos="-720"/>
        </w:tabs>
        <w:suppressAutoHyphens/>
        <w:autoSpaceDE w:val="0"/>
        <w:autoSpaceDN w:val="0"/>
        <w:spacing w:line="360" w:lineRule="auto"/>
        <w:ind w:left="90" w:right="-720" w:firstLine="1350"/>
        <w:rPr>
          <w:sz w:val="24"/>
          <w:szCs w:val="24"/>
        </w:rPr>
      </w:pPr>
      <w:r>
        <w:rPr>
          <w:sz w:val="24"/>
          <w:szCs w:val="24"/>
        </w:rPr>
        <w:t>Verizon’s Answer to the Complaint was due on November 21, 2011, but Verizon asked for and received an extension of time in which to file its Answer until December 5, 2011.</w:t>
      </w:r>
    </w:p>
    <w:p w:rsidR="000837A0" w:rsidRDefault="000837A0" w:rsidP="00A71F6C">
      <w:pPr>
        <w:tabs>
          <w:tab w:val="left" w:pos="-720"/>
        </w:tabs>
        <w:suppressAutoHyphens/>
        <w:autoSpaceDE w:val="0"/>
        <w:autoSpaceDN w:val="0"/>
        <w:spacing w:line="360" w:lineRule="auto"/>
        <w:ind w:left="90" w:right="-720" w:firstLine="1350"/>
        <w:rPr>
          <w:sz w:val="24"/>
          <w:szCs w:val="24"/>
        </w:rPr>
      </w:pPr>
    </w:p>
    <w:p w:rsidR="000837A0" w:rsidRDefault="000837A0" w:rsidP="00A71F6C">
      <w:pPr>
        <w:tabs>
          <w:tab w:val="left" w:pos="-720"/>
        </w:tabs>
        <w:suppressAutoHyphens/>
        <w:autoSpaceDE w:val="0"/>
        <w:autoSpaceDN w:val="0"/>
        <w:spacing w:line="360" w:lineRule="auto"/>
        <w:ind w:left="90" w:right="-720" w:firstLine="1350"/>
        <w:rPr>
          <w:sz w:val="24"/>
          <w:szCs w:val="24"/>
        </w:rPr>
      </w:pPr>
      <w:r>
        <w:rPr>
          <w:sz w:val="24"/>
          <w:szCs w:val="24"/>
        </w:rPr>
        <w:t>On December 5, 2011, Verizon filed an Answer and New Matter, properly endorsed with a Notice to Plead, to the Complaint.  Verizon asserted that no reliability issue exists in this case, but that the repeated interruptions to Complainant’s service were due to six suspensions due to non-payment between May 2010 and May 2011.</w:t>
      </w:r>
      <w:r w:rsidR="001F65A6">
        <w:rPr>
          <w:sz w:val="24"/>
          <w:szCs w:val="24"/>
        </w:rPr>
        <w:t xml:space="preserve">  Answer at 2, ¶ 4.</w:t>
      </w:r>
      <w:r w:rsidR="00810E73">
        <w:rPr>
          <w:sz w:val="24"/>
          <w:szCs w:val="24"/>
        </w:rPr>
        <w:t xml:space="preserve">  Verizon then provides its own narrative of the events surrounding this Complaint.  While that narrative is more comprehensible than that supplied by the Complainant, the facts alleged in the Complaint and those alleged in the Answer are distinctly at odds.</w:t>
      </w:r>
    </w:p>
    <w:p w:rsidR="00810E73" w:rsidRDefault="00810E73" w:rsidP="00A71F6C">
      <w:pPr>
        <w:tabs>
          <w:tab w:val="left" w:pos="-720"/>
        </w:tabs>
        <w:suppressAutoHyphens/>
        <w:autoSpaceDE w:val="0"/>
        <w:autoSpaceDN w:val="0"/>
        <w:spacing w:line="360" w:lineRule="auto"/>
        <w:ind w:left="90" w:right="-720" w:firstLine="1350"/>
        <w:rPr>
          <w:sz w:val="24"/>
          <w:szCs w:val="24"/>
        </w:rPr>
      </w:pPr>
    </w:p>
    <w:p w:rsidR="00810E73" w:rsidRDefault="00810E73" w:rsidP="00A71F6C">
      <w:pPr>
        <w:tabs>
          <w:tab w:val="left" w:pos="-720"/>
        </w:tabs>
        <w:suppressAutoHyphens/>
        <w:autoSpaceDE w:val="0"/>
        <w:autoSpaceDN w:val="0"/>
        <w:spacing w:line="360" w:lineRule="auto"/>
        <w:ind w:left="90" w:right="-720" w:firstLine="1350"/>
        <w:rPr>
          <w:sz w:val="24"/>
          <w:szCs w:val="24"/>
        </w:rPr>
      </w:pPr>
      <w:r>
        <w:rPr>
          <w:sz w:val="24"/>
          <w:szCs w:val="24"/>
        </w:rPr>
        <w:lastRenderedPageBreak/>
        <w:t xml:space="preserve">Also on December 5, 2011, Verizon filed Preliminary Objections and a motion to Strike, properly endorsed with a Notice to Plead, citing or referencing by implication </w:t>
      </w:r>
      <w:r w:rsidRPr="00810E73">
        <w:rPr>
          <w:sz w:val="24"/>
          <w:szCs w:val="24"/>
        </w:rPr>
        <w:t>52 Pa Code § 5.101(a)</w:t>
      </w:r>
      <w:r>
        <w:rPr>
          <w:sz w:val="24"/>
          <w:szCs w:val="24"/>
        </w:rPr>
        <w:t xml:space="preserve">(1) - (4).  Verizon specifically references the Complainant’s request for a cash judgment as grounds for dismissal under </w:t>
      </w:r>
      <w:r w:rsidRPr="00810E73">
        <w:rPr>
          <w:sz w:val="24"/>
          <w:szCs w:val="24"/>
        </w:rPr>
        <w:t>Code § 5.101(a)(1)</w:t>
      </w:r>
      <w:r>
        <w:rPr>
          <w:sz w:val="24"/>
          <w:szCs w:val="24"/>
        </w:rPr>
        <w:t>, lack of jurisdiction.  Preliminary</w:t>
      </w:r>
      <w:r w:rsidR="00626DC1">
        <w:rPr>
          <w:sz w:val="24"/>
          <w:szCs w:val="24"/>
        </w:rPr>
        <w:t xml:space="preserve"> </w:t>
      </w:r>
      <w:r>
        <w:rPr>
          <w:sz w:val="24"/>
          <w:szCs w:val="24"/>
        </w:rPr>
        <w:t>Objections at 1, ¶ 1.</w:t>
      </w:r>
    </w:p>
    <w:p w:rsidR="00395897" w:rsidRDefault="00395897" w:rsidP="00A71F6C">
      <w:pPr>
        <w:tabs>
          <w:tab w:val="left" w:pos="-720"/>
        </w:tabs>
        <w:suppressAutoHyphens/>
        <w:autoSpaceDE w:val="0"/>
        <w:autoSpaceDN w:val="0"/>
        <w:spacing w:line="360" w:lineRule="auto"/>
        <w:ind w:left="90" w:right="-720" w:firstLine="1350"/>
        <w:rPr>
          <w:sz w:val="24"/>
          <w:szCs w:val="24"/>
        </w:rPr>
      </w:pPr>
    </w:p>
    <w:p w:rsidR="00395897" w:rsidRDefault="00395897" w:rsidP="00A71F6C">
      <w:pPr>
        <w:tabs>
          <w:tab w:val="left" w:pos="-720"/>
        </w:tabs>
        <w:suppressAutoHyphens/>
        <w:autoSpaceDE w:val="0"/>
        <w:autoSpaceDN w:val="0"/>
        <w:spacing w:line="360" w:lineRule="auto"/>
        <w:ind w:left="90" w:right="-720" w:firstLine="1350"/>
        <w:rPr>
          <w:sz w:val="24"/>
          <w:szCs w:val="24"/>
        </w:rPr>
      </w:pPr>
      <w:r>
        <w:rPr>
          <w:sz w:val="24"/>
          <w:szCs w:val="24"/>
        </w:rPr>
        <w:t xml:space="preserve">To date, the Complainant has not filed any responsive pleading to either </w:t>
      </w:r>
      <w:r w:rsidR="00626DC1">
        <w:rPr>
          <w:sz w:val="24"/>
          <w:szCs w:val="24"/>
        </w:rPr>
        <w:t>V</w:t>
      </w:r>
      <w:r>
        <w:rPr>
          <w:sz w:val="24"/>
          <w:szCs w:val="24"/>
        </w:rPr>
        <w:t>erizon’s New Matter or to Verizon’s Preliminary Objections and Motion to Strike.</w:t>
      </w:r>
    </w:p>
    <w:p w:rsidR="000837A0" w:rsidRDefault="000837A0" w:rsidP="000837A0">
      <w:pPr>
        <w:tabs>
          <w:tab w:val="left" w:pos="-720"/>
        </w:tabs>
        <w:suppressAutoHyphens/>
        <w:autoSpaceDE w:val="0"/>
        <w:autoSpaceDN w:val="0"/>
        <w:spacing w:line="360" w:lineRule="auto"/>
        <w:ind w:left="90" w:firstLine="1350"/>
        <w:rPr>
          <w:sz w:val="24"/>
          <w:szCs w:val="24"/>
        </w:rPr>
      </w:pPr>
    </w:p>
    <w:p w:rsidR="00A71F6C" w:rsidRPr="00A71F6C" w:rsidRDefault="000837A0" w:rsidP="00A71F6C">
      <w:pPr>
        <w:tabs>
          <w:tab w:val="left" w:pos="-720"/>
        </w:tabs>
        <w:suppressAutoHyphens/>
        <w:autoSpaceDE w:val="0"/>
        <w:autoSpaceDN w:val="0"/>
        <w:spacing w:line="360" w:lineRule="auto"/>
        <w:ind w:left="90" w:right="-720" w:firstLine="1350"/>
        <w:rPr>
          <w:sz w:val="24"/>
          <w:szCs w:val="24"/>
        </w:rPr>
      </w:pPr>
      <w:r w:rsidRPr="000837A0">
        <w:rPr>
          <w:rFonts w:cs="CG Times"/>
          <w:sz w:val="24"/>
          <w:szCs w:val="24"/>
        </w:rPr>
        <w:t xml:space="preserve"> </w:t>
      </w:r>
      <w:r w:rsidRPr="000837A0">
        <w:rPr>
          <w:sz w:val="24"/>
          <w:szCs w:val="24"/>
        </w:rPr>
        <w:t xml:space="preserve"> </w:t>
      </w:r>
      <w:r w:rsidR="00A71F6C" w:rsidRPr="00A71F6C">
        <w:rPr>
          <w:sz w:val="24"/>
          <w:szCs w:val="24"/>
        </w:rPr>
        <w:t xml:space="preserve">The Commission's Rules of Administrative Practice and Procedure permit the filing of preliminary objections. 52 Pa. Code § 5.101.  See </w:t>
      </w:r>
      <w:r w:rsidR="00A71F6C" w:rsidRPr="00395897">
        <w:rPr>
          <w:i/>
          <w:sz w:val="24"/>
          <w:szCs w:val="24"/>
        </w:rPr>
        <w:t>Equitable Small Transportation Interveners v. Equitable Gas Company</w:t>
      </w:r>
      <w:r w:rsidR="00A71F6C" w:rsidRPr="00A71F6C">
        <w:rPr>
          <w:sz w:val="24"/>
          <w:szCs w:val="24"/>
        </w:rPr>
        <w:t xml:space="preserve">, 1994 Pa. PUC LEXIS 69, Docket No. C-00935435 (July 18, 1994).  </w:t>
      </w:r>
    </w:p>
    <w:p w:rsidR="00A71F6C" w:rsidRPr="00A71F6C" w:rsidRDefault="00A71F6C" w:rsidP="00A71F6C">
      <w:pPr>
        <w:tabs>
          <w:tab w:val="left" w:pos="-720"/>
        </w:tabs>
        <w:suppressAutoHyphens/>
        <w:autoSpaceDE w:val="0"/>
        <w:autoSpaceDN w:val="0"/>
        <w:spacing w:line="360" w:lineRule="auto"/>
        <w:ind w:left="90" w:firstLine="1350"/>
        <w:rPr>
          <w:sz w:val="24"/>
          <w:szCs w:val="24"/>
        </w:rPr>
      </w:pPr>
    </w:p>
    <w:p w:rsidR="00A71F6C" w:rsidRPr="00A71F6C" w:rsidRDefault="00A71F6C" w:rsidP="00A71F6C">
      <w:pPr>
        <w:tabs>
          <w:tab w:val="left" w:pos="-720"/>
        </w:tabs>
        <w:suppressAutoHyphens/>
        <w:autoSpaceDE w:val="0"/>
        <w:autoSpaceDN w:val="0"/>
        <w:spacing w:line="360" w:lineRule="auto"/>
        <w:ind w:left="90" w:firstLine="1350"/>
        <w:rPr>
          <w:sz w:val="24"/>
          <w:szCs w:val="24"/>
        </w:rPr>
      </w:pPr>
      <w:r w:rsidRPr="00A71F6C">
        <w:rPr>
          <w:sz w:val="24"/>
          <w:szCs w:val="24"/>
        </w:rPr>
        <w:t xml:space="preserve">The grounds for preliminary objections are limited to those set forth in 52 Pa Code § 5.101(a) as follows: </w:t>
      </w:r>
    </w:p>
    <w:p w:rsidR="00A71F6C" w:rsidRPr="00A71F6C" w:rsidRDefault="00A71F6C" w:rsidP="00A71F6C">
      <w:pPr>
        <w:tabs>
          <w:tab w:val="left" w:pos="-720"/>
        </w:tabs>
        <w:suppressAutoHyphens/>
        <w:autoSpaceDE w:val="0"/>
        <w:autoSpaceDN w:val="0"/>
        <w:spacing w:line="360" w:lineRule="auto"/>
        <w:ind w:left="90" w:firstLine="1350"/>
        <w:rPr>
          <w:sz w:val="24"/>
          <w:szCs w:val="24"/>
        </w:rPr>
      </w:pPr>
    </w:p>
    <w:p w:rsidR="00A71F6C" w:rsidRPr="00A71F6C" w:rsidRDefault="00A71F6C" w:rsidP="00A71F6C">
      <w:pPr>
        <w:tabs>
          <w:tab w:val="left" w:pos="-720"/>
        </w:tabs>
        <w:suppressAutoHyphens/>
        <w:autoSpaceDE w:val="0"/>
        <w:autoSpaceDN w:val="0"/>
        <w:ind w:left="1440"/>
        <w:rPr>
          <w:sz w:val="24"/>
          <w:szCs w:val="24"/>
        </w:rPr>
      </w:pPr>
      <w:r w:rsidRPr="00A71F6C">
        <w:rPr>
          <w:sz w:val="24"/>
          <w:szCs w:val="24"/>
        </w:rPr>
        <w:t>(1) Lack of Commission jurisdiction or improper service of the pleading initiating the proceeding.</w:t>
      </w:r>
    </w:p>
    <w:p w:rsidR="00A71F6C" w:rsidRPr="00A71F6C" w:rsidRDefault="00A71F6C" w:rsidP="00A71F6C">
      <w:pPr>
        <w:tabs>
          <w:tab w:val="left" w:pos="-720"/>
        </w:tabs>
        <w:suppressAutoHyphens/>
        <w:autoSpaceDE w:val="0"/>
        <w:autoSpaceDN w:val="0"/>
        <w:ind w:left="1440"/>
        <w:rPr>
          <w:sz w:val="24"/>
          <w:szCs w:val="24"/>
        </w:rPr>
      </w:pPr>
      <w:r w:rsidRPr="00A71F6C">
        <w:rPr>
          <w:sz w:val="24"/>
          <w:szCs w:val="24"/>
        </w:rPr>
        <w:t xml:space="preserve"> </w:t>
      </w:r>
    </w:p>
    <w:p w:rsidR="00A71F6C" w:rsidRPr="00A71F6C" w:rsidRDefault="00A71F6C" w:rsidP="00A71F6C">
      <w:pPr>
        <w:tabs>
          <w:tab w:val="left" w:pos="-720"/>
        </w:tabs>
        <w:suppressAutoHyphens/>
        <w:autoSpaceDE w:val="0"/>
        <w:autoSpaceDN w:val="0"/>
        <w:ind w:left="1440"/>
        <w:rPr>
          <w:sz w:val="24"/>
          <w:szCs w:val="24"/>
        </w:rPr>
      </w:pPr>
      <w:r w:rsidRPr="00A71F6C">
        <w:rPr>
          <w:sz w:val="24"/>
          <w:szCs w:val="24"/>
        </w:rPr>
        <w:t>(2) Failure of a pleading to conform to this chapter or the inclusion of scandalous or impertinent matter.</w:t>
      </w:r>
    </w:p>
    <w:p w:rsidR="00A71F6C" w:rsidRPr="00A71F6C" w:rsidRDefault="00A71F6C" w:rsidP="00A71F6C">
      <w:pPr>
        <w:tabs>
          <w:tab w:val="left" w:pos="-720"/>
        </w:tabs>
        <w:suppressAutoHyphens/>
        <w:autoSpaceDE w:val="0"/>
        <w:autoSpaceDN w:val="0"/>
        <w:ind w:left="1440"/>
        <w:rPr>
          <w:sz w:val="24"/>
          <w:szCs w:val="24"/>
        </w:rPr>
      </w:pPr>
      <w:r w:rsidRPr="00A71F6C">
        <w:rPr>
          <w:sz w:val="24"/>
          <w:szCs w:val="24"/>
        </w:rPr>
        <w:t xml:space="preserve"> </w:t>
      </w:r>
    </w:p>
    <w:p w:rsidR="00A71F6C" w:rsidRPr="00A71F6C" w:rsidRDefault="00A71F6C" w:rsidP="00A71F6C">
      <w:pPr>
        <w:tabs>
          <w:tab w:val="left" w:pos="-720"/>
        </w:tabs>
        <w:suppressAutoHyphens/>
        <w:autoSpaceDE w:val="0"/>
        <w:autoSpaceDN w:val="0"/>
        <w:ind w:left="1440"/>
        <w:rPr>
          <w:sz w:val="24"/>
          <w:szCs w:val="24"/>
        </w:rPr>
      </w:pPr>
      <w:r w:rsidRPr="00A71F6C">
        <w:rPr>
          <w:sz w:val="24"/>
          <w:szCs w:val="24"/>
        </w:rPr>
        <w:t>(3) Insufficient specificity of a pleading.</w:t>
      </w:r>
    </w:p>
    <w:p w:rsidR="00A71F6C" w:rsidRPr="00A71F6C" w:rsidRDefault="00A71F6C" w:rsidP="00A71F6C">
      <w:pPr>
        <w:tabs>
          <w:tab w:val="left" w:pos="-720"/>
        </w:tabs>
        <w:suppressAutoHyphens/>
        <w:autoSpaceDE w:val="0"/>
        <w:autoSpaceDN w:val="0"/>
        <w:ind w:left="1440"/>
        <w:rPr>
          <w:sz w:val="24"/>
          <w:szCs w:val="24"/>
        </w:rPr>
      </w:pPr>
      <w:r w:rsidRPr="00A71F6C">
        <w:rPr>
          <w:sz w:val="24"/>
          <w:szCs w:val="24"/>
        </w:rPr>
        <w:t xml:space="preserve"> </w:t>
      </w:r>
    </w:p>
    <w:p w:rsidR="00A71F6C" w:rsidRPr="00A71F6C" w:rsidRDefault="00A71F6C" w:rsidP="00A71F6C">
      <w:pPr>
        <w:tabs>
          <w:tab w:val="left" w:pos="-720"/>
        </w:tabs>
        <w:suppressAutoHyphens/>
        <w:autoSpaceDE w:val="0"/>
        <w:autoSpaceDN w:val="0"/>
        <w:ind w:left="1440"/>
        <w:rPr>
          <w:sz w:val="24"/>
          <w:szCs w:val="24"/>
        </w:rPr>
      </w:pPr>
      <w:r w:rsidRPr="00A71F6C">
        <w:rPr>
          <w:sz w:val="24"/>
          <w:szCs w:val="24"/>
        </w:rPr>
        <w:t>(4) Legal insufficiency of a pleading.</w:t>
      </w:r>
    </w:p>
    <w:p w:rsidR="00A71F6C" w:rsidRPr="00A71F6C" w:rsidRDefault="00A71F6C" w:rsidP="00A71F6C">
      <w:pPr>
        <w:tabs>
          <w:tab w:val="left" w:pos="-720"/>
        </w:tabs>
        <w:suppressAutoHyphens/>
        <w:autoSpaceDE w:val="0"/>
        <w:autoSpaceDN w:val="0"/>
        <w:ind w:left="1440"/>
        <w:rPr>
          <w:sz w:val="24"/>
          <w:szCs w:val="24"/>
        </w:rPr>
      </w:pPr>
      <w:r w:rsidRPr="00A71F6C">
        <w:rPr>
          <w:sz w:val="24"/>
          <w:szCs w:val="24"/>
        </w:rPr>
        <w:t xml:space="preserve"> </w:t>
      </w:r>
    </w:p>
    <w:p w:rsidR="00A71F6C" w:rsidRPr="00A71F6C" w:rsidRDefault="00A71F6C" w:rsidP="00A71F6C">
      <w:pPr>
        <w:tabs>
          <w:tab w:val="left" w:pos="-720"/>
        </w:tabs>
        <w:suppressAutoHyphens/>
        <w:autoSpaceDE w:val="0"/>
        <w:autoSpaceDN w:val="0"/>
        <w:ind w:left="1440"/>
        <w:rPr>
          <w:sz w:val="24"/>
          <w:szCs w:val="24"/>
        </w:rPr>
      </w:pPr>
      <w:r w:rsidRPr="00A71F6C">
        <w:rPr>
          <w:sz w:val="24"/>
          <w:szCs w:val="24"/>
        </w:rPr>
        <w:t>(5) Lack of capacity to sue, nonjoinder of a necessary party or misjoinder of a cause of action.</w:t>
      </w:r>
    </w:p>
    <w:p w:rsidR="00A71F6C" w:rsidRPr="00A71F6C" w:rsidRDefault="00A71F6C" w:rsidP="00A71F6C">
      <w:pPr>
        <w:tabs>
          <w:tab w:val="left" w:pos="-720"/>
        </w:tabs>
        <w:suppressAutoHyphens/>
        <w:autoSpaceDE w:val="0"/>
        <w:autoSpaceDN w:val="0"/>
        <w:ind w:left="1440"/>
        <w:rPr>
          <w:sz w:val="24"/>
          <w:szCs w:val="24"/>
        </w:rPr>
      </w:pPr>
      <w:r w:rsidRPr="00A71F6C">
        <w:rPr>
          <w:sz w:val="24"/>
          <w:szCs w:val="24"/>
        </w:rPr>
        <w:t xml:space="preserve"> </w:t>
      </w:r>
    </w:p>
    <w:p w:rsidR="00A71F6C" w:rsidRPr="00A71F6C" w:rsidRDefault="00A71F6C" w:rsidP="00A71F6C">
      <w:pPr>
        <w:tabs>
          <w:tab w:val="left" w:pos="-720"/>
        </w:tabs>
        <w:suppressAutoHyphens/>
        <w:autoSpaceDE w:val="0"/>
        <w:autoSpaceDN w:val="0"/>
        <w:ind w:left="1440"/>
        <w:rPr>
          <w:sz w:val="24"/>
          <w:szCs w:val="24"/>
        </w:rPr>
      </w:pPr>
      <w:r w:rsidRPr="00A71F6C">
        <w:rPr>
          <w:sz w:val="24"/>
          <w:szCs w:val="24"/>
        </w:rPr>
        <w:t>(6) Pendency of a prior proceeding or agreement for alternative dispute resolution.</w:t>
      </w:r>
    </w:p>
    <w:p w:rsidR="00A71F6C" w:rsidRPr="00A71F6C" w:rsidRDefault="00A71F6C" w:rsidP="00A71F6C">
      <w:pPr>
        <w:tabs>
          <w:tab w:val="left" w:pos="-720"/>
        </w:tabs>
        <w:suppressAutoHyphens/>
        <w:autoSpaceDE w:val="0"/>
        <w:autoSpaceDN w:val="0"/>
        <w:spacing w:line="360" w:lineRule="auto"/>
        <w:ind w:left="90" w:firstLine="1350"/>
        <w:rPr>
          <w:sz w:val="24"/>
          <w:szCs w:val="24"/>
        </w:rPr>
      </w:pPr>
    </w:p>
    <w:p w:rsidR="00A71F6C" w:rsidRPr="00A71F6C" w:rsidRDefault="00A71F6C" w:rsidP="00395897">
      <w:pPr>
        <w:tabs>
          <w:tab w:val="left" w:pos="-720"/>
        </w:tabs>
        <w:suppressAutoHyphens/>
        <w:autoSpaceDE w:val="0"/>
        <w:autoSpaceDN w:val="0"/>
        <w:spacing w:line="360" w:lineRule="auto"/>
        <w:ind w:left="90" w:right="-720" w:firstLine="1350"/>
        <w:rPr>
          <w:sz w:val="24"/>
          <w:szCs w:val="24"/>
        </w:rPr>
      </w:pPr>
      <w:r w:rsidRPr="00A71F6C">
        <w:rPr>
          <w:sz w:val="24"/>
          <w:szCs w:val="24"/>
        </w:rPr>
        <w:t xml:space="preserve">Commission procedure regarding the disposition of preliminary objections is similar to that utilized in Pennsylvania civil practice.  </w:t>
      </w:r>
      <w:r w:rsidRPr="00810E73">
        <w:rPr>
          <w:i/>
          <w:sz w:val="24"/>
          <w:szCs w:val="24"/>
        </w:rPr>
        <w:t xml:space="preserve">Equitable Small Transportation </w:t>
      </w:r>
      <w:r w:rsidRPr="00810E73">
        <w:rPr>
          <w:i/>
          <w:sz w:val="24"/>
          <w:szCs w:val="24"/>
        </w:rPr>
        <w:lastRenderedPageBreak/>
        <w:t>Interveners v. Equitable Gas Company</w:t>
      </w:r>
      <w:r w:rsidRPr="00A71F6C">
        <w:rPr>
          <w:sz w:val="24"/>
          <w:szCs w:val="24"/>
        </w:rPr>
        <w:t>, 1994 Pa. PUC LEXIS 69, Docket No. C-00935435 (July 18, 1994).</w:t>
      </w:r>
    </w:p>
    <w:p w:rsidR="00A71F6C" w:rsidRPr="00A71F6C" w:rsidRDefault="00A71F6C" w:rsidP="00395897">
      <w:pPr>
        <w:tabs>
          <w:tab w:val="left" w:pos="-720"/>
        </w:tabs>
        <w:suppressAutoHyphens/>
        <w:autoSpaceDE w:val="0"/>
        <w:autoSpaceDN w:val="0"/>
        <w:spacing w:line="360" w:lineRule="auto"/>
        <w:ind w:left="90" w:right="-720" w:firstLine="1350"/>
        <w:rPr>
          <w:sz w:val="24"/>
          <w:szCs w:val="24"/>
        </w:rPr>
      </w:pPr>
    </w:p>
    <w:p w:rsidR="00A71F6C" w:rsidRPr="00A71F6C" w:rsidRDefault="00A71F6C" w:rsidP="00395897">
      <w:pPr>
        <w:tabs>
          <w:tab w:val="left" w:pos="-720"/>
        </w:tabs>
        <w:suppressAutoHyphens/>
        <w:autoSpaceDE w:val="0"/>
        <w:autoSpaceDN w:val="0"/>
        <w:spacing w:line="360" w:lineRule="auto"/>
        <w:ind w:left="90" w:right="-720" w:firstLine="1350"/>
        <w:rPr>
          <w:sz w:val="24"/>
          <w:szCs w:val="24"/>
        </w:rPr>
      </w:pPr>
      <w:r w:rsidRPr="00A71F6C">
        <w:rPr>
          <w:sz w:val="24"/>
          <w:szCs w:val="24"/>
        </w:rPr>
        <w:t xml:space="preserve">A preliminary objection in civil practice seeking dismissal of a pleading will be granted only where relief is clearly warranted and free from doubt.  </w:t>
      </w:r>
      <w:r w:rsidRPr="00810E73">
        <w:rPr>
          <w:i/>
          <w:sz w:val="24"/>
          <w:szCs w:val="24"/>
        </w:rPr>
        <w:t>Interstate Traveller Services, Inc. v. Pa. Dept. of Environmental Resources</w:t>
      </w:r>
      <w:r w:rsidRPr="00A71F6C">
        <w:rPr>
          <w:sz w:val="24"/>
          <w:szCs w:val="24"/>
        </w:rPr>
        <w:t xml:space="preserve">, 406 A.2d 1020 (Pa. 1979);  </w:t>
      </w:r>
      <w:r w:rsidRPr="00810E73">
        <w:rPr>
          <w:i/>
          <w:sz w:val="24"/>
          <w:szCs w:val="24"/>
        </w:rPr>
        <w:t>Rivera v. Philadelphia Theological Seminary of St. Charles Borromeo</w:t>
      </w:r>
      <w:r w:rsidRPr="00A71F6C">
        <w:rPr>
          <w:sz w:val="24"/>
          <w:szCs w:val="24"/>
        </w:rPr>
        <w:t xml:space="preserve">, Inc., 595 A.2d 172 (Pa. Super. 1991).  The Commission has adopted this standard.  </w:t>
      </w:r>
      <w:r w:rsidRPr="00810E73">
        <w:rPr>
          <w:i/>
          <w:sz w:val="24"/>
          <w:szCs w:val="24"/>
        </w:rPr>
        <w:t>Montague v. Philadelphia Electric Company</w:t>
      </w:r>
      <w:r w:rsidRPr="00A71F6C">
        <w:rPr>
          <w:sz w:val="24"/>
          <w:szCs w:val="24"/>
        </w:rPr>
        <w:t>, 66 Pa. PUC 24 (1988).</w:t>
      </w:r>
    </w:p>
    <w:p w:rsidR="00A71F6C" w:rsidRPr="00A71F6C" w:rsidRDefault="00A71F6C" w:rsidP="00395897">
      <w:pPr>
        <w:tabs>
          <w:tab w:val="left" w:pos="-720"/>
        </w:tabs>
        <w:suppressAutoHyphens/>
        <w:autoSpaceDE w:val="0"/>
        <w:autoSpaceDN w:val="0"/>
        <w:spacing w:line="360" w:lineRule="auto"/>
        <w:ind w:left="90" w:right="-720" w:firstLine="1350"/>
        <w:rPr>
          <w:sz w:val="24"/>
          <w:szCs w:val="24"/>
        </w:rPr>
      </w:pPr>
    </w:p>
    <w:p w:rsidR="000837A0" w:rsidRPr="000837A0" w:rsidRDefault="00A71F6C" w:rsidP="00395897">
      <w:pPr>
        <w:tabs>
          <w:tab w:val="left" w:pos="-720"/>
        </w:tabs>
        <w:suppressAutoHyphens/>
        <w:autoSpaceDE w:val="0"/>
        <w:autoSpaceDN w:val="0"/>
        <w:spacing w:line="360" w:lineRule="auto"/>
        <w:ind w:left="90" w:right="-720" w:firstLine="1350"/>
        <w:rPr>
          <w:sz w:val="24"/>
          <w:szCs w:val="24"/>
        </w:rPr>
      </w:pPr>
      <w:r w:rsidRPr="00A71F6C">
        <w:rPr>
          <w:sz w:val="24"/>
          <w:szCs w:val="24"/>
        </w:rPr>
        <w:t xml:space="preserve">The moving party may not rely on its own factual assertions, but must accept for the purposes of disposition of the preliminary objection, all well-pleaded, material facts of the other party, as well as every inference fairly deducible from those facts.  </w:t>
      </w:r>
      <w:r w:rsidRPr="00810E73">
        <w:rPr>
          <w:i/>
          <w:sz w:val="24"/>
          <w:szCs w:val="24"/>
        </w:rPr>
        <w:t>County of Allegheny v. Commw. of Pa</w:t>
      </w:r>
      <w:r w:rsidRPr="00A71F6C">
        <w:rPr>
          <w:sz w:val="24"/>
          <w:szCs w:val="24"/>
        </w:rPr>
        <w:t xml:space="preserve">., 490 A.2d 402 (Pa. 1985).  Therefore, in ruling on a preliminary objection, the Commission must assume, for decisional purposes only, that the factual allegations of the Complaint are true.  Id.  A preliminary objection may be granted only if the moving party prevails as a matter of law.  </w:t>
      </w:r>
      <w:r w:rsidRPr="00810E73">
        <w:rPr>
          <w:i/>
          <w:sz w:val="24"/>
          <w:szCs w:val="24"/>
        </w:rPr>
        <w:t>Roc v. Flaherty</w:t>
      </w:r>
      <w:r w:rsidRPr="00A71F6C">
        <w:rPr>
          <w:sz w:val="24"/>
          <w:szCs w:val="24"/>
        </w:rPr>
        <w:t xml:space="preserve">, 527 A.2d 211 (Pa. Cmwlth. 1985).  Any doubt must be resolved in favor of the non-moving party by refusing to sustain the preliminary objections.  </w:t>
      </w:r>
      <w:r w:rsidRPr="00810E73">
        <w:rPr>
          <w:i/>
          <w:sz w:val="24"/>
          <w:szCs w:val="24"/>
        </w:rPr>
        <w:t>Dept. of Auditor General, et al. v. State Employees' Retirement System</w:t>
      </w:r>
      <w:r w:rsidRPr="00A71F6C">
        <w:rPr>
          <w:sz w:val="24"/>
          <w:szCs w:val="24"/>
        </w:rPr>
        <w:t xml:space="preserve">, et al., 836 A.2d 1053, 1064 (Pa. Cmwlth. 2003) citing, </w:t>
      </w:r>
      <w:r w:rsidRPr="00810E73">
        <w:rPr>
          <w:i/>
          <w:sz w:val="24"/>
          <w:szCs w:val="24"/>
        </w:rPr>
        <w:t>Boyd v. Ward</w:t>
      </w:r>
      <w:r w:rsidRPr="00A71F6C">
        <w:rPr>
          <w:sz w:val="24"/>
          <w:szCs w:val="24"/>
        </w:rPr>
        <w:t>, 802 A.2d 705 (Pa. Cmwlth. 2002).</w:t>
      </w:r>
    </w:p>
    <w:p w:rsidR="000837A0" w:rsidRPr="000837A0" w:rsidRDefault="000837A0" w:rsidP="00395897">
      <w:pPr>
        <w:tabs>
          <w:tab w:val="left" w:pos="-720"/>
        </w:tabs>
        <w:suppressAutoHyphens/>
        <w:autoSpaceDE w:val="0"/>
        <w:autoSpaceDN w:val="0"/>
        <w:spacing w:line="360" w:lineRule="auto"/>
        <w:ind w:left="90" w:right="-720" w:firstLine="1350"/>
        <w:rPr>
          <w:sz w:val="24"/>
          <w:szCs w:val="24"/>
        </w:rPr>
      </w:pPr>
    </w:p>
    <w:p w:rsidR="000837A0" w:rsidRDefault="00395897" w:rsidP="00395897">
      <w:pPr>
        <w:autoSpaceDE w:val="0"/>
        <w:autoSpaceDN w:val="0"/>
        <w:spacing w:line="360" w:lineRule="auto"/>
        <w:ind w:right="-720" w:firstLine="1440"/>
        <w:rPr>
          <w:rFonts w:cs="CG Times"/>
          <w:sz w:val="24"/>
          <w:szCs w:val="24"/>
        </w:rPr>
      </w:pPr>
      <w:r>
        <w:rPr>
          <w:rFonts w:cs="CG Times"/>
          <w:sz w:val="24"/>
          <w:szCs w:val="24"/>
        </w:rPr>
        <w:t>As noted, above, the facts alleged in this case</w:t>
      </w:r>
      <w:r w:rsidR="00626DC1">
        <w:rPr>
          <w:rFonts w:cs="CG Times"/>
          <w:sz w:val="24"/>
          <w:szCs w:val="24"/>
        </w:rPr>
        <w:t xml:space="preserve"> by the Complainant and the R</w:t>
      </w:r>
      <w:r>
        <w:rPr>
          <w:rFonts w:cs="CG Times"/>
          <w:sz w:val="24"/>
          <w:szCs w:val="24"/>
        </w:rPr>
        <w:t xml:space="preserve">espondent are not in accord.  The Complainant’s request for relief is </w:t>
      </w:r>
      <w:r w:rsidR="00626DC1">
        <w:rPr>
          <w:rFonts w:cs="CG Times"/>
          <w:sz w:val="24"/>
          <w:szCs w:val="24"/>
        </w:rPr>
        <w:t>for</w:t>
      </w:r>
      <w:r>
        <w:rPr>
          <w:rFonts w:cs="CG Times"/>
          <w:sz w:val="24"/>
          <w:szCs w:val="24"/>
        </w:rPr>
        <w:t xml:space="preserve"> a bill adjustment and a “suitable cash judgment.”   As the facts are, at this point, unclear</w:t>
      </w:r>
      <w:r w:rsidR="00626DC1">
        <w:rPr>
          <w:rFonts w:cs="CG Times"/>
          <w:sz w:val="24"/>
          <w:szCs w:val="24"/>
        </w:rPr>
        <w:t>,</w:t>
      </w:r>
      <w:r>
        <w:rPr>
          <w:rFonts w:cs="CG Times"/>
          <w:sz w:val="24"/>
          <w:szCs w:val="24"/>
        </w:rPr>
        <w:t xml:space="preserve"> and </w:t>
      </w:r>
      <w:r w:rsidR="00626DC1">
        <w:rPr>
          <w:rFonts w:cs="CG Times"/>
          <w:sz w:val="24"/>
          <w:szCs w:val="24"/>
        </w:rPr>
        <w:t xml:space="preserve">as </w:t>
      </w:r>
      <w:r>
        <w:rPr>
          <w:rFonts w:cs="CG Times"/>
          <w:sz w:val="24"/>
          <w:szCs w:val="24"/>
        </w:rPr>
        <w:t>the point of contention appears to be economic, this matter will be referred to the Commission’s Mediation Unit for review and appropriate action.</w:t>
      </w:r>
    </w:p>
    <w:p w:rsidR="00626DC1" w:rsidRDefault="00626DC1" w:rsidP="00395897">
      <w:pPr>
        <w:autoSpaceDE w:val="0"/>
        <w:autoSpaceDN w:val="0"/>
        <w:spacing w:line="360" w:lineRule="auto"/>
        <w:ind w:right="-720" w:firstLine="1440"/>
        <w:rPr>
          <w:rFonts w:cs="CG Times"/>
          <w:sz w:val="24"/>
          <w:szCs w:val="24"/>
        </w:rPr>
      </w:pPr>
    </w:p>
    <w:p w:rsidR="00626DC1" w:rsidRDefault="00626DC1" w:rsidP="00395897">
      <w:pPr>
        <w:autoSpaceDE w:val="0"/>
        <w:autoSpaceDN w:val="0"/>
        <w:spacing w:line="360" w:lineRule="auto"/>
        <w:ind w:right="-720" w:firstLine="1440"/>
        <w:rPr>
          <w:rFonts w:cs="CG Times"/>
          <w:sz w:val="24"/>
          <w:szCs w:val="24"/>
        </w:rPr>
      </w:pPr>
    </w:p>
    <w:p w:rsidR="00626DC1" w:rsidRDefault="00626DC1" w:rsidP="00395897">
      <w:pPr>
        <w:autoSpaceDE w:val="0"/>
        <w:autoSpaceDN w:val="0"/>
        <w:spacing w:line="360" w:lineRule="auto"/>
        <w:ind w:right="-720" w:firstLine="1440"/>
        <w:rPr>
          <w:rFonts w:cs="CG Times"/>
          <w:sz w:val="24"/>
          <w:szCs w:val="24"/>
        </w:rPr>
      </w:pPr>
    </w:p>
    <w:p w:rsidR="00626DC1" w:rsidRPr="000837A0" w:rsidRDefault="00626DC1" w:rsidP="00395897">
      <w:pPr>
        <w:autoSpaceDE w:val="0"/>
        <w:autoSpaceDN w:val="0"/>
        <w:spacing w:line="360" w:lineRule="auto"/>
        <w:ind w:right="-720" w:firstLine="1440"/>
        <w:rPr>
          <w:rFonts w:cs="CG Times"/>
          <w:sz w:val="24"/>
          <w:szCs w:val="24"/>
        </w:rPr>
      </w:pPr>
    </w:p>
    <w:p w:rsidR="000837A0" w:rsidRPr="000837A0" w:rsidRDefault="000837A0" w:rsidP="00395897">
      <w:pPr>
        <w:autoSpaceDE w:val="0"/>
        <w:autoSpaceDN w:val="0"/>
        <w:spacing w:line="360" w:lineRule="auto"/>
        <w:ind w:right="-720" w:firstLine="1440"/>
        <w:rPr>
          <w:rFonts w:cs="CG Times"/>
          <w:sz w:val="24"/>
          <w:szCs w:val="24"/>
        </w:rPr>
      </w:pPr>
    </w:p>
    <w:p w:rsidR="000837A0" w:rsidRPr="000837A0" w:rsidRDefault="000837A0" w:rsidP="00395897">
      <w:pPr>
        <w:autoSpaceDE w:val="0"/>
        <w:autoSpaceDN w:val="0"/>
        <w:spacing w:line="360" w:lineRule="auto"/>
        <w:ind w:right="-720" w:firstLine="1440"/>
        <w:rPr>
          <w:rFonts w:cs="CG Times"/>
          <w:sz w:val="24"/>
          <w:szCs w:val="24"/>
        </w:rPr>
      </w:pPr>
      <w:r w:rsidRPr="000837A0">
        <w:rPr>
          <w:rFonts w:cs="CG Times"/>
          <w:sz w:val="24"/>
          <w:szCs w:val="24"/>
        </w:rPr>
        <w:lastRenderedPageBreak/>
        <w:t>THEREFORE,</w:t>
      </w:r>
    </w:p>
    <w:p w:rsidR="000837A0" w:rsidRPr="000837A0" w:rsidRDefault="000837A0" w:rsidP="00395897">
      <w:pPr>
        <w:autoSpaceDE w:val="0"/>
        <w:autoSpaceDN w:val="0"/>
        <w:spacing w:line="360" w:lineRule="auto"/>
        <w:ind w:right="-720" w:firstLine="1440"/>
        <w:rPr>
          <w:rFonts w:cs="CG Times"/>
          <w:sz w:val="24"/>
          <w:szCs w:val="24"/>
        </w:rPr>
      </w:pPr>
    </w:p>
    <w:p w:rsidR="000837A0" w:rsidRPr="000837A0" w:rsidRDefault="000837A0" w:rsidP="00395897">
      <w:pPr>
        <w:autoSpaceDE w:val="0"/>
        <w:autoSpaceDN w:val="0"/>
        <w:spacing w:line="360" w:lineRule="auto"/>
        <w:ind w:right="-720" w:firstLine="1440"/>
        <w:rPr>
          <w:rFonts w:cs="CG Times"/>
          <w:sz w:val="24"/>
          <w:szCs w:val="24"/>
        </w:rPr>
      </w:pPr>
      <w:r w:rsidRPr="000837A0">
        <w:rPr>
          <w:rFonts w:cs="CG Times"/>
          <w:sz w:val="24"/>
          <w:szCs w:val="24"/>
        </w:rPr>
        <w:t>IT IS ORDERED:</w:t>
      </w:r>
    </w:p>
    <w:p w:rsidR="000837A0" w:rsidRPr="000837A0" w:rsidRDefault="000837A0" w:rsidP="00395897">
      <w:pPr>
        <w:autoSpaceDE w:val="0"/>
        <w:autoSpaceDN w:val="0"/>
        <w:spacing w:line="360" w:lineRule="auto"/>
        <w:ind w:right="-720" w:firstLine="1440"/>
        <w:rPr>
          <w:rFonts w:cs="CG Times"/>
          <w:sz w:val="24"/>
          <w:szCs w:val="24"/>
        </w:rPr>
      </w:pPr>
    </w:p>
    <w:p w:rsidR="000837A0" w:rsidRPr="000837A0" w:rsidRDefault="000837A0" w:rsidP="00395897">
      <w:pPr>
        <w:tabs>
          <w:tab w:val="left" w:pos="-720"/>
        </w:tabs>
        <w:suppressAutoHyphens/>
        <w:autoSpaceDE w:val="0"/>
        <w:autoSpaceDN w:val="0"/>
        <w:spacing w:line="360" w:lineRule="auto"/>
        <w:ind w:left="90" w:right="-720" w:firstLine="1350"/>
        <w:rPr>
          <w:rFonts w:cs="CG Times"/>
          <w:sz w:val="24"/>
          <w:szCs w:val="24"/>
        </w:rPr>
      </w:pPr>
      <w:r w:rsidRPr="000837A0">
        <w:rPr>
          <w:rFonts w:cs="CG Times"/>
          <w:sz w:val="24"/>
          <w:szCs w:val="24"/>
        </w:rPr>
        <w:t>1.</w:t>
      </w:r>
      <w:r w:rsidRPr="000837A0">
        <w:rPr>
          <w:rFonts w:cs="CG Times"/>
          <w:sz w:val="24"/>
          <w:szCs w:val="24"/>
        </w:rPr>
        <w:tab/>
        <w:t xml:space="preserve">That the complaint of </w:t>
      </w:r>
      <w:r w:rsidR="00395897">
        <w:rPr>
          <w:rFonts w:cs="CG Times"/>
          <w:sz w:val="24"/>
          <w:szCs w:val="24"/>
        </w:rPr>
        <w:t xml:space="preserve">Keenya Walker </w:t>
      </w:r>
      <w:r w:rsidRPr="000837A0">
        <w:rPr>
          <w:rFonts w:cs="CG Times"/>
          <w:sz w:val="24"/>
          <w:szCs w:val="24"/>
        </w:rPr>
        <w:t xml:space="preserve">against </w:t>
      </w:r>
      <w:r w:rsidR="00395897">
        <w:rPr>
          <w:rFonts w:cs="CG Times"/>
          <w:sz w:val="24"/>
          <w:szCs w:val="24"/>
        </w:rPr>
        <w:t xml:space="preserve">Verizon </w:t>
      </w:r>
      <w:r w:rsidRPr="000837A0">
        <w:rPr>
          <w:rFonts w:cs="CG Times"/>
          <w:sz w:val="24"/>
          <w:szCs w:val="24"/>
        </w:rPr>
        <w:t>Pennsylvania</w:t>
      </w:r>
      <w:r w:rsidR="00395897">
        <w:rPr>
          <w:rFonts w:cs="CG Times"/>
          <w:sz w:val="24"/>
          <w:szCs w:val="24"/>
        </w:rPr>
        <w:t xml:space="preserve"> Inc.</w:t>
      </w:r>
      <w:r w:rsidRPr="000837A0">
        <w:rPr>
          <w:rFonts w:cs="CG Times"/>
          <w:sz w:val="24"/>
          <w:szCs w:val="24"/>
        </w:rPr>
        <w:t xml:space="preserve"> at Docket No. C-20</w:t>
      </w:r>
      <w:r w:rsidR="00395897">
        <w:rPr>
          <w:rFonts w:cs="CG Times"/>
          <w:sz w:val="24"/>
          <w:szCs w:val="24"/>
        </w:rPr>
        <w:t>11</w:t>
      </w:r>
      <w:r w:rsidRPr="000837A0">
        <w:rPr>
          <w:rFonts w:cs="CG Times"/>
          <w:sz w:val="24"/>
          <w:szCs w:val="24"/>
        </w:rPr>
        <w:t>-2</w:t>
      </w:r>
      <w:r w:rsidR="00395897">
        <w:rPr>
          <w:rFonts w:cs="CG Times"/>
          <w:sz w:val="24"/>
          <w:szCs w:val="24"/>
        </w:rPr>
        <w:t>270234</w:t>
      </w:r>
      <w:r w:rsidRPr="000837A0">
        <w:rPr>
          <w:rFonts w:cs="CG Times"/>
          <w:sz w:val="24"/>
          <w:szCs w:val="24"/>
        </w:rPr>
        <w:t xml:space="preserve"> will be referred to the Commission’s Mediation Unit for mediation review.</w:t>
      </w:r>
    </w:p>
    <w:p w:rsidR="000837A0" w:rsidRPr="000837A0" w:rsidRDefault="000837A0" w:rsidP="00395897">
      <w:pPr>
        <w:tabs>
          <w:tab w:val="left" w:pos="-720"/>
        </w:tabs>
        <w:suppressAutoHyphens/>
        <w:autoSpaceDE w:val="0"/>
        <w:autoSpaceDN w:val="0"/>
        <w:spacing w:line="360" w:lineRule="auto"/>
        <w:ind w:right="-720" w:firstLine="1440"/>
        <w:rPr>
          <w:rFonts w:cs="CG Times"/>
          <w:sz w:val="24"/>
          <w:szCs w:val="24"/>
        </w:rPr>
      </w:pPr>
    </w:p>
    <w:p w:rsidR="00A71F6C" w:rsidRDefault="00A71F6C" w:rsidP="00395897">
      <w:pPr>
        <w:tabs>
          <w:tab w:val="left" w:pos="-720"/>
        </w:tabs>
        <w:suppressAutoHyphens/>
        <w:autoSpaceDE w:val="0"/>
        <w:autoSpaceDN w:val="0"/>
        <w:spacing w:line="360" w:lineRule="auto"/>
        <w:ind w:right="-720" w:firstLine="1440"/>
        <w:rPr>
          <w:rFonts w:cs="CG Times"/>
          <w:sz w:val="24"/>
          <w:szCs w:val="24"/>
        </w:rPr>
      </w:pPr>
      <w:r>
        <w:rPr>
          <w:rFonts w:cs="CG Times"/>
          <w:sz w:val="24"/>
          <w:szCs w:val="24"/>
        </w:rPr>
        <w:t>2</w:t>
      </w:r>
      <w:r w:rsidR="000837A0" w:rsidRPr="000837A0">
        <w:rPr>
          <w:rFonts w:cs="CG Times"/>
          <w:sz w:val="24"/>
          <w:szCs w:val="24"/>
        </w:rPr>
        <w:t>.</w:t>
      </w:r>
      <w:r w:rsidR="000837A0" w:rsidRPr="000837A0">
        <w:rPr>
          <w:rFonts w:cs="CG Times"/>
          <w:sz w:val="24"/>
          <w:szCs w:val="24"/>
        </w:rPr>
        <w:tab/>
        <w:t xml:space="preserve">That should the parties fail to resolve the matter with the aid of the mediator, the complaint at Docket No. </w:t>
      </w:r>
      <w:r w:rsidR="00395897" w:rsidRPr="00395897">
        <w:rPr>
          <w:rFonts w:cs="CG Times"/>
          <w:sz w:val="24"/>
          <w:szCs w:val="24"/>
        </w:rPr>
        <w:t xml:space="preserve">C-2011-2270234 </w:t>
      </w:r>
      <w:r w:rsidR="000837A0" w:rsidRPr="000837A0">
        <w:rPr>
          <w:rFonts w:cs="CG Times"/>
          <w:sz w:val="24"/>
          <w:szCs w:val="24"/>
        </w:rPr>
        <w:t>shall be scheduled for hearing.</w:t>
      </w:r>
    </w:p>
    <w:p w:rsidR="00A71F6C" w:rsidRDefault="00A71F6C" w:rsidP="00A71F6C">
      <w:pPr>
        <w:tabs>
          <w:tab w:val="left" w:pos="-720"/>
        </w:tabs>
        <w:suppressAutoHyphens/>
        <w:autoSpaceDE w:val="0"/>
        <w:autoSpaceDN w:val="0"/>
        <w:spacing w:line="360" w:lineRule="auto"/>
        <w:ind w:right="-1440" w:firstLine="1440"/>
        <w:rPr>
          <w:rFonts w:cs="CG Times"/>
          <w:sz w:val="24"/>
          <w:szCs w:val="24"/>
        </w:rPr>
      </w:pPr>
    </w:p>
    <w:p w:rsidR="000837A0" w:rsidRPr="000837A0" w:rsidRDefault="000837A0" w:rsidP="00A71F6C">
      <w:pPr>
        <w:tabs>
          <w:tab w:val="left" w:pos="-720"/>
        </w:tabs>
        <w:suppressAutoHyphens/>
        <w:autoSpaceDE w:val="0"/>
        <w:autoSpaceDN w:val="0"/>
        <w:spacing w:line="360" w:lineRule="auto"/>
        <w:ind w:right="-1440" w:firstLine="1440"/>
        <w:rPr>
          <w:sz w:val="24"/>
          <w:szCs w:val="24"/>
        </w:rPr>
      </w:pPr>
      <w:r w:rsidRPr="000837A0">
        <w:rPr>
          <w:rFonts w:cs="CG Times"/>
          <w:sz w:val="24"/>
          <w:szCs w:val="24"/>
        </w:rPr>
        <w:t xml:space="preserve">  </w:t>
      </w:r>
    </w:p>
    <w:p w:rsidR="00A71F6C" w:rsidRPr="00A71F6C" w:rsidRDefault="00A71F6C" w:rsidP="00A71F6C">
      <w:pPr>
        <w:ind w:right="-1440"/>
        <w:rPr>
          <w:sz w:val="24"/>
          <w:szCs w:val="24"/>
        </w:rPr>
      </w:pPr>
      <w:r w:rsidRPr="00A71F6C">
        <w:rPr>
          <w:sz w:val="24"/>
          <w:szCs w:val="24"/>
        </w:rPr>
        <w:t>Date:</w:t>
      </w:r>
      <w:r w:rsidRPr="00A71F6C">
        <w:rPr>
          <w:sz w:val="24"/>
          <w:szCs w:val="24"/>
        </w:rPr>
        <w:tab/>
      </w:r>
      <w:r w:rsidRPr="00A71F6C">
        <w:rPr>
          <w:sz w:val="24"/>
          <w:szCs w:val="24"/>
          <w:u w:val="single"/>
        </w:rPr>
        <w:t xml:space="preserve">May </w:t>
      </w:r>
      <w:r w:rsidR="00395897">
        <w:rPr>
          <w:sz w:val="24"/>
          <w:szCs w:val="24"/>
          <w:u w:val="single"/>
        </w:rPr>
        <w:t>4</w:t>
      </w:r>
      <w:r w:rsidRPr="00A71F6C">
        <w:rPr>
          <w:sz w:val="24"/>
          <w:szCs w:val="24"/>
          <w:u w:val="single"/>
        </w:rPr>
        <w:t>, 2012</w:t>
      </w:r>
      <w:r w:rsidRPr="00A71F6C">
        <w:rPr>
          <w:sz w:val="24"/>
          <w:szCs w:val="24"/>
        </w:rPr>
        <w:tab/>
      </w:r>
      <w:r w:rsidRPr="00A71F6C">
        <w:rPr>
          <w:sz w:val="24"/>
          <w:szCs w:val="24"/>
        </w:rPr>
        <w:tab/>
      </w:r>
      <w:r w:rsidRPr="00A71F6C">
        <w:rPr>
          <w:sz w:val="24"/>
          <w:szCs w:val="24"/>
        </w:rPr>
        <w:tab/>
      </w:r>
      <w:r w:rsidRPr="00A71F6C">
        <w:rPr>
          <w:sz w:val="24"/>
          <w:szCs w:val="24"/>
        </w:rPr>
        <w:tab/>
      </w:r>
      <w:r w:rsidRPr="00A71F6C">
        <w:rPr>
          <w:sz w:val="24"/>
          <w:szCs w:val="24"/>
        </w:rPr>
        <w:tab/>
        <w:t>___________________________________</w:t>
      </w:r>
    </w:p>
    <w:p w:rsidR="00A71F6C" w:rsidRPr="00A71F6C" w:rsidRDefault="00A71F6C" w:rsidP="00A71F6C">
      <w:pPr>
        <w:ind w:right="-1440"/>
        <w:rPr>
          <w:sz w:val="24"/>
          <w:szCs w:val="24"/>
        </w:rPr>
      </w:pPr>
      <w:r w:rsidRPr="00A71F6C">
        <w:rPr>
          <w:sz w:val="24"/>
          <w:szCs w:val="24"/>
        </w:rPr>
        <w:tab/>
      </w:r>
      <w:r w:rsidRPr="00A71F6C">
        <w:rPr>
          <w:sz w:val="24"/>
          <w:szCs w:val="24"/>
        </w:rPr>
        <w:tab/>
      </w:r>
      <w:r w:rsidRPr="00A71F6C">
        <w:rPr>
          <w:sz w:val="24"/>
          <w:szCs w:val="24"/>
        </w:rPr>
        <w:tab/>
      </w:r>
      <w:r w:rsidRPr="00A71F6C">
        <w:rPr>
          <w:sz w:val="24"/>
          <w:szCs w:val="24"/>
        </w:rPr>
        <w:tab/>
      </w:r>
      <w:r w:rsidRPr="00A71F6C">
        <w:rPr>
          <w:sz w:val="24"/>
          <w:szCs w:val="24"/>
        </w:rPr>
        <w:tab/>
      </w:r>
      <w:r w:rsidRPr="00A71F6C">
        <w:rPr>
          <w:sz w:val="24"/>
          <w:szCs w:val="24"/>
        </w:rPr>
        <w:tab/>
      </w:r>
      <w:r w:rsidRPr="00A71F6C">
        <w:rPr>
          <w:sz w:val="24"/>
          <w:szCs w:val="24"/>
        </w:rPr>
        <w:tab/>
        <w:t>Dennis J. Buckley</w:t>
      </w:r>
    </w:p>
    <w:p w:rsidR="00A71F6C" w:rsidRPr="00A71F6C" w:rsidRDefault="00A71F6C" w:rsidP="00A71F6C">
      <w:pPr>
        <w:ind w:right="-1440"/>
        <w:rPr>
          <w:sz w:val="24"/>
          <w:szCs w:val="24"/>
        </w:rPr>
      </w:pPr>
      <w:r w:rsidRPr="00A71F6C">
        <w:rPr>
          <w:sz w:val="24"/>
          <w:szCs w:val="24"/>
        </w:rPr>
        <w:tab/>
      </w:r>
      <w:r w:rsidRPr="00A71F6C">
        <w:rPr>
          <w:sz w:val="24"/>
          <w:szCs w:val="24"/>
        </w:rPr>
        <w:tab/>
      </w:r>
      <w:r w:rsidRPr="00A71F6C">
        <w:rPr>
          <w:sz w:val="24"/>
          <w:szCs w:val="24"/>
        </w:rPr>
        <w:tab/>
      </w:r>
      <w:r w:rsidRPr="00A71F6C">
        <w:rPr>
          <w:sz w:val="24"/>
          <w:szCs w:val="24"/>
        </w:rPr>
        <w:tab/>
      </w:r>
      <w:r w:rsidRPr="00A71F6C">
        <w:rPr>
          <w:sz w:val="24"/>
          <w:szCs w:val="24"/>
        </w:rPr>
        <w:tab/>
      </w:r>
      <w:r w:rsidRPr="00A71F6C">
        <w:rPr>
          <w:sz w:val="24"/>
          <w:szCs w:val="24"/>
        </w:rPr>
        <w:tab/>
      </w:r>
      <w:r w:rsidRPr="00A71F6C">
        <w:rPr>
          <w:sz w:val="24"/>
          <w:szCs w:val="24"/>
        </w:rPr>
        <w:tab/>
        <w:t>Administrative Law Judge</w:t>
      </w:r>
    </w:p>
    <w:p w:rsidR="00A71F6C" w:rsidRDefault="00A71F6C" w:rsidP="00A71F6C">
      <w:pPr>
        <w:suppressAutoHyphens/>
        <w:spacing w:line="360" w:lineRule="auto"/>
        <w:rPr>
          <w:sz w:val="24"/>
          <w:szCs w:val="24"/>
        </w:rPr>
      </w:pPr>
    </w:p>
    <w:p w:rsidR="00DB642C" w:rsidRDefault="00DB642C" w:rsidP="00A71F6C">
      <w:pPr>
        <w:suppressAutoHyphens/>
        <w:spacing w:line="360" w:lineRule="auto"/>
        <w:rPr>
          <w:sz w:val="24"/>
          <w:szCs w:val="24"/>
        </w:rPr>
        <w:sectPr w:rsidR="00DB642C" w:rsidSect="00810E73">
          <w:footerReference w:type="even" r:id="rId9"/>
          <w:footerReference w:type="default" r:id="rId10"/>
          <w:pgSz w:w="12240" w:h="15840" w:code="1"/>
          <w:pgMar w:top="1440" w:right="2160" w:bottom="1440" w:left="1440" w:header="0" w:footer="576" w:gutter="0"/>
          <w:cols w:space="720"/>
          <w:titlePg/>
        </w:sectPr>
      </w:pPr>
    </w:p>
    <w:p w:rsidR="00DB642C" w:rsidRPr="00DD2725" w:rsidRDefault="00DB642C" w:rsidP="00DB642C">
      <w:pPr>
        <w:rPr>
          <w:rFonts w:ascii="Microsoft Sans Serif" w:hAnsi="Microsoft Sans Serif" w:cs="Microsoft Sans Serif"/>
          <w:b/>
          <w:sz w:val="24"/>
          <w:szCs w:val="24"/>
          <w:u w:val="single"/>
        </w:rPr>
      </w:pPr>
      <w:r w:rsidRPr="00DD2725">
        <w:rPr>
          <w:rFonts w:ascii="Microsoft Sans Serif" w:hAnsi="Microsoft Sans Serif" w:cs="Microsoft Sans Serif"/>
          <w:b/>
          <w:sz w:val="24"/>
          <w:szCs w:val="24"/>
          <w:u w:val="single"/>
        </w:rPr>
        <w:lastRenderedPageBreak/>
        <w:t xml:space="preserve">C-2011-2270234 - </w:t>
      </w:r>
      <w:proofErr w:type="spellStart"/>
      <w:r w:rsidRPr="00DD2725">
        <w:rPr>
          <w:rFonts w:ascii="Microsoft Sans Serif" w:hAnsi="Microsoft Sans Serif" w:cs="Microsoft Sans Serif"/>
          <w:b/>
          <w:sz w:val="24"/>
          <w:szCs w:val="24"/>
          <w:u w:val="single"/>
        </w:rPr>
        <w:t>KEENYA</w:t>
      </w:r>
      <w:proofErr w:type="spellEnd"/>
      <w:r w:rsidRPr="00DD2725">
        <w:rPr>
          <w:rFonts w:ascii="Microsoft Sans Serif" w:hAnsi="Microsoft Sans Serif" w:cs="Microsoft Sans Serif"/>
          <w:b/>
          <w:sz w:val="24"/>
          <w:szCs w:val="24"/>
          <w:u w:val="single"/>
        </w:rPr>
        <w:t xml:space="preserve"> WALKER v. VERIZON PENNSYLVANIA </w:t>
      </w:r>
      <w:proofErr w:type="spellStart"/>
      <w:r w:rsidRPr="00DD2725">
        <w:rPr>
          <w:rFonts w:ascii="Microsoft Sans Serif" w:hAnsi="Microsoft Sans Serif" w:cs="Microsoft Sans Serif"/>
          <w:b/>
          <w:sz w:val="24"/>
          <w:szCs w:val="24"/>
          <w:u w:val="single"/>
        </w:rPr>
        <w:t>INC</w:t>
      </w:r>
      <w:proofErr w:type="spellEnd"/>
      <w:r w:rsidRPr="00DD2725">
        <w:rPr>
          <w:rFonts w:ascii="Microsoft Sans Serif" w:hAnsi="Microsoft Sans Serif" w:cs="Microsoft Sans Serif"/>
          <w:b/>
          <w:sz w:val="24"/>
          <w:szCs w:val="24"/>
          <w:u w:val="single"/>
        </w:rPr>
        <w:cr/>
      </w:r>
      <w:r w:rsidRPr="00DD2725">
        <w:rPr>
          <w:rFonts w:ascii="Microsoft Sans Serif" w:hAnsi="Microsoft Sans Serif" w:cs="Microsoft Sans Serif"/>
          <w:b/>
          <w:sz w:val="24"/>
          <w:szCs w:val="24"/>
          <w:u w:val="single"/>
        </w:rPr>
        <w:cr/>
      </w:r>
    </w:p>
    <w:p w:rsidR="00DB642C" w:rsidRPr="00DD2725" w:rsidRDefault="00DB642C" w:rsidP="00DB642C">
      <w:pPr>
        <w:rPr>
          <w:rFonts w:ascii="Microsoft Sans Serif" w:hAnsi="Microsoft Sans Serif" w:cs="Microsoft Sans Serif"/>
          <w:b/>
          <w:sz w:val="24"/>
          <w:szCs w:val="24"/>
          <w:u w:val="single"/>
        </w:rPr>
      </w:pPr>
    </w:p>
    <w:p w:rsidR="00DB642C" w:rsidRDefault="00DB642C" w:rsidP="00DB642C">
      <w:pPr>
        <w:rPr>
          <w:rFonts w:ascii="Microsoft Sans Serif" w:hAnsi="Microsoft Sans Serif" w:cs="Microsoft Sans Serif"/>
          <w:sz w:val="24"/>
          <w:szCs w:val="24"/>
        </w:rPr>
      </w:pPr>
      <w:bookmarkStart w:id="0" w:name="_GoBack"/>
      <w:proofErr w:type="spellStart"/>
      <w:r w:rsidRPr="00DD2725">
        <w:rPr>
          <w:rFonts w:ascii="Microsoft Sans Serif" w:hAnsi="Microsoft Sans Serif" w:cs="Microsoft Sans Serif"/>
          <w:sz w:val="24"/>
          <w:szCs w:val="24"/>
        </w:rPr>
        <w:t>KEENYA</w:t>
      </w:r>
      <w:proofErr w:type="spellEnd"/>
      <w:r w:rsidRPr="00DD2725">
        <w:rPr>
          <w:rFonts w:ascii="Microsoft Sans Serif" w:hAnsi="Microsoft Sans Serif" w:cs="Microsoft Sans Serif"/>
          <w:sz w:val="24"/>
          <w:szCs w:val="24"/>
        </w:rPr>
        <w:t xml:space="preserve"> WALKER</w:t>
      </w:r>
      <w:proofErr w:type="spellStart"/>
      <w:r w:rsidRPr="00DD2725">
        <w:rPr>
          <w:rFonts w:ascii="Microsoft Sans Serif" w:hAnsi="Microsoft Sans Serif" w:cs="Microsoft Sans Serif"/>
          <w:sz w:val="24"/>
          <w:szCs w:val="24"/>
        </w:rPr>
        <w:cr/>
        <w:t>245 CLIFTON AVENUE</w:t>
      </w:r>
      <w:r w:rsidRPr="00DD2725">
        <w:rPr>
          <w:rFonts w:ascii="Microsoft Sans Serif" w:hAnsi="Microsoft Sans Serif" w:cs="Microsoft Sans Serif"/>
          <w:sz w:val="24"/>
          <w:szCs w:val="24"/>
        </w:rPr>
        <w:cr/>
      </w:r>
      <w:proofErr w:type="spellEnd"/>
      <w:r w:rsidRPr="00DD2725">
        <w:rPr>
          <w:rFonts w:ascii="Microsoft Sans Serif" w:hAnsi="Microsoft Sans Serif" w:cs="Microsoft Sans Serif"/>
          <w:sz w:val="24"/>
          <w:szCs w:val="24"/>
        </w:rPr>
        <w:t>SHARON HILL PA  19079</w:t>
      </w:r>
      <w:bookmarkEnd w:id="0"/>
      <w:r w:rsidRPr="00DD2725">
        <w:rPr>
          <w:rFonts w:ascii="Microsoft Sans Serif" w:hAnsi="Microsoft Sans Serif" w:cs="Microsoft Sans Serif"/>
          <w:sz w:val="24"/>
          <w:szCs w:val="24"/>
        </w:rPr>
        <w:cr/>
      </w:r>
      <w:r w:rsidRPr="00DD2725">
        <w:rPr>
          <w:rFonts w:ascii="Microsoft Sans Serif" w:hAnsi="Microsoft Sans Serif" w:cs="Microsoft Sans Serif"/>
          <w:b/>
          <w:sz w:val="24"/>
          <w:szCs w:val="24"/>
        </w:rPr>
        <w:t>610-368-5205</w:t>
      </w:r>
      <w:r w:rsidRPr="00DD2725">
        <w:rPr>
          <w:rFonts w:ascii="Microsoft Sans Serif" w:hAnsi="Microsoft Sans Serif" w:cs="Microsoft Sans Serif"/>
          <w:b/>
          <w:sz w:val="24"/>
          <w:szCs w:val="24"/>
        </w:rPr>
        <w:cr/>
      </w:r>
    </w:p>
    <w:p w:rsidR="00DB642C" w:rsidRDefault="00DB642C" w:rsidP="00DB642C">
      <w:pPr>
        <w:rPr>
          <w:rFonts w:ascii="Microsoft Sans Serif" w:hAnsi="Microsoft Sans Serif" w:cs="Microsoft Sans Serif"/>
          <w:sz w:val="24"/>
          <w:szCs w:val="24"/>
        </w:rPr>
      </w:pPr>
      <w:r>
        <w:rPr>
          <w:rFonts w:ascii="Microsoft Sans Serif" w:hAnsi="Microsoft Sans Serif" w:cs="Microsoft Sans Serif"/>
          <w:sz w:val="24"/>
          <w:szCs w:val="24"/>
        </w:rPr>
        <w:t>SUZAN D PAIVA ESQUIRE</w:t>
      </w:r>
      <w:r>
        <w:rPr>
          <w:rFonts w:ascii="Microsoft Sans Serif" w:hAnsi="Microsoft Sans Serif" w:cs="Microsoft Sans Serif"/>
          <w:sz w:val="24"/>
          <w:szCs w:val="24"/>
        </w:rPr>
        <w:cr/>
        <w:t xml:space="preserve">VERIZON PENNSYLVANIA </w:t>
      </w:r>
      <w:proofErr w:type="spellStart"/>
      <w:r>
        <w:rPr>
          <w:rFonts w:ascii="Microsoft Sans Serif" w:hAnsi="Microsoft Sans Serif" w:cs="Microsoft Sans Serif"/>
          <w:sz w:val="24"/>
          <w:szCs w:val="24"/>
        </w:rPr>
        <w:t>INC</w:t>
      </w:r>
      <w:proofErr w:type="spellEnd"/>
    </w:p>
    <w:p w:rsidR="00DB642C" w:rsidRPr="00DB642C" w:rsidRDefault="00DB642C" w:rsidP="00DB642C">
      <w:pPr>
        <w:rPr>
          <w:rFonts w:ascii="Microsoft Sans Serif" w:hAnsi="Microsoft Sans Serif" w:cs="Microsoft Sans Serif"/>
          <w:sz w:val="24"/>
          <w:szCs w:val="24"/>
        </w:rPr>
      </w:pPr>
      <w:r w:rsidRPr="00DD2725">
        <w:rPr>
          <w:rFonts w:ascii="Microsoft Sans Serif" w:hAnsi="Microsoft Sans Serif" w:cs="Microsoft Sans Serif"/>
          <w:sz w:val="24"/>
          <w:szCs w:val="24"/>
        </w:rPr>
        <w:t xml:space="preserve">1717 ARCH STREET </w:t>
      </w:r>
      <w:proofErr w:type="spellStart"/>
      <w:r w:rsidRPr="00DD2725">
        <w:rPr>
          <w:rFonts w:ascii="Microsoft Sans Serif" w:hAnsi="Microsoft Sans Serif" w:cs="Microsoft Sans Serif"/>
          <w:sz w:val="24"/>
          <w:szCs w:val="24"/>
        </w:rPr>
        <w:t>3SE</w:t>
      </w:r>
      <w:proofErr w:type="spellEnd"/>
      <w:r w:rsidRPr="00DD2725">
        <w:rPr>
          <w:rFonts w:ascii="Microsoft Sans Serif" w:hAnsi="Microsoft Sans Serif" w:cs="Microsoft Sans Serif"/>
          <w:sz w:val="24"/>
          <w:szCs w:val="24"/>
        </w:rPr>
        <w:cr/>
        <w:t>PHILADELPHIA PA  19103</w:t>
      </w:r>
      <w:r w:rsidRPr="00DD2725">
        <w:rPr>
          <w:rFonts w:ascii="Microsoft Sans Serif" w:hAnsi="Microsoft Sans Serif" w:cs="Microsoft Sans Serif"/>
          <w:sz w:val="24"/>
          <w:szCs w:val="24"/>
        </w:rPr>
        <w:cr/>
      </w:r>
      <w:r w:rsidRPr="00DD2725">
        <w:rPr>
          <w:rFonts w:ascii="Microsoft Sans Serif" w:hAnsi="Microsoft Sans Serif" w:cs="Microsoft Sans Serif"/>
          <w:b/>
          <w:sz w:val="24"/>
          <w:szCs w:val="24"/>
        </w:rPr>
        <w:t>215-466-4755</w:t>
      </w:r>
    </w:p>
    <w:sectPr w:rsidR="00DB642C" w:rsidRPr="00DB64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616" w:rsidRDefault="00744616">
      <w:r>
        <w:separator/>
      </w:r>
    </w:p>
  </w:endnote>
  <w:endnote w:type="continuationSeparator" w:id="0">
    <w:p w:rsidR="00744616" w:rsidRDefault="00744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653" w:rsidRDefault="00E8461E">
    <w:pPr>
      <w:pStyle w:val="Footer"/>
      <w:framePr w:wrap="around" w:vAnchor="text" w:hAnchor="margin" w:xAlign="center" w:y="1"/>
      <w:rPr>
        <w:rStyle w:val="PageNumber"/>
      </w:rPr>
    </w:pPr>
    <w:r>
      <w:rPr>
        <w:rStyle w:val="PageNumber"/>
      </w:rPr>
      <w:fldChar w:fldCharType="begin"/>
    </w:r>
    <w:r w:rsidR="000E4653">
      <w:rPr>
        <w:rStyle w:val="PageNumber"/>
      </w:rPr>
      <w:instrText xml:space="preserve">PAGE  </w:instrText>
    </w:r>
    <w:r>
      <w:rPr>
        <w:rStyle w:val="PageNumber"/>
      </w:rPr>
      <w:fldChar w:fldCharType="separate"/>
    </w:r>
    <w:r w:rsidR="000E4653">
      <w:rPr>
        <w:rStyle w:val="PageNumber"/>
        <w:noProof/>
      </w:rPr>
      <w:t>16</w:t>
    </w:r>
    <w:r>
      <w:rPr>
        <w:rStyle w:val="PageNumber"/>
      </w:rPr>
      <w:fldChar w:fldCharType="end"/>
    </w:r>
  </w:p>
  <w:p w:rsidR="000E4653" w:rsidRDefault="000E46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653" w:rsidRDefault="00E8461E">
    <w:pPr>
      <w:pStyle w:val="Footer"/>
      <w:framePr w:wrap="around" w:vAnchor="text" w:hAnchor="margin" w:xAlign="center" w:y="1"/>
      <w:rPr>
        <w:rStyle w:val="PageNumber"/>
      </w:rPr>
    </w:pPr>
    <w:r>
      <w:rPr>
        <w:rStyle w:val="PageNumber"/>
      </w:rPr>
      <w:fldChar w:fldCharType="begin"/>
    </w:r>
    <w:r w:rsidR="000E4653">
      <w:rPr>
        <w:rStyle w:val="PageNumber"/>
      </w:rPr>
      <w:instrText xml:space="preserve">PAGE  </w:instrText>
    </w:r>
    <w:r>
      <w:rPr>
        <w:rStyle w:val="PageNumber"/>
      </w:rPr>
      <w:fldChar w:fldCharType="separate"/>
    </w:r>
    <w:r w:rsidR="00DB642C">
      <w:rPr>
        <w:rStyle w:val="PageNumber"/>
        <w:noProof/>
      </w:rPr>
      <w:t>5</w:t>
    </w:r>
    <w:r>
      <w:rPr>
        <w:rStyle w:val="PageNumber"/>
      </w:rPr>
      <w:fldChar w:fldCharType="end"/>
    </w:r>
  </w:p>
  <w:p w:rsidR="000E4653" w:rsidRDefault="000E46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616" w:rsidRDefault="00744616">
      <w:r>
        <w:separator/>
      </w:r>
    </w:p>
  </w:footnote>
  <w:footnote w:type="continuationSeparator" w:id="0">
    <w:p w:rsidR="00744616" w:rsidRDefault="00744616">
      <w:r>
        <w:continuationSeparator/>
      </w:r>
    </w:p>
  </w:footnote>
  <w:footnote w:id="1">
    <w:p w:rsidR="000837A0" w:rsidRDefault="000837A0" w:rsidP="00A71F6C">
      <w:pPr>
        <w:pStyle w:val="FootnoteText"/>
        <w:ind w:right="-720"/>
      </w:pPr>
      <w:r>
        <w:rPr>
          <w:rStyle w:val="FootnoteReference"/>
        </w:rPr>
        <w:footnoteRef/>
      </w:r>
      <w:r>
        <w:t xml:space="preserve"> </w:t>
      </w:r>
      <w:r>
        <w:tab/>
        <w:t>Complainant had filed a</w:t>
      </w:r>
      <w:r w:rsidR="00A71F6C">
        <w:t>n informal</w:t>
      </w:r>
      <w:r>
        <w:t xml:space="preserve"> complaint with the Commission’s Bureau of Consumer Services (BCS) at BCS Case No. </w:t>
      </w:r>
      <w:r w:rsidRPr="000837A0">
        <w:t>2898652</w:t>
      </w:r>
      <w:r>
        <w:t>, but that case was closed by BCS upon the filing of this formal Complaint.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844DC"/>
    <w:multiLevelType w:val="hybridMultilevel"/>
    <w:tmpl w:val="FC387BAC"/>
    <w:lvl w:ilvl="0" w:tplc="C6100FE0">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8860AD"/>
    <w:multiLevelType w:val="hybridMultilevel"/>
    <w:tmpl w:val="536E3B32"/>
    <w:lvl w:ilvl="0" w:tplc="0409000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4FCF0948"/>
    <w:multiLevelType w:val="hybridMultilevel"/>
    <w:tmpl w:val="BA0AAF16"/>
    <w:lvl w:ilvl="0" w:tplc="3EA25DB8">
      <w:start w:val="1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58741BE8"/>
    <w:multiLevelType w:val="hybridMultilevel"/>
    <w:tmpl w:val="04429A4E"/>
    <w:lvl w:ilvl="0" w:tplc="B13CFE9A">
      <w:start w:val="1"/>
      <w:numFmt w:val="bullet"/>
      <w:lvlText w:val=""/>
      <w:lvlJc w:val="left"/>
      <w:pPr>
        <w:tabs>
          <w:tab w:val="num" w:pos="360"/>
        </w:tabs>
        <w:ind w:left="72" w:hanging="7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BA145CD"/>
    <w:multiLevelType w:val="hybridMultilevel"/>
    <w:tmpl w:val="FD565BA4"/>
    <w:lvl w:ilvl="0" w:tplc="AC26C3EC">
      <w:start w:val="1"/>
      <w:numFmt w:val="bullet"/>
      <w:lvlText w:val=""/>
      <w:lvlJc w:val="left"/>
      <w:pPr>
        <w:tabs>
          <w:tab w:val="num" w:pos="360"/>
        </w:tabs>
        <w:ind w:left="72" w:hanging="7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02B"/>
    <w:rsid w:val="000026EB"/>
    <w:rsid w:val="0000691D"/>
    <w:rsid w:val="00010B31"/>
    <w:rsid w:val="00014DF4"/>
    <w:rsid w:val="000158A4"/>
    <w:rsid w:val="00023F14"/>
    <w:rsid w:val="00027BDB"/>
    <w:rsid w:val="000373FF"/>
    <w:rsid w:val="00053167"/>
    <w:rsid w:val="0007029C"/>
    <w:rsid w:val="000750BE"/>
    <w:rsid w:val="0007652A"/>
    <w:rsid w:val="000837A0"/>
    <w:rsid w:val="00093062"/>
    <w:rsid w:val="000A2141"/>
    <w:rsid w:val="000A2320"/>
    <w:rsid w:val="000A7743"/>
    <w:rsid w:val="000B179D"/>
    <w:rsid w:val="000B39DD"/>
    <w:rsid w:val="000B6CDA"/>
    <w:rsid w:val="000B7C7A"/>
    <w:rsid w:val="000C6474"/>
    <w:rsid w:val="000E1DC6"/>
    <w:rsid w:val="000E4653"/>
    <w:rsid w:val="000F3B48"/>
    <w:rsid w:val="001177E2"/>
    <w:rsid w:val="0012199B"/>
    <w:rsid w:val="00123CBF"/>
    <w:rsid w:val="00124C90"/>
    <w:rsid w:val="00134A36"/>
    <w:rsid w:val="0014704D"/>
    <w:rsid w:val="0014740F"/>
    <w:rsid w:val="00147FD8"/>
    <w:rsid w:val="00153BC0"/>
    <w:rsid w:val="00162A9F"/>
    <w:rsid w:val="00164299"/>
    <w:rsid w:val="00165845"/>
    <w:rsid w:val="00173854"/>
    <w:rsid w:val="001764FD"/>
    <w:rsid w:val="00177F46"/>
    <w:rsid w:val="001853E8"/>
    <w:rsid w:val="001939A4"/>
    <w:rsid w:val="001A151F"/>
    <w:rsid w:val="001B3B27"/>
    <w:rsid w:val="001C08A6"/>
    <w:rsid w:val="001D32C7"/>
    <w:rsid w:val="001D6387"/>
    <w:rsid w:val="001E646A"/>
    <w:rsid w:val="001F0CFE"/>
    <w:rsid w:val="001F457C"/>
    <w:rsid w:val="001F65A6"/>
    <w:rsid w:val="00203E9B"/>
    <w:rsid w:val="00206515"/>
    <w:rsid w:val="00207D13"/>
    <w:rsid w:val="00210D0E"/>
    <w:rsid w:val="002141CD"/>
    <w:rsid w:val="00214EDE"/>
    <w:rsid w:val="002303C5"/>
    <w:rsid w:val="00230547"/>
    <w:rsid w:val="00234C52"/>
    <w:rsid w:val="00251BFC"/>
    <w:rsid w:val="0025628A"/>
    <w:rsid w:val="00260E42"/>
    <w:rsid w:val="00264CA7"/>
    <w:rsid w:val="002717E4"/>
    <w:rsid w:val="00280BE6"/>
    <w:rsid w:val="00281B73"/>
    <w:rsid w:val="0028256C"/>
    <w:rsid w:val="0029037E"/>
    <w:rsid w:val="00290441"/>
    <w:rsid w:val="00292DB8"/>
    <w:rsid w:val="002B3D02"/>
    <w:rsid w:val="002C1BC7"/>
    <w:rsid w:val="002C6EA9"/>
    <w:rsid w:val="002E15DC"/>
    <w:rsid w:val="002E4E15"/>
    <w:rsid w:val="002E53B7"/>
    <w:rsid w:val="002F25CF"/>
    <w:rsid w:val="003039F1"/>
    <w:rsid w:val="003165F9"/>
    <w:rsid w:val="00321B88"/>
    <w:rsid w:val="00321F70"/>
    <w:rsid w:val="00323856"/>
    <w:rsid w:val="00327DAC"/>
    <w:rsid w:val="003359A4"/>
    <w:rsid w:val="00354863"/>
    <w:rsid w:val="00356EC0"/>
    <w:rsid w:val="0036302B"/>
    <w:rsid w:val="0036368B"/>
    <w:rsid w:val="0037737A"/>
    <w:rsid w:val="003818C4"/>
    <w:rsid w:val="00385252"/>
    <w:rsid w:val="00391689"/>
    <w:rsid w:val="00393596"/>
    <w:rsid w:val="00395897"/>
    <w:rsid w:val="0039655D"/>
    <w:rsid w:val="003A2526"/>
    <w:rsid w:val="003A28D5"/>
    <w:rsid w:val="003A4DBC"/>
    <w:rsid w:val="003C1FA5"/>
    <w:rsid w:val="003C6B1C"/>
    <w:rsid w:val="003D17EA"/>
    <w:rsid w:val="003E310E"/>
    <w:rsid w:val="00407ED2"/>
    <w:rsid w:val="0041603F"/>
    <w:rsid w:val="0042447B"/>
    <w:rsid w:val="00434AA0"/>
    <w:rsid w:val="00443511"/>
    <w:rsid w:val="0044552C"/>
    <w:rsid w:val="0044703D"/>
    <w:rsid w:val="00450055"/>
    <w:rsid w:val="00460639"/>
    <w:rsid w:val="00465738"/>
    <w:rsid w:val="00471967"/>
    <w:rsid w:val="00477873"/>
    <w:rsid w:val="00481849"/>
    <w:rsid w:val="00485B4E"/>
    <w:rsid w:val="00486D2B"/>
    <w:rsid w:val="004923E8"/>
    <w:rsid w:val="00494CA4"/>
    <w:rsid w:val="00496B9E"/>
    <w:rsid w:val="004C169D"/>
    <w:rsid w:val="004C1709"/>
    <w:rsid w:val="004D43ED"/>
    <w:rsid w:val="004F2B91"/>
    <w:rsid w:val="004F35E2"/>
    <w:rsid w:val="004F74A8"/>
    <w:rsid w:val="004F7592"/>
    <w:rsid w:val="00502612"/>
    <w:rsid w:val="00502BFE"/>
    <w:rsid w:val="005077BA"/>
    <w:rsid w:val="0052376C"/>
    <w:rsid w:val="00534D2B"/>
    <w:rsid w:val="00542CB0"/>
    <w:rsid w:val="00543676"/>
    <w:rsid w:val="00547B36"/>
    <w:rsid w:val="00550ADA"/>
    <w:rsid w:val="005527AE"/>
    <w:rsid w:val="0055348E"/>
    <w:rsid w:val="00563CF3"/>
    <w:rsid w:val="00573ECB"/>
    <w:rsid w:val="00577D29"/>
    <w:rsid w:val="005832E0"/>
    <w:rsid w:val="00583EC9"/>
    <w:rsid w:val="0058671A"/>
    <w:rsid w:val="00593264"/>
    <w:rsid w:val="00594328"/>
    <w:rsid w:val="0059456D"/>
    <w:rsid w:val="005B4689"/>
    <w:rsid w:val="005C089B"/>
    <w:rsid w:val="005C3F66"/>
    <w:rsid w:val="005D14BB"/>
    <w:rsid w:val="005D1EF3"/>
    <w:rsid w:val="005D2564"/>
    <w:rsid w:val="005D3930"/>
    <w:rsid w:val="005D7B02"/>
    <w:rsid w:val="005E0C64"/>
    <w:rsid w:val="005E26EB"/>
    <w:rsid w:val="005F59DD"/>
    <w:rsid w:val="006019D2"/>
    <w:rsid w:val="00606884"/>
    <w:rsid w:val="00617A57"/>
    <w:rsid w:val="00626DC1"/>
    <w:rsid w:val="0062755E"/>
    <w:rsid w:val="00630649"/>
    <w:rsid w:val="00631196"/>
    <w:rsid w:val="00631BC7"/>
    <w:rsid w:val="00634651"/>
    <w:rsid w:val="00635F70"/>
    <w:rsid w:val="00645F97"/>
    <w:rsid w:val="00650ECA"/>
    <w:rsid w:val="006533DF"/>
    <w:rsid w:val="006555D7"/>
    <w:rsid w:val="00655AC9"/>
    <w:rsid w:val="0066355B"/>
    <w:rsid w:val="0067397D"/>
    <w:rsid w:val="00680300"/>
    <w:rsid w:val="00690054"/>
    <w:rsid w:val="006A51FE"/>
    <w:rsid w:val="006A63A1"/>
    <w:rsid w:val="006A7959"/>
    <w:rsid w:val="006B1345"/>
    <w:rsid w:val="006C35DF"/>
    <w:rsid w:val="006C4639"/>
    <w:rsid w:val="006C5843"/>
    <w:rsid w:val="006D2D80"/>
    <w:rsid w:val="006E0DEA"/>
    <w:rsid w:val="006E4968"/>
    <w:rsid w:val="006F3481"/>
    <w:rsid w:val="006F7D46"/>
    <w:rsid w:val="00703D60"/>
    <w:rsid w:val="007042D6"/>
    <w:rsid w:val="007106CE"/>
    <w:rsid w:val="00716750"/>
    <w:rsid w:val="0072127A"/>
    <w:rsid w:val="00722F5F"/>
    <w:rsid w:val="00744616"/>
    <w:rsid w:val="007469AD"/>
    <w:rsid w:val="00747881"/>
    <w:rsid w:val="00751555"/>
    <w:rsid w:val="00752A44"/>
    <w:rsid w:val="00754A33"/>
    <w:rsid w:val="00755F79"/>
    <w:rsid w:val="007603AC"/>
    <w:rsid w:val="00760E44"/>
    <w:rsid w:val="00771BF0"/>
    <w:rsid w:val="00771D09"/>
    <w:rsid w:val="007741DF"/>
    <w:rsid w:val="00784168"/>
    <w:rsid w:val="0079457E"/>
    <w:rsid w:val="0079607F"/>
    <w:rsid w:val="007A14D7"/>
    <w:rsid w:val="007A3193"/>
    <w:rsid w:val="007C1BFC"/>
    <w:rsid w:val="007D0439"/>
    <w:rsid w:val="007F00EC"/>
    <w:rsid w:val="007F0232"/>
    <w:rsid w:val="00810E73"/>
    <w:rsid w:val="00822BBE"/>
    <w:rsid w:val="00822C55"/>
    <w:rsid w:val="00822DAC"/>
    <w:rsid w:val="0082408D"/>
    <w:rsid w:val="008277B7"/>
    <w:rsid w:val="00830427"/>
    <w:rsid w:val="00836D0A"/>
    <w:rsid w:val="00843A44"/>
    <w:rsid w:val="00844690"/>
    <w:rsid w:val="00847F5A"/>
    <w:rsid w:val="0085304D"/>
    <w:rsid w:val="0087495E"/>
    <w:rsid w:val="00880725"/>
    <w:rsid w:val="00890E80"/>
    <w:rsid w:val="008B76D1"/>
    <w:rsid w:val="008C1B10"/>
    <w:rsid w:val="008C23D9"/>
    <w:rsid w:val="008C62F6"/>
    <w:rsid w:val="008C7FB3"/>
    <w:rsid w:val="008D2DA4"/>
    <w:rsid w:val="008D3F07"/>
    <w:rsid w:val="008E3DA5"/>
    <w:rsid w:val="008E3DC9"/>
    <w:rsid w:val="008F23B8"/>
    <w:rsid w:val="008F313B"/>
    <w:rsid w:val="00901177"/>
    <w:rsid w:val="00907283"/>
    <w:rsid w:val="00920847"/>
    <w:rsid w:val="0093282B"/>
    <w:rsid w:val="009367D0"/>
    <w:rsid w:val="00956EAF"/>
    <w:rsid w:val="009619DC"/>
    <w:rsid w:val="00972E01"/>
    <w:rsid w:val="0097488E"/>
    <w:rsid w:val="00984496"/>
    <w:rsid w:val="00994EB1"/>
    <w:rsid w:val="009A1731"/>
    <w:rsid w:val="009A3478"/>
    <w:rsid w:val="009B5BB7"/>
    <w:rsid w:val="009C0D8A"/>
    <w:rsid w:val="009C0EFE"/>
    <w:rsid w:val="009E1325"/>
    <w:rsid w:val="009F3C36"/>
    <w:rsid w:val="00A050D1"/>
    <w:rsid w:val="00A05536"/>
    <w:rsid w:val="00A05818"/>
    <w:rsid w:val="00A07A40"/>
    <w:rsid w:val="00A4430A"/>
    <w:rsid w:val="00A472F8"/>
    <w:rsid w:val="00A477E8"/>
    <w:rsid w:val="00A71F6C"/>
    <w:rsid w:val="00A82046"/>
    <w:rsid w:val="00A93B73"/>
    <w:rsid w:val="00AA08F5"/>
    <w:rsid w:val="00AB011D"/>
    <w:rsid w:val="00AB2329"/>
    <w:rsid w:val="00AB361B"/>
    <w:rsid w:val="00AC26C0"/>
    <w:rsid w:val="00AD1448"/>
    <w:rsid w:val="00B0179C"/>
    <w:rsid w:val="00B02A05"/>
    <w:rsid w:val="00B05B3B"/>
    <w:rsid w:val="00B0677F"/>
    <w:rsid w:val="00B077D4"/>
    <w:rsid w:val="00B11165"/>
    <w:rsid w:val="00B1219D"/>
    <w:rsid w:val="00B15D1B"/>
    <w:rsid w:val="00B2471F"/>
    <w:rsid w:val="00B515FE"/>
    <w:rsid w:val="00B611D2"/>
    <w:rsid w:val="00B6402D"/>
    <w:rsid w:val="00B657BB"/>
    <w:rsid w:val="00B66943"/>
    <w:rsid w:val="00B750B7"/>
    <w:rsid w:val="00B9260B"/>
    <w:rsid w:val="00BA2CF2"/>
    <w:rsid w:val="00BA62D4"/>
    <w:rsid w:val="00BB77C8"/>
    <w:rsid w:val="00BC12FC"/>
    <w:rsid w:val="00BC5E9E"/>
    <w:rsid w:val="00BD099E"/>
    <w:rsid w:val="00BD75E3"/>
    <w:rsid w:val="00BD7FE6"/>
    <w:rsid w:val="00BE1584"/>
    <w:rsid w:val="00BF60DB"/>
    <w:rsid w:val="00C02220"/>
    <w:rsid w:val="00C028C0"/>
    <w:rsid w:val="00C04D91"/>
    <w:rsid w:val="00C20167"/>
    <w:rsid w:val="00C27904"/>
    <w:rsid w:val="00C30822"/>
    <w:rsid w:val="00C44ACF"/>
    <w:rsid w:val="00C531C5"/>
    <w:rsid w:val="00C53246"/>
    <w:rsid w:val="00C613A8"/>
    <w:rsid w:val="00C6262B"/>
    <w:rsid w:val="00C6617C"/>
    <w:rsid w:val="00C66277"/>
    <w:rsid w:val="00C838F0"/>
    <w:rsid w:val="00C971B6"/>
    <w:rsid w:val="00C97DEB"/>
    <w:rsid w:val="00CA0A01"/>
    <w:rsid w:val="00CA60CB"/>
    <w:rsid w:val="00CA70FF"/>
    <w:rsid w:val="00CB2234"/>
    <w:rsid w:val="00CB2743"/>
    <w:rsid w:val="00CB5D93"/>
    <w:rsid w:val="00CC335A"/>
    <w:rsid w:val="00CE0084"/>
    <w:rsid w:val="00CE34D8"/>
    <w:rsid w:val="00CF6462"/>
    <w:rsid w:val="00CF7119"/>
    <w:rsid w:val="00D1338A"/>
    <w:rsid w:val="00D26E67"/>
    <w:rsid w:val="00D332C3"/>
    <w:rsid w:val="00D45E8D"/>
    <w:rsid w:val="00D517DB"/>
    <w:rsid w:val="00D5188D"/>
    <w:rsid w:val="00D544A1"/>
    <w:rsid w:val="00D55527"/>
    <w:rsid w:val="00D77603"/>
    <w:rsid w:val="00D812B6"/>
    <w:rsid w:val="00D9018C"/>
    <w:rsid w:val="00DB1651"/>
    <w:rsid w:val="00DB1A2D"/>
    <w:rsid w:val="00DB642C"/>
    <w:rsid w:val="00DC0C93"/>
    <w:rsid w:val="00DC38F0"/>
    <w:rsid w:val="00DD6972"/>
    <w:rsid w:val="00DE09B8"/>
    <w:rsid w:val="00DE3072"/>
    <w:rsid w:val="00DE5BCF"/>
    <w:rsid w:val="00DF24CD"/>
    <w:rsid w:val="00DF536C"/>
    <w:rsid w:val="00DF7D2E"/>
    <w:rsid w:val="00E2402B"/>
    <w:rsid w:val="00E25179"/>
    <w:rsid w:val="00E26861"/>
    <w:rsid w:val="00E30BFE"/>
    <w:rsid w:val="00E3203B"/>
    <w:rsid w:val="00E453F2"/>
    <w:rsid w:val="00E5279E"/>
    <w:rsid w:val="00E6753E"/>
    <w:rsid w:val="00E70CFD"/>
    <w:rsid w:val="00E8461E"/>
    <w:rsid w:val="00E95D89"/>
    <w:rsid w:val="00EA6FFB"/>
    <w:rsid w:val="00EC162F"/>
    <w:rsid w:val="00EC760C"/>
    <w:rsid w:val="00ED2ABA"/>
    <w:rsid w:val="00ED5B21"/>
    <w:rsid w:val="00EF16DD"/>
    <w:rsid w:val="00EF2D23"/>
    <w:rsid w:val="00EF393E"/>
    <w:rsid w:val="00F04306"/>
    <w:rsid w:val="00F05B4E"/>
    <w:rsid w:val="00F12589"/>
    <w:rsid w:val="00F16FD6"/>
    <w:rsid w:val="00F20157"/>
    <w:rsid w:val="00F24339"/>
    <w:rsid w:val="00F25E5C"/>
    <w:rsid w:val="00F27C3F"/>
    <w:rsid w:val="00F36644"/>
    <w:rsid w:val="00F40D85"/>
    <w:rsid w:val="00F4455B"/>
    <w:rsid w:val="00F6072B"/>
    <w:rsid w:val="00F61F07"/>
    <w:rsid w:val="00F6622F"/>
    <w:rsid w:val="00F71372"/>
    <w:rsid w:val="00F71869"/>
    <w:rsid w:val="00F72A12"/>
    <w:rsid w:val="00F8286F"/>
    <w:rsid w:val="00F83836"/>
    <w:rsid w:val="00F8455B"/>
    <w:rsid w:val="00F85220"/>
    <w:rsid w:val="00F91F30"/>
    <w:rsid w:val="00FB66D5"/>
    <w:rsid w:val="00FB7701"/>
    <w:rsid w:val="00FC1C24"/>
    <w:rsid w:val="00FC6B35"/>
    <w:rsid w:val="00FC7ED0"/>
    <w:rsid w:val="00FC7F8D"/>
    <w:rsid w:val="00FD0B7E"/>
    <w:rsid w:val="00FE53AF"/>
    <w:rsid w:val="00FE7F1F"/>
    <w:rsid w:val="00FF0751"/>
    <w:rsid w:val="00FF3EC5"/>
    <w:rsid w:val="00FF4C6E"/>
    <w:rsid w:val="00FF5041"/>
    <w:rsid w:val="00FF7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7283"/>
    <w:rPr>
      <w:sz w:val="26"/>
    </w:rPr>
  </w:style>
  <w:style w:type="paragraph" w:styleId="Heading1">
    <w:name w:val="heading 1"/>
    <w:basedOn w:val="Normal"/>
    <w:next w:val="Normal"/>
    <w:qFormat/>
    <w:rsid w:val="00907283"/>
    <w:pPr>
      <w:keepNext/>
      <w:jc w:val="center"/>
      <w:outlineLvl w:val="0"/>
    </w:pPr>
    <w:rPr>
      <w:rFonts w:ascii="Courier" w:hAnsi="Courier"/>
      <w:b/>
      <w:sz w:val="24"/>
      <w:u w:val="single"/>
    </w:rPr>
  </w:style>
  <w:style w:type="paragraph" w:styleId="Heading2">
    <w:name w:val="heading 2"/>
    <w:basedOn w:val="Normal"/>
    <w:next w:val="Normal"/>
    <w:qFormat/>
    <w:rsid w:val="00907283"/>
    <w:pPr>
      <w:keepNext/>
      <w:jc w:val="center"/>
      <w:outlineLvl w:val="1"/>
    </w:pPr>
    <w:rPr>
      <w:rFonts w:ascii="Courier" w:hAnsi="Courier"/>
      <w:b/>
      <w:sz w:val="24"/>
    </w:rPr>
  </w:style>
  <w:style w:type="paragraph" w:styleId="Heading3">
    <w:name w:val="heading 3"/>
    <w:basedOn w:val="Normal"/>
    <w:next w:val="Normal"/>
    <w:qFormat/>
    <w:rsid w:val="00907283"/>
    <w:pPr>
      <w:keepNext/>
      <w:spacing w:line="360" w:lineRule="auto"/>
      <w:jc w:val="center"/>
      <w:outlineLvl w:val="2"/>
    </w:pPr>
    <w:rPr>
      <w:b/>
      <w:u w:val="single"/>
    </w:rPr>
  </w:style>
  <w:style w:type="paragraph" w:styleId="Heading4">
    <w:name w:val="heading 4"/>
    <w:basedOn w:val="Normal"/>
    <w:next w:val="Normal"/>
    <w:qFormat/>
    <w:rsid w:val="0090728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07283"/>
    <w:pPr>
      <w:jc w:val="center"/>
    </w:pPr>
    <w:rPr>
      <w:rFonts w:ascii="Courier" w:hAnsi="Courier"/>
      <w:b/>
      <w:sz w:val="24"/>
    </w:rPr>
  </w:style>
  <w:style w:type="paragraph" w:styleId="Subtitle">
    <w:name w:val="Subtitle"/>
    <w:basedOn w:val="Normal"/>
    <w:qFormat/>
    <w:rsid w:val="00907283"/>
    <w:pPr>
      <w:jc w:val="center"/>
    </w:pPr>
    <w:rPr>
      <w:rFonts w:ascii="Courier" w:hAnsi="Courier"/>
      <w:b/>
      <w:sz w:val="24"/>
    </w:rPr>
  </w:style>
  <w:style w:type="paragraph" w:styleId="BodyText">
    <w:name w:val="Body Text"/>
    <w:basedOn w:val="Normal"/>
    <w:rsid w:val="00907283"/>
    <w:pPr>
      <w:tabs>
        <w:tab w:val="left" w:pos="1980"/>
      </w:tabs>
      <w:spacing w:line="480" w:lineRule="auto"/>
      <w:jc w:val="both"/>
    </w:pPr>
    <w:rPr>
      <w:rFonts w:ascii="Courier" w:hAnsi="Courier"/>
      <w:sz w:val="24"/>
    </w:rPr>
  </w:style>
  <w:style w:type="paragraph" w:styleId="BodyText2">
    <w:name w:val="Body Text 2"/>
    <w:basedOn w:val="Normal"/>
    <w:rsid w:val="00907283"/>
    <w:pPr>
      <w:spacing w:line="360" w:lineRule="auto"/>
      <w:jc w:val="both"/>
    </w:pPr>
  </w:style>
  <w:style w:type="paragraph" w:styleId="BodyText3">
    <w:name w:val="Body Text 3"/>
    <w:basedOn w:val="Normal"/>
    <w:rsid w:val="00907283"/>
    <w:pPr>
      <w:spacing w:line="360" w:lineRule="auto"/>
    </w:pPr>
  </w:style>
  <w:style w:type="paragraph" w:styleId="Footer">
    <w:name w:val="footer"/>
    <w:basedOn w:val="Normal"/>
    <w:rsid w:val="00907283"/>
    <w:pPr>
      <w:tabs>
        <w:tab w:val="center" w:pos="4320"/>
        <w:tab w:val="right" w:pos="8640"/>
      </w:tabs>
    </w:pPr>
  </w:style>
  <w:style w:type="character" w:styleId="PageNumber">
    <w:name w:val="page number"/>
    <w:basedOn w:val="DefaultParagraphFont"/>
    <w:rsid w:val="00907283"/>
  </w:style>
  <w:style w:type="paragraph" w:styleId="NormalWeb">
    <w:name w:val="Normal (Web)"/>
    <w:basedOn w:val="Normal"/>
    <w:rsid w:val="00907283"/>
    <w:pPr>
      <w:spacing w:before="100" w:beforeAutospacing="1" w:after="100" w:afterAutospacing="1"/>
    </w:pPr>
    <w:rPr>
      <w:sz w:val="24"/>
      <w:szCs w:val="24"/>
    </w:rPr>
  </w:style>
  <w:style w:type="paragraph" w:styleId="FootnoteText">
    <w:name w:val="footnote text"/>
    <w:basedOn w:val="Normal"/>
    <w:semiHidden/>
    <w:rsid w:val="00907283"/>
    <w:rPr>
      <w:sz w:val="20"/>
    </w:rPr>
  </w:style>
  <w:style w:type="character" w:styleId="FootnoteReference">
    <w:name w:val="footnote reference"/>
    <w:basedOn w:val="DefaultParagraphFont"/>
    <w:semiHidden/>
    <w:rsid w:val="00907283"/>
    <w:rPr>
      <w:vertAlign w:val="superscript"/>
    </w:rPr>
  </w:style>
  <w:style w:type="table" w:styleId="TableGrid">
    <w:name w:val="Table Grid"/>
    <w:basedOn w:val="TableNormal"/>
    <w:rsid w:val="007741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BE1584"/>
    <w:pPr>
      <w:shd w:val="clear" w:color="auto" w:fill="000080"/>
    </w:pPr>
    <w:rPr>
      <w:rFonts w:ascii="Tahoma" w:hAnsi="Tahoma" w:cs="Tahoma"/>
      <w:sz w:val="20"/>
    </w:rPr>
  </w:style>
  <w:style w:type="character" w:styleId="Hyperlink">
    <w:name w:val="Hyperlink"/>
    <w:basedOn w:val="DefaultParagraphFont"/>
    <w:rsid w:val="00321B88"/>
    <w:rPr>
      <w:color w:val="0000FF" w:themeColor="hyperlink"/>
      <w:u w:val="single"/>
    </w:rPr>
  </w:style>
  <w:style w:type="paragraph" w:styleId="BalloonText">
    <w:name w:val="Balloon Text"/>
    <w:basedOn w:val="Normal"/>
    <w:link w:val="BalloonTextChar"/>
    <w:rsid w:val="00260E42"/>
    <w:rPr>
      <w:rFonts w:ascii="Tahoma" w:hAnsi="Tahoma" w:cs="Tahoma"/>
      <w:sz w:val="16"/>
      <w:szCs w:val="16"/>
    </w:rPr>
  </w:style>
  <w:style w:type="character" w:customStyle="1" w:styleId="BalloonTextChar">
    <w:name w:val="Balloon Text Char"/>
    <w:basedOn w:val="DefaultParagraphFont"/>
    <w:link w:val="BalloonText"/>
    <w:rsid w:val="00260E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7283"/>
    <w:rPr>
      <w:sz w:val="26"/>
    </w:rPr>
  </w:style>
  <w:style w:type="paragraph" w:styleId="Heading1">
    <w:name w:val="heading 1"/>
    <w:basedOn w:val="Normal"/>
    <w:next w:val="Normal"/>
    <w:qFormat/>
    <w:rsid w:val="00907283"/>
    <w:pPr>
      <w:keepNext/>
      <w:jc w:val="center"/>
      <w:outlineLvl w:val="0"/>
    </w:pPr>
    <w:rPr>
      <w:rFonts w:ascii="Courier" w:hAnsi="Courier"/>
      <w:b/>
      <w:sz w:val="24"/>
      <w:u w:val="single"/>
    </w:rPr>
  </w:style>
  <w:style w:type="paragraph" w:styleId="Heading2">
    <w:name w:val="heading 2"/>
    <w:basedOn w:val="Normal"/>
    <w:next w:val="Normal"/>
    <w:qFormat/>
    <w:rsid w:val="00907283"/>
    <w:pPr>
      <w:keepNext/>
      <w:jc w:val="center"/>
      <w:outlineLvl w:val="1"/>
    </w:pPr>
    <w:rPr>
      <w:rFonts w:ascii="Courier" w:hAnsi="Courier"/>
      <w:b/>
      <w:sz w:val="24"/>
    </w:rPr>
  </w:style>
  <w:style w:type="paragraph" w:styleId="Heading3">
    <w:name w:val="heading 3"/>
    <w:basedOn w:val="Normal"/>
    <w:next w:val="Normal"/>
    <w:qFormat/>
    <w:rsid w:val="00907283"/>
    <w:pPr>
      <w:keepNext/>
      <w:spacing w:line="360" w:lineRule="auto"/>
      <w:jc w:val="center"/>
      <w:outlineLvl w:val="2"/>
    </w:pPr>
    <w:rPr>
      <w:b/>
      <w:u w:val="single"/>
    </w:rPr>
  </w:style>
  <w:style w:type="paragraph" w:styleId="Heading4">
    <w:name w:val="heading 4"/>
    <w:basedOn w:val="Normal"/>
    <w:next w:val="Normal"/>
    <w:qFormat/>
    <w:rsid w:val="0090728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07283"/>
    <w:pPr>
      <w:jc w:val="center"/>
    </w:pPr>
    <w:rPr>
      <w:rFonts w:ascii="Courier" w:hAnsi="Courier"/>
      <w:b/>
      <w:sz w:val="24"/>
    </w:rPr>
  </w:style>
  <w:style w:type="paragraph" w:styleId="Subtitle">
    <w:name w:val="Subtitle"/>
    <w:basedOn w:val="Normal"/>
    <w:qFormat/>
    <w:rsid w:val="00907283"/>
    <w:pPr>
      <w:jc w:val="center"/>
    </w:pPr>
    <w:rPr>
      <w:rFonts w:ascii="Courier" w:hAnsi="Courier"/>
      <w:b/>
      <w:sz w:val="24"/>
    </w:rPr>
  </w:style>
  <w:style w:type="paragraph" w:styleId="BodyText">
    <w:name w:val="Body Text"/>
    <w:basedOn w:val="Normal"/>
    <w:rsid w:val="00907283"/>
    <w:pPr>
      <w:tabs>
        <w:tab w:val="left" w:pos="1980"/>
      </w:tabs>
      <w:spacing w:line="480" w:lineRule="auto"/>
      <w:jc w:val="both"/>
    </w:pPr>
    <w:rPr>
      <w:rFonts w:ascii="Courier" w:hAnsi="Courier"/>
      <w:sz w:val="24"/>
    </w:rPr>
  </w:style>
  <w:style w:type="paragraph" w:styleId="BodyText2">
    <w:name w:val="Body Text 2"/>
    <w:basedOn w:val="Normal"/>
    <w:rsid w:val="00907283"/>
    <w:pPr>
      <w:spacing w:line="360" w:lineRule="auto"/>
      <w:jc w:val="both"/>
    </w:pPr>
  </w:style>
  <w:style w:type="paragraph" w:styleId="BodyText3">
    <w:name w:val="Body Text 3"/>
    <w:basedOn w:val="Normal"/>
    <w:rsid w:val="00907283"/>
    <w:pPr>
      <w:spacing w:line="360" w:lineRule="auto"/>
    </w:pPr>
  </w:style>
  <w:style w:type="paragraph" w:styleId="Footer">
    <w:name w:val="footer"/>
    <w:basedOn w:val="Normal"/>
    <w:rsid w:val="00907283"/>
    <w:pPr>
      <w:tabs>
        <w:tab w:val="center" w:pos="4320"/>
        <w:tab w:val="right" w:pos="8640"/>
      </w:tabs>
    </w:pPr>
  </w:style>
  <w:style w:type="character" w:styleId="PageNumber">
    <w:name w:val="page number"/>
    <w:basedOn w:val="DefaultParagraphFont"/>
    <w:rsid w:val="00907283"/>
  </w:style>
  <w:style w:type="paragraph" w:styleId="NormalWeb">
    <w:name w:val="Normal (Web)"/>
    <w:basedOn w:val="Normal"/>
    <w:rsid w:val="00907283"/>
    <w:pPr>
      <w:spacing w:before="100" w:beforeAutospacing="1" w:after="100" w:afterAutospacing="1"/>
    </w:pPr>
    <w:rPr>
      <w:sz w:val="24"/>
      <w:szCs w:val="24"/>
    </w:rPr>
  </w:style>
  <w:style w:type="paragraph" w:styleId="FootnoteText">
    <w:name w:val="footnote text"/>
    <w:basedOn w:val="Normal"/>
    <w:semiHidden/>
    <w:rsid w:val="00907283"/>
    <w:rPr>
      <w:sz w:val="20"/>
    </w:rPr>
  </w:style>
  <w:style w:type="character" w:styleId="FootnoteReference">
    <w:name w:val="footnote reference"/>
    <w:basedOn w:val="DefaultParagraphFont"/>
    <w:semiHidden/>
    <w:rsid w:val="00907283"/>
    <w:rPr>
      <w:vertAlign w:val="superscript"/>
    </w:rPr>
  </w:style>
  <w:style w:type="table" w:styleId="TableGrid">
    <w:name w:val="Table Grid"/>
    <w:basedOn w:val="TableNormal"/>
    <w:rsid w:val="007741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BE1584"/>
    <w:pPr>
      <w:shd w:val="clear" w:color="auto" w:fill="000080"/>
    </w:pPr>
    <w:rPr>
      <w:rFonts w:ascii="Tahoma" w:hAnsi="Tahoma" w:cs="Tahoma"/>
      <w:sz w:val="20"/>
    </w:rPr>
  </w:style>
  <w:style w:type="character" w:styleId="Hyperlink">
    <w:name w:val="Hyperlink"/>
    <w:basedOn w:val="DefaultParagraphFont"/>
    <w:rsid w:val="00321B88"/>
    <w:rPr>
      <w:color w:val="0000FF" w:themeColor="hyperlink"/>
      <w:u w:val="single"/>
    </w:rPr>
  </w:style>
  <w:style w:type="paragraph" w:styleId="BalloonText">
    <w:name w:val="Balloon Text"/>
    <w:basedOn w:val="Normal"/>
    <w:link w:val="BalloonTextChar"/>
    <w:rsid w:val="00260E42"/>
    <w:rPr>
      <w:rFonts w:ascii="Tahoma" w:hAnsi="Tahoma" w:cs="Tahoma"/>
      <w:sz w:val="16"/>
      <w:szCs w:val="16"/>
    </w:rPr>
  </w:style>
  <w:style w:type="character" w:customStyle="1" w:styleId="BalloonTextChar">
    <w:name w:val="Balloon Text Char"/>
    <w:basedOn w:val="DefaultParagraphFont"/>
    <w:link w:val="BalloonText"/>
    <w:rsid w:val="00260E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74503">
      <w:bodyDiv w:val="1"/>
      <w:marLeft w:val="0"/>
      <w:marRight w:val="0"/>
      <w:marTop w:val="0"/>
      <w:marBottom w:val="0"/>
      <w:divBdr>
        <w:top w:val="none" w:sz="0" w:space="0" w:color="auto"/>
        <w:left w:val="none" w:sz="0" w:space="0" w:color="auto"/>
        <w:bottom w:val="none" w:sz="0" w:space="0" w:color="auto"/>
        <w:right w:val="none" w:sz="0" w:space="0" w:color="auto"/>
      </w:divBdr>
    </w:div>
    <w:div w:id="223688584">
      <w:bodyDiv w:val="1"/>
      <w:marLeft w:val="0"/>
      <w:marRight w:val="0"/>
      <w:marTop w:val="0"/>
      <w:marBottom w:val="0"/>
      <w:divBdr>
        <w:top w:val="none" w:sz="0" w:space="0" w:color="auto"/>
        <w:left w:val="none" w:sz="0" w:space="0" w:color="auto"/>
        <w:bottom w:val="none" w:sz="0" w:space="0" w:color="auto"/>
        <w:right w:val="none" w:sz="0" w:space="0" w:color="auto"/>
      </w:divBdr>
    </w:div>
    <w:div w:id="347827635">
      <w:bodyDiv w:val="1"/>
      <w:marLeft w:val="0"/>
      <w:marRight w:val="0"/>
      <w:marTop w:val="0"/>
      <w:marBottom w:val="0"/>
      <w:divBdr>
        <w:top w:val="none" w:sz="0" w:space="0" w:color="auto"/>
        <w:left w:val="none" w:sz="0" w:space="0" w:color="auto"/>
        <w:bottom w:val="none" w:sz="0" w:space="0" w:color="auto"/>
        <w:right w:val="none" w:sz="0" w:space="0" w:color="auto"/>
      </w:divBdr>
      <w:divsChild>
        <w:div w:id="520901084">
          <w:marLeft w:val="0"/>
          <w:marRight w:val="0"/>
          <w:marTop w:val="0"/>
          <w:marBottom w:val="0"/>
          <w:divBdr>
            <w:top w:val="none" w:sz="0" w:space="0" w:color="auto"/>
            <w:left w:val="none" w:sz="0" w:space="0" w:color="auto"/>
            <w:bottom w:val="none" w:sz="0" w:space="0" w:color="auto"/>
            <w:right w:val="none" w:sz="0" w:space="0" w:color="auto"/>
          </w:divBdr>
          <w:divsChild>
            <w:div w:id="1990133494">
              <w:marLeft w:val="0"/>
              <w:marRight w:val="0"/>
              <w:marTop w:val="0"/>
              <w:marBottom w:val="0"/>
              <w:divBdr>
                <w:top w:val="none" w:sz="0" w:space="0" w:color="auto"/>
                <w:left w:val="none" w:sz="0" w:space="0" w:color="auto"/>
                <w:bottom w:val="none" w:sz="0" w:space="0" w:color="auto"/>
                <w:right w:val="none" w:sz="0" w:space="0" w:color="auto"/>
              </w:divBdr>
              <w:divsChild>
                <w:div w:id="194581518">
                  <w:marLeft w:val="0"/>
                  <w:marRight w:val="0"/>
                  <w:marTop w:val="0"/>
                  <w:marBottom w:val="0"/>
                  <w:divBdr>
                    <w:top w:val="none" w:sz="0" w:space="0" w:color="auto"/>
                    <w:left w:val="none" w:sz="0" w:space="0" w:color="auto"/>
                    <w:bottom w:val="none" w:sz="0" w:space="0" w:color="auto"/>
                    <w:right w:val="none" w:sz="0" w:space="0" w:color="auto"/>
                  </w:divBdr>
                  <w:divsChild>
                    <w:div w:id="95636917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389098">
      <w:bodyDiv w:val="1"/>
      <w:marLeft w:val="0"/>
      <w:marRight w:val="0"/>
      <w:marTop w:val="0"/>
      <w:marBottom w:val="0"/>
      <w:divBdr>
        <w:top w:val="none" w:sz="0" w:space="0" w:color="auto"/>
        <w:left w:val="none" w:sz="0" w:space="0" w:color="auto"/>
        <w:bottom w:val="none" w:sz="0" w:space="0" w:color="auto"/>
        <w:right w:val="none" w:sz="0" w:space="0" w:color="auto"/>
      </w:divBdr>
    </w:div>
    <w:div w:id="454298410">
      <w:bodyDiv w:val="1"/>
      <w:marLeft w:val="0"/>
      <w:marRight w:val="0"/>
      <w:marTop w:val="0"/>
      <w:marBottom w:val="0"/>
      <w:divBdr>
        <w:top w:val="none" w:sz="0" w:space="0" w:color="auto"/>
        <w:left w:val="none" w:sz="0" w:space="0" w:color="auto"/>
        <w:bottom w:val="none" w:sz="0" w:space="0" w:color="auto"/>
        <w:right w:val="none" w:sz="0" w:space="0" w:color="auto"/>
      </w:divBdr>
    </w:div>
    <w:div w:id="548349012">
      <w:bodyDiv w:val="1"/>
      <w:marLeft w:val="0"/>
      <w:marRight w:val="0"/>
      <w:marTop w:val="0"/>
      <w:marBottom w:val="0"/>
      <w:divBdr>
        <w:top w:val="none" w:sz="0" w:space="0" w:color="auto"/>
        <w:left w:val="none" w:sz="0" w:space="0" w:color="auto"/>
        <w:bottom w:val="none" w:sz="0" w:space="0" w:color="auto"/>
        <w:right w:val="none" w:sz="0" w:space="0" w:color="auto"/>
      </w:divBdr>
    </w:div>
    <w:div w:id="584345444">
      <w:bodyDiv w:val="1"/>
      <w:marLeft w:val="0"/>
      <w:marRight w:val="0"/>
      <w:marTop w:val="0"/>
      <w:marBottom w:val="0"/>
      <w:divBdr>
        <w:top w:val="none" w:sz="0" w:space="0" w:color="auto"/>
        <w:left w:val="none" w:sz="0" w:space="0" w:color="auto"/>
        <w:bottom w:val="none" w:sz="0" w:space="0" w:color="auto"/>
        <w:right w:val="none" w:sz="0" w:space="0" w:color="auto"/>
      </w:divBdr>
    </w:div>
    <w:div w:id="603730745">
      <w:bodyDiv w:val="1"/>
      <w:marLeft w:val="0"/>
      <w:marRight w:val="0"/>
      <w:marTop w:val="0"/>
      <w:marBottom w:val="0"/>
      <w:divBdr>
        <w:top w:val="none" w:sz="0" w:space="0" w:color="auto"/>
        <w:left w:val="none" w:sz="0" w:space="0" w:color="auto"/>
        <w:bottom w:val="none" w:sz="0" w:space="0" w:color="auto"/>
        <w:right w:val="none" w:sz="0" w:space="0" w:color="auto"/>
      </w:divBdr>
    </w:div>
    <w:div w:id="606349586">
      <w:bodyDiv w:val="1"/>
      <w:marLeft w:val="0"/>
      <w:marRight w:val="0"/>
      <w:marTop w:val="0"/>
      <w:marBottom w:val="0"/>
      <w:divBdr>
        <w:top w:val="none" w:sz="0" w:space="0" w:color="auto"/>
        <w:left w:val="none" w:sz="0" w:space="0" w:color="auto"/>
        <w:bottom w:val="none" w:sz="0" w:space="0" w:color="auto"/>
        <w:right w:val="none" w:sz="0" w:space="0" w:color="auto"/>
      </w:divBdr>
    </w:div>
    <w:div w:id="649987682">
      <w:bodyDiv w:val="1"/>
      <w:marLeft w:val="0"/>
      <w:marRight w:val="0"/>
      <w:marTop w:val="0"/>
      <w:marBottom w:val="0"/>
      <w:divBdr>
        <w:top w:val="none" w:sz="0" w:space="0" w:color="auto"/>
        <w:left w:val="none" w:sz="0" w:space="0" w:color="auto"/>
        <w:bottom w:val="none" w:sz="0" w:space="0" w:color="auto"/>
        <w:right w:val="none" w:sz="0" w:space="0" w:color="auto"/>
      </w:divBdr>
    </w:div>
    <w:div w:id="905728260">
      <w:bodyDiv w:val="1"/>
      <w:marLeft w:val="0"/>
      <w:marRight w:val="0"/>
      <w:marTop w:val="0"/>
      <w:marBottom w:val="0"/>
      <w:divBdr>
        <w:top w:val="none" w:sz="0" w:space="0" w:color="auto"/>
        <w:left w:val="none" w:sz="0" w:space="0" w:color="auto"/>
        <w:bottom w:val="none" w:sz="0" w:space="0" w:color="auto"/>
        <w:right w:val="none" w:sz="0" w:space="0" w:color="auto"/>
      </w:divBdr>
    </w:div>
    <w:div w:id="985159564">
      <w:bodyDiv w:val="1"/>
      <w:marLeft w:val="0"/>
      <w:marRight w:val="0"/>
      <w:marTop w:val="0"/>
      <w:marBottom w:val="0"/>
      <w:divBdr>
        <w:top w:val="none" w:sz="0" w:space="0" w:color="auto"/>
        <w:left w:val="none" w:sz="0" w:space="0" w:color="auto"/>
        <w:bottom w:val="none" w:sz="0" w:space="0" w:color="auto"/>
        <w:right w:val="none" w:sz="0" w:space="0" w:color="auto"/>
      </w:divBdr>
    </w:div>
    <w:div w:id="1032270936">
      <w:bodyDiv w:val="1"/>
      <w:marLeft w:val="0"/>
      <w:marRight w:val="0"/>
      <w:marTop w:val="0"/>
      <w:marBottom w:val="0"/>
      <w:divBdr>
        <w:top w:val="none" w:sz="0" w:space="0" w:color="auto"/>
        <w:left w:val="none" w:sz="0" w:space="0" w:color="auto"/>
        <w:bottom w:val="none" w:sz="0" w:space="0" w:color="auto"/>
        <w:right w:val="none" w:sz="0" w:space="0" w:color="auto"/>
      </w:divBdr>
    </w:div>
    <w:div w:id="1110929807">
      <w:bodyDiv w:val="1"/>
      <w:marLeft w:val="0"/>
      <w:marRight w:val="0"/>
      <w:marTop w:val="0"/>
      <w:marBottom w:val="0"/>
      <w:divBdr>
        <w:top w:val="none" w:sz="0" w:space="0" w:color="auto"/>
        <w:left w:val="none" w:sz="0" w:space="0" w:color="auto"/>
        <w:bottom w:val="none" w:sz="0" w:space="0" w:color="auto"/>
        <w:right w:val="none" w:sz="0" w:space="0" w:color="auto"/>
      </w:divBdr>
    </w:div>
    <w:div w:id="1213034934">
      <w:bodyDiv w:val="1"/>
      <w:marLeft w:val="0"/>
      <w:marRight w:val="0"/>
      <w:marTop w:val="0"/>
      <w:marBottom w:val="0"/>
      <w:divBdr>
        <w:top w:val="none" w:sz="0" w:space="0" w:color="auto"/>
        <w:left w:val="none" w:sz="0" w:space="0" w:color="auto"/>
        <w:bottom w:val="none" w:sz="0" w:space="0" w:color="auto"/>
        <w:right w:val="none" w:sz="0" w:space="0" w:color="auto"/>
      </w:divBdr>
    </w:div>
    <w:div w:id="1281181921">
      <w:bodyDiv w:val="1"/>
      <w:marLeft w:val="0"/>
      <w:marRight w:val="0"/>
      <w:marTop w:val="0"/>
      <w:marBottom w:val="0"/>
      <w:divBdr>
        <w:top w:val="none" w:sz="0" w:space="0" w:color="auto"/>
        <w:left w:val="none" w:sz="0" w:space="0" w:color="auto"/>
        <w:bottom w:val="none" w:sz="0" w:space="0" w:color="auto"/>
        <w:right w:val="none" w:sz="0" w:space="0" w:color="auto"/>
      </w:divBdr>
    </w:div>
    <w:div w:id="1310137473">
      <w:bodyDiv w:val="1"/>
      <w:marLeft w:val="0"/>
      <w:marRight w:val="0"/>
      <w:marTop w:val="0"/>
      <w:marBottom w:val="0"/>
      <w:divBdr>
        <w:top w:val="none" w:sz="0" w:space="0" w:color="auto"/>
        <w:left w:val="none" w:sz="0" w:space="0" w:color="auto"/>
        <w:bottom w:val="none" w:sz="0" w:space="0" w:color="auto"/>
        <w:right w:val="none" w:sz="0" w:space="0" w:color="auto"/>
      </w:divBdr>
    </w:div>
    <w:div w:id="1361786775">
      <w:bodyDiv w:val="1"/>
      <w:marLeft w:val="0"/>
      <w:marRight w:val="0"/>
      <w:marTop w:val="0"/>
      <w:marBottom w:val="0"/>
      <w:divBdr>
        <w:top w:val="none" w:sz="0" w:space="0" w:color="auto"/>
        <w:left w:val="none" w:sz="0" w:space="0" w:color="auto"/>
        <w:bottom w:val="none" w:sz="0" w:space="0" w:color="auto"/>
        <w:right w:val="none" w:sz="0" w:space="0" w:color="auto"/>
      </w:divBdr>
    </w:div>
    <w:div w:id="1511722825">
      <w:bodyDiv w:val="1"/>
      <w:marLeft w:val="0"/>
      <w:marRight w:val="0"/>
      <w:marTop w:val="0"/>
      <w:marBottom w:val="0"/>
      <w:divBdr>
        <w:top w:val="none" w:sz="0" w:space="0" w:color="auto"/>
        <w:left w:val="none" w:sz="0" w:space="0" w:color="auto"/>
        <w:bottom w:val="none" w:sz="0" w:space="0" w:color="auto"/>
        <w:right w:val="none" w:sz="0" w:space="0" w:color="auto"/>
      </w:divBdr>
    </w:div>
    <w:div w:id="1564099075">
      <w:bodyDiv w:val="1"/>
      <w:marLeft w:val="0"/>
      <w:marRight w:val="0"/>
      <w:marTop w:val="0"/>
      <w:marBottom w:val="0"/>
      <w:divBdr>
        <w:top w:val="none" w:sz="0" w:space="0" w:color="auto"/>
        <w:left w:val="none" w:sz="0" w:space="0" w:color="auto"/>
        <w:bottom w:val="none" w:sz="0" w:space="0" w:color="auto"/>
        <w:right w:val="none" w:sz="0" w:space="0" w:color="auto"/>
      </w:divBdr>
    </w:div>
    <w:div w:id="1601061408">
      <w:bodyDiv w:val="1"/>
      <w:marLeft w:val="0"/>
      <w:marRight w:val="0"/>
      <w:marTop w:val="0"/>
      <w:marBottom w:val="0"/>
      <w:divBdr>
        <w:top w:val="none" w:sz="0" w:space="0" w:color="auto"/>
        <w:left w:val="none" w:sz="0" w:space="0" w:color="auto"/>
        <w:bottom w:val="none" w:sz="0" w:space="0" w:color="auto"/>
        <w:right w:val="none" w:sz="0" w:space="0" w:color="auto"/>
      </w:divBdr>
    </w:div>
    <w:div w:id="1660690102">
      <w:bodyDiv w:val="1"/>
      <w:marLeft w:val="0"/>
      <w:marRight w:val="0"/>
      <w:marTop w:val="0"/>
      <w:marBottom w:val="0"/>
      <w:divBdr>
        <w:top w:val="none" w:sz="0" w:space="0" w:color="auto"/>
        <w:left w:val="none" w:sz="0" w:space="0" w:color="auto"/>
        <w:bottom w:val="none" w:sz="0" w:space="0" w:color="auto"/>
        <w:right w:val="none" w:sz="0" w:space="0" w:color="auto"/>
      </w:divBdr>
    </w:div>
    <w:div w:id="1756317947">
      <w:bodyDiv w:val="1"/>
      <w:marLeft w:val="0"/>
      <w:marRight w:val="0"/>
      <w:marTop w:val="0"/>
      <w:marBottom w:val="0"/>
      <w:divBdr>
        <w:top w:val="none" w:sz="0" w:space="0" w:color="auto"/>
        <w:left w:val="none" w:sz="0" w:space="0" w:color="auto"/>
        <w:bottom w:val="none" w:sz="0" w:space="0" w:color="auto"/>
        <w:right w:val="none" w:sz="0" w:space="0" w:color="auto"/>
      </w:divBdr>
    </w:div>
    <w:div w:id="1845239326">
      <w:bodyDiv w:val="1"/>
      <w:marLeft w:val="0"/>
      <w:marRight w:val="0"/>
      <w:marTop w:val="0"/>
      <w:marBottom w:val="0"/>
      <w:divBdr>
        <w:top w:val="none" w:sz="0" w:space="0" w:color="auto"/>
        <w:left w:val="none" w:sz="0" w:space="0" w:color="auto"/>
        <w:bottom w:val="none" w:sz="0" w:space="0" w:color="auto"/>
        <w:right w:val="none" w:sz="0" w:space="0" w:color="auto"/>
      </w:divBdr>
    </w:div>
    <w:div w:id="1898396183">
      <w:bodyDiv w:val="1"/>
      <w:marLeft w:val="0"/>
      <w:marRight w:val="0"/>
      <w:marTop w:val="0"/>
      <w:marBottom w:val="0"/>
      <w:divBdr>
        <w:top w:val="none" w:sz="0" w:space="0" w:color="auto"/>
        <w:left w:val="none" w:sz="0" w:space="0" w:color="auto"/>
        <w:bottom w:val="none" w:sz="0" w:space="0" w:color="auto"/>
        <w:right w:val="none" w:sz="0" w:space="0" w:color="auto"/>
      </w:divBdr>
    </w:div>
    <w:div w:id="212252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B806C-8788-42FC-A408-292D551A4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ALJ14</dc:creator>
  <cp:lastModifiedBy>Reitenbach, Dawn</cp:lastModifiedBy>
  <cp:revision>2</cp:revision>
  <cp:lastPrinted>2012-05-03T15:37:00Z</cp:lastPrinted>
  <dcterms:created xsi:type="dcterms:W3CDTF">2012-05-08T13:39:00Z</dcterms:created>
  <dcterms:modified xsi:type="dcterms:W3CDTF">2012-05-08T13:39:00Z</dcterms:modified>
</cp:coreProperties>
</file>