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0F4" w:rsidRDefault="00FF50F4" w:rsidP="00FF50F4">
      <w:pPr>
        <w:pStyle w:val="Title"/>
        <w:tabs>
          <w:tab w:val="clear" w:pos="360"/>
          <w:tab w:val="left" w:pos="0"/>
        </w:tabs>
      </w:pPr>
      <w:r>
        <w:t>BEFORE THE</w:t>
      </w:r>
    </w:p>
    <w:p w:rsidR="00FF50F4" w:rsidRDefault="00FF50F4" w:rsidP="00FF50F4">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FF50F4" w:rsidRDefault="00FF50F4" w:rsidP="00FF50F4">
      <w:pPr>
        <w:tabs>
          <w:tab w:val="left" w:pos="0"/>
        </w:tabs>
        <w:spacing w:line="233" w:lineRule="auto"/>
        <w:jc w:val="both"/>
        <w:rPr>
          <w:b/>
        </w:rPr>
      </w:pPr>
    </w:p>
    <w:p w:rsidR="00FF50F4" w:rsidRDefault="00FF50F4" w:rsidP="00FF50F4">
      <w:pPr>
        <w:tabs>
          <w:tab w:val="left" w:pos="0"/>
        </w:tabs>
        <w:spacing w:line="233" w:lineRule="auto"/>
        <w:jc w:val="both"/>
        <w:rPr>
          <w:b/>
        </w:rPr>
      </w:pPr>
    </w:p>
    <w:p w:rsidR="00FF50F4" w:rsidRDefault="00FF50F4" w:rsidP="00FF50F4">
      <w:pPr>
        <w:tabs>
          <w:tab w:val="left" w:pos="0"/>
        </w:tabs>
        <w:spacing w:line="233" w:lineRule="auto"/>
        <w:jc w:val="both"/>
        <w:rPr>
          <w:b/>
        </w:rPr>
      </w:pPr>
    </w:p>
    <w:p w:rsidR="00F440B8" w:rsidRDefault="00F440B8" w:rsidP="00F440B8">
      <w:pPr>
        <w:spacing w:line="240" w:lineRule="auto"/>
      </w:pPr>
      <w:r>
        <w:t>Charles Welsh</w:t>
      </w:r>
      <w:r>
        <w:tab/>
      </w:r>
      <w:r>
        <w:tab/>
        <w:t xml:space="preserve"> </w:t>
      </w:r>
      <w:r>
        <w:tab/>
      </w:r>
      <w:r>
        <w:tab/>
      </w:r>
      <w:r>
        <w:tab/>
      </w:r>
      <w:r>
        <w:tab/>
        <w:t>:</w:t>
      </w:r>
    </w:p>
    <w:p w:rsidR="00F440B8" w:rsidRDefault="00F440B8" w:rsidP="00F440B8">
      <w:pPr>
        <w:spacing w:line="240" w:lineRule="auto"/>
      </w:pPr>
      <w:r>
        <w:tab/>
      </w:r>
      <w:r>
        <w:tab/>
      </w:r>
      <w:r>
        <w:tab/>
      </w:r>
      <w:r>
        <w:tab/>
      </w:r>
      <w:r>
        <w:tab/>
      </w:r>
      <w:r>
        <w:tab/>
      </w:r>
      <w:r>
        <w:tab/>
        <w:t>:</w:t>
      </w:r>
    </w:p>
    <w:p w:rsidR="00F440B8" w:rsidRDefault="00F440B8" w:rsidP="00F440B8">
      <w:pPr>
        <w:spacing w:line="240" w:lineRule="auto"/>
      </w:pPr>
      <w:r>
        <w:tab/>
        <w:t>v.</w:t>
      </w:r>
      <w:r>
        <w:tab/>
      </w:r>
      <w:r>
        <w:tab/>
      </w:r>
      <w:r>
        <w:tab/>
      </w:r>
      <w:r>
        <w:tab/>
      </w:r>
      <w:r>
        <w:tab/>
      </w:r>
      <w:r>
        <w:tab/>
        <w:t>:</w:t>
      </w:r>
      <w:r>
        <w:tab/>
      </w:r>
      <w:r>
        <w:tab/>
        <w:t>C-2011-2256611</w:t>
      </w:r>
    </w:p>
    <w:p w:rsidR="00F440B8" w:rsidRDefault="00F440B8" w:rsidP="00F440B8">
      <w:pPr>
        <w:spacing w:line="240" w:lineRule="auto"/>
      </w:pPr>
      <w:r>
        <w:tab/>
      </w:r>
      <w:r>
        <w:tab/>
      </w:r>
      <w:r>
        <w:tab/>
      </w:r>
      <w:r>
        <w:tab/>
      </w:r>
      <w:r>
        <w:tab/>
      </w:r>
      <w:r>
        <w:tab/>
      </w:r>
      <w:r>
        <w:tab/>
        <w:t>:</w:t>
      </w:r>
    </w:p>
    <w:p w:rsidR="00F440B8" w:rsidRDefault="00F440B8" w:rsidP="00F440B8">
      <w:pPr>
        <w:spacing w:line="240" w:lineRule="auto"/>
      </w:pPr>
      <w:r>
        <w:t xml:space="preserve">Pennsylvania Power Company </w:t>
      </w:r>
      <w:r>
        <w:tab/>
      </w:r>
      <w:r>
        <w:tab/>
      </w:r>
      <w:r>
        <w:tab/>
        <w:t>:</w:t>
      </w:r>
    </w:p>
    <w:p w:rsidR="00F440B8" w:rsidRDefault="00F440B8" w:rsidP="00F440B8">
      <w:pPr>
        <w:tabs>
          <w:tab w:val="left" w:pos="1076"/>
        </w:tabs>
        <w:spacing w:line="240" w:lineRule="auto"/>
      </w:pPr>
    </w:p>
    <w:p w:rsidR="00F440B8" w:rsidRDefault="00F440B8" w:rsidP="00F440B8">
      <w:pPr>
        <w:tabs>
          <w:tab w:val="left" w:pos="1076"/>
        </w:tabs>
        <w:spacing w:line="240" w:lineRule="auto"/>
      </w:pPr>
    </w:p>
    <w:p w:rsidR="00F440B8" w:rsidRDefault="00F440B8" w:rsidP="00F440B8">
      <w:pPr>
        <w:spacing w:line="240" w:lineRule="auto"/>
      </w:pPr>
    </w:p>
    <w:p w:rsidR="00F440B8" w:rsidRDefault="00F440B8" w:rsidP="00F440B8">
      <w:pPr>
        <w:spacing w:line="240" w:lineRule="auto"/>
        <w:jc w:val="center"/>
        <w:rPr>
          <w:b/>
          <w:u w:val="single"/>
        </w:rPr>
      </w:pPr>
      <w:r>
        <w:rPr>
          <w:b/>
          <w:u w:val="single"/>
        </w:rPr>
        <w:t>INITIAL DECISION</w:t>
      </w:r>
    </w:p>
    <w:p w:rsidR="00F440B8" w:rsidRDefault="00F440B8" w:rsidP="00F440B8">
      <w:pPr>
        <w:spacing w:line="240" w:lineRule="auto"/>
        <w:jc w:val="center"/>
      </w:pPr>
    </w:p>
    <w:p w:rsidR="00F440B8" w:rsidRDefault="00F440B8" w:rsidP="00F440B8">
      <w:pPr>
        <w:spacing w:line="240" w:lineRule="auto"/>
        <w:jc w:val="center"/>
      </w:pPr>
    </w:p>
    <w:p w:rsidR="00F440B8" w:rsidRDefault="00F440B8" w:rsidP="00F440B8">
      <w:pPr>
        <w:spacing w:line="240" w:lineRule="auto"/>
        <w:jc w:val="center"/>
      </w:pPr>
      <w:r>
        <w:t>Before</w:t>
      </w:r>
    </w:p>
    <w:p w:rsidR="00F440B8" w:rsidRDefault="00F440B8" w:rsidP="00F440B8">
      <w:pPr>
        <w:spacing w:line="240" w:lineRule="auto"/>
        <w:jc w:val="center"/>
      </w:pPr>
      <w:r>
        <w:t>Katrina L. Dunderdale</w:t>
      </w:r>
    </w:p>
    <w:p w:rsidR="00F440B8" w:rsidRDefault="00F440B8" w:rsidP="00F440B8">
      <w:pPr>
        <w:spacing w:line="240" w:lineRule="auto"/>
        <w:jc w:val="center"/>
      </w:pPr>
      <w:r>
        <w:t>Administrative Law Judge</w:t>
      </w:r>
    </w:p>
    <w:p w:rsidR="00F440B8" w:rsidRDefault="00F440B8" w:rsidP="00F440B8">
      <w:pPr>
        <w:spacing w:line="240" w:lineRule="auto"/>
        <w:jc w:val="center"/>
      </w:pPr>
    </w:p>
    <w:p w:rsidR="00F440B8" w:rsidRDefault="00F440B8" w:rsidP="00F440B8">
      <w:pPr>
        <w:spacing w:line="240" w:lineRule="auto"/>
        <w:jc w:val="center"/>
      </w:pPr>
    </w:p>
    <w:p w:rsidR="00F440B8" w:rsidRDefault="00F440B8" w:rsidP="00F440B8">
      <w:pPr>
        <w:spacing w:line="240" w:lineRule="auto"/>
        <w:jc w:val="center"/>
        <w:rPr>
          <w:u w:val="single"/>
        </w:rPr>
      </w:pPr>
      <w:r>
        <w:rPr>
          <w:u w:val="single"/>
        </w:rPr>
        <w:t>HISTORY OF THE PR</w:t>
      </w:r>
      <w:smartTag w:uri="urn:schemas-microsoft-com:office:smarttags" w:element="PersonName">
        <w:r>
          <w:rPr>
            <w:u w:val="single"/>
          </w:rPr>
          <w:t>OC</w:t>
        </w:r>
      </w:smartTag>
      <w:r>
        <w:rPr>
          <w:u w:val="single"/>
        </w:rPr>
        <w:t>EEDING</w:t>
      </w:r>
    </w:p>
    <w:p w:rsidR="00F440B8" w:rsidRDefault="00F440B8" w:rsidP="00F440B8">
      <w:pPr>
        <w:jc w:val="center"/>
      </w:pPr>
    </w:p>
    <w:p w:rsidR="00F440B8" w:rsidRDefault="00F440B8" w:rsidP="00F440B8"/>
    <w:p w:rsidR="00F440B8" w:rsidRDefault="00F440B8" w:rsidP="00F440B8">
      <w:pPr>
        <w:tabs>
          <w:tab w:val="left" w:pos="-1440"/>
          <w:tab w:val="left" w:pos="-720"/>
        </w:tabs>
        <w:suppressAutoHyphens/>
        <w:ind w:firstLine="1440"/>
        <w:rPr>
          <w:spacing w:val="-3"/>
        </w:rPr>
      </w:pPr>
      <w:r>
        <w:t xml:space="preserve">This decision dismisses a complaint which Charles Welsh (“Complainant”) filed on August 8, 2011 with the Pennsylvania Public Utility Commission (“Commission”) concerning his electric services account with Pennsylvania Power Company (“Respondent” or “Penn Power”).  Complainant alleged he could not afford to make the payments the Commission’s Bureau of Consumer Services (“BCS”) directed on May 6, 2011 under a plan issued at BCS Case No. 2825624 to pay for residential electric services received from Respondent.  Complainant sought a more affordable payment plan.  Also, Complainant indicated there were other concerns with his account with Respondent but did not specify those concerns in the formal complaint.  Respondent answered the complaint on August 31, 2011.  </w:t>
      </w:r>
      <w:r>
        <w:rPr>
          <w:spacing w:val="-3"/>
        </w:rPr>
        <w:t xml:space="preserve"> </w:t>
      </w:r>
    </w:p>
    <w:p w:rsidR="00F440B8" w:rsidRDefault="00F440B8" w:rsidP="00F440B8">
      <w:pPr>
        <w:tabs>
          <w:tab w:val="left" w:pos="-1440"/>
          <w:tab w:val="left" w:pos="-720"/>
        </w:tabs>
        <w:suppressAutoHyphens/>
        <w:ind w:firstLine="1440"/>
        <w:rPr>
          <w:spacing w:val="-3"/>
        </w:rPr>
      </w:pPr>
    </w:p>
    <w:p w:rsidR="00F440B8" w:rsidRDefault="00F440B8" w:rsidP="00F440B8">
      <w:pPr>
        <w:tabs>
          <w:tab w:val="left" w:pos="2160"/>
        </w:tabs>
        <w:ind w:firstLine="1440"/>
      </w:pPr>
      <w:r>
        <w:t xml:space="preserve">By Telephone Hearing Notice dated December 8, 2011, the Office of Administrative Law Judge notified the parties an initial telephonic hearing in this case was scheduled for Tuesday, January 24, 2012 at 10:00 a.m.  </w:t>
      </w:r>
      <w:r>
        <w:rPr>
          <w:spacing w:val="-3"/>
        </w:rPr>
        <w:t xml:space="preserve">On December 13, 2011, the undersigned issued a Prehearing Order </w:t>
      </w:r>
      <w:r>
        <w:t xml:space="preserve">setting forth the date and time of the scheduled hearing.  </w:t>
      </w:r>
    </w:p>
    <w:p w:rsidR="00F440B8" w:rsidRDefault="00F440B8" w:rsidP="00F440B8">
      <w:pPr>
        <w:tabs>
          <w:tab w:val="left" w:pos="2160"/>
        </w:tabs>
        <w:ind w:firstLine="1440"/>
      </w:pPr>
      <w:r>
        <w:t xml:space="preserve">    </w:t>
      </w:r>
    </w:p>
    <w:p w:rsidR="00F440B8" w:rsidRDefault="00F440B8" w:rsidP="00F440B8">
      <w:pPr>
        <w:tabs>
          <w:tab w:val="left" w:pos="2160"/>
        </w:tabs>
        <w:ind w:firstLine="1440"/>
      </w:pPr>
      <w:r>
        <w:lastRenderedPageBreak/>
        <w:t xml:space="preserve">The undersigned convened the hearing as scheduled.  Complainant appeared </w:t>
      </w:r>
      <w:r>
        <w:rPr>
          <w:i/>
        </w:rPr>
        <w:t>pro se.</w:t>
      </w:r>
      <w:r>
        <w:t xml:space="preserve">  Bridgid M. Good, Esquire, represented Respondent, presented one witness for testimony and sponsored four exhibits, which exhibits were admitted into the record.  Neither party filed a brief.  The hearing record consists of a thirty-nine (39) page transcript which was received by the presiding officer on February 9, 2012.  The hearing record closed on February 13, 2012 upon issuance of an Interim Order Closing the Record.  </w:t>
      </w:r>
    </w:p>
    <w:p w:rsidR="00F440B8" w:rsidRDefault="00F440B8" w:rsidP="00F440B8">
      <w:pPr>
        <w:tabs>
          <w:tab w:val="left" w:pos="2160"/>
        </w:tabs>
        <w:ind w:firstLine="1440"/>
      </w:pPr>
    </w:p>
    <w:p w:rsidR="00F440B8" w:rsidRDefault="00F440B8" w:rsidP="00F440B8">
      <w:pPr>
        <w:tabs>
          <w:tab w:val="left" w:pos="2160"/>
        </w:tabs>
        <w:jc w:val="center"/>
        <w:rPr>
          <w:u w:val="single"/>
        </w:rPr>
      </w:pPr>
      <w:r>
        <w:rPr>
          <w:u w:val="single"/>
        </w:rPr>
        <w:t xml:space="preserve">FINDINGS OF </w:t>
      </w:r>
      <w:smartTag w:uri="urn:schemas-microsoft-com:office:smarttags" w:element="stockticker">
        <w:r>
          <w:rPr>
            <w:u w:val="single"/>
          </w:rPr>
          <w:t>FACT</w:t>
        </w:r>
      </w:smartTag>
    </w:p>
    <w:p w:rsidR="00F440B8" w:rsidRDefault="00F440B8" w:rsidP="00F440B8">
      <w:pPr>
        <w:tabs>
          <w:tab w:val="left" w:pos="2160"/>
        </w:tabs>
        <w:rPr>
          <w:u w:val="single"/>
        </w:rPr>
      </w:pPr>
    </w:p>
    <w:p w:rsidR="00F440B8" w:rsidRDefault="00F440B8" w:rsidP="00F440B8">
      <w:pPr>
        <w:tabs>
          <w:tab w:val="left" w:pos="2160"/>
        </w:tabs>
        <w:ind w:firstLine="1440"/>
      </w:pPr>
      <w:r>
        <w:t>1.</w:t>
      </w:r>
      <w:r>
        <w:tab/>
        <w:t xml:space="preserve">Complainant, Charles Welsh, resides at 302 Mercer Road, Harmony, Pennsylvania </w:t>
      </w:r>
      <w:r w:rsidR="00996E09">
        <w:t>16037</w:t>
      </w:r>
      <w:r>
        <w:t xml:space="preserve"> with his wife and two children (ages 13 years and 23 years).  (Tr. 10, 15).</w:t>
      </w:r>
    </w:p>
    <w:p w:rsidR="00F440B8" w:rsidRDefault="00F440B8" w:rsidP="00F440B8">
      <w:pPr>
        <w:tabs>
          <w:tab w:val="left" w:pos="2160"/>
        </w:tabs>
        <w:ind w:firstLine="1440"/>
      </w:pPr>
      <w:r>
        <w:t xml:space="preserve">  </w:t>
      </w:r>
    </w:p>
    <w:p w:rsidR="00F440B8" w:rsidRDefault="00F440B8" w:rsidP="00F440B8">
      <w:pPr>
        <w:tabs>
          <w:tab w:val="left" w:pos="2160"/>
        </w:tabs>
        <w:ind w:firstLine="1440"/>
      </w:pPr>
      <w:r>
        <w:t>2.</w:t>
      </w:r>
      <w:r>
        <w:tab/>
        <w:t>Respondent, Pennsylvania Power Company, has provided residential electric service to Complainant at his residence for the past nineteen (19) years.  (Tr. 10, 11).</w:t>
      </w:r>
    </w:p>
    <w:p w:rsidR="00F440B8" w:rsidRDefault="00F440B8" w:rsidP="00F440B8">
      <w:pPr>
        <w:tabs>
          <w:tab w:val="left" w:pos="2160"/>
        </w:tabs>
        <w:ind w:firstLine="1440"/>
      </w:pPr>
    </w:p>
    <w:p w:rsidR="00F440B8" w:rsidRDefault="00F440B8" w:rsidP="00F440B8">
      <w:pPr>
        <w:tabs>
          <w:tab w:val="left" w:pos="2160"/>
        </w:tabs>
        <w:ind w:firstLine="1440"/>
      </w:pPr>
      <w:r>
        <w:t>3.</w:t>
      </w:r>
      <w:r>
        <w:tab/>
        <w:t>In the past two years, Respondent has provided Complainant with five (5) payment arrangements.  Complainant has not complied fully with any of the payment arrangements.  (Tr. 26, 33; Respondent Exhibit 3).</w:t>
      </w:r>
    </w:p>
    <w:p w:rsidR="00F440B8" w:rsidRDefault="00F440B8" w:rsidP="00F440B8">
      <w:pPr>
        <w:tabs>
          <w:tab w:val="left" w:pos="2160"/>
        </w:tabs>
        <w:ind w:firstLine="1440"/>
      </w:pPr>
    </w:p>
    <w:p w:rsidR="00F440B8" w:rsidRDefault="00F440B8" w:rsidP="00F440B8">
      <w:pPr>
        <w:tabs>
          <w:tab w:val="left" w:pos="2160"/>
        </w:tabs>
        <w:ind w:firstLine="1440"/>
      </w:pPr>
      <w:r>
        <w:t>4.</w:t>
      </w:r>
      <w:r>
        <w:tab/>
        <w:t>On May 6, 2011, the BCS determined at Case No. 2825624 Complainant owed the sum of $11,192.00 to Respondent.  (Tr. 34; Respondent Exhibit 2).</w:t>
      </w:r>
    </w:p>
    <w:p w:rsidR="00F440B8" w:rsidRDefault="00F440B8" w:rsidP="00F440B8">
      <w:pPr>
        <w:tabs>
          <w:tab w:val="left" w:pos="2160"/>
        </w:tabs>
        <w:ind w:firstLine="1440"/>
      </w:pPr>
    </w:p>
    <w:p w:rsidR="00F440B8" w:rsidRDefault="00F440B8" w:rsidP="00F440B8">
      <w:pPr>
        <w:tabs>
          <w:tab w:val="left" w:pos="2160"/>
        </w:tabs>
        <w:ind w:firstLine="1440"/>
      </w:pPr>
      <w:r>
        <w:t>5.</w:t>
      </w:r>
      <w:r>
        <w:tab/>
        <w:t xml:space="preserve">The BCS determined Complainant </w:t>
      </w:r>
      <w:r>
        <w:rPr>
          <w:spacing w:val="-3"/>
        </w:rPr>
        <w:t>should pay to Respondent the monthly budget amount (at that time, $252.00) plus $466.00 each month, starting on June 20, 2011, to satisfy the arrearage owed on his account with Respondent</w:t>
      </w:r>
      <w:r>
        <w:t>.  (Tr. 34).</w:t>
      </w:r>
    </w:p>
    <w:p w:rsidR="00F440B8" w:rsidRDefault="00F440B8" w:rsidP="00F440B8">
      <w:pPr>
        <w:tabs>
          <w:tab w:val="left" w:pos="2160"/>
        </w:tabs>
        <w:ind w:firstLine="1440"/>
      </w:pPr>
    </w:p>
    <w:p w:rsidR="00F440B8" w:rsidRDefault="00F440B8" w:rsidP="00F440B8">
      <w:pPr>
        <w:tabs>
          <w:tab w:val="left" w:pos="2160"/>
        </w:tabs>
        <w:ind w:firstLine="1440"/>
      </w:pPr>
      <w:r>
        <w:t>6.</w:t>
      </w:r>
      <w:r>
        <w:tab/>
        <w:t>As of May 2011, Complainant’s four-person household income totaled $3,575.02 monthly, which qualifies Complainant’s household as a Level 2 household.  (Respondent Exhibit 3).</w:t>
      </w:r>
    </w:p>
    <w:p w:rsidR="00F440B8" w:rsidRDefault="00F440B8" w:rsidP="00F440B8">
      <w:pPr>
        <w:rPr>
          <w:spacing w:val="-3"/>
        </w:rPr>
      </w:pPr>
    </w:p>
    <w:p w:rsidR="00F440B8" w:rsidRDefault="00B50D15" w:rsidP="00F440B8">
      <w:pPr>
        <w:ind w:firstLine="1440"/>
        <w:rPr>
          <w:spacing w:val="-3"/>
        </w:rPr>
      </w:pPr>
      <w:r>
        <w:rPr>
          <w:spacing w:val="-3"/>
        </w:rPr>
        <w:lastRenderedPageBreak/>
        <w:t>7.</w:t>
      </w:r>
      <w:r>
        <w:rPr>
          <w:spacing w:val="-3"/>
        </w:rPr>
        <w:tab/>
        <w:t xml:space="preserve">Since the BCS </w:t>
      </w:r>
      <w:r w:rsidR="00F440B8">
        <w:rPr>
          <w:spacing w:val="-3"/>
        </w:rPr>
        <w:t>payment plan in May 2011, Complainant’s income has neither increased nor decreased, and his household bills have neither decreased nor increased except for the cost of groceries.  (Tr. 13-15).</w:t>
      </w:r>
      <w:bookmarkStart w:id="0" w:name="_GoBack"/>
      <w:bookmarkEnd w:id="0"/>
    </w:p>
    <w:p w:rsidR="00F440B8" w:rsidRDefault="00F440B8" w:rsidP="00F440B8">
      <w:pPr>
        <w:tabs>
          <w:tab w:val="left" w:pos="2160"/>
        </w:tabs>
        <w:ind w:firstLine="1440"/>
      </w:pPr>
    </w:p>
    <w:p w:rsidR="00F440B8" w:rsidRDefault="00F440B8" w:rsidP="00F440B8">
      <w:pPr>
        <w:ind w:firstLine="1440"/>
      </w:pPr>
      <w:r>
        <w:t>8.</w:t>
      </w:r>
      <w:r>
        <w:tab/>
        <w:t>As of December 27, 2011, Complainant owed Respondent the sum of $12,907.93 on his account.  (Tr. 31; Respondent Exhibit 1).</w:t>
      </w:r>
    </w:p>
    <w:p w:rsidR="00F440B8" w:rsidRDefault="00F440B8" w:rsidP="00F440B8">
      <w:pPr>
        <w:ind w:firstLine="1440"/>
      </w:pPr>
    </w:p>
    <w:p w:rsidR="00F440B8" w:rsidRDefault="00F440B8" w:rsidP="00F440B8">
      <w:pPr>
        <w:ind w:firstLine="1440"/>
      </w:pPr>
      <w:r>
        <w:t>9.</w:t>
      </w:r>
      <w:r>
        <w:tab/>
        <w:t>Complainant does not contest the amount owed on his account with Respondent.  (Tr. 19, 23).</w:t>
      </w:r>
    </w:p>
    <w:p w:rsidR="00F440B8" w:rsidRDefault="00F440B8" w:rsidP="00F440B8">
      <w:pPr>
        <w:ind w:firstLine="1440"/>
      </w:pPr>
    </w:p>
    <w:p w:rsidR="00F440B8" w:rsidRDefault="00F440B8" w:rsidP="00F440B8">
      <w:pPr>
        <w:ind w:firstLine="1440"/>
        <w:rPr>
          <w:spacing w:val="-3"/>
        </w:rPr>
      </w:pPr>
      <w:r>
        <w:t>10.</w:t>
      </w:r>
      <w:r>
        <w:tab/>
      </w:r>
      <w:r>
        <w:rPr>
          <w:spacing w:val="-3"/>
        </w:rPr>
        <w:t>Complainant made two payments from January 2010 until the date of the hearing: $580.00 on June 25, 2010 and $327.00 on November 25, 2011.  (Tr. 21, 25, 31; Respondent Exhibit 1).</w:t>
      </w:r>
    </w:p>
    <w:p w:rsidR="00F440B8" w:rsidRDefault="00F440B8" w:rsidP="00F440B8">
      <w:pPr>
        <w:rPr>
          <w:spacing w:val="-3"/>
        </w:rPr>
      </w:pPr>
      <w:r>
        <w:rPr>
          <w:spacing w:val="-3"/>
        </w:rPr>
        <w:tab/>
      </w:r>
      <w:r>
        <w:rPr>
          <w:spacing w:val="-3"/>
        </w:rPr>
        <w:tab/>
      </w:r>
    </w:p>
    <w:p w:rsidR="00F440B8" w:rsidRDefault="00F440B8" w:rsidP="00F440B8">
      <w:pPr>
        <w:rPr>
          <w:spacing w:val="-3"/>
        </w:rPr>
      </w:pPr>
      <w:r>
        <w:rPr>
          <w:spacing w:val="-3"/>
        </w:rPr>
        <w:tab/>
      </w:r>
      <w:r>
        <w:rPr>
          <w:spacing w:val="-3"/>
        </w:rPr>
        <w:tab/>
        <w:t>11.</w:t>
      </w:r>
      <w:r>
        <w:rPr>
          <w:spacing w:val="-3"/>
        </w:rPr>
        <w:tab/>
        <w:t>Complainant made the November 2011 payment in order to avoid termination of electric services.  (Tr. 25).</w:t>
      </w:r>
    </w:p>
    <w:p w:rsidR="00F440B8" w:rsidRDefault="00F440B8" w:rsidP="00F440B8">
      <w:pPr>
        <w:rPr>
          <w:spacing w:val="-3"/>
        </w:rPr>
      </w:pPr>
    </w:p>
    <w:p w:rsidR="00F440B8" w:rsidRDefault="00F440B8" w:rsidP="00F440B8">
      <w:pPr>
        <w:rPr>
          <w:spacing w:val="-3"/>
        </w:rPr>
      </w:pPr>
      <w:r>
        <w:rPr>
          <w:spacing w:val="-3"/>
        </w:rPr>
        <w:tab/>
      </w:r>
      <w:r>
        <w:rPr>
          <w:spacing w:val="-3"/>
        </w:rPr>
        <w:tab/>
        <w:t>12.</w:t>
      </w:r>
      <w:r>
        <w:rPr>
          <w:spacing w:val="-3"/>
        </w:rPr>
        <w:tab/>
        <w:t xml:space="preserve">At the time of the hearing, Complainant remained employed and received approximately $2,400 monthly in net income.  </w:t>
      </w:r>
    </w:p>
    <w:p w:rsidR="00F440B8" w:rsidRDefault="00F440B8" w:rsidP="00F440B8">
      <w:pPr>
        <w:rPr>
          <w:spacing w:val="-3"/>
        </w:rPr>
      </w:pPr>
    </w:p>
    <w:p w:rsidR="00F440B8" w:rsidRDefault="00F440B8" w:rsidP="00F440B8">
      <w:pPr>
        <w:rPr>
          <w:spacing w:val="-3"/>
        </w:rPr>
      </w:pPr>
      <w:r>
        <w:rPr>
          <w:spacing w:val="-3"/>
        </w:rPr>
        <w:tab/>
      </w:r>
      <w:r>
        <w:rPr>
          <w:spacing w:val="-3"/>
        </w:rPr>
        <w:tab/>
        <w:t>13.</w:t>
      </w:r>
      <w:r>
        <w:rPr>
          <w:spacing w:val="-3"/>
        </w:rPr>
        <w:tab/>
        <w:t>Complainant pulled his 13</w:t>
      </w:r>
      <w:r w:rsidR="00536744">
        <w:rPr>
          <w:spacing w:val="-3"/>
        </w:rPr>
        <w:t>-</w:t>
      </w:r>
      <w:r>
        <w:rPr>
          <w:spacing w:val="-3"/>
        </w:rPr>
        <w:t>year old special needs child out of school and his wife quit work as a grocery store cashier in 2008 in order to home school and care for their child at home.  (Tr. 11, 12, 14).</w:t>
      </w:r>
    </w:p>
    <w:p w:rsidR="00F440B8" w:rsidRDefault="00F440B8" w:rsidP="00F440B8">
      <w:pPr>
        <w:rPr>
          <w:spacing w:val="-3"/>
        </w:rPr>
      </w:pPr>
    </w:p>
    <w:p w:rsidR="00F440B8" w:rsidRDefault="00F440B8" w:rsidP="00F440B8">
      <w:pPr>
        <w:rPr>
          <w:spacing w:val="-3"/>
        </w:rPr>
      </w:pPr>
      <w:r>
        <w:rPr>
          <w:spacing w:val="-3"/>
        </w:rPr>
        <w:tab/>
      </w:r>
      <w:r>
        <w:rPr>
          <w:spacing w:val="-3"/>
        </w:rPr>
        <w:tab/>
        <w:t>14.</w:t>
      </w:r>
      <w:r>
        <w:rPr>
          <w:spacing w:val="-3"/>
        </w:rPr>
        <w:tab/>
        <w:t>Expenses related to Complainant’s special needs child have remained steady over the last two years.  (Tr. 14).</w:t>
      </w:r>
    </w:p>
    <w:p w:rsidR="00F440B8" w:rsidRDefault="00F440B8" w:rsidP="00F440B8">
      <w:pPr>
        <w:rPr>
          <w:spacing w:val="-3"/>
        </w:rPr>
      </w:pPr>
    </w:p>
    <w:p w:rsidR="00F440B8" w:rsidRDefault="00F440B8" w:rsidP="00F440B8">
      <w:pPr>
        <w:rPr>
          <w:spacing w:val="-3"/>
        </w:rPr>
      </w:pPr>
      <w:r>
        <w:rPr>
          <w:spacing w:val="-3"/>
        </w:rPr>
        <w:tab/>
      </w:r>
      <w:r>
        <w:rPr>
          <w:spacing w:val="-3"/>
        </w:rPr>
        <w:tab/>
        <w:t>15.</w:t>
      </w:r>
      <w:r>
        <w:rPr>
          <w:spacing w:val="-3"/>
        </w:rPr>
        <w:tab/>
        <w:t xml:space="preserve">Complainant did not timely appeal the May 6, 2011 payment arrangement established by BCS.  </w:t>
      </w:r>
    </w:p>
    <w:p w:rsidR="00F440B8" w:rsidRDefault="00F440B8" w:rsidP="00F440B8">
      <w:pPr>
        <w:ind w:firstLine="1440"/>
        <w:rPr>
          <w:spacing w:val="-3"/>
        </w:rPr>
      </w:pPr>
    </w:p>
    <w:p w:rsidR="00F440B8" w:rsidRDefault="00F440B8" w:rsidP="00F440B8">
      <w:pPr>
        <w:rPr>
          <w:u w:val="single"/>
        </w:rPr>
      </w:pPr>
      <w:r>
        <w:rPr>
          <w:u w:val="single"/>
        </w:rPr>
        <w:br w:type="page"/>
      </w:r>
    </w:p>
    <w:p w:rsidR="00F440B8" w:rsidRDefault="00F440B8" w:rsidP="00F440B8">
      <w:pPr>
        <w:tabs>
          <w:tab w:val="left" w:pos="2160"/>
        </w:tabs>
        <w:jc w:val="center"/>
        <w:rPr>
          <w:u w:val="single"/>
        </w:rPr>
      </w:pPr>
      <w:r>
        <w:rPr>
          <w:u w:val="single"/>
        </w:rPr>
        <w:lastRenderedPageBreak/>
        <w:t>DISCUSSION</w:t>
      </w:r>
    </w:p>
    <w:p w:rsidR="00F440B8" w:rsidRDefault="00F440B8" w:rsidP="00F440B8">
      <w:pPr>
        <w:tabs>
          <w:tab w:val="left" w:pos="2160"/>
        </w:tabs>
        <w:jc w:val="center"/>
        <w:rPr>
          <w:u w:val="single"/>
        </w:rPr>
      </w:pPr>
    </w:p>
    <w:p w:rsidR="00F440B8" w:rsidRDefault="00F440B8" w:rsidP="00F440B8">
      <w:pPr>
        <w:ind w:firstLine="1440"/>
      </w:pPr>
      <w:r>
        <w:t xml:space="preserve">This proceeding involves an untimely appeal of BCS’ determination of an appropriate payment plan for this account.  As the party seeking affirmative relief from the Commission, Complainant bears the burden of proving he is entitled to the relief requested.  66 Pa. C.S.A. §332(a).  </w:t>
      </w:r>
      <w:r>
        <w:rPr>
          <w:spacing w:val="-3"/>
        </w:rPr>
        <w:t xml:space="preserve">  </w:t>
      </w:r>
      <w:r>
        <w:t xml:space="preserve">     </w:t>
      </w:r>
    </w:p>
    <w:p w:rsidR="00F440B8" w:rsidRDefault="00F440B8" w:rsidP="00F440B8"/>
    <w:p w:rsidR="00F440B8" w:rsidRDefault="00F440B8" w:rsidP="00F440B8">
      <w:pPr>
        <w:rPr>
          <w:u w:val="single"/>
        </w:rPr>
      </w:pPr>
      <w:r>
        <w:rPr>
          <w:u w:val="single"/>
        </w:rPr>
        <w:t>Responsible Utility Customer Protection Act</w:t>
      </w:r>
    </w:p>
    <w:p w:rsidR="00F440B8" w:rsidRDefault="00F440B8" w:rsidP="00F440B8">
      <w:r>
        <w:tab/>
      </w:r>
    </w:p>
    <w:p w:rsidR="00F440B8" w:rsidRDefault="00F440B8" w:rsidP="00F440B8">
      <w:r>
        <w:tab/>
      </w:r>
      <w:r>
        <w:tab/>
        <w:t xml:space="preserve">Since the enactment of the Responsible Utility Customer Protection Act (“Chapter 14”), 66 Pa. C.S.A. §1401, </w:t>
      </w:r>
      <w:r>
        <w:rPr>
          <w:i/>
        </w:rPr>
        <w:t>et seq.</w:t>
      </w:r>
      <w:r>
        <w:t xml:space="preserve">, effective December 14, 2004, the Pennsylvania Legislature directed the Public Utility Commission on how it must establish payment arrangements between consumers and utility companies.  However Complainant manages his household budget, he must pay Respondent for the electric service he consumes.  </w:t>
      </w:r>
    </w:p>
    <w:p w:rsidR="00F440B8" w:rsidRDefault="00F440B8" w:rsidP="00F440B8"/>
    <w:p w:rsidR="00F440B8" w:rsidRDefault="00F440B8" w:rsidP="00F440B8">
      <w:pPr>
        <w:ind w:firstLine="1440"/>
      </w:pPr>
      <w:r>
        <w:t>By law a public utility is entitled to receive payment for the service it provides.</w:t>
      </w:r>
      <w:r>
        <w:rPr>
          <w:rStyle w:val="FootnoteReference"/>
        </w:rPr>
        <w:footnoteReference w:id="1"/>
      </w:r>
      <w:r>
        <w:t xml:space="preserve">  Pursuant to its tariff, Respondent must include those accounts left unpaid by a consumer within its uncollectible expenses, which expenses then must be paid by all of the utility’s remaining customers.</w:t>
      </w:r>
      <w:r>
        <w:rPr>
          <w:rStyle w:val="FootnoteReference"/>
        </w:rPr>
        <w:footnoteReference w:id="2"/>
      </w:r>
      <w:r>
        <w:t xml:space="preserve">  Respondent can neither receive a greater or lesser rate than the one set forth in its tariff on file with the Commission (66 Pa. C.S.A. §1303), nor can it unreasonably discriminate for or against a particular customer by establishing a special rate for them.  66 Pa. C.S.A. §1304.</w:t>
      </w:r>
    </w:p>
    <w:p w:rsidR="00F440B8" w:rsidRDefault="00F440B8" w:rsidP="00F440B8">
      <w:pPr>
        <w:ind w:firstLine="1440"/>
      </w:pPr>
    </w:p>
    <w:p w:rsidR="00F440B8" w:rsidRDefault="00F440B8" w:rsidP="00F440B8">
      <w:pPr>
        <w:ind w:firstLine="1440"/>
      </w:pPr>
      <w:r>
        <w:t xml:space="preserve">When Complainant doesn’t pay his monthly electric services bill to Respondent, he forces other ratepayers to absorb that cost.  Complainant’s failure to pay his bills results in other ratepayers being forced to pay higher rates.  </w:t>
      </w:r>
      <w:r w:rsidR="00536744">
        <w:t>Respondent cannot give</w:t>
      </w:r>
      <w:r>
        <w:t xml:space="preserve"> Mr. Welsh a special </w:t>
      </w:r>
      <w:r>
        <w:rPr>
          <w:u w:val="single"/>
        </w:rPr>
        <w:t>lower</w:t>
      </w:r>
      <w:r>
        <w:t xml:space="preserve"> rate than what other ratepayers pay.  </w:t>
      </w:r>
    </w:p>
    <w:p w:rsidR="00F440B8" w:rsidRDefault="00F440B8" w:rsidP="00F440B8"/>
    <w:p w:rsidR="00F440B8" w:rsidRDefault="00147889" w:rsidP="00F440B8">
      <w:pPr>
        <w:ind w:firstLine="1440"/>
      </w:pPr>
      <w:r>
        <w:lastRenderedPageBreak/>
        <w:t>C</w:t>
      </w:r>
      <w:r w:rsidR="00F440B8">
        <w:t xml:space="preserve">hapter 14 applies to complaints alleging inability to pay and requesting a Commission-issued payment arrangement.  This law provides strict guidelines that the Commission must follow in handling customer complaints.  </w:t>
      </w:r>
    </w:p>
    <w:p w:rsidR="00F440B8" w:rsidRDefault="00F440B8" w:rsidP="00F440B8">
      <w:pPr>
        <w:ind w:firstLine="1440"/>
      </w:pPr>
    </w:p>
    <w:p w:rsidR="00F440B8" w:rsidRDefault="00F440B8" w:rsidP="00F440B8">
      <w:pPr>
        <w:pStyle w:val="BodyText"/>
        <w:ind w:firstLine="1440"/>
        <w:jc w:val="left"/>
        <w:rPr>
          <w:sz w:val="24"/>
          <w:szCs w:val="24"/>
        </w:rPr>
      </w:pPr>
      <w:r>
        <w:rPr>
          <w:sz w:val="24"/>
          <w:szCs w:val="24"/>
        </w:rPr>
        <w:t>Section 1405 reads as follows:</w:t>
      </w:r>
    </w:p>
    <w:p w:rsidR="00F440B8" w:rsidRDefault="00F440B8" w:rsidP="00F440B8">
      <w:pPr>
        <w:pStyle w:val="BodyText"/>
        <w:spacing w:line="240" w:lineRule="auto"/>
        <w:ind w:left="1440" w:right="1440" w:firstLine="540"/>
        <w:jc w:val="left"/>
        <w:rPr>
          <w:sz w:val="24"/>
          <w:szCs w:val="24"/>
        </w:rPr>
      </w:pPr>
      <w:r>
        <w:rPr>
          <w:sz w:val="24"/>
          <w:szCs w:val="24"/>
        </w:rPr>
        <w:t>§ 1405.  Payment agreements</w:t>
      </w:r>
      <w:r>
        <w:rPr>
          <w:sz w:val="24"/>
          <w:szCs w:val="24"/>
        </w:rPr>
        <w:br/>
      </w:r>
      <w:r>
        <w:rPr>
          <w:sz w:val="24"/>
          <w:szCs w:val="24"/>
        </w:rPr>
        <w:br/>
        <w:t>    (a) GENERAL RULE.-- 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r>
        <w:rPr>
          <w:sz w:val="24"/>
          <w:szCs w:val="24"/>
        </w:rPr>
        <w:br/>
        <w:t> </w:t>
      </w:r>
      <w:r>
        <w:rPr>
          <w:sz w:val="24"/>
          <w:szCs w:val="24"/>
        </w:rPr>
        <w:br/>
        <w:t>   (b) LENGTH OF PAYMENT AGREEMENTS.-- The length of time for a customer to resolve an unpaid balance on an account that is subject to a payment agreement that is investigated by the commission and is entered into by a public utility and a customer shall not extend beyond:</w:t>
      </w:r>
      <w:r>
        <w:rPr>
          <w:sz w:val="24"/>
          <w:szCs w:val="24"/>
        </w:rPr>
        <w:br/>
        <w:t> </w:t>
      </w:r>
      <w:r>
        <w:rPr>
          <w:sz w:val="24"/>
          <w:szCs w:val="24"/>
        </w:rPr>
        <w:br/>
        <w:t>       (1) Five years for customers with a gross monthly household income level not exceeding 150% of the Federal poverty level.</w:t>
      </w:r>
      <w:r>
        <w:rPr>
          <w:sz w:val="24"/>
          <w:szCs w:val="24"/>
        </w:rPr>
        <w:br/>
        <w:t> </w:t>
      </w:r>
      <w:r>
        <w:rPr>
          <w:sz w:val="24"/>
          <w:szCs w:val="24"/>
        </w:rPr>
        <w:br/>
        <w:t>       (2) Two years for customers with a gross monthly household income level exceeding 150% and not more than 250% of the Federal poverty level.</w:t>
      </w:r>
    </w:p>
    <w:p w:rsidR="00F440B8" w:rsidRDefault="00F440B8" w:rsidP="00F440B8">
      <w:pPr>
        <w:pStyle w:val="BodyText"/>
        <w:spacing w:line="240" w:lineRule="auto"/>
        <w:ind w:left="1440" w:right="1440" w:firstLine="540"/>
        <w:jc w:val="left"/>
        <w:rPr>
          <w:sz w:val="24"/>
          <w:szCs w:val="24"/>
        </w:rPr>
      </w:pPr>
    </w:p>
    <w:p w:rsidR="00C81DA0" w:rsidRDefault="00F440B8" w:rsidP="00F440B8">
      <w:pPr>
        <w:pStyle w:val="BodyText"/>
        <w:spacing w:line="240" w:lineRule="auto"/>
        <w:ind w:left="1440" w:right="1440"/>
        <w:jc w:val="left"/>
        <w:rPr>
          <w:sz w:val="24"/>
          <w:szCs w:val="24"/>
        </w:rPr>
      </w:pPr>
      <w:r>
        <w:rPr>
          <w:sz w:val="24"/>
          <w:szCs w:val="24"/>
        </w:rPr>
        <w:t>       (3) One year for customers with a gross monthly household income level exceeding 250% of the Federal poverty level and not more than 300% of the Federal poverty level.</w:t>
      </w:r>
      <w:r>
        <w:rPr>
          <w:sz w:val="24"/>
          <w:szCs w:val="24"/>
        </w:rPr>
        <w:br/>
        <w:t> </w:t>
      </w:r>
      <w:r>
        <w:rPr>
          <w:sz w:val="24"/>
          <w:szCs w:val="24"/>
        </w:rPr>
        <w:br/>
        <w:t>       (4) Six months for customers with a gross monthly household income level exceeding 300% of the Federal poverty level.</w:t>
      </w:r>
      <w:r>
        <w:rPr>
          <w:sz w:val="24"/>
          <w:szCs w:val="24"/>
        </w:rPr>
        <w:br/>
        <w:t> </w:t>
      </w:r>
      <w:r>
        <w:rPr>
          <w:sz w:val="24"/>
          <w:szCs w:val="24"/>
        </w:rPr>
        <w:br/>
        <w:t xml:space="preserve">   (c) CUSTOMER ASSISTANCE PROGRAMS.-- Customer assistance program rates shall be timely paid and shall not be the subject of payment agreements negotiated or approved by the commission.</w:t>
      </w:r>
      <w:r>
        <w:rPr>
          <w:sz w:val="24"/>
          <w:szCs w:val="24"/>
        </w:rPr>
        <w:br/>
        <w:t> </w:t>
      </w:r>
      <w:r>
        <w:rPr>
          <w:sz w:val="24"/>
          <w:szCs w:val="24"/>
        </w:rPr>
        <w:br/>
        <w:t>   (d) NUMBER OF PAYMENT AGREEMENTS</w:t>
      </w:r>
      <w:proofErr w:type="gramStart"/>
      <w:r>
        <w:rPr>
          <w:sz w:val="24"/>
          <w:szCs w:val="24"/>
        </w:rPr>
        <w:t>.--</w:t>
      </w:r>
      <w:proofErr w:type="gramEnd"/>
      <w:r>
        <w:rPr>
          <w:sz w:val="24"/>
          <w:szCs w:val="24"/>
        </w:rPr>
        <w:t xml:space="preserve"> Absent a change in income, the commission shall not establish or order a public utility to establish a second or subsequent payment agreement if a customer has defaulted on a previous payment </w:t>
      </w:r>
    </w:p>
    <w:p w:rsidR="00C81DA0" w:rsidRDefault="00C81DA0">
      <w:pPr>
        <w:spacing w:after="200"/>
        <w:rPr>
          <w:szCs w:val="24"/>
        </w:rPr>
      </w:pPr>
      <w:r>
        <w:rPr>
          <w:szCs w:val="24"/>
        </w:rPr>
        <w:br w:type="page"/>
      </w:r>
    </w:p>
    <w:p w:rsidR="00F440B8" w:rsidRDefault="00F440B8" w:rsidP="00F440B8">
      <w:pPr>
        <w:pStyle w:val="BodyText"/>
        <w:spacing w:line="240" w:lineRule="auto"/>
        <w:ind w:left="1440" w:right="1440"/>
        <w:jc w:val="left"/>
        <w:rPr>
          <w:sz w:val="24"/>
          <w:szCs w:val="24"/>
        </w:rPr>
      </w:pPr>
      <w:proofErr w:type="gramStart"/>
      <w:r>
        <w:rPr>
          <w:sz w:val="24"/>
          <w:szCs w:val="24"/>
        </w:rPr>
        <w:lastRenderedPageBreak/>
        <w:t>agreement</w:t>
      </w:r>
      <w:proofErr w:type="gramEnd"/>
      <w:r>
        <w:rPr>
          <w:sz w:val="24"/>
          <w:szCs w:val="24"/>
        </w:rPr>
        <w:t>. A public utility may, at its discretion, enter into a second or subsequent payment agreement with a customer.</w:t>
      </w:r>
      <w:r>
        <w:rPr>
          <w:sz w:val="24"/>
          <w:szCs w:val="24"/>
        </w:rPr>
        <w:br/>
        <w:t> </w:t>
      </w:r>
      <w:r>
        <w:rPr>
          <w:sz w:val="24"/>
          <w:szCs w:val="24"/>
        </w:rPr>
        <w:br/>
        <w:t>   (e) EXTENSION OF PAYMENT AGREEMENTS.-- 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r>
        <w:rPr>
          <w:sz w:val="24"/>
          <w:szCs w:val="24"/>
        </w:rPr>
        <w:br/>
        <w:t> </w:t>
      </w:r>
      <w:r>
        <w:rPr>
          <w:sz w:val="24"/>
          <w:szCs w:val="24"/>
        </w:rPr>
        <w:br/>
        <w:t>   (f) FAILURE TO COMPLY WITH PAYMENT AGREEMENT.-- Failure of a customer to comply with the terms of a payment agreement shall be grounds for a public utility to terminate the customer’s service. Pending the outcome of a complaint filed with the commission, a customer shall be obligated to pay that portion of the bill which is not in dispute and subsequent bills which are not in dispute.</w:t>
      </w:r>
    </w:p>
    <w:p w:rsidR="00F440B8" w:rsidRDefault="00F440B8" w:rsidP="00F440B8">
      <w:pPr>
        <w:rPr>
          <w:szCs w:val="24"/>
          <w:u w:val="single"/>
        </w:rPr>
      </w:pPr>
    </w:p>
    <w:p w:rsidR="00F440B8" w:rsidRDefault="00F440B8" w:rsidP="00F440B8">
      <w:r>
        <w:tab/>
      </w:r>
      <w:r>
        <w:tab/>
        <w:t xml:space="preserve">Any decision concerning a payment arrangement must be consistent with the provisions of the </w:t>
      </w:r>
      <w:r>
        <w:rPr>
          <w:i/>
        </w:rPr>
        <w:t>Responsible Utility Customer Protection Act</w:t>
      </w:r>
      <w:r>
        <w:t xml:space="preserve"> (</w:t>
      </w:r>
      <w:r w:rsidR="00147889">
        <w:t>“</w:t>
      </w:r>
      <w:r>
        <w:t>Act 201</w:t>
      </w:r>
      <w:r w:rsidR="00147889">
        <w:t>”</w:t>
      </w:r>
      <w:r>
        <w:t>)</w:t>
      </w:r>
      <w:r w:rsidR="00147889">
        <w:t>,</w:t>
      </w:r>
      <w:r>
        <w:rPr>
          <w:rStyle w:val="FootnoteReference"/>
        </w:rPr>
        <w:footnoteReference w:id="3"/>
      </w:r>
      <w:r>
        <w:t xml:space="preserve"> which legislation directs the Commission how it must establish paymen</w:t>
      </w:r>
      <w:r w:rsidR="00C81DA0">
        <w:t>t arrangements.  “Payment Agre</w:t>
      </w:r>
      <w:r>
        <w:t xml:space="preserve">ement” is defined at 66 Pa. C.S.A. §1403 as an “agreement whereby a customer who admits liability for billed service is permitted to amortize or pay the unpaid balance of the account in one or more payments.”  Complainant does not dispute the amount owed to Respondent for the electric service.  He simply alleges he cannot afford the payment plan as specified by the BCS decision in May 2011.  </w:t>
      </w:r>
    </w:p>
    <w:p w:rsidR="00F440B8" w:rsidRDefault="00F440B8" w:rsidP="00F440B8">
      <w:pPr>
        <w:ind w:firstLine="1440"/>
      </w:pPr>
    </w:p>
    <w:p w:rsidR="00F440B8" w:rsidRDefault="00F440B8" w:rsidP="00F440B8">
      <w:r>
        <w:tab/>
      </w:r>
      <w:r>
        <w:tab/>
        <w:t>Absent a change in income</w:t>
      </w:r>
      <w:r w:rsidR="00147889">
        <w:t>,</w:t>
      </w:r>
      <w:r>
        <w:rPr>
          <w:rStyle w:val="FootnoteReference"/>
        </w:rPr>
        <w:footnoteReference w:id="4"/>
      </w:r>
      <w:r>
        <w:t xml:space="preserve"> the Commission shall not establish or order a public utility to establish a second or subsequent payment agreement if a customer defaulted on a previous payment agreement.  66 Pa. C.S.A. §1405(d).  If the customer defaults on a payment agreement established under subsections (a) and (b) as a result of a significant change in </w:t>
      </w:r>
      <w:r>
        <w:lastRenderedPageBreak/>
        <w:t>circumstances, the Commission may reinstate the payment agreement and extend the remaining term for an initial period of six months.  The initial extension period may be extended for an additional six months for good cause shown.  66 Pa. C.S.A. §1405(e).</w:t>
      </w:r>
    </w:p>
    <w:p w:rsidR="00F440B8" w:rsidRDefault="00F440B8" w:rsidP="00F440B8"/>
    <w:p w:rsidR="00F440B8" w:rsidRDefault="00F440B8" w:rsidP="00F440B8">
      <w:r>
        <w:tab/>
      </w:r>
      <w:r>
        <w:tab/>
        <w:t>A “significant change in circumstance” is defined at 66 Pa. C.S.A. §1403 as “any of the following criteria when verified by the public utility and experienced by customers with household income less than 300% of the Federal poverty level;</w:t>
      </w:r>
    </w:p>
    <w:p w:rsidR="00F440B8" w:rsidRDefault="00F440B8" w:rsidP="00996E09">
      <w:r>
        <w:tab/>
      </w:r>
      <w:r>
        <w:tab/>
        <w:t xml:space="preserve">(1) </w:t>
      </w:r>
      <w:r>
        <w:tab/>
        <w:t>The onset of a chronic or acute illness resulting in a significant loss in the customer’s household income.</w:t>
      </w:r>
    </w:p>
    <w:p w:rsidR="00F440B8" w:rsidRDefault="00F440B8" w:rsidP="00996E09">
      <w:r>
        <w:tab/>
      </w:r>
      <w:r>
        <w:tab/>
        <w:t xml:space="preserve">(2) </w:t>
      </w:r>
      <w:r>
        <w:tab/>
        <w:t>Catastrophic damage to the customer’s residence resulting in a significant net cost to the customer’s household.</w:t>
      </w:r>
    </w:p>
    <w:p w:rsidR="00F440B8" w:rsidRDefault="00F440B8" w:rsidP="00996E09">
      <w:r>
        <w:tab/>
      </w:r>
      <w:r>
        <w:tab/>
        <w:t>(3)</w:t>
      </w:r>
      <w:r>
        <w:tab/>
        <w:t>Loss of the customer’s residence.</w:t>
      </w:r>
    </w:p>
    <w:p w:rsidR="00F440B8" w:rsidRDefault="00F440B8" w:rsidP="00996E09">
      <w:r>
        <w:tab/>
      </w:r>
      <w:r>
        <w:tab/>
        <w:t>(4)</w:t>
      </w:r>
      <w:r>
        <w:tab/>
        <w:t>Increase in the customer’s number of dependents in the household.”</w:t>
      </w:r>
    </w:p>
    <w:p w:rsidR="00F440B8" w:rsidRDefault="00F440B8" w:rsidP="00F440B8">
      <w:pPr>
        <w:rPr>
          <w:u w:val="single"/>
        </w:rPr>
      </w:pPr>
    </w:p>
    <w:p w:rsidR="00F440B8" w:rsidRDefault="00F440B8" w:rsidP="00F440B8">
      <w:pPr>
        <w:rPr>
          <w:u w:val="single"/>
        </w:rPr>
      </w:pPr>
      <w:r>
        <w:rPr>
          <w:u w:val="single"/>
        </w:rPr>
        <w:t>Conclusion</w:t>
      </w:r>
    </w:p>
    <w:p w:rsidR="00F440B8" w:rsidRDefault="00F440B8" w:rsidP="00F440B8"/>
    <w:p w:rsidR="00F440B8" w:rsidRDefault="00F440B8" w:rsidP="00F440B8">
      <w:r>
        <w:tab/>
      </w:r>
      <w:r>
        <w:tab/>
        <w:t xml:space="preserve">From May 6, 2011 through December 27, 2011, Complainant’s household consumed 16,021 kilowatt hours (kWh) of electric services for which Complainant was billed $1,845.86 total.  However, during that same time period, Complainant paid money on this electric services account only one time (November 25, 2011) at which time he paid $327.00 in order to avoid a termination of services.  In addition, Complainant paid money on this account only one other time between January 2010 and May 2011, when he paid $580.00 on June 25, 2010 when the account balance totaled $8,206.97.  </w:t>
      </w:r>
    </w:p>
    <w:p w:rsidR="00F440B8" w:rsidRDefault="00F440B8" w:rsidP="00F440B8"/>
    <w:p w:rsidR="00F440B8" w:rsidRDefault="00F440B8" w:rsidP="00F440B8">
      <w:r>
        <w:tab/>
      </w:r>
      <w:r>
        <w:tab/>
        <w:t>Complainant has not shown that he made a good faith effort, or any effort at all, to pay for the electric services he and his household members consume.  Between the years 2010 and 2012, Complainant entered into five (5) payment arrangements with Respondent and defaulted on all of them.  In addition, Complainant’s account history with Respondent shows Mr.</w:t>
      </w:r>
      <w:r w:rsidR="00996E09">
        <w:t> </w:t>
      </w:r>
      <w:r>
        <w:t xml:space="preserve">Welsh made only one payment in 2010 and one payment in 2011.  </w:t>
      </w:r>
    </w:p>
    <w:p w:rsidR="00F440B8" w:rsidRDefault="00F440B8" w:rsidP="00F440B8">
      <w:pPr>
        <w:pStyle w:val="CommentText"/>
        <w:spacing w:line="360" w:lineRule="auto"/>
        <w:ind w:firstLine="1440"/>
        <w:rPr>
          <w:sz w:val="24"/>
          <w:szCs w:val="24"/>
        </w:rPr>
      </w:pPr>
    </w:p>
    <w:p w:rsidR="00F440B8" w:rsidRDefault="00F440B8" w:rsidP="00F440B8">
      <w:pPr>
        <w:pStyle w:val="BodyText"/>
        <w:ind w:firstLine="1440"/>
        <w:jc w:val="left"/>
        <w:rPr>
          <w:sz w:val="24"/>
          <w:szCs w:val="24"/>
          <w:u w:val="single"/>
        </w:rPr>
      </w:pPr>
      <w:r>
        <w:rPr>
          <w:sz w:val="24"/>
          <w:szCs w:val="24"/>
        </w:rPr>
        <w:lastRenderedPageBreak/>
        <w:t>Furthermore, Complainant already received a payment arrangement from the Commission when the BCS issued an informal decision on May 6, 2011 at BCS Case No. 2825624 establishing a payment arrangement on a balance of $11,192.00.  The payment arrangement provided for a payment of the budget amount plus $466.00 for twenty-four (24) months, w</w:t>
      </w:r>
      <w:r w:rsidR="00996E09">
        <w:rPr>
          <w:sz w:val="24"/>
          <w:szCs w:val="24"/>
        </w:rPr>
        <w:t>ith</w:t>
      </w:r>
      <w:r>
        <w:rPr>
          <w:sz w:val="24"/>
          <w:szCs w:val="24"/>
        </w:rPr>
        <w:t xml:space="preserve"> the first payment due June 20, 2011.  The required payment was not made in June and has not been made to date.  Therefore, Complainant defaulted on the Commission’s payment arrangement dated May 6, 2011.</w:t>
      </w:r>
    </w:p>
    <w:p w:rsidR="00F440B8" w:rsidRDefault="00F440B8" w:rsidP="00F440B8">
      <w:pPr>
        <w:rPr>
          <w:szCs w:val="24"/>
        </w:rPr>
      </w:pPr>
    </w:p>
    <w:p w:rsidR="00F440B8" w:rsidRDefault="00F440B8" w:rsidP="00F440B8">
      <w:r>
        <w:tab/>
      </w:r>
      <w:r>
        <w:tab/>
        <w:t xml:space="preserve">In addition, Complainant did not appeal the BCS determination in a timely manner, and he has not experienced a significant change in circumstances.  Complainant did not experience any reduction in his household’s monthly income since May 2011 when the BCS entered its decision.  Some monthly expenses, for food especially, increased but no other expense increased since May 2011.  His current monthly income qualifies as a Level Two income for a four-person household.  </w:t>
      </w:r>
    </w:p>
    <w:p w:rsidR="00F440B8" w:rsidRDefault="00F440B8" w:rsidP="00F440B8"/>
    <w:p w:rsidR="00F440B8" w:rsidRDefault="00F440B8" w:rsidP="00F440B8">
      <w:pPr>
        <w:ind w:firstLine="1440"/>
      </w:pPr>
      <w:r>
        <w:t>Therefore, Complainant must comply with the BCS decision dated May 6, 2011 and must meet his Chapter 14 obligations by paying each month 1/24</w:t>
      </w:r>
      <w:r>
        <w:rPr>
          <w:vertAlign w:val="superscript"/>
        </w:rPr>
        <w:t>th</w:t>
      </w:r>
      <w:r>
        <w:t xml:space="preserve"> of the remaining balance in addition to his regular monthly budget bill.  A customer “with a gross monthly household income level not exceeding 200% of the federal poverty level” must resolve an unpaid balance on an account within two years.</w:t>
      </w:r>
      <w:r>
        <w:rPr>
          <w:rStyle w:val="FootnoteReference"/>
        </w:rPr>
        <w:footnoteReference w:id="5"/>
      </w:r>
      <w:r>
        <w:t xml:space="preserve">  For the foregoing reasons, the complaint will be denied and the following Order will be entered.  </w:t>
      </w:r>
    </w:p>
    <w:p w:rsidR="00F440B8" w:rsidRDefault="00F440B8" w:rsidP="00F440B8">
      <w:pPr>
        <w:rPr>
          <w:u w:val="single"/>
        </w:rPr>
      </w:pPr>
    </w:p>
    <w:p w:rsidR="00F440B8" w:rsidRDefault="00F440B8" w:rsidP="00F440B8">
      <w:pPr>
        <w:jc w:val="center"/>
        <w:rPr>
          <w:u w:val="single"/>
        </w:rPr>
      </w:pPr>
      <w:r>
        <w:rPr>
          <w:u w:val="single"/>
        </w:rPr>
        <w:t>CONCLUSIONS OF LAW</w:t>
      </w:r>
    </w:p>
    <w:p w:rsidR="00F440B8" w:rsidRDefault="00F440B8" w:rsidP="00F440B8">
      <w:pPr>
        <w:ind w:firstLine="1440"/>
      </w:pPr>
    </w:p>
    <w:p w:rsidR="00F440B8" w:rsidRDefault="00F440B8" w:rsidP="00F440B8">
      <w:pPr>
        <w:numPr>
          <w:ilvl w:val="0"/>
          <w:numId w:val="12"/>
        </w:numPr>
        <w:tabs>
          <w:tab w:val="clear" w:pos="900"/>
          <w:tab w:val="num" w:pos="2160"/>
        </w:tabs>
        <w:ind w:left="0" w:firstLine="1440"/>
      </w:pPr>
      <w:r>
        <w:t xml:space="preserve">The Commission has jurisdiction over the parties and the subject matter of this proceeding.  66 </w:t>
      </w:r>
      <w:smartTag w:uri="urn:schemas-microsoft-com:office:smarttags" w:element="place">
        <w:smartTag w:uri="urn:schemas-microsoft-com:office:smarttags" w:element="State">
          <w:r>
            <w:t>Pa.</w:t>
          </w:r>
        </w:smartTag>
      </w:smartTag>
      <w:r>
        <w:t xml:space="preserve"> C.S. §701.</w:t>
      </w:r>
    </w:p>
    <w:p w:rsidR="00536744" w:rsidRDefault="00536744" w:rsidP="00536744">
      <w:pPr>
        <w:ind w:left="1440"/>
      </w:pPr>
    </w:p>
    <w:p w:rsidR="00536744" w:rsidRDefault="00536744" w:rsidP="00F440B8">
      <w:pPr>
        <w:numPr>
          <w:ilvl w:val="0"/>
          <w:numId w:val="12"/>
        </w:numPr>
        <w:tabs>
          <w:tab w:val="clear" w:pos="900"/>
          <w:tab w:val="num" w:pos="2160"/>
        </w:tabs>
        <w:ind w:left="0" w:firstLine="1440"/>
      </w:pPr>
      <w:r>
        <w:t xml:space="preserve">Complainant failed to meet the burden of proving he is entitled to the </w:t>
      </w:r>
      <w:r w:rsidR="00E75D86">
        <w:t>r</w:t>
      </w:r>
      <w:r>
        <w:t>elief requested.  66 Pa. C.S.A. §332(a).</w:t>
      </w:r>
    </w:p>
    <w:p w:rsidR="00536744" w:rsidRDefault="00536744" w:rsidP="00536744">
      <w:pPr>
        <w:ind w:left="1440"/>
      </w:pPr>
    </w:p>
    <w:p w:rsidR="00536744" w:rsidRPr="00A47D52" w:rsidRDefault="00536744" w:rsidP="00F440B8">
      <w:pPr>
        <w:numPr>
          <w:ilvl w:val="0"/>
          <w:numId w:val="12"/>
        </w:numPr>
        <w:tabs>
          <w:tab w:val="clear" w:pos="900"/>
          <w:tab w:val="num" w:pos="2160"/>
        </w:tabs>
        <w:ind w:left="0" w:firstLine="1440"/>
      </w:pPr>
      <w:r>
        <w:lastRenderedPageBreak/>
        <w:t>The only payment arrangement to which Complainant is entitled is the one issued by the Bureau of Consumer Services on May 6, 2011</w:t>
      </w:r>
      <w:r>
        <w:rPr>
          <w:spacing w:val="-3"/>
        </w:rPr>
        <w:t>.</w:t>
      </w:r>
    </w:p>
    <w:p w:rsidR="00A47D52" w:rsidRDefault="00A47D52" w:rsidP="00A47D52">
      <w:pPr>
        <w:ind w:left="1800"/>
      </w:pPr>
    </w:p>
    <w:p w:rsidR="00A47D52" w:rsidRDefault="00A47D52" w:rsidP="00F440B8">
      <w:pPr>
        <w:numPr>
          <w:ilvl w:val="0"/>
          <w:numId w:val="12"/>
        </w:numPr>
        <w:tabs>
          <w:tab w:val="clear" w:pos="900"/>
          <w:tab w:val="num" w:pos="2160"/>
        </w:tabs>
        <w:ind w:left="0" w:firstLine="1440"/>
      </w:pPr>
      <w:r>
        <w:t xml:space="preserve">Complainant failed to adhere to the terms of the payment arrangement established by the Bureau of Consumer Services, and Respondent is authorized to terminate Complainant’s service pursuant to the provisions of the Public Utility Code, 66 Pa. C.S.A. §101, </w:t>
      </w:r>
      <w:r>
        <w:rPr>
          <w:i/>
        </w:rPr>
        <w:t>et seq.</w:t>
      </w:r>
      <w:r>
        <w:t xml:space="preserve">, and the Commission’s regulations, 52 Pa. Code §56.1, </w:t>
      </w:r>
      <w:r>
        <w:rPr>
          <w:i/>
        </w:rPr>
        <w:t>et seq.</w:t>
      </w:r>
    </w:p>
    <w:p w:rsidR="00F440B8" w:rsidRDefault="00F440B8" w:rsidP="00F440B8">
      <w:pPr>
        <w:tabs>
          <w:tab w:val="num" w:pos="2160"/>
        </w:tabs>
        <w:ind w:firstLine="1260"/>
      </w:pPr>
    </w:p>
    <w:p w:rsidR="00E75D86" w:rsidRDefault="00E75D86" w:rsidP="00F440B8">
      <w:pPr>
        <w:tabs>
          <w:tab w:val="num" w:pos="0"/>
        </w:tabs>
        <w:jc w:val="center"/>
        <w:rPr>
          <w:u w:val="single"/>
        </w:rPr>
      </w:pPr>
    </w:p>
    <w:p w:rsidR="00F440B8" w:rsidRDefault="00F440B8" w:rsidP="00F440B8">
      <w:pPr>
        <w:tabs>
          <w:tab w:val="num" w:pos="0"/>
        </w:tabs>
        <w:jc w:val="center"/>
        <w:rPr>
          <w:u w:val="single"/>
        </w:rPr>
      </w:pPr>
      <w:r>
        <w:rPr>
          <w:u w:val="single"/>
        </w:rPr>
        <w:t>ORDER</w:t>
      </w:r>
    </w:p>
    <w:p w:rsidR="00F440B8" w:rsidRDefault="00F440B8" w:rsidP="00F440B8">
      <w:pPr>
        <w:tabs>
          <w:tab w:val="num" w:pos="2160"/>
        </w:tabs>
        <w:ind w:firstLine="1440"/>
      </w:pPr>
    </w:p>
    <w:p w:rsidR="00E75D86" w:rsidRDefault="00E75D86" w:rsidP="00F440B8">
      <w:pPr>
        <w:tabs>
          <w:tab w:val="num" w:pos="2160"/>
        </w:tabs>
        <w:ind w:firstLine="1440"/>
      </w:pPr>
    </w:p>
    <w:p w:rsidR="00F440B8" w:rsidRDefault="00F440B8" w:rsidP="00F440B8">
      <w:pPr>
        <w:tabs>
          <w:tab w:val="num" w:pos="2160"/>
        </w:tabs>
        <w:ind w:firstLine="1440"/>
      </w:pPr>
      <w:r>
        <w:t xml:space="preserve">THEREFORE, </w:t>
      </w:r>
    </w:p>
    <w:p w:rsidR="00F440B8" w:rsidRDefault="00F440B8" w:rsidP="00F440B8">
      <w:pPr>
        <w:tabs>
          <w:tab w:val="num" w:pos="2160"/>
        </w:tabs>
      </w:pPr>
    </w:p>
    <w:p w:rsidR="00F440B8" w:rsidRDefault="00F440B8" w:rsidP="00F440B8">
      <w:pPr>
        <w:tabs>
          <w:tab w:val="num" w:pos="2160"/>
        </w:tabs>
        <w:ind w:firstLine="1440"/>
      </w:pPr>
      <w:r>
        <w:t>IT IS ORDERED:</w:t>
      </w:r>
    </w:p>
    <w:p w:rsidR="00F440B8" w:rsidRDefault="00F440B8" w:rsidP="00F440B8">
      <w:pPr>
        <w:tabs>
          <w:tab w:val="num" w:pos="2160"/>
        </w:tabs>
        <w:rPr>
          <w:b/>
        </w:rPr>
      </w:pPr>
    </w:p>
    <w:p w:rsidR="00536744" w:rsidRDefault="00F440B8" w:rsidP="00F440B8">
      <w:pPr>
        <w:tabs>
          <w:tab w:val="num" w:pos="2160"/>
        </w:tabs>
        <w:ind w:firstLine="1440"/>
      </w:pPr>
      <w:r>
        <w:t>1.</w:t>
      </w:r>
      <w:r>
        <w:tab/>
        <w:t>That the motion of Pennsylvania Power Company to dismiss the complaint of Charles Welsh at Docket No. C-2011-2256611 is denied</w:t>
      </w:r>
      <w:r w:rsidR="00536744">
        <w:t>.</w:t>
      </w:r>
    </w:p>
    <w:p w:rsidR="00536744" w:rsidRDefault="00536744" w:rsidP="00F440B8">
      <w:pPr>
        <w:tabs>
          <w:tab w:val="num" w:pos="2160"/>
        </w:tabs>
        <w:ind w:firstLine="1440"/>
      </w:pPr>
      <w:r>
        <w:t xml:space="preserve"> </w:t>
      </w:r>
    </w:p>
    <w:p w:rsidR="00F440B8" w:rsidRDefault="00536744" w:rsidP="00F440B8">
      <w:pPr>
        <w:tabs>
          <w:tab w:val="num" w:pos="2160"/>
        </w:tabs>
        <w:ind w:firstLine="1440"/>
      </w:pPr>
      <w:r>
        <w:t>2.</w:t>
      </w:r>
      <w:r>
        <w:tab/>
        <w:t xml:space="preserve">That the complaint filed at </w:t>
      </w:r>
      <w:r>
        <w:rPr>
          <w:u w:val="single"/>
        </w:rPr>
        <w:t>Charles Welsh versus Pennsylvania Power Company</w:t>
      </w:r>
      <w:r>
        <w:t xml:space="preserve"> at Docket No. C-2011-2256611 is dismissed and the docket is marked as closed.</w:t>
      </w:r>
    </w:p>
    <w:p w:rsidR="00F440B8" w:rsidRDefault="00F440B8" w:rsidP="00F440B8">
      <w:pPr>
        <w:tabs>
          <w:tab w:val="num" w:pos="2160"/>
        </w:tabs>
        <w:ind w:firstLine="1440"/>
      </w:pPr>
    </w:p>
    <w:p w:rsidR="00F440B8" w:rsidRDefault="00F440B8" w:rsidP="00F440B8">
      <w:pPr>
        <w:tabs>
          <w:tab w:val="num" w:pos="2160"/>
        </w:tabs>
      </w:pPr>
    </w:p>
    <w:p w:rsidR="00F440B8" w:rsidRDefault="00F440B8" w:rsidP="00CD2EDD">
      <w:pPr>
        <w:tabs>
          <w:tab w:val="num" w:pos="2160"/>
        </w:tabs>
        <w:spacing w:line="240" w:lineRule="auto"/>
      </w:pPr>
      <w:r>
        <w:t xml:space="preserve">Date:  </w:t>
      </w:r>
      <w:r>
        <w:rPr>
          <w:u w:val="single"/>
        </w:rPr>
        <w:t>April 3, 2012</w:t>
      </w:r>
      <w:r>
        <w:tab/>
      </w:r>
      <w:r>
        <w:tab/>
      </w:r>
      <w:r w:rsidR="00CD2EDD">
        <w:tab/>
      </w:r>
      <w:r w:rsidR="00CD2EDD">
        <w:tab/>
      </w:r>
      <w:r>
        <w:tab/>
        <w:t>______________________________</w:t>
      </w:r>
    </w:p>
    <w:p w:rsidR="00F440B8" w:rsidRDefault="00F440B8" w:rsidP="00F440B8">
      <w:pPr>
        <w:tabs>
          <w:tab w:val="num" w:pos="2160"/>
        </w:tabs>
        <w:spacing w:line="240" w:lineRule="auto"/>
      </w:pPr>
      <w:r>
        <w:tab/>
      </w:r>
      <w:r>
        <w:tab/>
      </w:r>
      <w:r>
        <w:tab/>
      </w:r>
      <w:r>
        <w:tab/>
      </w:r>
      <w:r>
        <w:tab/>
        <w:t>Katrina L. Dunderdale</w:t>
      </w:r>
    </w:p>
    <w:p w:rsidR="00F440B8" w:rsidRDefault="00F440B8" w:rsidP="00F440B8">
      <w:pPr>
        <w:tabs>
          <w:tab w:val="num" w:pos="2160"/>
        </w:tabs>
        <w:spacing w:line="240" w:lineRule="auto"/>
      </w:pPr>
      <w:r>
        <w:tab/>
      </w:r>
      <w:r>
        <w:tab/>
      </w:r>
      <w:r>
        <w:tab/>
      </w:r>
      <w:r>
        <w:tab/>
      </w:r>
      <w:r>
        <w:tab/>
        <w:t>Administrative Law Judge</w:t>
      </w:r>
    </w:p>
    <w:p w:rsidR="003F3C6F" w:rsidRDefault="003F3C6F" w:rsidP="00F440B8">
      <w:pPr>
        <w:tabs>
          <w:tab w:val="left" w:pos="0"/>
        </w:tabs>
        <w:spacing w:line="240" w:lineRule="auto"/>
        <w:jc w:val="both"/>
      </w:pPr>
    </w:p>
    <w:sectPr w:rsidR="003F3C6F" w:rsidSect="009F2FA4">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762" w:rsidRDefault="006E6762" w:rsidP="003F3C6F">
      <w:pPr>
        <w:spacing w:line="240" w:lineRule="auto"/>
      </w:pPr>
      <w:r>
        <w:separator/>
      </w:r>
    </w:p>
  </w:endnote>
  <w:endnote w:type="continuationSeparator" w:id="0">
    <w:p w:rsidR="006E6762" w:rsidRDefault="006E6762"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439405"/>
      <w:docPartObj>
        <w:docPartGallery w:val="Page Numbers (Bottom of Page)"/>
        <w:docPartUnique/>
      </w:docPartObj>
    </w:sdtPr>
    <w:sdtEndPr>
      <w:rPr>
        <w:sz w:val="22"/>
        <w:szCs w:val="22"/>
      </w:rPr>
    </w:sdtEndPr>
    <w:sdtContent>
      <w:p w:rsidR="005913C3" w:rsidRDefault="009503C8">
        <w:pPr>
          <w:pStyle w:val="Footer"/>
          <w:jc w:val="center"/>
        </w:pPr>
        <w:r w:rsidRPr="00A2234C">
          <w:rPr>
            <w:sz w:val="20"/>
          </w:rPr>
          <w:fldChar w:fldCharType="begin"/>
        </w:r>
        <w:r w:rsidR="005913C3" w:rsidRPr="00A2234C">
          <w:rPr>
            <w:sz w:val="20"/>
          </w:rPr>
          <w:instrText xml:space="preserve"> PAGE   \* MERGEFORMAT </w:instrText>
        </w:r>
        <w:r w:rsidRPr="00A2234C">
          <w:rPr>
            <w:sz w:val="20"/>
          </w:rPr>
          <w:fldChar w:fldCharType="separate"/>
        </w:r>
        <w:r w:rsidR="00B50D15">
          <w:rPr>
            <w:noProof/>
            <w:sz w:val="20"/>
          </w:rPr>
          <w:t>3</w:t>
        </w:r>
        <w:r w:rsidRPr="00A2234C">
          <w:rPr>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32439401"/>
      <w:docPartObj>
        <w:docPartGallery w:val="Page Numbers (Bottom of Page)"/>
        <w:docPartUnique/>
      </w:docPartObj>
    </w:sdtPr>
    <w:sdtEndPr/>
    <w:sdtContent>
      <w:p w:rsidR="00617E16" w:rsidRPr="00617E16" w:rsidRDefault="006E6762">
        <w:pPr>
          <w:pStyle w:val="Footer"/>
          <w:jc w:val="center"/>
          <w:rPr>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762" w:rsidRDefault="006E6762" w:rsidP="003F3C6F">
      <w:pPr>
        <w:spacing w:line="240" w:lineRule="auto"/>
      </w:pPr>
      <w:r>
        <w:separator/>
      </w:r>
    </w:p>
  </w:footnote>
  <w:footnote w:type="continuationSeparator" w:id="0">
    <w:p w:rsidR="006E6762" w:rsidRDefault="006E6762" w:rsidP="00A0161B">
      <w:pPr>
        <w:spacing w:line="240" w:lineRule="auto"/>
      </w:pPr>
      <w:r>
        <w:separator/>
      </w:r>
    </w:p>
    <w:p w:rsidR="006E6762" w:rsidRDefault="006E6762" w:rsidP="003F3C6F">
      <w:pPr>
        <w:spacing w:line="240" w:lineRule="auto"/>
      </w:pPr>
    </w:p>
  </w:footnote>
  <w:footnote w:id="1">
    <w:p w:rsidR="00F440B8" w:rsidRDefault="00F440B8" w:rsidP="00F440B8">
      <w:pPr>
        <w:pStyle w:val="FootnoteText"/>
      </w:pPr>
      <w:r>
        <w:rPr>
          <w:rStyle w:val="FootnoteReference"/>
        </w:rPr>
        <w:footnoteRef/>
      </w:r>
      <w:r>
        <w:t xml:space="preserve"> </w:t>
      </w:r>
      <w:r>
        <w:tab/>
      </w:r>
      <w:r>
        <w:rPr>
          <w:u w:val="single"/>
        </w:rPr>
        <w:t>Scaccia v. West Penn Power Company</w:t>
      </w:r>
      <w:r>
        <w:t xml:space="preserve">, 55 Pa. P.U.C. 637 (1982).  </w:t>
      </w:r>
    </w:p>
    <w:p w:rsidR="00F440B8" w:rsidRDefault="00F440B8" w:rsidP="00F440B8">
      <w:pPr>
        <w:pStyle w:val="FootnoteText"/>
      </w:pPr>
    </w:p>
  </w:footnote>
  <w:footnote w:id="2">
    <w:p w:rsidR="00F440B8" w:rsidRDefault="00F440B8" w:rsidP="00F440B8">
      <w:pPr>
        <w:pStyle w:val="FootnoteText"/>
      </w:pPr>
      <w:r>
        <w:rPr>
          <w:rStyle w:val="FootnoteReference"/>
        </w:rPr>
        <w:footnoteRef/>
      </w:r>
      <w:r>
        <w:t xml:space="preserve"> </w:t>
      </w:r>
      <w:r>
        <w:tab/>
      </w:r>
      <w:r>
        <w:rPr>
          <w:u w:val="single"/>
        </w:rPr>
        <w:t>Bolt v. Duquesne Light Company</w:t>
      </w:r>
      <w:r>
        <w:t>, Docket No. Z</w:t>
      </w:r>
      <w:r>
        <w:noBreakHyphen/>
        <w:t>8712758 (Order entered April 4, 1988).</w:t>
      </w:r>
    </w:p>
  </w:footnote>
  <w:footnote w:id="3">
    <w:p w:rsidR="00F440B8" w:rsidRDefault="00F440B8" w:rsidP="00F440B8">
      <w:pPr>
        <w:pStyle w:val="FootnoteText"/>
      </w:pPr>
      <w:r>
        <w:rPr>
          <w:rStyle w:val="FootnoteReference"/>
        </w:rPr>
        <w:footnoteRef/>
      </w:r>
      <w:r>
        <w:t xml:space="preserve"> </w:t>
      </w:r>
      <w:r>
        <w:tab/>
        <w:t>Act 201 became effective on December 14, 2004.</w:t>
      </w:r>
    </w:p>
    <w:p w:rsidR="00F440B8" w:rsidRDefault="00F440B8" w:rsidP="00F440B8">
      <w:pPr>
        <w:pStyle w:val="FootnoteText"/>
      </w:pPr>
    </w:p>
  </w:footnote>
  <w:footnote w:id="4">
    <w:p w:rsidR="00F440B8" w:rsidRDefault="00F440B8" w:rsidP="00F440B8">
      <w:pPr>
        <w:spacing w:line="240" w:lineRule="auto"/>
        <w:rPr>
          <w:sz w:val="20"/>
        </w:rPr>
      </w:pPr>
      <w:r>
        <w:rPr>
          <w:rStyle w:val="FootnoteReference"/>
        </w:rPr>
        <w:footnoteRef/>
      </w:r>
      <w:r>
        <w:t xml:space="preserve"> </w:t>
      </w:r>
      <w:r>
        <w:tab/>
      </w:r>
      <w:r>
        <w:rPr>
          <w:sz w:val="20"/>
        </w:rPr>
        <w:t>A “change in income” is defined at 66 Pa. C.S.A. §1403 as a “decrease in household income of 20% or more if the customer’s household income level exceeds 200% of the Federal poverty level or a decrease in household income of 10% or more if the customer’s household income level is 200% or less of the Federal poverty level.”</w:t>
      </w:r>
    </w:p>
    <w:p w:rsidR="00F440B8" w:rsidRDefault="00F440B8" w:rsidP="00F440B8">
      <w:pPr>
        <w:pStyle w:val="FootnoteText"/>
      </w:pPr>
    </w:p>
  </w:footnote>
  <w:footnote w:id="5">
    <w:p w:rsidR="00F440B8" w:rsidRDefault="00F440B8" w:rsidP="00F440B8">
      <w:pPr>
        <w:pStyle w:val="FootnoteText"/>
      </w:pPr>
      <w:r>
        <w:rPr>
          <w:rStyle w:val="FootnoteReference"/>
        </w:rPr>
        <w:footnoteRef/>
      </w:r>
      <w:r>
        <w:t xml:space="preserve"> </w:t>
      </w:r>
      <w:r>
        <w:tab/>
        <w:t>See 66 Pa. C.S.A. §1405(b)(2).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7662838"/>
    <w:lvl w:ilvl="0">
      <w:start w:val="1"/>
      <w:numFmt w:val="decimal"/>
      <w:pStyle w:val="ListNumber"/>
      <w:lvlText w:val="%1."/>
      <w:lvlJc w:val="left"/>
      <w:pPr>
        <w:tabs>
          <w:tab w:val="num" w:pos="360"/>
        </w:tabs>
        <w:ind w:left="360" w:hanging="36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63FA4"/>
    <w:multiLevelType w:val="hybridMultilevel"/>
    <w:tmpl w:val="D370EFC2"/>
    <w:lvl w:ilvl="0" w:tplc="7376D52C">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7AC33F0"/>
    <w:multiLevelType w:val="hybridMultilevel"/>
    <w:tmpl w:val="5B4E3BF8"/>
    <w:lvl w:ilvl="0" w:tplc="0A90888A">
      <w:start w:val="1"/>
      <w:numFmt w:val="decimal"/>
      <w:pStyle w:val="StyleListParagraph12ptLinespacing15line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AB1600"/>
    <w:multiLevelType w:val="hybridMultilevel"/>
    <w:tmpl w:val="874283D0"/>
    <w:lvl w:ilvl="0" w:tplc="61988D6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34A3641"/>
    <w:multiLevelType w:val="hybridMultilevel"/>
    <w:tmpl w:val="3EF6CCCE"/>
    <w:lvl w:ilvl="0" w:tplc="468E3B2A">
      <w:start w:val="1"/>
      <w:numFmt w:val="decimal"/>
      <w:lvlText w:val="%1."/>
      <w:lvlJc w:val="left"/>
      <w:pPr>
        <w:ind w:left="3660" w:hanging="22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438869B3"/>
    <w:multiLevelType w:val="hybridMultilevel"/>
    <w:tmpl w:val="048EFC0E"/>
    <w:lvl w:ilvl="0" w:tplc="9FA885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34C1E"/>
    <w:multiLevelType w:val="hybridMultilevel"/>
    <w:tmpl w:val="2C066412"/>
    <w:lvl w:ilvl="0" w:tplc="3FCA947C">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5B2A33A9"/>
    <w:multiLevelType w:val="multilevel"/>
    <w:tmpl w:val="55B21D02"/>
    <w:lvl w:ilvl="0">
      <w:start w:val="1"/>
      <w:numFmt w:val="upperRoman"/>
      <w:pStyle w:val="Pleading1L1"/>
      <w:lvlText w:val="%1."/>
      <w:lvlJc w:val="left"/>
      <w:pPr>
        <w:tabs>
          <w:tab w:val="num" w:pos="720"/>
        </w:tabs>
        <w:ind w:left="720" w:hanging="720"/>
      </w:pPr>
      <w:rPr>
        <w:rFonts w:ascii="Times New Roman" w:hAnsi="Times New Roman" w:hint="default"/>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Restart w:val="0"/>
      <w:pStyle w:val="Pleading1L2"/>
      <w:lvlText w:val="%2."/>
      <w:lvlJc w:val="left"/>
      <w:pPr>
        <w:tabs>
          <w:tab w:val="num" w:pos="1440"/>
        </w:tabs>
        <w:ind w:left="0" w:firstLine="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1L3"/>
      <w:lvlText w:val="%3."/>
      <w:lvlJc w:val="left"/>
      <w:pPr>
        <w:tabs>
          <w:tab w:val="num" w:pos="1680"/>
        </w:tabs>
        <w:ind w:left="-480" w:firstLine="144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pStyle w:val="Pleading1L4"/>
      <w:lvlText w:val="%4."/>
      <w:lvlJc w:val="left"/>
      <w:pPr>
        <w:tabs>
          <w:tab w:val="num" w:pos="2880"/>
        </w:tabs>
        <w:ind w:left="720" w:firstLine="144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Pleading1L5"/>
      <w:lvlText w:val="(%5)"/>
      <w:lvlJc w:val="left"/>
      <w:pPr>
        <w:tabs>
          <w:tab w:val="num" w:pos="3600"/>
        </w:tabs>
        <w:ind w:left="1440" w:firstLine="144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798704F2"/>
    <w:multiLevelType w:val="hybridMultilevel"/>
    <w:tmpl w:val="430226EC"/>
    <w:name w:val="zzmpPleading1||Pleading1 |2|1|1|1|0|45||1|0|36||1|0|32||1|0|32||1|0|32||1|0|32||1|0|32||1|0|32||1|0|32||"/>
    <w:lvl w:ilvl="0" w:tplc="7A686134">
      <w:start w:val="1"/>
      <w:numFmt w:val="decimal"/>
      <w:lvlText w:val="%1."/>
      <w:lvlJc w:val="left"/>
      <w:pPr>
        <w:ind w:left="3240" w:hanging="360"/>
      </w:pPr>
    </w:lvl>
    <w:lvl w:ilvl="1" w:tplc="64D26902" w:tentative="1">
      <w:start w:val="1"/>
      <w:numFmt w:val="lowerLetter"/>
      <w:lvlText w:val="%2."/>
      <w:lvlJc w:val="left"/>
      <w:pPr>
        <w:ind w:left="3960" w:hanging="360"/>
      </w:pPr>
    </w:lvl>
    <w:lvl w:ilvl="2" w:tplc="06649CD0" w:tentative="1">
      <w:start w:val="1"/>
      <w:numFmt w:val="lowerRoman"/>
      <w:lvlText w:val="%3."/>
      <w:lvlJc w:val="right"/>
      <w:pPr>
        <w:ind w:left="4680" w:hanging="180"/>
      </w:pPr>
    </w:lvl>
    <w:lvl w:ilvl="3" w:tplc="41FE40CE" w:tentative="1">
      <w:start w:val="1"/>
      <w:numFmt w:val="decimal"/>
      <w:lvlText w:val="%4."/>
      <w:lvlJc w:val="left"/>
      <w:pPr>
        <w:ind w:left="5400" w:hanging="360"/>
      </w:pPr>
    </w:lvl>
    <w:lvl w:ilvl="4" w:tplc="7C02D63C" w:tentative="1">
      <w:start w:val="1"/>
      <w:numFmt w:val="lowerLetter"/>
      <w:lvlText w:val="%5."/>
      <w:lvlJc w:val="left"/>
      <w:pPr>
        <w:ind w:left="6120" w:hanging="360"/>
      </w:pPr>
    </w:lvl>
    <w:lvl w:ilvl="5" w:tplc="7C485B18" w:tentative="1">
      <w:start w:val="1"/>
      <w:numFmt w:val="lowerRoman"/>
      <w:lvlText w:val="%6."/>
      <w:lvlJc w:val="right"/>
      <w:pPr>
        <w:ind w:left="6840" w:hanging="180"/>
      </w:pPr>
    </w:lvl>
    <w:lvl w:ilvl="6" w:tplc="06D6962C" w:tentative="1">
      <w:start w:val="1"/>
      <w:numFmt w:val="decimal"/>
      <w:lvlText w:val="%7."/>
      <w:lvlJc w:val="left"/>
      <w:pPr>
        <w:ind w:left="7560" w:hanging="360"/>
      </w:pPr>
    </w:lvl>
    <w:lvl w:ilvl="7" w:tplc="88521518" w:tentative="1">
      <w:start w:val="1"/>
      <w:numFmt w:val="lowerLetter"/>
      <w:lvlText w:val="%8."/>
      <w:lvlJc w:val="left"/>
      <w:pPr>
        <w:ind w:left="8280" w:hanging="360"/>
      </w:pPr>
    </w:lvl>
    <w:lvl w:ilvl="8" w:tplc="869C7DA2" w:tentative="1">
      <w:start w:val="1"/>
      <w:numFmt w:val="lowerRoman"/>
      <w:lvlText w:val="%9."/>
      <w:lvlJc w:val="right"/>
      <w:pPr>
        <w:ind w:left="9000" w:hanging="180"/>
      </w:pPr>
    </w:lvl>
  </w:abstractNum>
  <w:num w:numId="1">
    <w:abstractNumId w:val="3"/>
  </w:num>
  <w:num w:numId="2">
    <w:abstractNumId w:val="2"/>
  </w:num>
  <w:num w:numId="3">
    <w:abstractNumId w:val="8"/>
  </w:num>
  <w:num w:numId="4">
    <w:abstractNumId w:val="9"/>
  </w:num>
  <w:num w:numId="5">
    <w:abstractNumId w:val="11"/>
  </w:num>
  <w:num w:numId="6">
    <w:abstractNumId w:val="10"/>
  </w:num>
  <w:num w:numId="7">
    <w:abstractNumId w:val="0"/>
  </w:num>
  <w:num w:numId="8">
    <w:abstractNumId w:val="6"/>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D64"/>
    <w:rsid w:val="00000FF5"/>
    <w:rsid w:val="0001124B"/>
    <w:rsid w:val="0001297E"/>
    <w:rsid w:val="00015065"/>
    <w:rsid w:val="0001597C"/>
    <w:rsid w:val="00023638"/>
    <w:rsid w:val="00036C6D"/>
    <w:rsid w:val="000437A0"/>
    <w:rsid w:val="00055BAD"/>
    <w:rsid w:val="000610CD"/>
    <w:rsid w:val="0007317F"/>
    <w:rsid w:val="00083F2E"/>
    <w:rsid w:val="000863BB"/>
    <w:rsid w:val="0008685B"/>
    <w:rsid w:val="00090258"/>
    <w:rsid w:val="00091068"/>
    <w:rsid w:val="00091509"/>
    <w:rsid w:val="000A15DB"/>
    <w:rsid w:val="000A339B"/>
    <w:rsid w:val="000B44E4"/>
    <w:rsid w:val="000C2755"/>
    <w:rsid w:val="000C2C16"/>
    <w:rsid w:val="000C55DE"/>
    <w:rsid w:val="000D3668"/>
    <w:rsid w:val="000D4B38"/>
    <w:rsid w:val="000D4FEF"/>
    <w:rsid w:val="000D67FD"/>
    <w:rsid w:val="000E0263"/>
    <w:rsid w:val="000E7EC3"/>
    <w:rsid w:val="000F7742"/>
    <w:rsid w:val="00103967"/>
    <w:rsid w:val="001050F9"/>
    <w:rsid w:val="00105B01"/>
    <w:rsid w:val="0010637D"/>
    <w:rsid w:val="001169EA"/>
    <w:rsid w:val="00120592"/>
    <w:rsid w:val="00122C66"/>
    <w:rsid w:val="0012503E"/>
    <w:rsid w:val="001310B9"/>
    <w:rsid w:val="001337BF"/>
    <w:rsid w:val="001375AF"/>
    <w:rsid w:val="001413A2"/>
    <w:rsid w:val="001429E4"/>
    <w:rsid w:val="00144E27"/>
    <w:rsid w:val="00146F7F"/>
    <w:rsid w:val="00147889"/>
    <w:rsid w:val="001529F7"/>
    <w:rsid w:val="00155A74"/>
    <w:rsid w:val="0016449B"/>
    <w:rsid w:val="001837A1"/>
    <w:rsid w:val="001905C6"/>
    <w:rsid w:val="00192509"/>
    <w:rsid w:val="001945B1"/>
    <w:rsid w:val="001A21E9"/>
    <w:rsid w:val="001A4218"/>
    <w:rsid w:val="001B03C8"/>
    <w:rsid w:val="001B176C"/>
    <w:rsid w:val="001B7189"/>
    <w:rsid w:val="001C051F"/>
    <w:rsid w:val="001C102B"/>
    <w:rsid w:val="001C34AC"/>
    <w:rsid w:val="001D1DD6"/>
    <w:rsid w:val="001E2D14"/>
    <w:rsid w:val="001E2E94"/>
    <w:rsid w:val="001E4DAF"/>
    <w:rsid w:val="001F0F09"/>
    <w:rsid w:val="001F6C7E"/>
    <w:rsid w:val="00207814"/>
    <w:rsid w:val="0021039D"/>
    <w:rsid w:val="00214485"/>
    <w:rsid w:val="0022168C"/>
    <w:rsid w:val="00230F7F"/>
    <w:rsid w:val="002326C8"/>
    <w:rsid w:val="00240673"/>
    <w:rsid w:val="0024243A"/>
    <w:rsid w:val="00246040"/>
    <w:rsid w:val="002522D4"/>
    <w:rsid w:val="00253CF9"/>
    <w:rsid w:val="002676FF"/>
    <w:rsid w:val="00272ABD"/>
    <w:rsid w:val="0028123B"/>
    <w:rsid w:val="002A634F"/>
    <w:rsid w:val="002B5A13"/>
    <w:rsid w:val="002C4338"/>
    <w:rsid w:val="002C7BDE"/>
    <w:rsid w:val="002D0C73"/>
    <w:rsid w:val="002D6283"/>
    <w:rsid w:val="002E27F0"/>
    <w:rsid w:val="002E6068"/>
    <w:rsid w:val="00303A0A"/>
    <w:rsid w:val="00317BD9"/>
    <w:rsid w:val="003335F7"/>
    <w:rsid w:val="00341861"/>
    <w:rsid w:val="00345EC4"/>
    <w:rsid w:val="00350632"/>
    <w:rsid w:val="00351E8B"/>
    <w:rsid w:val="00355EA7"/>
    <w:rsid w:val="003560A8"/>
    <w:rsid w:val="00357ED9"/>
    <w:rsid w:val="003763E0"/>
    <w:rsid w:val="00376808"/>
    <w:rsid w:val="003857A1"/>
    <w:rsid w:val="00396E05"/>
    <w:rsid w:val="003A1B83"/>
    <w:rsid w:val="003A41DA"/>
    <w:rsid w:val="003A79AB"/>
    <w:rsid w:val="003C10B2"/>
    <w:rsid w:val="003C3039"/>
    <w:rsid w:val="003C3A97"/>
    <w:rsid w:val="003C7C56"/>
    <w:rsid w:val="003D284F"/>
    <w:rsid w:val="003D5372"/>
    <w:rsid w:val="003E0746"/>
    <w:rsid w:val="003F3C6F"/>
    <w:rsid w:val="003F6452"/>
    <w:rsid w:val="00404BB0"/>
    <w:rsid w:val="00404CFD"/>
    <w:rsid w:val="00413370"/>
    <w:rsid w:val="00416C25"/>
    <w:rsid w:val="0041757F"/>
    <w:rsid w:val="004229FB"/>
    <w:rsid w:val="004270FC"/>
    <w:rsid w:val="00427DD7"/>
    <w:rsid w:val="00437C6C"/>
    <w:rsid w:val="00443033"/>
    <w:rsid w:val="00443DD5"/>
    <w:rsid w:val="00444146"/>
    <w:rsid w:val="00461358"/>
    <w:rsid w:val="00470A03"/>
    <w:rsid w:val="0048765A"/>
    <w:rsid w:val="00491DB0"/>
    <w:rsid w:val="00496C77"/>
    <w:rsid w:val="004A2B17"/>
    <w:rsid w:val="004B7DCB"/>
    <w:rsid w:val="004C00F7"/>
    <w:rsid w:val="004C509C"/>
    <w:rsid w:val="004D1F03"/>
    <w:rsid w:val="004D3935"/>
    <w:rsid w:val="004D7BCA"/>
    <w:rsid w:val="004E174F"/>
    <w:rsid w:val="004E323B"/>
    <w:rsid w:val="004E7ABB"/>
    <w:rsid w:val="004F474F"/>
    <w:rsid w:val="00501D89"/>
    <w:rsid w:val="00502C0C"/>
    <w:rsid w:val="0051125D"/>
    <w:rsid w:val="00512D0B"/>
    <w:rsid w:val="00516A01"/>
    <w:rsid w:val="00521712"/>
    <w:rsid w:val="005221D7"/>
    <w:rsid w:val="00522979"/>
    <w:rsid w:val="00535E8C"/>
    <w:rsid w:val="00536744"/>
    <w:rsid w:val="00540E48"/>
    <w:rsid w:val="00541D97"/>
    <w:rsid w:val="005425B0"/>
    <w:rsid w:val="0054772F"/>
    <w:rsid w:val="00560D36"/>
    <w:rsid w:val="005614F5"/>
    <w:rsid w:val="00564DC5"/>
    <w:rsid w:val="00567537"/>
    <w:rsid w:val="005724EB"/>
    <w:rsid w:val="00572B83"/>
    <w:rsid w:val="005843DF"/>
    <w:rsid w:val="005913C3"/>
    <w:rsid w:val="00592FAE"/>
    <w:rsid w:val="00594CBA"/>
    <w:rsid w:val="005A2083"/>
    <w:rsid w:val="005A312C"/>
    <w:rsid w:val="005A62B6"/>
    <w:rsid w:val="005B0567"/>
    <w:rsid w:val="005B5FE1"/>
    <w:rsid w:val="005D28CA"/>
    <w:rsid w:val="005E0F71"/>
    <w:rsid w:val="005E483C"/>
    <w:rsid w:val="005F2EBA"/>
    <w:rsid w:val="005F5E4D"/>
    <w:rsid w:val="005F6194"/>
    <w:rsid w:val="0060682A"/>
    <w:rsid w:val="00611926"/>
    <w:rsid w:val="00611CC3"/>
    <w:rsid w:val="00617E16"/>
    <w:rsid w:val="00622E30"/>
    <w:rsid w:val="00630551"/>
    <w:rsid w:val="00641549"/>
    <w:rsid w:val="0065080A"/>
    <w:rsid w:val="006535C0"/>
    <w:rsid w:val="00656869"/>
    <w:rsid w:val="00657CF3"/>
    <w:rsid w:val="006602A5"/>
    <w:rsid w:val="006629ED"/>
    <w:rsid w:val="00662BC4"/>
    <w:rsid w:val="00673B7D"/>
    <w:rsid w:val="006772F0"/>
    <w:rsid w:val="00681321"/>
    <w:rsid w:val="006840FF"/>
    <w:rsid w:val="00686C47"/>
    <w:rsid w:val="00687C61"/>
    <w:rsid w:val="00696D25"/>
    <w:rsid w:val="006A6ABB"/>
    <w:rsid w:val="006C04DC"/>
    <w:rsid w:val="006D47EB"/>
    <w:rsid w:val="006D5C0F"/>
    <w:rsid w:val="006D741B"/>
    <w:rsid w:val="006E6762"/>
    <w:rsid w:val="006E7356"/>
    <w:rsid w:val="006F363F"/>
    <w:rsid w:val="006F428D"/>
    <w:rsid w:val="006F66D2"/>
    <w:rsid w:val="006F75EE"/>
    <w:rsid w:val="006F78AD"/>
    <w:rsid w:val="0070171B"/>
    <w:rsid w:val="00702CAA"/>
    <w:rsid w:val="00711324"/>
    <w:rsid w:val="00715495"/>
    <w:rsid w:val="00721434"/>
    <w:rsid w:val="00724CC5"/>
    <w:rsid w:val="00732B9E"/>
    <w:rsid w:val="00737210"/>
    <w:rsid w:val="00741B94"/>
    <w:rsid w:val="00743EFC"/>
    <w:rsid w:val="0074525C"/>
    <w:rsid w:val="0075143F"/>
    <w:rsid w:val="00755A99"/>
    <w:rsid w:val="0076730C"/>
    <w:rsid w:val="00774973"/>
    <w:rsid w:val="0078002A"/>
    <w:rsid w:val="00782F5D"/>
    <w:rsid w:val="007A4346"/>
    <w:rsid w:val="007A7E94"/>
    <w:rsid w:val="007B02A3"/>
    <w:rsid w:val="007C3513"/>
    <w:rsid w:val="007C4DCD"/>
    <w:rsid w:val="007D3E43"/>
    <w:rsid w:val="007E44F4"/>
    <w:rsid w:val="007E59FD"/>
    <w:rsid w:val="007F0CEF"/>
    <w:rsid w:val="007F5BAB"/>
    <w:rsid w:val="008024E7"/>
    <w:rsid w:val="00802D4A"/>
    <w:rsid w:val="00805DC5"/>
    <w:rsid w:val="008230AA"/>
    <w:rsid w:val="00823844"/>
    <w:rsid w:val="00825B08"/>
    <w:rsid w:val="00831834"/>
    <w:rsid w:val="008348AD"/>
    <w:rsid w:val="008539B0"/>
    <w:rsid w:val="00855EE7"/>
    <w:rsid w:val="008646FB"/>
    <w:rsid w:val="0086640D"/>
    <w:rsid w:val="0086782E"/>
    <w:rsid w:val="00867DE5"/>
    <w:rsid w:val="008712E3"/>
    <w:rsid w:val="00887FCD"/>
    <w:rsid w:val="008901EE"/>
    <w:rsid w:val="00890CE3"/>
    <w:rsid w:val="00896515"/>
    <w:rsid w:val="008A356F"/>
    <w:rsid w:val="008B4037"/>
    <w:rsid w:val="008C6598"/>
    <w:rsid w:val="008C65E2"/>
    <w:rsid w:val="008C74C9"/>
    <w:rsid w:val="008E081B"/>
    <w:rsid w:val="008E37C7"/>
    <w:rsid w:val="008E4522"/>
    <w:rsid w:val="008F0A29"/>
    <w:rsid w:val="008F2CF0"/>
    <w:rsid w:val="008F5457"/>
    <w:rsid w:val="009016BE"/>
    <w:rsid w:val="00911CE8"/>
    <w:rsid w:val="00914542"/>
    <w:rsid w:val="0092169E"/>
    <w:rsid w:val="00925CB9"/>
    <w:rsid w:val="00927ED9"/>
    <w:rsid w:val="00941A50"/>
    <w:rsid w:val="009475FB"/>
    <w:rsid w:val="009501EC"/>
    <w:rsid w:val="009503C8"/>
    <w:rsid w:val="00955913"/>
    <w:rsid w:val="00955CF8"/>
    <w:rsid w:val="00956EDE"/>
    <w:rsid w:val="00957F34"/>
    <w:rsid w:val="00961C4B"/>
    <w:rsid w:val="00970434"/>
    <w:rsid w:val="00974C25"/>
    <w:rsid w:val="00975F23"/>
    <w:rsid w:val="00985630"/>
    <w:rsid w:val="00986B02"/>
    <w:rsid w:val="00996E09"/>
    <w:rsid w:val="009A02EE"/>
    <w:rsid w:val="009A4582"/>
    <w:rsid w:val="009A46E7"/>
    <w:rsid w:val="009A54B4"/>
    <w:rsid w:val="009B38D3"/>
    <w:rsid w:val="009C44A8"/>
    <w:rsid w:val="009C4751"/>
    <w:rsid w:val="009C6F44"/>
    <w:rsid w:val="009E0192"/>
    <w:rsid w:val="009E5506"/>
    <w:rsid w:val="009E7330"/>
    <w:rsid w:val="009E7E70"/>
    <w:rsid w:val="009F0116"/>
    <w:rsid w:val="009F03B9"/>
    <w:rsid w:val="009F1F55"/>
    <w:rsid w:val="009F2FA4"/>
    <w:rsid w:val="009F57C0"/>
    <w:rsid w:val="00A0161B"/>
    <w:rsid w:val="00A07AA1"/>
    <w:rsid w:val="00A12AF6"/>
    <w:rsid w:val="00A13013"/>
    <w:rsid w:val="00A130CF"/>
    <w:rsid w:val="00A17F02"/>
    <w:rsid w:val="00A2078D"/>
    <w:rsid w:val="00A21414"/>
    <w:rsid w:val="00A2234C"/>
    <w:rsid w:val="00A2289C"/>
    <w:rsid w:val="00A24E93"/>
    <w:rsid w:val="00A27267"/>
    <w:rsid w:val="00A27E30"/>
    <w:rsid w:val="00A334C3"/>
    <w:rsid w:val="00A35649"/>
    <w:rsid w:val="00A367CD"/>
    <w:rsid w:val="00A368EC"/>
    <w:rsid w:val="00A40037"/>
    <w:rsid w:val="00A42E20"/>
    <w:rsid w:val="00A46D93"/>
    <w:rsid w:val="00A47D52"/>
    <w:rsid w:val="00A47DC6"/>
    <w:rsid w:val="00A52D68"/>
    <w:rsid w:val="00A53A53"/>
    <w:rsid w:val="00A54AF7"/>
    <w:rsid w:val="00A566DD"/>
    <w:rsid w:val="00A60413"/>
    <w:rsid w:val="00A654DC"/>
    <w:rsid w:val="00A72287"/>
    <w:rsid w:val="00A7357D"/>
    <w:rsid w:val="00A74D0D"/>
    <w:rsid w:val="00A76192"/>
    <w:rsid w:val="00A808E2"/>
    <w:rsid w:val="00A82D57"/>
    <w:rsid w:val="00A95553"/>
    <w:rsid w:val="00A96847"/>
    <w:rsid w:val="00AA1F58"/>
    <w:rsid w:val="00AA7F67"/>
    <w:rsid w:val="00AB0727"/>
    <w:rsid w:val="00AB1B9E"/>
    <w:rsid w:val="00AB3996"/>
    <w:rsid w:val="00AB42BD"/>
    <w:rsid w:val="00AC4EA7"/>
    <w:rsid w:val="00AC7910"/>
    <w:rsid w:val="00AD2CFB"/>
    <w:rsid w:val="00AD373A"/>
    <w:rsid w:val="00AD41BC"/>
    <w:rsid w:val="00B03564"/>
    <w:rsid w:val="00B06D1E"/>
    <w:rsid w:val="00B07D49"/>
    <w:rsid w:val="00B07E03"/>
    <w:rsid w:val="00B24D1E"/>
    <w:rsid w:val="00B313B2"/>
    <w:rsid w:val="00B4153D"/>
    <w:rsid w:val="00B4281E"/>
    <w:rsid w:val="00B50D15"/>
    <w:rsid w:val="00B5241F"/>
    <w:rsid w:val="00B611A1"/>
    <w:rsid w:val="00B626DC"/>
    <w:rsid w:val="00B64091"/>
    <w:rsid w:val="00B778C0"/>
    <w:rsid w:val="00B81015"/>
    <w:rsid w:val="00B8235C"/>
    <w:rsid w:val="00B86ADE"/>
    <w:rsid w:val="00B92D60"/>
    <w:rsid w:val="00BA3A30"/>
    <w:rsid w:val="00BA7659"/>
    <w:rsid w:val="00BA7E2A"/>
    <w:rsid w:val="00BB17C0"/>
    <w:rsid w:val="00BB1F1F"/>
    <w:rsid w:val="00BC2185"/>
    <w:rsid w:val="00BD3F16"/>
    <w:rsid w:val="00BD4B9C"/>
    <w:rsid w:val="00BE16A5"/>
    <w:rsid w:val="00BE1EEA"/>
    <w:rsid w:val="00BE2F5B"/>
    <w:rsid w:val="00BE35B5"/>
    <w:rsid w:val="00BE6195"/>
    <w:rsid w:val="00BE6D1F"/>
    <w:rsid w:val="00BF3E49"/>
    <w:rsid w:val="00BF5020"/>
    <w:rsid w:val="00BF67BB"/>
    <w:rsid w:val="00C0296B"/>
    <w:rsid w:val="00C07890"/>
    <w:rsid w:val="00C1077D"/>
    <w:rsid w:val="00C1117D"/>
    <w:rsid w:val="00C1530F"/>
    <w:rsid w:val="00C23AE5"/>
    <w:rsid w:val="00C27062"/>
    <w:rsid w:val="00C27D05"/>
    <w:rsid w:val="00C3344B"/>
    <w:rsid w:val="00C336BD"/>
    <w:rsid w:val="00C33875"/>
    <w:rsid w:val="00C378B1"/>
    <w:rsid w:val="00C4076F"/>
    <w:rsid w:val="00C50177"/>
    <w:rsid w:val="00C54937"/>
    <w:rsid w:val="00C55B80"/>
    <w:rsid w:val="00C571CA"/>
    <w:rsid w:val="00C578F6"/>
    <w:rsid w:val="00C64975"/>
    <w:rsid w:val="00C730D6"/>
    <w:rsid w:val="00C81DA0"/>
    <w:rsid w:val="00C829F5"/>
    <w:rsid w:val="00C84388"/>
    <w:rsid w:val="00C940A5"/>
    <w:rsid w:val="00CA51C1"/>
    <w:rsid w:val="00CA7D87"/>
    <w:rsid w:val="00CB28E0"/>
    <w:rsid w:val="00CC0040"/>
    <w:rsid w:val="00CC274A"/>
    <w:rsid w:val="00CC54BC"/>
    <w:rsid w:val="00CD1821"/>
    <w:rsid w:val="00CD2EDD"/>
    <w:rsid w:val="00CF413B"/>
    <w:rsid w:val="00CF4243"/>
    <w:rsid w:val="00CF4D64"/>
    <w:rsid w:val="00CF503C"/>
    <w:rsid w:val="00CF584A"/>
    <w:rsid w:val="00D06B3C"/>
    <w:rsid w:val="00D11993"/>
    <w:rsid w:val="00D218FF"/>
    <w:rsid w:val="00D22D87"/>
    <w:rsid w:val="00D302C2"/>
    <w:rsid w:val="00D30CF0"/>
    <w:rsid w:val="00D40023"/>
    <w:rsid w:val="00D430C9"/>
    <w:rsid w:val="00D4716F"/>
    <w:rsid w:val="00D51307"/>
    <w:rsid w:val="00D528C3"/>
    <w:rsid w:val="00D6049F"/>
    <w:rsid w:val="00D6156D"/>
    <w:rsid w:val="00D6201F"/>
    <w:rsid w:val="00D7482E"/>
    <w:rsid w:val="00D75FED"/>
    <w:rsid w:val="00D8033D"/>
    <w:rsid w:val="00D82772"/>
    <w:rsid w:val="00D82814"/>
    <w:rsid w:val="00D85AA2"/>
    <w:rsid w:val="00D86D67"/>
    <w:rsid w:val="00D87121"/>
    <w:rsid w:val="00D93BF1"/>
    <w:rsid w:val="00D94619"/>
    <w:rsid w:val="00D95DD4"/>
    <w:rsid w:val="00DB0597"/>
    <w:rsid w:val="00DB0D71"/>
    <w:rsid w:val="00DC058F"/>
    <w:rsid w:val="00DC4DDA"/>
    <w:rsid w:val="00DC50CF"/>
    <w:rsid w:val="00DC7B3E"/>
    <w:rsid w:val="00DD3811"/>
    <w:rsid w:val="00DD436D"/>
    <w:rsid w:val="00DD491F"/>
    <w:rsid w:val="00DD79C6"/>
    <w:rsid w:val="00DE0833"/>
    <w:rsid w:val="00DE63ED"/>
    <w:rsid w:val="00DE6F43"/>
    <w:rsid w:val="00DF68B2"/>
    <w:rsid w:val="00DF7283"/>
    <w:rsid w:val="00E123A4"/>
    <w:rsid w:val="00E152AC"/>
    <w:rsid w:val="00E164CE"/>
    <w:rsid w:val="00E24D16"/>
    <w:rsid w:val="00E277D1"/>
    <w:rsid w:val="00E3525C"/>
    <w:rsid w:val="00E41FF0"/>
    <w:rsid w:val="00E444DD"/>
    <w:rsid w:val="00E45BC0"/>
    <w:rsid w:val="00E529BE"/>
    <w:rsid w:val="00E61541"/>
    <w:rsid w:val="00E63C6B"/>
    <w:rsid w:val="00E6747D"/>
    <w:rsid w:val="00E7378C"/>
    <w:rsid w:val="00E75D86"/>
    <w:rsid w:val="00E80C9D"/>
    <w:rsid w:val="00E83162"/>
    <w:rsid w:val="00E85D64"/>
    <w:rsid w:val="00E948FD"/>
    <w:rsid w:val="00EA22C1"/>
    <w:rsid w:val="00EA58A8"/>
    <w:rsid w:val="00EB68DB"/>
    <w:rsid w:val="00EC6592"/>
    <w:rsid w:val="00EC7305"/>
    <w:rsid w:val="00ED00EB"/>
    <w:rsid w:val="00ED0502"/>
    <w:rsid w:val="00ED0B1D"/>
    <w:rsid w:val="00ED2512"/>
    <w:rsid w:val="00ED6696"/>
    <w:rsid w:val="00ED6888"/>
    <w:rsid w:val="00EE2EAA"/>
    <w:rsid w:val="00EF7B3D"/>
    <w:rsid w:val="00F02536"/>
    <w:rsid w:val="00F10C36"/>
    <w:rsid w:val="00F14F89"/>
    <w:rsid w:val="00F32AFA"/>
    <w:rsid w:val="00F348F9"/>
    <w:rsid w:val="00F440B8"/>
    <w:rsid w:val="00F4646E"/>
    <w:rsid w:val="00F576D6"/>
    <w:rsid w:val="00F629C1"/>
    <w:rsid w:val="00F65A87"/>
    <w:rsid w:val="00F7740B"/>
    <w:rsid w:val="00F82022"/>
    <w:rsid w:val="00F85A41"/>
    <w:rsid w:val="00F92A4F"/>
    <w:rsid w:val="00F92FCA"/>
    <w:rsid w:val="00F93D90"/>
    <w:rsid w:val="00FA16D5"/>
    <w:rsid w:val="00FA5F25"/>
    <w:rsid w:val="00FA6164"/>
    <w:rsid w:val="00FA74CE"/>
    <w:rsid w:val="00FB0200"/>
    <w:rsid w:val="00FB7B50"/>
    <w:rsid w:val="00FC29DE"/>
    <w:rsid w:val="00FC49F7"/>
    <w:rsid w:val="00FD7749"/>
    <w:rsid w:val="00FE2DBB"/>
    <w:rsid w:val="00FE4C2F"/>
    <w:rsid w:val="00FE79D5"/>
    <w:rsid w:val="00FF306F"/>
    <w:rsid w:val="00FF45A2"/>
    <w:rsid w:val="00FF50F4"/>
    <w:rsid w:val="00FF5162"/>
    <w:rsid w:val="00FF7B9A"/>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BC"/>
    <w:pPr>
      <w:spacing w:after="0"/>
    </w:pPr>
    <w:rPr>
      <w:rFont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6201F"/>
    <w:rPr>
      <w:rFonts w:ascii="Times New Roman" w:hAnsi="Times New Roman"/>
      <w:vertAlign w:val="superscript"/>
    </w:rPr>
  </w:style>
  <w:style w:type="paragraph" w:styleId="FootnoteText">
    <w:name w:val="footnote text"/>
    <w:aliases w:val="Car"/>
    <w:basedOn w:val="Normal"/>
    <w:link w:val="FootnoteTextChar"/>
    <w:autoRedefine/>
    <w:unhideWhenUsed/>
    <w:qFormat/>
    <w:rsid w:val="00BD3F16"/>
    <w:pPr>
      <w:spacing w:line="240" w:lineRule="auto"/>
    </w:pPr>
    <w:rPr>
      <w:sz w:val="20"/>
    </w:rPr>
  </w:style>
  <w:style w:type="character" w:customStyle="1" w:styleId="FootnoteTextChar">
    <w:name w:val="Footnote Text Char"/>
    <w:aliases w:val="Car Char"/>
    <w:basedOn w:val="DefaultParagraphFont"/>
    <w:link w:val="FootnoteText"/>
    <w:rsid w:val="00BD3F16"/>
    <w:rPr>
      <w:rFonts w:cs="Times New Roman"/>
      <w:sz w:val="20"/>
      <w:szCs w:val="20"/>
    </w:rPr>
  </w:style>
  <w:style w:type="paragraph" w:styleId="ListParagraph">
    <w:name w:val="List Paragraph"/>
    <w:basedOn w:val="Normal"/>
    <w:autoRedefine/>
    <w:uiPriority w:val="34"/>
    <w:qFormat/>
    <w:rsid w:val="00BD3F16"/>
    <w:pPr>
      <w:numPr>
        <w:numId w:val="8"/>
      </w:numPr>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semiHidden/>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paragraph" w:customStyle="1" w:styleId="IndentedQuote">
    <w:name w:val="Indented Quote"/>
    <w:basedOn w:val="Normal"/>
    <w:qFormat/>
    <w:rsid w:val="005F6194"/>
    <w:pPr>
      <w:spacing w:line="240" w:lineRule="auto"/>
      <w:ind w:left="720" w:right="720"/>
    </w:pPr>
    <w:rPr>
      <w:szCs w:val="24"/>
    </w:rPr>
  </w:style>
  <w:style w:type="paragraph" w:customStyle="1" w:styleId="Indentedquote0">
    <w:name w:val="Indented quote"/>
    <w:basedOn w:val="Normal"/>
    <w:qFormat/>
    <w:rsid w:val="00B03564"/>
    <w:pPr>
      <w:widowControl w:val="0"/>
      <w:autoSpaceDE w:val="0"/>
      <w:autoSpaceDN w:val="0"/>
      <w:adjustRightInd w:val="0"/>
      <w:spacing w:after="120" w:line="240" w:lineRule="auto"/>
      <w:ind w:left="1440" w:right="1440"/>
    </w:pPr>
    <w:rPr>
      <w:szCs w:val="24"/>
    </w:rPr>
  </w:style>
  <w:style w:type="paragraph" w:customStyle="1" w:styleId="TxBrp3">
    <w:name w:val="TxBr_p3"/>
    <w:basedOn w:val="Normal"/>
    <w:rsid w:val="00AB0727"/>
    <w:pPr>
      <w:widowControl w:val="0"/>
      <w:tabs>
        <w:tab w:val="left" w:pos="1474"/>
      </w:tabs>
      <w:autoSpaceDE w:val="0"/>
      <w:autoSpaceDN w:val="0"/>
      <w:adjustRightInd w:val="0"/>
      <w:spacing w:line="425" w:lineRule="atLeast"/>
      <w:ind w:firstLine="1474"/>
    </w:pPr>
    <w:rPr>
      <w:szCs w:val="24"/>
    </w:rPr>
  </w:style>
  <w:style w:type="paragraph" w:customStyle="1" w:styleId="Pleading1L1">
    <w:name w:val="Pleading1_L1"/>
    <w:basedOn w:val="Normal"/>
    <w:rsid w:val="00AB0727"/>
    <w:pPr>
      <w:numPr>
        <w:numId w:val="6"/>
      </w:numPr>
      <w:spacing w:line="480" w:lineRule="auto"/>
      <w:outlineLvl w:val="0"/>
    </w:pPr>
    <w:rPr>
      <w:b/>
      <w:caps/>
      <w:u w:val="single"/>
    </w:rPr>
  </w:style>
  <w:style w:type="paragraph" w:customStyle="1" w:styleId="Pleading1L2">
    <w:name w:val="Pleading1_L2"/>
    <w:basedOn w:val="Pleading1L1"/>
    <w:rsid w:val="00AB0727"/>
    <w:pPr>
      <w:numPr>
        <w:ilvl w:val="1"/>
      </w:numPr>
      <w:outlineLvl w:val="1"/>
    </w:pPr>
    <w:rPr>
      <w:b w:val="0"/>
      <w:caps w:val="0"/>
    </w:rPr>
  </w:style>
  <w:style w:type="paragraph" w:customStyle="1" w:styleId="Pleading1L3">
    <w:name w:val="Pleading1_L3"/>
    <w:basedOn w:val="Pleading1L2"/>
    <w:rsid w:val="00AB0727"/>
    <w:pPr>
      <w:numPr>
        <w:ilvl w:val="2"/>
      </w:numPr>
      <w:outlineLvl w:val="2"/>
    </w:pPr>
    <w:rPr>
      <w:szCs w:val="24"/>
      <w:u w:val="none"/>
    </w:rPr>
  </w:style>
  <w:style w:type="paragraph" w:customStyle="1" w:styleId="Pleading1L4">
    <w:name w:val="Pleading1_L4"/>
    <w:basedOn w:val="Pleading1L3"/>
    <w:rsid w:val="00AB0727"/>
    <w:pPr>
      <w:numPr>
        <w:ilvl w:val="3"/>
      </w:numPr>
      <w:outlineLvl w:val="3"/>
    </w:pPr>
  </w:style>
  <w:style w:type="paragraph" w:customStyle="1" w:styleId="Pleading1L5">
    <w:name w:val="Pleading1_L5"/>
    <w:basedOn w:val="Pleading1L4"/>
    <w:rsid w:val="00AB0727"/>
    <w:pPr>
      <w:numPr>
        <w:ilvl w:val="4"/>
      </w:numPr>
      <w:outlineLvl w:val="4"/>
    </w:pPr>
  </w:style>
  <w:style w:type="paragraph" w:customStyle="1" w:styleId="Pleading1L6">
    <w:name w:val="Pleading1_L6"/>
    <w:basedOn w:val="Pleading1L5"/>
    <w:rsid w:val="00AB0727"/>
    <w:pPr>
      <w:keepNext/>
      <w:keepLines/>
      <w:widowControl w:val="0"/>
      <w:numPr>
        <w:ilvl w:val="5"/>
      </w:numPr>
      <w:spacing w:after="240" w:line="240" w:lineRule="auto"/>
      <w:outlineLvl w:val="5"/>
    </w:pPr>
    <w:rPr>
      <w:sz w:val="20"/>
    </w:rPr>
  </w:style>
  <w:style w:type="paragraph" w:customStyle="1" w:styleId="Pleading1L7">
    <w:name w:val="Pleading1_L7"/>
    <w:basedOn w:val="Pleading1L6"/>
    <w:rsid w:val="00AB0727"/>
    <w:pPr>
      <w:numPr>
        <w:ilvl w:val="6"/>
      </w:numPr>
      <w:outlineLvl w:val="6"/>
    </w:pPr>
  </w:style>
  <w:style w:type="paragraph" w:customStyle="1" w:styleId="Pleading1L8">
    <w:name w:val="Pleading1_L8"/>
    <w:basedOn w:val="Pleading1L7"/>
    <w:rsid w:val="00AB0727"/>
    <w:pPr>
      <w:numPr>
        <w:ilvl w:val="7"/>
      </w:numPr>
      <w:outlineLvl w:val="7"/>
    </w:pPr>
  </w:style>
  <w:style w:type="paragraph" w:customStyle="1" w:styleId="Pleading1L9">
    <w:name w:val="Pleading1_L9"/>
    <w:basedOn w:val="Pleading1L8"/>
    <w:rsid w:val="00AB0727"/>
    <w:pPr>
      <w:numPr>
        <w:ilvl w:val="8"/>
      </w:numPr>
      <w:outlineLvl w:val="8"/>
    </w:pPr>
  </w:style>
  <w:style w:type="paragraph" w:styleId="ListNumber">
    <w:name w:val="List Number"/>
    <w:basedOn w:val="Normal"/>
    <w:rsid w:val="00AB0727"/>
    <w:pPr>
      <w:numPr>
        <w:numId w:val="7"/>
      </w:numPr>
      <w:tabs>
        <w:tab w:val="clear" w:pos="360"/>
      </w:tabs>
      <w:spacing w:line="480" w:lineRule="auto"/>
      <w:ind w:left="0" w:firstLine="720"/>
    </w:pPr>
    <w:rPr>
      <w:szCs w:val="24"/>
    </w:rPr>
  </w:style>
  <w:style w:type="paragraph" w:customStyle="1" w:styleId="StyleListParagraph12ptLinespacing15lines">
    <w:name w:val="Style List Paragraph + 12 pt Line spacing:  1.5 lines"/>
    <w:basedOn w:val="ListParagraph"/>
    <w:autoRedefine/>
    <w:rsid w:val="006A6ABB"/>
    <w:pPr>
      <w:numPr>
        <w:numId w:val="9"/>
      </w:numPr>
      <w:spacing w:after="120"/>
      <w:ind w:left="0" w:firstLine="720"/>
    </w:pPr>
    <w:rPr>
      <w:szCs w:val="20"/>
    </w:rPr>
  </w:style>
  <w:style w:type="paragraph" w:styleId="NoSpacing">
    <w:name w:val="No Spacing"/>
    <w:uiPriority w:val="1"/>
    <w:qFormat/>
    <w:rsid w:val="00FF7B9A"/>
    <w:pPr>
      <w:spacing w:after="0" w:line="240" w:lineRule="auto"/>
    </w:pPr>
    <w:rPr>
      <w:rFonts w:cs="Times New Roman"/>
      <w:szCs w:val="20"/>
    </w:rPr>
  </w:style>
  <w:style w:type="paragraph" w:styleId="CommentText">
    <w:name w:val="annotation text"/>
    <w:basedOn w:val="Normal"/>
    <w:link w:val="CommentTextChar"/>
    <w:uiPriority w:val="99"/>
    <w:semiHidden/>
    <w:unhideWhenUsed/>
    <w:rsid w:val="00F440B8"/>
    <w:pPr>
      <w:spacing w:line="240" w:lineRule="auto"/>
    </w:pPr>
    <w:rPr>
      <w:sz w:val="20"/>
    </w:rPr>
  </w:style>
  <w:style w:type="character" w:customStyle="1" w:styleId="CommentTextChar">
    <w:name w:val="Comment Text Char"/>
    <w:basedOn w:val="DefaultParagraphFont"/>
    <w:link w:val="CommentText"/>
    <w:uiPriority w:val="99"/>
    <w:semiHidden/>
    <w:rsid w:val="00F440B8"/>
    <w:rPr>
      <w:rFonts w:cs="Times New Roman"/>
      <w:sz w:val="20"/>
      <w:szCs w:val="20"/>
    </w:rPr>
  </w:style>
  <w:style w:type="paragraph" w:styleId="BodyText">
    <w:name w:val="Body Text"/>
    <w:basedOn w:val="Normal"/>
    <w:link w:val="BodyTextChar"/>
    <w:semiHidden/>
    <w:unhideWhenUsed/>
    <w:rsid w:val="00F440B8"/>
    <w:pPr>
      <w:jc w:val="both"/>
    </w:pPr>
    <w:rPr>
      <w:sz w:val="26"/>
    </w:rPr>
  </w:style>
  <w:style w:type="character" w:customStyle="1" w:styleId="BodyTextChar">
    <w:name w:val="Body Text Char"/>
    <w:basedOn w:val="DefaultParagraphFont"/>
    <w:link w:val="BodyText"/>
    <w:semiHidden/>
    <w:rsid w:val="00F440B8"/>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BC"/>
    <w:pPr>
      <w:spacing w:after="0"/>
    </w:pPr>
    <w:rPr>
      <w:rFont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6201F"/>
    <w:rPr>
      <w:rFonts w:ascii="Times New Roman" w:hAnsi="Times New Roman"/>
      <w:vertAlign w:val="superscript"/>
    </w:rPr>
  </w:style>
  <w:style w:type="paragraph" w:styleId="FootnoteText">
    <w:name w:val="footnote text"/>
    <w:aliases w:val="Car"/>
    <w:basedOn w:val="Normal"/>
    <w:link w:val="FootnoteTextChar"/>
    <w:autoRedefine/>
    <w:unhideWhenUsed/>
    <w:qFormat/>
    <w:rsid w:val="00BD3F16"/>
    <w:pPr>
      <w:spacing w:line="240" w:lineRule="auto"/>
    </w:pPr>
    <w:rPr>
      <w:sz w:val="20"/>
    </w:rPr>
  </w:style>
  <w:style w:type="character" w:customStyle="1" w:styleId="FootnoteTextChar">
    <w:name w:val="Footnote Text Char"/>
    <w:aliases w:val="Car Char"/>
    <w:basedOn w:val="DefaultParagraphFont"/>
    <w:link w:val="FootnoteText"/>
    <w:rsid w:val="00BD3F16"/>
    <w:rPr>
      <w:rFonts w:cs="Times New Roman"/>
      <w:sz w:val="20"/>
      <w:szCs w:val="20"/>
    </w:rPr>
  </w:style>
  <w:style w:type="paragraph" w:styleId="ListParagraph">
    <w:name w:val="List Paragraph"/>
    <w:basedOn w:val="Normal"/>
    <w:autoRedefine/>
    <w:uiPriority w:val="34"/>
    <w:qFormat/>
    <w:rsid w:val="00BD3F16"/>
    <w:pPr>
      <w:numPr>
        <w:numId w:val="8"/>
      </w:numPr>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semiHidden/>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paragraph" w:customStyle="1" w:styleId="IndentedQuote">
    <w:name w:val="Indented Quote"/>
    <w:basedOn w:val="Normal"/>
    <w:qFormat/>
    <w:rsid w:val="005F6194"/>
    <w:pPr>
      <w:spacing w:line="240" w:lineRule="auto"/>
      <w:ind w:left="720" w:right="720"/>
    </w:pPr>
    <w:rPr>
      <w:szCs w:val="24"/>
    </w:rPr>
  </w:style>
  <w:style w:type="paragraph" w:customStyle="1" w:styleId="Indentedquote0">
    <w:name w:val="Indented quote"/>
    <w:basedOn w:val="Normal"/>
    <w:qFormat/>
    <w:rsid w:val="00B03564"/>
    <w:pPr>
      <w:widowControl w:val="0"/>
      <w:autoSpaceDE w:val="0"/>
      <w:autoSpaceDN w:val="0"/>
      <w:adjustRightInd w:val="0"/>
      <w:spacing w:after="120" w:line="240" w:lineRule="auto"/>
      <w:ind w:left="1440" w:right="1440"/>
    </w:pPr>
    <w:rPr>
      <w:szCs w:val="24"/>
    </w:rPr>
  </w:style>
  <w:style w:type="paragraph" w:customStyle="1" w:styleId="TxBrp3">
    <w:name w:val="TxBr_p3"/>
    <w:basedOn w:val="Normal"/>
    <w:rsid w:val="00AB0727"/>
    <w:pPr>
      <w:widowControl w:val="0"/>
      <w:tabs>
        <w:tab w:val="left" w:pos="1474"/>
      </w:tabs>
      <w:autoSpaceDE w:val="0"/>
      <w:autoSpaceDN w:val="0"/>
      <w:adjustRightInd w:val="0"/>
      <w:spacing w:line="425" w:lineRule="atLeast"/>
      <w:ind w:firstLine="1474"/>
    </w:pPr>
    <w:rPr>
      <w:szCs w:val="24"/>
    </w:rPr>
  </w:style>
  <w:style w:type="paragraph" w:customStyle="1" w:styleId="Pleading1L1">
    <w:name w:val="Pleading1_L1"/>
    <w:basedOn w:val="Normal"/>
    <w:rsid w:val="00AB0727"/>
    <w:pPr>
      <w:numPr>
        <w:numId w:val="6"/>
      </w:numPr>
      <w:spacing w:line="480" w:lineRule="auto"/>
      <w:outlineLvl w:val="0"/>
    </w:pPr>
    <w:rPr>
      <w:b/>
      <w:caps/>
      <w:u w:val="single"/>
    </w:rPr>
  </w:style>
  <w:style w:type="paragraph" w:customStyle="1" w:styleId="Pleading1L2">
    <w:name w:val="Pleading1_L2"/>
    <w:basedOn w:val="Pleading1L1"/>
    <w:rsid w:val="00AB0727"/>
    <w:pPr>
      <w:numPr>
        <w:ilvl w:val="1"/>
      </w:numPr>
      <w:outlineLvl w:val="1"/>
    </w:pPr>
    <w:rPr>
      <w:b w:val="0"/>
      <w:caps w:val="0"/>
    </w:rPr>
  </w:style>
  <w:style w:type="paragraph" w:customStyle="1" w:styleId="Pleading1L3">
    <w:name w:val="Pleading1_L3"/>
    <w:basedOn w:val="Pleading1L2"/>
    <w:rsid w:val="00AB0727"/>
    <w:pPr>
      <w:numPr>
        <w:ilvl w:val="2"/>
      </w:numPr>
      <w:outlineLvl w:val="2"/>
    </w:pPr>
    <w:rPr>
      <w:szCs w:val="24"/>
      <w:u w:val="none"/>
    </w:rPr>
  </w:style>
  <w:style w:type="paragraph" w:customStyle="1" w:styleId="Pleading1L4">
    <w:name w:val="Pleading1_L4"/>
    <w:basedOn w:val="Pleading1L3"/>
    <w:rsid w:val="00AB0727"/>
    <w:pPr>
      <w:numPr>
        <w:ilvl w:val="3"/>
      </w:numPr>
      <w:outlineLvl w:val="3"/>
    </w:pPr>
  </w:style>
  <w:style w:type="paragraph" w:customStyle="1" w:styleId="Pleading1L5">
    <w:name w:val="Pleading1_L5"/>
    <w:basedOn w:val="Pleading1L4"/>
    <w:rsid w:val="00AB0727"/>
    <w:pPr>
      <w:numPr>
        <w:ilvl w:val="4"/>
      </w:numPr>
      <w:outlineLvl w:val="4"/>
    </w:pPr>
  </w:style>
  <w:style w:type="paragraph" w:customStyle="1" w:styleId="Pleading1L6">
    <w:name w:val="Pleading1_L6"/>
    <w:basedOn w:val="Pleading1L5"/>
    <w:rsid w:val="00AB0727"/>
    <w:pPr>
      <w:keepNext/>
      <w:keepLines/>
      <w:widowControl w:val="0"/>
      <w:numPr>
        <w:ilvl w:val="5"/>
      </w:numPr>
      <w:spacing w:after="240" w:line="240" w:lineRule="auto"/>
      <w:outlineLvl w:val="5"/>
    </w:pPr>
    <w:rPr>
      <w:sz w:val="20"/>
    </w:rPr>
  </w:style>
  <w:style w:type="paragraph" w:customStyle="1" w:styleId="Pleading1L7">
    <w:name w:val="Pleading1_L7"/>
    <w:basedOn w:val="Pleading1L6"/>
    <w:rsid w:val="00AB0727"/>
    <w:pPr>
      <w:numPr>
        <w:ilvl w:val="6"/>
      </w:numPr>
      <w:outlineLvl w:val="6"/>
    </w:pPr>
  </w:style>
  <w:style w:type="paragraph" w:customStyle="1" w:styleId="Pleading1L8">
    <w:name w:val="Pleading1_L8"/>
    <w:basedOn w:val="Pleading1L7"/>
    <w:rsid w:val="00AB0727"/>
    <w:pPr>
      <w:numPr>
        <w:ilvl w:val="7"/>
      </w:numPr>
      <w:outlineLvl w:val="7"/>
    </w:pPr>
  </w:style>
  <w:style w:type="paragraph" w:customStyle="1" w:styleId="Pleading1L9">
    <w:name w:val="Pleading1_L9"/>
    <w:basedOn w:val="Pleading1L8"/>
    <w:rsid w:val="00AB0727"/>
    <w:pPr>
      <w:numPr>
        <w:ilvl w:val="8"/>
      </w:numPr>
      <w:outlineLvl w:val="8"/>
    </w:pPr>
  </w:style>
  <w:style w:type="paragraph" w:styleId="ListNumber">
    <w:name w:val="List Number"/>
    <w:basedOn w:val="Normal"/>
    <w:rsid w:val="00AB0727"/>
    <w:pPr>
      <w:numPr>
        <w:numId w:val="7"/>
      </w:numPr>
      <w:tabs>
        <w:tab w:val="clear" w:pos="360"/>
      </w:tabs>
      <w:spacing w:line="480" w:lineRule="auto"/>
      <w:ind w:left="0" w:firstLine="720"/>
    </w:pPr>
    <w:rPr>
      <w:szCs w:val="24"/>
    </w:rPr>
  </w:style>
  <w:style w:type="paragraph" w:customStyle="1" w:styleId="StyleListParagraph12ptLinespacing15lines">
    <w:name w:val="Style List Paragraph + 12 pt Line spacing:  1.5 lines"/>
    <w:basedOn w:val="ListParagraph"/>
    <w:autoRedefine/>
    <w:rsid w:val="006A6ABB"/>
    <w:pPr>
      <w:numPr>
        <w:numId w:val="9"/>
      </w:numPr>
      <w:spacing w:after="120"/>
      <w:ind w:left="0" w:firstLine="720"/>
    </w:pPr>
    <w:rPr>
      <w:szCs w:val="20"/>
    </w:rPr>
  </w:style>
  <w:style w:type="paragraph" w:styleId="NoSpacing">
    <w:name w:val="No Spacing"/>
    <w:uiPriority w:val="1"/>
    <w:qFormat/>
    <w:rsid w:val="00FF7B9A"/>
    <w:pPr>
      <w:spacing w:after="0" w:line="240" w:lineRule="auto"/>
    </w:pPr>
    <w:rPr>
      <w:rFonts w:cs="Times New Roman"/>
      <w:szCs w:val="20"/>
    </w:rPr>
  </w:style>
  <w:style w:type="paragraph" w:styleId="CommentText">
    <w:name w:val="annotation text"/>
    <w:basedOn w:val="Normal"/>
    <w:link w:val="CommentTextChar"/>
    <w:uiPriority w:val="99"/>
    <w:semiHidden/>
    <w:unhideWhenUsed/>
    <w:rsid w:val="00F440B8"/>
    <w:pPr>
      <w:spacing w:line="240" w:lineRule="auto"/>
    </w:pPr>
    <w:rPr>
      <w:sz w:val="20"/>
    </w:rPr>
  </w:style>
  <w:style w:type="character" w:customStyle="1" w:styleId="CommentTextChar">
    <w:name w:val="Comment Text Char"/>
    <w:basedOn w:val="DefaultParagraphFont"/>
    <w:link w:val="CommentText"/>
    <w:uiPriority w:val="99"/>
    <w:semiHidden/>
    <w:rsid w:val="00F440B8"/>
    <w:rPr>
      <w:rFonts w:cs="Times New Roman"/>
      <w:sz w:val="20"/>
      <w:szCs w:val="20"/>
    </w:rPr>
  </w:style>
  <w:style w:type="paragraph" w:styleId="BodyText">
    <w:name w:val="Body Text"/>
    <w:basedOn w:val="Normal"/>
    <w:link w:val="BodyTextChar"/>
    <w:semiHidden/>
    <w:unhideWhenUsed/>
    <w:rsid w:val="00F440B8"/>
    <w:pPr>
      <w:jc w:val="both"/>
    </w:pPr>
    <w:rPr>
      <w:sz w:val="26"/>
    </w:rPr>
  </w:style>
  <w:style w:type="character" w:customStyle="1" w:styleId="BodyTextChar">
    <w:name w:val="Body Text Char"/>
    <w:basedOn w:val="DefaultParagraphFont"/>
    <w:link w:val="BodyText"/>
    <w:semiHidden/>
    <w:rsid w:val="00F440B8"/>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186209296">
      <w:bodyDiv w:val="1"/>
      <w:marLeft w:val="0"/>
      <w:marRight w:val="0"/>
      <w:marTop w:val="0"/>
      <w:marBottom w:val="0"/>
      <w:divBdr>
        <w:top w:val="none" w:sz="0" w:space="0" w:color="auto"/>
        <w:left w:val="none" w:sz="0" w:space="0" w:color="auto"/>
        <w:bottom w:val="none" w:sz="0" w:space="0" w:color="auto"/>
        <w:right w:val="none" w:sz="0" w:space="0" w:color="auto"/>
      </w:divBdr>
    </w:div>
    <w:div w:id="1425297519">
      <w:bodyDiv w:val="1"/>
      <w:marLeft w:val="0"/>
      <w:marRight w:val="0"/>
      <w:marTop w:val="0"/>
      <w:marBottom w:val="0"/>
      <w:divBdr>
        <w:top w:val="none" w:sz="0" w:space="0" w:color="auto"/>
        <w:left w:val="none" w:sz="0" w:space="0" w:color="auto"/>
        <w:bottom w:val="none" w:sz="0" w:space="0" w:color="auto"/>
        <w:right w:val="none" w:sz="0" w:space="0" w:color="auto"/>
      </w:divBdr>
    </w:div>
    <w:div w:id="1548301457">
      <w:bodyDiv w:val="1"/>
      <w:marLeft w:val="0"/>
      <w:marRight w:val="0"/>
      <w:marTop w:val="0"/>
      <w:marBottom w:val="0"/>
      <w:divBdr>
        <w:top w:val="none" w:sz="0" w:space="0" w:color="auto"/>
        <w:left w:val="none" w:sz="0" w:space="0" w:color="auto"/>
        <w:bottom w:val="none" w:sz="0" w:space="0" w:color="auto"/>
        <w:right w:val="none" w:sz="0" w:space="0" w:color="auto"/>
      </w:divBdr>
    </w:div>
    <w:div w:id="20041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AD054-8EEB-415A-870E-31E69F15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tibikunle</cp:lastModifiedBy>
  <cp:revision>19</cp:revision>
  <cp:lastPrinted>2012-04-03T17:31:00Z</cp:lastPrinted>
  <dcterms:created xsi:type="dcterms:W3CDTF">2012-04-02T18:32:00Z</dcterms:created>
  <dcterms:modified xsi:type="dcterms:W3CDTF">2012-04-16T17:43:00Z</dcterms:modified>
</cp:coreProperties>
</file>