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C537A8" w:rsidP="00CE43B4">
      <w:pPr>
        <w:tabs>
          <w:tab w:val="left" w:pos="-720"/>
        </w:tabs>
        <w:suppressAutoHyphens/>
        <w:rPr>
          <w:b/>
          <w:bCs/>
          <w:spacing w:val="-3"/>
          <w:sz w:val="24"/>
          <w:szCs w:val="24"/>
        </w:rPr>
      </w:pPr>
      <w:r>
        <w:rPr>
          <w:bCs/>
          <w:spacing w:val="-3"/>
          <w:sz w:val="24"/>
          <w:szCs w:val="24"/>
        </w:rPr>
        <w:t>Matthew Gillette</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342A67">
        <w:rPr>
          <w:spacing w:val="-3"/>
          <w:sz w:val="24"/>
          <w:szCs w:val="24"/>
        </w:rPr>
        <w:tab/>
      </w:r>
      <w:r w:rsidR="00C537A8">
        <w:rPr>
          <w:spacing w:val="-3"/>
          <w:sz w:val="24"/>
          <w:szCs w:val="24"/>
        </w:rPr>
        <w:t>F-2011-2266733</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C537A8"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3878B7">
        <w:rPr>
          <w:sz w:val="24"/>
          <w:szCs w:val="24"/>
        </w:rPr>
        <w:t xml:space="preserve"> </w:t>
      </w:r>
      <w:r w:rsidR="00914C7B">
        <w:rPr>
          <w:sz w:val="24"/>
          <w:szCs w:val="24"/>
        </w:rPr>
        <w:t>September 6</w:t>
      </w:r>
      <w:r w:rsidR="003878B7">
        <w:rPr>
          <w:sz w:val="24"/>
          <w:szCs w:val="24"/>
        </w:rPr>
        <w:t>, 2011</w:t>
      </w:r>
      <w:r w:rsidR="00914C7B">
        <w:rPr>
          <w:rStyle w:val="FootnoteReference"/>
          <w:sz w:val="24"/>
          <w:szCs w:val="24"/>
        </w:rPr>
        <w:footnoteReference w:id="1"/>
      </w:r>
      <w:r w:rsidR="007965B0" w:rsidRPr="007965B0">
        <w:rPr>
          <w:sz w:val="24"/>
          <w:szCs w:val="24"/>
        </w:rPr>
        <w:t xml:space="preserve">, </w:t>
      </w:r>
      <w:r w:rsidR="003878B7">
        <w:rPr>
          <w:sz w:val="24"/>
          <w:szCs w:val="24"/>
        </w:rPr>
        <w:t>Matthew Gillette</w:t>
      </w:r>
      <w:r w:rsidR="007965B0" w:rsidRPr="007965B0">
        <w:rPr>
          <w:sz w:val="24"/>
          <w:szCs w:val="24"/>
        </w:rPr>
        <w:t xml:space="preserve"> (Complainant) filed a Formal Complaint with the Pennsylvania Public Utility Commission against </w:t>
      </w:r>
      <w:r w:rsidR="003878B7">
        <w:rPr>
          <w:sz w:val="24"/>
          <w:szCs w:val="24"/>
        </w:rPr>
        <w:t>PPL Electric Utilities Corporation</w:t>
      </w:r>
      <w:r w:rsidR="007965B0" w:rsidRPr="007965B0">
        <w:rPr>
          <w:sz w:val="24"/>
          <w:szCs w:val="24"/>
        </w:rPr>
        <w:t xml:space="preserve"> (Respondent) alleging </w:t>
      </w:r>
      <w:r w:rsidR="003878B7">
        <w:rPr>
          <w:sz w:val="24"/>
          <w:szCs w:val="24"/>
        </w:rPr>
        <w:t>he was being overcharged</w:t>
      </w:r>
      <w:r w:rsidR="007965B0" w:rsidRPr="007965B0">
        <w:rPr>
          <w:sz w:val="24"/>
          <w:szCs w:val="24"/>
        </w:rPr>
        <w:t>.  This case is a</w:t>
      </w:r>
      <w:r w:rsidR="00914C7B">
        <w:rPr>
          <w:sz w:val="24"/>
          <w:szCs w:val="24"/>
        </w:rPr>
        <w:t>n</w:t>
      </w:r>
      <w:r w:rsidR="007965B0" w:rsidRPr="007965B0">
        <w:rPr>
          <w:sz w:val="24"/>
          <w:szCs w:val="24"/>
        </w:rPr>
        <w:t xml:space="preserve"> appeal from a prior informal Bureau of Consumer Services (BCS) decision</w:t>
      </w:r>
      <w:r w:rsidR="00223E7E">
        <w:rPr>
          <w:sz w:val="24"/>
          <w:szCs w:val="24"/>
        </w:rPr>
        <w:t xml:space="preserve"> at Case No. </w:t>
      </w:r>
      <w:r w:rsidR="003878B7">
        <w:rPr>
          <w:sz w:val="24"/>
          <w:szCs w:val="24"/>
        </w:rPr>
        <w:t>2841425 issued on or about August 16, 2011</w:t>
      </w:r>
      <w:r w:rsidR="007965B0" w:rsidRPr="007965B0">
        <w:rPr>
          <w:sz w:val="24"/>
          <w:szCs w:val="24"/>
        </w:rPr>
        <w:t>.</w:t>
      </w:r>
      <w:r w:rsidR="003878B7">
        <w:rPr>
          <w:sz w:val="24"/>
          <w:szCs w:val="24"/>
        </w:rPr>
        <w:t xml:space="preserve">  On October 31, 2011</w:t>
      </w:r>
      <w:r w:rsidR="007965B0" w:rsidRPr="007965B0">
        <w:rPr>
          <w:sz w:val="24"/>
          <w:szCs w:val="24"/>
        </w:rPr>
        <w:t xml:space="preserve">, Respondent filed an </w:t>
      </w:r>
      <w:r w:rsidR="007965B0" w:rsidRPr="007965B0">
        <w:rPr>
          <w:spacing w:val="-3"/>
          <w:sz w:val="24"/>
          <w:szCs w:val="24"/>
        </w:rPr>
        <w:t xml:space="preserve">Answer denying the material allegations of the Complaint.  </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3878B7">
        <w:rPr>
          <w:sz w:val="24"/>
          <w:szCs w:val="24"/>
        </w:rPr>
        <w:t>December 13, 2011</w:t>
      </w:r>
      <w:r w:rsidRPr="007965B0">
        <w:rPr>
          <w:sz w:val="24"/>
          <w:szCs w:val="24"/>
        </w:rPr>
        <w:t xml:space="preserve">, the parties were notified that an Initial Hearing in this case was scheduled for the morning of </w:t>
      </w:r>
      <w:r w:rsidR="003878B7">
        <w:rPr>
          <w:sz w:val="24"/>
          <w:szCs w:val="24"/>
        </w:rPr>
        <w:t>February 2, 2012</w:t>
      </w:r>
      <w:r w:rsidRPr="007965B0">
        <w:rPr>
          <w:sz w:val="24"/>
          <w:szCs w:val="24"/>
        </w:rPr>
        <w:t>.  A Prehe</w:t>
      </w:r>
      <w:r w:rsidR="003878B7">
        <w:rPr>
          <w:sz w:val="24"/>
          <w:szCs w:val="24"/>
        </w:rPr>
        <w:t>aring Order was issued on December 14,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lastRenderedPageBreak/>
        <w:t xml:space="preserve">The hearing convened as scheduled.  </w:t>
      </w:r>
      <w:r w:rsidR="00DE2362">
        <w:rPr>
          <w:sz w:val="24"/>
          <w:szCs w:val="24"/>
        </w:rPr>
        <w:t xml:space="preserve">The Complainant appeared </w:t>
      </w:r>
      <w:r w:rsidR="00DE2362" w:rsidRPr="002300C7">
        <w:rPr>
          <w:i/>
          <w:sz w:val="24"/>
          <w:szCs w:val="24"/>
        </w:rPr>
        <w:t>pro se</w:t>
      </w:r>
      <w:r w:rsidR="00DE2362">
        <w:rPr>
          <w:sz w:val="24"/>
          <w:szCs w:val="24"/>
        </w:rPr>
        <w:t xml:space="preserve">; the Respondent was represented by counsel.  The Complainant proffered one (1) exhibit that was entered into the record.  The Respondent proffered three (3) exhibits that were each entered into the record.  </w:t>
      </w:r>
      <w:r w:rsidR="00EC41CE">
        <w:rPr>
          <w:sz w:val="24"/>
          <w:szCs w:val="24"/>
        </w:rPr>
        <w:t xml:space="preserve">The record closed on </w:t>
      </w:r>
      <w:r w:rsidR="00DE2362">
        <w:rPr>
          <w:sz w:val="24"/>
          <w:szCs w:val="24"/>
        </w:rPr>
        <w:t>March 2, 2012</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DE2362" w:rsidP="00C419F9">
      <w:pPr>
        <w:numPr>
          <w:ilvl w:val="0"/>
          <w:numId w:val="18"/>
        </w:numPr>
        <w:tabs>
          <w:tab w:val="left" w:pos="2160"/>
        </w:tabs>
        <w:spacing w:line="360" w:lineRule="auto"/>
        <w:ind w:left="0" w:firstLine="1440"/>
        <w:rPr>
          <w:sz w:val="24"/>
          <w:szCs w:val="24"/>
        </w:rPr>
      </w:pPr>
      <w:r>
        <w:rPr>
          <w:sz w:val="24"/>
          <w:szCs w:val="24"/>
        </w:rPr>
        <w:t>Matthew Gillette, the Complainant</w:t>
      </w:r>
      <w:r w:rsidR="00C04CC1">
        <w:rPr>
          <w:sz w:val="24"/>
          <w:szCs w:val="24"/>
        </w:rPr>
        <w:t>,</w:t>
      </w:r>
      <w:r>
        <w:rPr>
          <w:sz w:val="24"/>
          <w:szCs w:val="24"/>
        </w:rPr>
        <w:t xml:space="preserve"> resides at and receives electric service at 67 Lincoln Avenue, Carbondale, Pennsylvania 18407.  (Complaint).</w:t>
      </w:r>
    </w:p>
    <w:p w:rsidR="00DE2362" w:rsidRDefault="00DE2362" w:rsidP="00DE2362">
      <w:pPr>
        <w:spacing w:line="360" w:lineRule="auto"/>
        <w:ind w:left="1440"/>
        <w:rPr>
          <w:sz w:val="24"/>
          <w:szCs w:val="24"/>
        </w:rPr>
      </w:pPr>
      <w:r>
        <w:rPr>
          <w:sz w:val="24"/>
          <w:szCs w:val="24"/>
        </w:rPr>
        <w:t xml:space="preserve"> </w:t>
      </w:r>
    </w:p>
    <w:p w:rsidR="00DE2362" w:rsidRDefault="00DE2362" w:rsidP="00C419F9">
      <w:pPr>
        <w:numPr>
          <w:ilvl w:val="0"/>
          <w:numId w:val="18"/>
        </w:numPr>
        <w:tabs>
          <w:tab w:val="left" w:pos="2160"/>
        </w:tabs>
        <w:spacing w:line="360" w:lineRule="auto"/>
        <w:ind w:left="0" w:firstLine="1440"/>
        <w:rPr>
          <w:sz w:val="24"/>
          <w:szCs w:val="24"/>
        </w:rPr>
      </w:pPr>
      <w:r>
        <w:rPr>
          <w:sz w:val="24"/>
          <w:szCs w:val="24"/>
        </w:rPr>
        <w:t>PPL Electric Utilities Corporation, the Respondent</w:t>
      </w:r>
      <w:r w:rsidR="00C04CC1">
        <w:rPr>
          <w:sz w:val="24"/>
          <w:szCs w:val="24"/>
        </w:rPr>
        <w:t>,</w:t>
      </w:r>
      <w:r>
        <w:rPr>
          <w:sz w:val="24"/>
          <w:szCs w:val="24"/>
        </w:rPr>
        <w:t xml:space="preserve"> is a jurisdictional public utility that provides electric service to Pennsylvania customers.</w:t>
      </w:r>
    </w:p>
    <w:p w:rsidR="00DE2362" w:rsidRDefault="00DE2362" w:rsidP="00DE2362">
      <w:pPr>
        <w:pStyle w:val="ListParagraph"/>
        <w:rPr>
          <w:sz w:val="24"/>
          <w:szCs w:val="24"/>
        </w:rPr>
      </w:pPr>
    </w:p>
    <w:p w:rsidR="00DE2362" w:rsidRDefault="00DE2362" w:rsidP="00C419F9">
      <w:pPr>
        <w:numPr>
          <w:ilvl w:val="0"/>
          <w:numId w:val="18"/>
        </w:numPr>
        <w:tabs>
          <w:tab w:val="left" w:pos="2160"/>
        </w:tabs>
        <w:spacing w:line="360" w:lineRule="auto"/>
        <w:ind w:left="0" w:firstLine="1440"/>
        <w:rPr>
          <w:sz w:val="24"/>
          <w:szCs w:val="24"/>
        </w:rPr>
      </w:pPr>
      <w:r>
        <w:rPr>
          <w:sz w:val="24"/>
          <w:szCs w:val="24"/>
        </w:rPr>
        <w:t xml:space="preserve">On or about </w:t>
      </w:r>
      <w:r w:rsidR="00BF7A25">
        <w:rPr>
          <w:sz w:val="24"/>
          <w:szCs w:val="24"/>
        </w:rPr>
        <w:t>October 9, 2008, the Complainant’s meter malfunctioned and stopped recording his electric usage.  (Tr. 26).</w:t>
      </w:r>
    </w:p>
    <w:p w:rsidR="00BF7A25" w:rsidRDefault="00BF7A25" w:rsidP="00BF7A25">
      <w:pPr>
        <w:pStyle w:val="ListParagraph"/>
        <w:rPr>
          <w:sz w:val="24"/>
          <w:szCs w:val="24"/>
        </w:rPr>
      </w:pPr>
    </w:p>
    <w:p w:rsidR="00BF7A25" w:rsidRDefault="00BF7A25" w:rsidP="00C419F9">
      <w:pPr>
        <w:numPr>
          <w:ilvl w:val="0"/>
          <w:numId w:val="18"/>
        </w:numPr>
        <w:tabs>
          <w:tab w:val="left" w:pos="2160"/>
        </w:tabs>
        <w:spacing w:line="360" w:lineRule="auto"/>
        <w:ind w:left="0" w:firstLine="1440"/>
        <w:rPr>
          <w:sz w:val="24"/>
          <w:szCs w:val="24"/>
        </w:rPr>
      </w:pPr>
      <w:r>
        <w:rPr>
          <w:sz w:val="24"/>
          <w:szCs w:val="24"/>
        </w:rPr>
        <w:t>On July 28, 2009, the Respondent sent the Complainant a letter stating “It’s very important that we talk to you regarding your electric service account.”  (</w:t>
      </w:r>
      <w:proofErr w:type="spellStart"/>
      <w:r>
        <w:rPr>
          <w:sz w:val="24"/>
          <w:szCs w:val="24"/>
        </w:rPr>
        <w:t>Exh</w:t>
      </w:r>
      <w:proofErr w:type="spellEnd"/>
      <w:r>
        <w:rPr>
          <w:sz w:val="24"/>
          <w:szCs w:val="24"/>
        </w:rPr>
        <w:t>. C-1).</w:t>
      </w:r>
    </w:p>
    <w:p w:rsidR="00BF7A25" w:rsidRDefault="00BF7A25" w:rsidP="00BF7A25">
      <w:pPr>
        <w:pStyle w:val="ListParagraph"/>
        <w:rPr>
          <w:sz w:val="24"/>
          <w:szCs w:val="24"/>
        </w:rPr>
      </w:pPr>
    </w:p>
    <w:p w:rsidR="00BF7A25" w:rsidRDefault="00BF7A25" w:rsidP="00707651">
      <w:pPr>
        <w:numPr>
          <w:ilvl w:val="0"/>
          <w:numId w:val="18"/>
        </w:numPr>
        <w:tabs>
          <w:tab w:val="left" w:pos="2160"/>
        </w:tabs>
        <w:spacing w:line="360" w:lineRule="auto"/>
        <w:ind w:left="0" w:firstLine="1440"/>
        <w:rPr>
          <w:sz w:val="24"/>
          <w:szCs w:val="24"/>
        </w:rPr>
      </w:pPr>
      <w:r>
        <w:rPr>
          <w:sz w:val="24"/>
          <w:szCs w:val="24"/>
        </w:rPr>
        <w:t>The Complainant did not speak with the Respondent in response to the July 28, 2009 letter.  (Tr. 31).</w:t>
      </w:r>
    </w:p>
    <w:p w:rsidR="00BF7A25" w:rsidRDefault="00BF7A25" w:rsidP="00707651">
      <w:pPr>
        <w:pStyle w:val="ListParagraph"/>
        <w:tabs>
          <w:tab w:val="left" w:pos="2160"/>
        </w:tabs>
        <w:ind w:left="0" w:firstLine="1440"/>
        <w:rPr>
          <w:sz w:val="24"/>
          <w:szCs w:val="24"/>
        </w:rPr>
      </w:pPr>
    </w:p>
    <w:p w:rsidR="00707651" w:rsidRDefault="00BF7A25" w:rsidP="00707651">
      <w:pPr>
        <w:numPr>
          <w:ilvl w:val="0"/>
          <w:numId w:val="18"/>
        </w:numPr>
        <w:tabs>
          <w:tab w:val="left" w:pos="2160"/>
        </w:tabs>
        <w:spacing w:line="360" w:lineRule="auto"/>
        <w:ind w:left="0" w:firstLine="1440"/>
        <w:rPr>
          <w:sz w:val="24"/>
          <w:szCs w:val="24"/>
        </w:rPr>
      </w:pPr>
      <w:r>
        <w:rPr>
          <w:sz w:val="24"/>
          <w:szCs w:val="24"/>
        </w:rPr>
        <w:t xml:space="preserve">From December 2007 through October 2008, the Complainant’s bill ranged from a low of $24 to a high of $91.  His average kilowatt usage was 608 KWH.  (PPL </w:t>
      </w:r>
      <w:proofErr w:type="spellStart"/>
      <w:r>
        <w:rPr>
          <w:sz w:val="24"/>
          <w:szCs w:val="24"/>
        </w:rPr>
        <w:t>Exh</w:t>
      </w:r>
      <w:proofErr w:type="spellEnd"/>
      <w:r>
        <w:rPr>
          <w:sz w:val="24"/>
          <w:szCs w:val="24"/>
        </w:rPr>
        <w:t>. 1).</w:t>
      </w:r>
    </w:p>
    <w:p w:rsidR="00707651" w:rsidRDefault="00707651" w:rsidP="00707651">
      <w:pPr>
        <w:pStyle w:val="ListParagraph"/>
        <w:tabs>
          <w:tab w:val="left" w:pos="2160"/>
        </w:tabs>
        <w:ind w:left="0" w:firstLine="1440"/>
        <w:rPr>
          <w:sz w:val="24"/>
          <w:szCs w:val="24"/>
        </w:rPr>
      </w:pPr>
    </w:p>
    <w:p w:rsidR="00707651" w:rsidRDefault="00707651" w:rsidP="00707651">
      <w:pPr>
        <w:numPr>
          <w:ilvl w:val="0"/>
          <w:numId w:val="18"/>
        </w:numPr>
        <w:tabs>
          <w:tab w:val="left" w:pos="2160"/>
        </w:tabs>
        <w:spacing w:line="360" w:lineRule="auto"/>
        <w:ind w:left="0" w:firstLine="1440"/>
        <w:rPr>
          <w:sz w:val="24"/>
          <w:szCs w:val="24"/>
        </w:rPr>
      </w:pPr>
      <w:r w:rsidRPr="00707651">
        <w:rPr>
          <w:sz w:val="24"/>
          <w:szCs w:val="24"/>
        </w:rPr>
        <w:t xml:space="preserve"> </w:t>
      </w:r>
      <w:r>
        <w:rPr>
          <w:sz w:val="24"/>
          <w:szCs w:val="24"/>
        </w:rPr>
        <w:t xml:space="preserve">On May 6, 2011, the Respondent replaced the Complainant’s meter.  (PPL </w:t>
      </w:r>
      <w:proofErr w:type="spellStart"/>
      <w:r>
        <w:rPr>
          <w:sz w:val="24"/>
          <w:szCs w:val="24"/>
        </w:rPr>
        <w:t>Exh</w:t>
      </w:r>
      <w:proofErr w:type="spellEnd"/>
      <w:r>
        <w:rPr>
          <w:sz w:val="24"/>
          <w:szCs w:val="24"/>
        </w:rPr>
        <w:t xml:space="preserve"> 5).</w:t>
      </w:r>
    </w:p>
    <w:p w:rsidR="00777900" w:rsidRDefault="00777900" w:rsidP="00707651">
      <w:pPr>
        <w:pStyle w:val="ListParagraph"/>
        <w:tabs>
          <w:tab w:val="left" w:pos="2160"/>
        </w:tabs>
        <w:ind w:left="0" w:firstLine="1440"/>
        <w:rPr>
          <w:sz w:val="24"/>
          <w:szCs w:val="24"/>
        </w:rPr>
      </w:pPr>
    </w:p>
    <w:p w:rsidR="00707651" w:rsidRPr="00707651" w:rsidRDefault="00707651" w:rsidP="00707651">
      <w:pPr>
        <w:numPr>
          <w:ilvl w:val="0"/>
          <w:numId w:val="18"/>
        </w:numPr>
        <w:tabs>
          <w:tab w:val="left" w:pos="2160"/>
        </w:tabs>
        <w:spacing w:line="360" w:lineRule="auto"/>
        <w:ind w:left="0" w:firstLine="1440"/>
        <w:rPr>
          <w:sz w:val="24"/>
          <w:szCs w:val="24"/>
        </w:rPr>
      </w:pPr>
      <w:r w:rsidRPr="00707651">
        <w:rPr>
          <w:sz w:val="24"/>
          <w:szCs w:val="24"/>
        </w:rPr>
        <w:t xml:space="preserve">On May 25, 2011, the Respondent mailed the Complainant a letter explaining that the “meter was not recording” and had been replaced.  The letter further explained that the Respondent rebilled the Complainant based upon average usage.  The rebilled amount was $1,051.04.  (PPL </w:t>
      </w:r>
      <w:proofErr w:type="spellStart"/>
      <w:r w:rsidRPr="00707651">
        <w:rPr>
          <w:sz w:val="24"/>
          <w:szCs w:val="24"/>
        </w:rPr>
        <w:t>Exh</w:t>
      </w:r>
      <w:proofErr w:type="spellEnd"/>
      <w:r w:rsidRPr="00707651">
        <w:rPr>
          <w:sz w:val="24"/>
          <w:szCs w:val="24"/>
        </w:rPr>
        <w:t>. 5).</w:t>
      </w:r>
    </w:p>
    <w:p w:rsidR="00707651" w:rsidRDefault="00777900" w:rsidP="00707651">
      <w:pPr>
        <w:numPr>
          <w:ilvl w:val="0"/>
          <w:numId w:val="18"/>
        </w:numPr>
        <w:tabs>
          <w:tab w:val="left" w:pos="2160"/>
        </w:tabs>
        <w:spacing w:line="360" w:lineRule="auto"/>
        <w:ind w:left="0" w:firstLine="1440"/>
        <w:rPr>
          <w:sz w:val="24"/>
          <w:szCs w:val="24"/>
        </w:rPr>
      </w:pPr>
      <w:r w:rsidRPr="00707651">
        <w:rPr>
          <w:sz w:val="24"/>
          <w:szCs w:val="24"/>
        </w:rPr>
        <w:t xml:space="preserve">From </w:t>
      </w:r>
      <w:r w:rsidR="00707651" w:rsidRPr="00707651">
        <w:rPr>
          <w:sz w:val="24"/>
          <w:szCs w:val="24"/>
        </w:rPr>
        <w:t>June 13, 2011</w:t>
      </w:r>
      <w:r w:rsidR="002300C7">
        <w:rPr>
          <w:sz w:val="24"/>
          <w:szCs w:val="24"/>
        </w:rPr>
        <w:t>,</w:t>
      </w:r>
      <w:r w:rsidR="00707651" w:rsidRPr="00707651">
        <w:rPr>
          <w:sz w:val="24"/>
          <w:szCs w:val="24"/>
        </w:rPr>
        <w:t xml:space="preserve"> through January 12, 2012, the Complainant’s bill ranged from a low of $82 to a high of $204.  His average kilowatt usage was 1252 KWH.  (PPL </w:t>
      </w:r>
      <w:proofErr w:type="spellStart"/>
      <w:r w:rsidR="00707651" w:rsidRPr="00707651">
        <w:rPr>
          <w:sz w:val="24"/>
          <w:szCs w:val="24"/>
        </w:rPr>
        <w:t>Exh</w:t>
      </w:r>
      <w:proofErr w:type="spellEnd"/>
      <w:r w:rsidR="00707651" w:rsidRPr="00707651">
        <w:rPr>
          <w:sz w:val="24"/>
          <w:szCs w:val="24"/>
        </w:rPr>
        <w:t>. 2).</w:t>
      </w:r>
    </w:p>
    <w:p w:rsidR="00707651" w:rsidRDefault="00707651" w:rsidP="00707651">
      <w:pPr>
        <w:pStyle w:val="ListParagraph"/>
        <w:rPr>
          <w:sz w:val="24"/>
          <w:szCs w:val="24"/>
        </w:rPr>
      </w:pPr>
    </w:p>
    <w:p w:rsidR="00BF7A25" w:rsidRDefault="00BF7A25" w:rsidP="00C419F9">
      <w:pPr>
        <w:numPr>
          <w:ilvl w:val="0"/>
          <w:numId w:val="18"/>
        </w:numPr>
        <w:tabs>
          <w:tab w:val="left" w:pos="2160"/>
        </w:tabs>
        <w:spacing w:line="360" w:lineRule="auto"/>
        <w:ind w:left="0" w:firstLine="1440"/>
        <w:rPr>
          <w:sz w:val="24"/>
          <w:szCs w:val="24"/>
        </w:rPr>
      </w:pPr>
      <w:r>
        <w:rPr>
          <w:sz w:val="24"/>
          <w:szCs w:val="24"/>
        </w:rPr>
        <w:t xml:space="preserve"> </w:t>
      </w:r>
      <w:r w:rsidR="00707651">
        <w:rPr>
          <w:sz w:val="24"/>
          <w:szCs w:val="24"/>
        </w:rPr>
        <w:t>Two blocks of time are available to determine the Complainant’s average usage; they are the time before the meter stopped and the time after the meter stopped.  The Complainant’s average before the meter sto</w:t>
      </w:r>
      <w:r w:rsidR="00C20E66">
        <w:rPr>
          <w:sz w:val="24"/>
          <w:szCs w:val="24"/>
        </w:rPr>
        <w:t>p</w:t>
      </w:r>
      <w:r w:rsidR="00707651">
        <w:rPr>
          <w:sz w:val="24"/>
          <w:szCs w:val="24"/>
        </w:rPr>
        <w:t>ped was 608 KWH, after the meter stopped, it was 1252 KWH.  The average of those two figures is 930 KWH.</w:t>
      </w:r>
    </w:p>
    <w:p w:rsidR="00707651" w:rsidRDefault="00707651" w:rsidP="00707651">
      <w:pPr>
        <w:spacing w:line="360" w:lineRule="auto"/>
        <w:ind w:left="1440"/>
        <w:rPr>
          <w:sz w:val="24"/>
          <w:szCs w:val="24"/>
        </w:rPr>
      </w:pPr>
      <w:r>
        <w:rPr>
          <w:sz w:val="24"/>
          <w:szCs w:val="24"/>
        </w:rPr>
        <w:t xml:space="preserve"> </w:t>
      </w: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EF1C47">
        <w:rPr>
          <w:sz w:val="24"/>
          <w:szCs w:val="24"/>
        </w:rPr>
        <w:t>his</w:t>
      </w:r>
      <w:r w:rsidRPr="000B72BC">
        <w:rPr>
          <w:sz w:val="24"/>
          <w:szCs w:val="24"/>
        </w:rPr>
        <w:t xml:space="preserve"> case.  </w:t>
      </w:r>
      <w:proofErr w:type="gramStart"/>
      <w:r w:rsidRPr="000B72BC">
        <w:rPr>
          <w:sz w:val="24"/>
          <w:szCs w:val="24"/>
        </w:rPr>
        <w:t>66 Pa. C.S. §</w:t>
      </w:r>
      <w:r>
        <w:rPr>
          <w:sz w:val="24"/>
          <w:szCs w:val="24"/>
        </w:rPr>
        <w:t xml:space="preserve"> </w:t>
      </w:r>
      <w:r w:rsidRPr="000B72BC">
        <w:rPr>
          <w:sz w:val="24"/>
          <w:szCs w:val="24"/>
        </w:rPr>
        <w:t>332 (a).</w:t>
      </w:r>
      <w:proofErr w:type="gramEnd"/>
      <w:r w:rsidRPr="000B72BC">
        <w:rPr>
          <w:sz w:val="24"/>
          <w:szCs w:val="24"/>
        </w:rPr>
        <w:t xml:space="preserve">  </w:t>
      </w:r>
      <w:r w:rsidRPr="000B72BC">
        <w:rPr>
          <w:spacing w:val="-3"/>
          <w:sz w:val="24"/>
          <w:szCs w:val="24"/>
        </w:rPr>
        <w:t xml:space="preserve">This must be shown by a preponderance of the evidence.  </w:t>
      </w:r>
      <w:proofErr w:type="gramStart"/>
      <w:r w:rsidRPr="000B72BC">
        <w:rPr>
          <w:i/>
          <w:spacing w:val="-3"/>
          <w:sz w:val="24"/>
          <w:szCs w:val="24"/>
        </w:rPr>
        <w:t>Samuel J. Lansberry, Inc. v. Pa. Pub</w:t>
      </w:r>
      <w:r w:rsidR="00223E7E">
        <w:rPr>
          <w:i/>
          <w:spacing w:val="-3"/>
          <w:sz w:val="24"/>
          <w:szCs w:val="24"/>
        </w:rPr>
        <w:t>.</w:t>
      </w:r>
      <w:proofErr w:type="gramEnd"/>
      <w:r w:rsidR="00095BED">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w:t>
      </w:r>
      <w:proofErr w:type="gramStart"/>
      <w:r w:rsidRPr="000B72BC">
        <w:rPr>
          <w:i/>
          <w:spacing w:val="-3"/>
          <w:sz w:val="24"/>
          <w:szCs w:val="24"/>
        </w:rPr>
        <w:t>den.</w:t>
      </w:r>
      <w:r w:rsidRPr="000B72BC">
        <w:rPr>
          <w:spacing w:val="-3"/>
          <w:sz w:val="24"/>
          <w:szCs w:val="24"/>
        </w:rPr>
        <w:t>, 602 A.2d 863 (1992).</w:t>
      </w:r>
      <w:proofErr w:type="gramEnd"/>
      <w:r w:rsidRPr="000B72BC">
        <w:rPr>
          <w:spacing w:val="-3"/>
          <w:sz w:val="24"/>
          <w:szCs w:val="24"/>
        </w:rPr>
        <w:t xml:space="preserve">  That is, </w:t>
      </w:r>
      <w:r w:rsidR="007015FC">
        <w:rPr>
          <w:spacing w:val="-3"/>
          <w:sz w:val="24"/>
          <w:szCs w:val="24"/>
        </w:rPr>
        <w:t xml:space="preserve">the Complainant must </w:t>
      </w:r>
      <w:r w:rsidRPr="000B72BC">
        <w:rPr>
          <w:spacing w:val="-3"/>
          <w:sz w:val="24"/>
          <w:szCs w:val="24"/>
        </w:rPr>
        <w:t xml:space="preserve"> present evidence more convincing, by even the smallest amount, than that presented by the other party.  </w:t>
      </w:r>
      <w:proofErr w:type="gramStart"/>
      <w:r w:rsidR="00223E7E">
        <w:rPr>
          <w:i/>
          <w:spacing w:val="-3"/>
          <w:sz w:val="24"/>
          <w:szCs w:val="24"/>
        </w:rPr>
        <w:t>Se-Ling Hosiery v. Marg</w:t>
      </w:r>
      <w:r w:rsidRPr="000B72BC">
        <w:rPr>
          <w:i/>
          <w:spacing w:val="-3"/>
          <w:sz w:val="24"/>
          <w:szCs w:val="24"/>
        </w:rPr>
        <w:t>ulies</w:t>
      </w:r>
      <w:r w:rsidRPr="000B72BC">
        <w:rPr>
          <w:spacing w:val="-3"/>
          <w:sz w:val="24"/>
          <w:szCs w:val="24"/>
        </w:rPr>
        <w:t>, 70 A.2d 854 (1950).</w:t>
      </w:r>
      <w:proofErr w:type="gramEnd"/>
      <w:r w:rsidRPr="000B72BC">
        <w:rPr>
          <w:spacing w:val="-3"/>
          <w:sz w:val="24"/>
          <w:szCs w:val="24"/>
        </w:rPr>
        <w:t xml:space="preserve">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proofErr w:type="gramStart"/>
      <w:r w:rsidRPr="000B72BC">
        <w:rPr>
          <w:i/>
          <w:spacing w:val="-3"/>
          <w:sz w:val="24"/>
          <w:szCs w:val="24"/>
        </w:rPr>
        <w:t xml:space="preserve">Mill v. Pa. Publ. Util. </w:t>
      </w:r>
      <w:proofErr w:type="spellStart"/>
      <w:r w:rsidRPr="000B72BC">
        <w:rPr>
          <w:i/>
          <w:spacing w:val="-3"/>
          <w:sz w:val="24"/>
          <w:szCs w:val="24"/>
        </w:rPr>
        <w:t>Comm’n</w:t>
      </w:r>
      <w:proofErr w:type="spellEnd"/>
      <w:r w:rsidRPr="000B72BC">
        <w:rPr>
          <w:spacing w:val="-3"/>
          <w:sz w:val="24"/>
          <w:szCs w:val="24"/>
        </w:rPr>
        <w:t xml:space="preserve">, 447 A.2d 1100 (1982); </w:t>
      </w:r>
      <w:proofErr w:type="spellStart"/>
      <w:r w:rsidR="003E594B">
        <w:rPr>
          <w:i/>
          <w:spacing w:val="-3"/>
          <w:sz w:val="24"/>
          <w:szCs w:val="24"/>
        </w:rPr>
        <w:t>Edan</w:t>
      </w:r>
      <w:proofErr w:type="spellEnd"/>
      <w:r w:rsidR="003E594B">
        <w:rPr>
          <w:i/>
          <w:spacing w:val="-3"/>
          <w:sz w:val="24"/>
          <w:szCs w:val="24"/>
        </w:rPr>
        <w:t xml:space="preserve"> Transportation Corp.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i/>
          <w:spacing w:val="-3"/>
          <w:sz w:val="24"/>
          <w:szCs w:val="24"/>
        </w:rPr>
        <w:t>,</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7464A1">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proofErr w:type="gramStart"/>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w:t>
      </w:r>
      <w:proofErr w:type="gramEnd"/>
      <w:r w:rsidRPr="000B72BC">
        <w:rPr>
          <w:i/>
          <w:spacing w:val="-3"/>
          <w:sz w:val="24"/>
          <w:szCs w:val="24"/>
        </w:rPr>
        <w:t xml:space="preserve"> </w:t>
      </w:r>
      <w:proofErr w:type="gramStart"/>
      <w:r w:rsidRPr="000B72BC">
        <w:rPr>
          <w:i/>
          <w:spacing w:val="-3"/>
          <w:sz w:val="24"/>
          <w:szCs w:val="24"/>
        </w:rPr>
        <w:t>of</w:t>
      </w:r>
      <w:proofErr w:type="gramEnd"/>
      <w:r w:rsidRPr="000B72BC">
        <w:rPr>
          <w:i/>
          <w:spacing w:val="-3"/>
          <w:sz w:val="24"/>
          <w:szCs w:val="24"/>
        </w:rPr>
        <w:t xml:space="preserve">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 xml:space="preserve">The offense must be a violation of the Public Utility Code, the Commission’s regulations, or an outstanding order of the Commission.  </w:t>
      </w:r>
      <w:proofErr w:type="gramStart"/>
      <w:r w:rsidRPr="000B72BC">
        <w:rPr>
          <w:sz w:val="24"/>
          <w:szCs w:val="24"/>
        </w:rPr>
        <w:t>66 Pa. C.S. §</w:t>
      </w:r>
      <w:r>
        <w:rPr>
          <w:sz w:val="24"/>
          <w:szCs w:val="24"/>
        </w:rPr>
        <w:t xml:space="preserve"> </w:t>
      </w:r>
      <w:r w:rsidRPr="000B72BC">
        <w:rPr>
          <w:sz w:val="24"/>
          <w:szCs w:val="24"/>
        </w:rPr>
        <w:t>701.</w:t>
      </w:r>
      <w:proofErr w:type="gramEnd"/>
    </w:p>
    <w:p w:rsidR="00EF1C47" w:rsidRDefault="00EF1C47" w:rsidP="00B0541E">
      <w:pPr>
        <w:spacing w:line="360" w:lineRule="auto"/>
        <w:rPr>
          <w:sz w:val="24"/>
          <w:szCs w:val="24"/>
        </w:rPr>
      </w:pPr>
    </w:p>
    <w:p w:rsidR="004B3058" w:rsidRDefault="00B7570C" w:rsidP="00EF1C47">
      <w:pPr>
        <w:spacing w:line="360" w:lineRule="auto"/>
        <w:ind w:firstLine="1440"/>
        <w:rPr>
          <w:sz w:val="24"/>
          <w:szCs w:val="24"/>
        </w:rPr>
      </w:pPr>
      <w:r>
        <w:rPr>
          <w:sz w:val="24"/>
          <w:szCs w:val="24"/>
        </w:rPr>
        <w:t xml:space="preserve">At some point prior to October 9, 2008, the Complainant’s electric meter stopped recording his usage.  For the next thirty (30) months the Complainant received and paid a nominal bill, typically slightly over $8.  </w:t>
      </w:r>
      <w:proofErr w:type="gramStart"/>
      <w:r>
        <w:rPr>
          <w:sz w:val="24"/>
          <w:szCs w:val="24"/>
        </w:rPr>
        <w:t>(Tr. 16).</w:t>
      </w:r>
      <w:proofErr w:type="gramEnd"/>
      <w:r>
        <w:rPr>
          <w:sz w:val="24"/>
          <w:szCs w:val="24"/>
        </w:rPr>
        <w:t xml:space="preserve">  </w:t>
      </w:r>
      <w:r w:rsidR="004B3058">
        <w:rPr>
          <w:sz w:val="24"/>
          <w:szCs w:val="24"/>
        </w:rPr>
        <w:t>Prior to the malfunction his bills ranged from a low of $24 to a high of $91</w:t>
      </w:r>
      <w:r w:rsidR="002300C7">
        <w:rPr>
          <w:sz w:val="24"/>
          <w:szCs w:val="24"/>
        </w:rPr>
        <w:t>, but never $8</w:t>
      </w:r>
      <w:r w:rsidR="004B3058">
        <w:rPr>
          <w:sz w:val="24"/>
          <w:szCs w:val="24"/>
        </w:rPr>
        <w:t xml:space="preserve">.  </w:t>
      </w:r>
    </w:p>
    <w:p w:rsidR="004B3058" w:rsidRDefault="004B3058" w:rsidP="00EF1C47">
      <w:pPr>
        <w:spacing w:line="360" w:lineRule="auto"/>
        <w:ind w:firstLine="1440"/>
        <w:rPr>
          <w:sz w:val="24"/>
          <w:szCs w:val="24"/>
        </w:rPr>
      </w:pPr>
    </w:p>
    <w:p w:rsidR="00EF1C47" w:rsidRDefault="00B7570C" w:rsidP="00EF1C47">
      <w:pPr>
        <w:spacing w:line="360" w:lineRule="auto"/>
        <w:ind w:firstLine="1440"/>
        <w:rPr>
          <w:sz w:val="24"/>
          <w:szCs w:val="24"/>
        </w:rPr>
      </w:pPr>
      <w:r>
        <w:rPr>
          <w:sz w:val="24"/>
          <w:szCs w:val="24"/>
        </w:rPr>
        <w:t xml:space="preserve">The Respondent became aware of the malfunction and sent the Complainant a letter on July 28, 2009, stating that “[i]t’s very important that we speak with you about your electric service account” and asking that he call and speak with them.  The Complainant testified he called and “gave up on them after waiting for a period of time.”  </w:t>
      </w:r>
      <w:proofErr w:type="gramStart"/>
      <w:r>
        <w:rPr>
          <w:sz w:val="24"/>
          <w:szCs w:val="24"/>
        </w:rPr>
        <w:t>(Tr. 16).</w:t>
      </w:r>
      <w:proofErr w:type="gramEnd"/>
      <w:r>
        <w:rPr>
          <w:sz w:val="24"/>
          <w:szCs w:val="24"/>
        </w:rPr>
        <w:t xml:space="preserve">  He made no additional attempts to reach the Respondent.  </w:t>
      </w:r>
      <w:proofErr w:type="gramStart"/>
      <w:r>
        <w:rPr>
          <w:sz w:val="24"/>
          <w:szCs w:val="24"/>
        </w:rPr>
        <w:t>(Tr. 16).</w:t>
      </w:r>
      <w:proofErr w:type="gramEnd"/>
    </w:p>
    <w:p w:rsidR="004B3058" w:rsidRDefault="004B3058" w:rsidP="00EF1C47">
      <w:pPr>
        <w:spacing w:line="360" w:lineRule="auto"/>
        <w:ind w:firstLine="1440"/>
        <w:rPr>
          <w:sz w:val="24"/>
          <w:szCs w:val="24"/>
        </w:rPr>
      </w:pPr>
    </w:p>
    <w:p w:rsidR="00C607FF" w:rsidRDefault="00C607FF" w:rsidP="00EF1C47">
      <w:pPr>
        <w:spacing w:line="360" w:lineRule="auto"/>
        <w:ind w:firstLine="1440"/>
        <w:rPr>
          <w:sz w:val="24"/>
          <w:szCs w:val="24"/>
        </w:rPr>
      </w:pPr>
      <w:r w:rsidRPr="00C607FF">
        <w:rPr>
          <w:color w:val="333333"/>
          <w:sz w:val="24"/>
          <w:szCs w:val="24"/>
        </w:rPr>
        <w:t xml:space="preserve">A public utility is entitled to full payment (at the currently approved tariff rate) for service provided to customers. </w:t>
      </w:r>
      <w:r w:rsidR="00AF0DDA">
        <w:rPr>
          <w:color w:val="333333"/>
          <w:sz w:val="24"/>
          <w:szCs w:val="24"/>
        </w:rPr>
        <w:t xml:space="preserve"> </w:t>
      </w:r>
      <w:hyperlink r:id="rId9" w:history="1">
        <w:proofErr w:type="spellStart"/>
        <w:r w:rsidRPr="00C607FF">
          <w:rPr>
            <w:rStyle w:val="Hyperlink"/>
            <w:i/>
            <w:iCs/>
            <w:color w:val="auto"/>
            <w:sz w:val="24"/>
            <w:szCs w:val="24"/>
          </w:rPr>
          <w:t>Scaccia</w:t>
        </w:r>
        <w:proofErr w:type="spellEnd"/>
        <w:r w:rsidRPr="00C607FF">
          <w:rPr>
            <w:rStyle w:val="Hyperlink"/>
            <w:i/>
            <w:iCs/>
            <w:color w:val="auto"/>
            <w:sz w:val="24"/>
            <w:szCs w:val="24"/>
          </w:rPr>
          <w:t xml:space="preserve"> v. West Penn Power Co.</w:t>
        </w:r>
        <w:r w:rsidRPr="00C607FF">
          <w:rPr>
            <w:rStyle w:val="Hyperlink"/>
            <w:color w:val="auto"/>
            <w:sz w:val="24"/>
            <w:szCs w:val="24"/>
          </w:rPr>
          <w:t>, 55 Pa. PUC 637 (1982);</w:t>
        </w:r>
      </w:hyperlink>
      <w:r w:rsidRPr="00C607FF">
        <w:rPr>
          <w:sz w:val="24"/>
          <w:szCs w:val="24"/>
        </w:rPr>
        <w:t xml:space="preserve"> </w:t>
      </w:r>
      <w:hyperlink r:id="rId10" w:history="1">
        <w:r w:rsidRPr="00C607FF">
          <w:rPr>
            <w:rStyle w:val="Hyperlink"/>
            <w:i/>
            <w:iCs/>
            <w:color w:val="auto"/>
            <w:sz w:val="24"/>
            <w:szCs w:val="24"/>
          </w:rPr>
          <w:t>Kea v. Peoples Natural Gas Co.</w:t>
        </w:r>
        <w:r w:rsidRPr="00C607FF">
          <w:rPr>
            <w:rStyle w:val="Hyperlink"/>
            <w:color w:val="auto"/>
            <w:sz w:val="24"/>
            <w:szCs w:val="24"/>
          </w:rPr>
          <w:t>, 60 Pa. PUC 215 (1985);</w:t>
        </w:r>
      </w:hyperlink>
      <w:r w:rsidRPr="00C607FF">
        <w:rPr>
          <w:sz w:val="24"/>
          <w:szCs w:val="24"/>
        </w:rPr>
        <w:t xml:space="preserve"> </w:t>
      </w:r>
      <w:hyperlink r:id="rId11" w:history="1">
        <w:r w:rsidRPr="00C607FF">
          <w:rPr>
            <w:rStyle w:val="Hyperlink"/>
            <w:i/>
            <w:iCs/>
            <w:color w:val="auto"/>
            <w:sz w:val="24"/>
            <w:szCs w:val="24"/>
          </w:rPr>
          <w:t xml:space="preserve">Mill v. Pennsylvania Pub. </w:t>
        </w:r>
        <w:proofErr w:type="gramStart"/>
        <w:r w:rsidRPr="00C607FF">
          <w:rPr>
            <w:rStyle w:val="Hyperlink"/>
            <w:i/>
            <w:iCs/>
            <w:color w:val="auto"/>
            <w:sz w:val="24"/>
            <w:szCs w:val="24"/>
          </w:rPr>
          <w:t xml:space="preserve">Util. </w:t>
        </w:r>
        <w:proofErr w:type="spellStart"/>
        <w:r w:rsidRPr="00C607FF">
          <w:rPr>
            <w:rStyle w:val="Hyperlink"/>
            <w:i/>
            <w:iCs/>
            <w:color w:val="auto"/>
            <w:sz w:val="24"/>
            <w:szCs w:val="24"/>
          </w:rPr>
          <w:t>Comm</w:t>
        </w:r>
        <w:r w:rsidR="00AF0DDA">
          <w:rPr>
            <w:rStyle w:val="Hyperlink"/>
            <w:i/>
            <w:iCs/>
            <w:color w:val="auto"/>
            <w:sz w:val="24"/>
            <w:szCs w:val="24"/>
          </w:rPr>
          <w:t>’</w:t>
        </w:r>
        <w:r w:rsidRPr="00C607FF">
          <w:rPr>
            <w:rStyle w:val="Hyperlink"/>
            <w:i/>
            <w:iCs/>
            <w:color w:val="auto"/>
            <w:sz w:val="24"/>
            <w:szCs w:val="24"/>
          </w:rPr>
          <w:t>n</w:t>
        </w:r>
        <w:proofErr w:type="spellEnd"/>
        <w:r w:rsidRPr="00C607FF">
          <w:rPr>
            <w:rStyle w:val="Hyperlink"/>
            <w:i/>
            <w:iCs/>
            <w:color w:val="auto"/>
            <w:sz w:val="24"/>
            <w:szCs w:val="24"/>
          </w:rPr>
          <w:t>, supra</w:t>
        </w:r>
        <w:r w:rsidRPr="00C607FF">
          <w:rPr>
            <w:rStyle w:val="Hyperlink"/>
            <w:color w:val="auto"/>
            <w:sz w:val="24"/>
            <w:szCs w:val="24"/>
          </w:rPr>
          <w:t>.</w:t>
        </w:r>
        <w:proofErr w:type="gramEnd"/>
      </w:hyperlink>
      <w:r>
        <w:rPr>
          <w:sz w:val="24"/>
          <w:szCs w:val="24"/>
        </w:rPr>
        <w:t xml:space="preserve">  </w:t>
      </w:r>
    </w:p>
    <w:p w:rsidR="00C607FF" w:rsidRDefault="00C607FF" w:rsidP="00EF1C47">
      <w:pPr>
        <w:spacing w:line="360" w:lineRule="auto"/>
        <w:ind w:firstLine="1440"/>
        <w:rPr>
          <w:sz w:val="24"/>
          <w:szCs w:val="24"/>
        </w:rPr>
      </w:pPr>
    </w:p>
    <w:p w:rsidR="00867026" w:rsidRDefault="00C607FF" w:rsidP="00EF1C47">
      <w:pPr>
        <w:spacing w:line="360" w:lineRule="auto"/>
        <w:ind w:firstLine="1440"/>
        <w:rPr>
          <w:sz w:val="24"/>
          <w:szCs w:val="24"/>
        </w:rPr>
      </w:pPr>
      <w:r w:rsidRPr="00C607FF">
        <w:rPr>
          <w:color w:val="333333"/>
          <w:sz w:val="24"/>
          <w:szCs w:val="24"/>
        </w:rPr>
        <w:t xml:space="preserve">All customers, regardless of financial means, have an obligation to pay for utility service. </w:t>
      </w:r>
      <w:r w:rsidR="00AF0DDA">
        <w:rPr>
          <w:color w:val="333333"/>
          <w:sz w:val="24"/>
          <w:szCs w:val="24"/>
        </w:rPr>
        <w:t xml:space="preserve"> </w:t>
      </w:r>
      <w:r w:rsidRPr="00C607FF">
        <w:rPr>
          <w:color w:val="333333"/>
          <w:sz w:val="24"/>
          <w:szCs w:val="24"/>
        </w:rPr>
        <w:t>Otherwise, customers</w:t>
      </w:r>
      <w:r w:rsidR="00AF0DDA">
        <w:rPr>
          <w:color w:val="333333"/>
          <w:sz w:val="24"/>
          <w:szCs w:val="24"/>
        </w:rPr>
        <w:t>’</w:t>
      </w:r>
      <w:r w:rsidRPr="00C607FF">
        <w:rPr>
          <w:color w:val="333333"/>
          <w:sz w:val="24"/>
          <w:szCs w:val="24"/>
        </w:rPr>
        <w:t xml:space="preserve"> unpaid bills are included in the utility</w:t>
      </w:r>
      <w:r w:rsidR="00AF0DDA">
        <w:rPr>
          <w:color w:val="333333"/>
          <w:sz w:val="24"/>
          <w:szCs w:val="24"/>
        </w:rPr>
        <w:t>’</w:t>
      </w:r>
      <w:r w:rsidRPr="00C607FF">
        <w:rPr>
          <w:color w:val="333333"/>
          <w:sz w:val="24"/>
          <w:szCs w:val="24"/>
        </w:rPr>
        <w:t xml:space="preserve">s </w:t>
      </w:r>
      <w:proofErr w:type="spellStart"/>
      <w:r w:rsidRPr="00C607FF">
        <w:rPr>
          <w:color w:val="333333"/>
          <w:sz w:val="24"/>
          <w:szCs w:val="24"/>
        </w:rPr>
        <w:t>uncollectibles</w:t>
      </w:r>
      <w:proofErr w:type="spellEnd"/>
      <w:r w:rsidRPr="00C607FF">
        <w:rPr>
          <w:color w:val="333333"/>
          <w:sz w:val="24"/>
          <w:szCs w:val="24"/>
        </w:rPr>
        <w:t xml:space="preserve"> expense and ultimately paid by the remaining ratepayers. </w:t>
      </w:r>
      <w:r w:rsidR="00AF0DDA">
        <w:rPr>
          <w:color w:val="333333"/>
          <w:sz w:val="24"/>
          <w:szCs w:val="24"/>
        </w:rPr>
        <w:t xml:space="preserve"> </w:t>
      </w:r>
      <w:r w:rsidRPr="00C607FF">
        <w:rPr>
          <w:i/>
          <w:iCs/>
          <w:color w:val="333333"/>
          <w:sz w:val="24"/>
          <w:szCs w:val="24"/>
        </w:rPr>
        <w:t xml:space="preserve">Cf., </w:t>
      </w:r>
      <w:hyperlink r:id="rId12" w:history="1">
        <w:r w:rsidRPr="00C607FF">
          <w:rPr>
            <w:rStyle w:val="Hyperlink"/>
            <w:i/>
            <w:iCs/>
            <w:color w:val="auto"/>
            <w:sz w:val="24"/>
            <w:szCs w:val="24"/>
          </w:rPr>
          <w:t>Bolt v. Duquesne Light Co.</w:t>
        </w:r>
        <w:r w:rsidRPr="00C607FF">
          <w:rPr>
            <w:rStyle w:val="Hyperlink"/>
            <w:color w:val="auto"/>
            <w:sz w:val="24"/>
            <w:szCs w:val="24"/>
          </w:rPr>
          <w:t>, 66 Pa. PUC 463 (1988).</w:t>
        </w:r>
      </w:hyperlink>
    </w:p>
    <w:p w:rsidR="00867026" w:rsidRDefault="00867026" w:rsidP="00EF1C47">
      <w:pPr>
        <w:spacing w:line="360" w:lineRule="auto"/>
        <w:ind w:firstLine="1440"/>
        <w:rPr>
          <w:sz w:val="24"/>
          <w:szCs w:val="24"/>
        </w:rPr>
      </w:pPr>
    </w:p>
    <w:p w:rsidR="004B3058" w:rsidRDefault="00C607FF" w:rsidP="00EF1C47">
      <w:pPr>
        <w:spacing w:line="360" w:lineRule="auto"/>
        <w:ind w:firstLine="1440"/>
        <w:rPr>
          <w:color w:val="333333"/>
          <w:sz w:val="24"/>
          <w:szCs w:val="24"/>
        </w:rPr>
      </w:pPr>
      <w:r w:rsidRPr="00C607FF">
        <w:rPr>
          <w:color w:val="333333"/>
          <w:sz w:val="24"/>
          <w:szCs w:val="24"/>
        </w:rPr>
        <w:t>There is</w:t>
      </w:r>
      <w:r w:rsidR="00867026">
        <w:rPr>
          <w:color w:val="333333"/>
          <w:sz w:val="24"/>
          <w:szCs w:val="24"/>
        </w:rPr>
        <w:t xml:space="preserve"> no</w:t>
      </w:r>
      <w:r w:rsidRPr="00C607FF">
        <w:rPr>
          <w:color w:val="333333"/>
          <w:sz w:val="24"/>
          <w:szCs w:val="24"/>
        </w:rPr>
        <w:t xml:space="preserve"> dispute </w:t>
      </w:r>
      <w:r>
        <w:rPr>
          <w:color w:val="333333"/>
          <w:sz w:val="24"/>
          <w:szCs w:val="24"/>
        </w:rPr>
        <w:t>regarding the fact that the meter stopped,</w:t>
      </w:r>
      <w:r w:rsidR="002300C7">
        <w:rPr>
          <w:color w:val="333333"/>
          <w:sz w:val="24"/>
          <w:szCs w:val="24"/>
        </w:rPr>
        <w:t xml:space="preserve"> and</w:t>
      </w:r>
      <w:r>
        <w:rPr>
          <w:color w:val="333333"/>
          <w:sz w:val="24"/>
          <w:szCs w:val="24"/>
        </w:rPr>
        <w:t xml:space="preserve"> </w:t>
      </w:r>
      <w:r w:rsidR="00867026">
        <w:rPr>
          <w:color w:val="333333"/>
          <w:sz w:val="24"/>
          <w:szCs w:val="24"/>
        </w:rPr>
        <w:t xml:space="preserve">that </w:t>
      </w:r>
      <w:r>
        <w:rPr>
          <w:color w:val="333333"/>
          <w:sz w:val="24"/>
          <w:szCs w:val="24"/>
        </w:rPr>
        <w:t>thirty (30)</w:t>
      </w:r>
      <w:r w:rsidR="000A7E8C">
        <w:rPr>
          <w:color w:val="333333"/>
          <w:sz w:val="24"/>
          <w:szCs w:val="24"/>
        </w:rPr>
        <w:t> </w:t>
      </w:r>
      <w:r>
        <w:rPr>
          <w:color w:val="333333"/>
          <w:sz w:val="24"/>
          <w:szCs w:val="24"/>
        </w:rPr>
        <w:t>months went by before the Respondent issued a make</w:t>
      </w:r>
      <w:r w:rsidR="00220F7A">
        <w:rPr>
          <w:color w:val="333333"/>
          <w:sz w:val="24"/>
          <w:szCs w:val="24"/>
        </w:rPr>
        <w:t>-</w:t>
      </w:r>
      <w:r>
        <w:rPr>
          <w:color w:val="333333"/>
          <w:sz w:val="24"/>
          <w:szCs w:val="24"/>
        </w:rPr>
        <w:t xml:space="preserve">up bill.  The </w:t>
      </w:r>
      <w:r w:rsidR="00FA6520">
        <w:rPr>
          <w:color w:val="333333"/>
          <w:sz w:val="24"/>
          <w:szCs w:val="24"/>
        </w:rPr>
        <w:t>c</w:t>
      </w:r>
      <w:r w:rsidR="001C3F69">
        <w:rPr>
          <w:color w:val="333333"/>
          <w:sz w:val="24"/>
          <w:szCs w:val="24"/>
        </w:rPr>
        <w:t>omplaint raised by Mr.</w:t>
      </w:r>
      <w:r w:rsidR="000A7E8C">
        <w:rPr>
          <w:color w:val="333333"/>
          <w:sz w:val="24"/>
          <w:szCs w:val="24"/>
        </w:rPr>
        <w:t> </w:t>
      </w:r>
      <w:r w:rsidR="001C3F69">
        <w:rPr>
          <w:color w:val="333333"/>
          <w:sz w:val="24"/>
          <w:szCs w:val="24"/>
        </w:rPr>
        <w:t>Gillette,</w:t>
      </w:r>
      <w:r>
        <w:rPr>
          <w:color w:val="333333"/>
          <w:sz w:val="24"/>
          <w:szCs w:val="24"/>
        </w:rPr>
        <w:t xml:space="preserve"> is whether the Respondent should have rebilled at the rate they chose. </w:t>
      </w:r>
      <w:r w:rsidR="00867026">
        <w:rPr>
          <w:color w:val="333333"/>
          <w:sz w:val="24"/>
          <w:szCs w:val="24"/>
        </w:rPr>
        <w:t xml:space="preserve"> The Respondent billed the Complainant at the average daily usage on the new meter</w:t>
      </w:r>
      <w:r w:rsidR="00D5662B">
        <w:rPr>
          <w:color w:val="333333"/>
          <w:sz w:val="24"/>
          <w:szCs w:val="24"/>
        </w:rPr>
        <w:t xml:space="preserve">, that is, from </w:t>
      </w:r>
      <w:r w:rsidR="00867026">
        <w:rPr>
          <w:color w:val="333333"/>
          <w:sz w:val="24"/>
          <w:szCs w:val="24"/>
        </w:rPr>
        <w:t xml:space="preserve">November 10, 2010 through May 13, 2011 </w:t>
      </w:r>
      <w:r w:rsidR="00D5662B">
        <w:rPr>
          <w:color w:val="333333"/>
          <w:sz w:val="24"/>
          <w:szCs w:val="24"/>
        </w:rPr>
        <w:t>using</w:t>
      </w:r>
      <w:r w:rsidR="00867026">
        <w:rPr>
          <w:color w:val="333333"/>
          <w:sz w:val="24"/>
          <w:szCs w:val="24"/>
        </w:rPr>
        <w:t xml:space="preserve"> </w:t>
      </w:r>
      <w:r w:rsidR="001C3F69">
        <w:rPr>
          <w:color w:val="333333"/>
          <w:sz w:val="24"/>
          <w:szCs w:val="24"/>
        </w:rPr>
        <w:t>8</w:t>
      </w:r>
      <w:r w:rsidR="00867026">
        <w:rPr>
          <w:color w:val="333333"/>
          <w:sz w:val="24"/>
          <w:szCs w:val="24"/>
        </w:rPr>
        <w:t xml:space="preserve">,262 KWH.  </w:t>
      </w:r>
      <w:proofErr w:type="gramStart"/>
      <w:r w:rsidR="00867026">
        <w:rPr>
          <w:color w:val="333333"/>
          <w:sz w:val="24"/>
          <w:szCs w:val="24"/>
        </w:rPr>
        <w:t xml:space="preserve">(PPL </w:t>
      </w:r>
      <w:proofErr w:type="spellStart"/>
      <w:r w:rsidR="00867026">
        <w:rPr>
          <w:color w:val="333333"/>
          <w:sz w:val="24"/>
          <w:szCs w:val="24"/>
        </w:rPr>
        <w:t>Exh</w:t>
      </w:r>
      <w:proofErr w:type="spellEnd"/>
      <w:r w:rsidR="00867026">
        <w:rPr>
          <w:color w:val="333333"/>
          <w:sz w:val="24"/>
          <w:szCs w:val="24"/>
        </w:rPr>
        <w:t>. 5).</w:t>
      </w:r>
      <w:proofErr w:type="gramEnd"/>
      <w:r>
        <w:rPr>
          <w:color w:val="333333"/>
          <w:sz w:val="24"/>
          <w:szCs w:val="24"/>
        </w:rPr>
        <w:t xml:space="preserve"> The Complainant argues that “[t]heir estimate … should be from the time they knew the meter failed, moving six months forward.”  </w:t>
      </w:r>
      <w:proofErr w:type="gramStart"/>
      <w:r>
        <w:rPr>
          <w:color w:val="333333"/>
          <w:sz w:val="24"/>
          <w:szCs w:val="24"/>
        </w:rPr>
        <w:t>(Tr. 20).</w:t>
      </w:r>
      <w:proofErr w:type="gramEnd"/>
      <w:r>
        <w:rPr>
          <w:color w:val="333333"/>
          <w:sz w:val="24"/>
          <w:szCs w:val="24"/>
        </w:rPr>
        <w:t xml:space="preserve">  In other words, the Complainant argues that he should be bi</w:t>
      </w:r>
      <w:r w:rsidR="00466AB4">
        <w:rPr>
          <w:color w:val="333333"/>
          <w:sz w:val="24"/>
          <w:szCs w:val="24"/>
        </w:rPr>
        <w:t>lled for six (6) months at 650</w:t>
      </w:r>
      <w:r>
        <w:rPr>
          <w:color w:val="333333"/>
          <w:sz w:val="24"/>
          <w:szCs w:val="24"/>
        </w:rPr>
        <w:t xml:space="preserve"> KWH per month.  </w:t>
      </w:r>
      <w:r w:rsidR="00466AB4">
        <w:rPr>
          <w:color w:val="333333"/>
          <w:sz w:val="24"/>
          <w:szCs w:val="24"/>
        </w:rPr>
        <w:t xml:space="preserve">The 650 KWH was his average usage in 2008, as provided by the Respondent. </w:t>
      </w:r>
      <w:proofErr w:type="gramStart"/>
      <w:r>
        <w:rPr>
          <w:color w:val="333333"/>
          <w:sz w:val="24"/>
          <w:szCs w:val="24"/>
        </w:rPr>
        <w:t>(Tr.</w:t>
      </w:r>
      <w:r w:rsidR="00466AB4">
        <w:rPr>
          <w:color w:val="333333"/>
          <w:sz w:val="24"/>
          <w:szCs w:val="24"/>
        </w:rPr>
        <w:t xml:space="preserve"> 8,</w:t>
      </w:r>
      <w:r>
        <w:rPr>
          <w:color w:val="333333"/>
          <w:sz w:val="24"/>
          <w:szCs w:val="24"/>
        </w:rPr>
        <w:t xml:space="preserve"> 21).</w:t>
      </w:r>
      <w:proofErr w:type="gramEnd"/>
    </w:p>
    <w:p w:rsidR="00D5662B" w:rsidRDefault="00D5662B" w:rsidP="00EF1C47">
      <w:pPr>
        <w:spacing w:line="360" w:lineRule="auto"/>
        <w:ind w:firstLine="1440"/>
        <w:rPr>
          <w:color w:val="333333"/>
          <w:sz w:val="24"/>
          <w:szCs w:val="24"/>
        </w:rPr>
      </w:pPr>
    </w:p>
    <w:p w:rsidR="00D5662B" w:rsidRDefault="00D5662B" w:rsidP="00EF1C47">
      <w:pPr>
        <w:spacing w:line="360" w:lineRule="auto"/>
        <w:ind w:firstLine="1440"/>
        <w:rPr>
          <w:color w:val="333333"/>
          <w:sz w:val="24"/>
          <w:szCs w:val="24"/>
        </w:rPr>
      </w:pPr>
      <w:r>
        <w:rPr>
          <w:color w:val="333333"/>
          <w:sz w:val="24"/>
          <w:szCs w:val="24"/>
        </w:rPr>
        <w:t xml:space="preserve">I disagree.  </w:t>
      </w:r>
      <w:r w:rsidR="00C056F8">
        <w:rPr>
          <w:color w:val="333333"/>
          <w:sz w:val="24"/>
          <w:szCs w:val="24"/>
        </w:rPr>
        <w:t xml:space="preserve">As noted above, a </w:t>
      </w:r>
      <w:r w:rsidR="00C056F8" w:rsidRPr="00C607FF">
        <w:rPr>
          <w:color w:val="333333"/>
          <w:sz w:val="24"/>
          <w:szCs w:val="24"/>
        </w:rPr>
        <w:t>public utility is entitled to full payment (at the currently approved tariff rate) for service provided to customers</w:t>
      </w:r>
      <w:r w:rsidR="00C056F8">
        <w:rPr>
          <w:color w:val="333333"/>
          <w:sz w:val="24"/>
          <w:szCs w:val="24"/>
        </w:rPr>
        <w:t>.  There is no statutory or regulatory provision for exempting a customer from paying for his or her service.  Indeed the statutory provisions on rates</w:t>
      </w:r>
      <w:r w:rsidR="00EC62F4">
        <w:rPr>
          <w:color w:val="333333"/>
          <w:sz w:val="24"/>
          <w:szCs w:val="24"/>
        </w:rPr>
        <w:t xml:space="preserve"> state:</w:t>
      </w:r>
    </w:p>
    <w:p w:rsidR="00EE30FD" w:rsidRDefault="00EE30FD" w:rsidP="00AA0E51">
      <w:pPr>
        <w:ind w:left="1440" w:right="1440"/>
        <w:rPr>
          <w:color w:val="333333"/>
          <w:sz w:val="24"/>
          <w:szCs w:val="24"/>
        </w:rPr>
      </w:pPr>
    </w:p>
    <w:p w:rsidR="00EC62F4" w:rsidRDefault="00EC62F4" w:rsidP="00AA0E51">
      <w:pPr>
        <w:ind w:left="1440" w:right="1440"/>
        <w:rPr>
          <w:color w:val="333333"/>
          <w:sz w:val="24"/>
          <w:szCs w:val="24"/>
        </w:rPr>
      </w:pPr>
      <w:r>
        <w:rPr>
          <w:color w:val="333333"/>
          <w:sz w:val="24"/>
          <w:szCs w:val="24"/>
        </w:rPr>
        <w:t xml:space="preserve">No public utility shall, directly or indirectly, by any device whatsoever, or in anywise, demand or receive from any person…a greater or less rate for any service rendered or to be rendered by such utility than that specified in the tariff of such utility applicable thereto.  </w:t>
      </w:r>
      <w:proofErr w:type="gramStart"/>
      <w:r>
        <w:rPr>
          <w:color w:val="333333"/>
          <w:sz w:val="24"/>
          <w:szCs w:val="24"/>
        </w:rPr>
        <w:t>66 Pa. C.S. § 1303.</w:t>
      </w:r>
      <w:proofErr w:type="gramEnd"/>
    </w:p>
    <w:p w:rsidR="00EC62F4" w:rsidRDefault="00EC62F4" w:rsidP="00EC62F4">
      <w:pPr>
        <w:spacing w:line="360" w:lineRule="auto"/>
        <w:ind w:left="1440" w:right="1440"/>
        <w:rPr>
          <w:color w:val="333333"/>
          <w:sz w:val="24"/>
          <w:szCs w:val="24"/>
        </w:rPr>
      </w:pPr>
    </w:p>
    <w:p w:rsidR="00EC62F4" w:rsidRDefault="00EC62F4" w:rsidP="00AA0E51">
      <w:pPr>
        <w:ind w:left="1440" w:right="1440"/>
        <w:rPr>
          <w:color w:val="333333"/>
          <w:sz w:val="24"/>
          <w:szCs w:val="24"/>
        </w:rPr>
      </w:pPr>
      <w:r>
        <w:rPr>
          <w:color w:val="333333"/>
          <w:sz w:val="24"/>
          <w:szCs w:val="24"/>
        </w:rPr>
        <w:t>No public utility shall, as to rates, make or grant any unreasonable preference or advantage to any person…66 Pa. C.S. § 1304.</w:t>
      </w:r>
    </w:p>
    <w:p w:rsidR="006345B0" w:rsidRDefault="006345B0" w:rsidP="00A2230F">
      <w:pPr>
        <w:ind w:left="1440" w:right="1440"/>
        <w:rPr>
          <w:color w:val="333333"/>
          <w:sz w:val="24"/>
          <w:szCs w:val="24"/>
        </w:rPr>
      </w:pPr>
    </w:p>
    <w:p w:rsidR="00A2230F" w:rsidRDefault="00A2230F" w:rsidP="00A2230F">
      <w:pPr>
        <w:ind w:left="1440" w:right="1440"/>
        <w:rPr>
          <w:color w:val="333333"/>
          <w:sz w:val="24"/>
          <w:szCs w:val="24"/>
        </w:rPr>
      </w:pPr>
    </w:p>
    <w:p w:rsidR="000773F2" w:rsidRDefault="00EC62F4" w:rsidP="00251274">
      <w:pPr>
        <w:spacing w:line="360" w:lineRule="auto"/>
        <w:ind w:right="90" w:firstLine="1440"/>
        <w:rPr>
          <w:color w:val="333333"/>
          <w:sz w:val="24"/>
          <w:szCs w:val="24"/>
        </w:rPr>
      </w:pPr>
      <w:r>
        <w:rPr>
          <w:color w:val="333333"/>
          <w:sz w:val="24"/>
          <w:szCs w:val="24"/>
        </w:rPr>
        <w:t>Here, by the Respondent charging the Complainant for six (6) months of service, when in fact he used thirty (30</w:t>
      </w:r>
      <w:r w:rsidR="00237CC3">
        <w:rPr>
          <w:color w:val="333333"/>
          <w:sz w:val="24"/>
          <w:szCs w:val="24"/>
        </w:rPr>
        <w:t xml:space="preserve">) months of service </w:t>
      </w:r>
      <w:r w:rsidR="002300C7">
        <w:rPr>
          <w:color w:val="333333"/>
          <w:sz w:val="24"/>
          <w:szCs w:val="24"/>
        </w:rPr>
        <w:t xml:space="preserve">the Respondent </w:t>
      </w:r>
      <w:r w:rsidR="00237CC3">
        <w:rPr>
          <w:color w:val="333333"/>
          <w:sz w:val="24"/>
          <w:szCs w:val="24"/>
        </w:rPr>
        <w:t>provided</w:t>
      </w:r>
      <w:r>
        <w:rPr>
          <w:color w:val="333333"/>
          <w:sz w:val="24"/>
          <w:szCs w:val="24"/>
        </w:rPr>
        <w:t xml:space="preserve"> the Complainant with twenty-four (24) months</w:t>
      </w:r>
      <w:r w:rsidR="002300C7">
        <w:rPr>
          <w:color w:val="333333"/>
          <w:sz w:val="24"/>
          <w:szCs w:val="24"/>
        </w:rPr>
        <w:t xml:space="preserve"> of service</w:t>
      </w:r>
      <w:r>
        <w:rPr>
          <w:color w:val="333333"/>
          <w:sz w:val="24"/>
          <w:szCs w:val="24"/>
        </w:rPr>
        <w:t xml:space="preserve"> at a rate of zero.  Clearly, some kilowatt hours we</w:t>
      </w:r>
      <w:r w:rsidR="00251274">
        <w:rPr>
          <w:color w:val="333333"/>
          <w:sz w:val="24"/>
          <w:szCs w:val="24"/>
        </w:rPr>
        <w:t>re</w:t>
      </w:r>
      <w:r>
        <w:rPr>
          <w:color w:val="333333"/>
          <w:sz w:val="24"/>
          <w:szCs w:val="24"/>
        </w:rPr>
        <w:t xml:space="preserve"> used and must be charged at the tariff rate.</w:t>
      </w:r>
      <w:r w:rsidR="00251274">
        <w:rPr>
          <w:color w:val="333333"/>
          <w:sz w:val="24"/>
          <w:szCs w:val="24"/>
        </w:rPr>
        <w:t xml:space="preserve">  </w:t>
      </w:r>
      <w:proofErr w:type="gramStart"/>
      <w:r w:rsidR="00237CC3">
        <w:rPr>
          <w:color w:val="333333"/>
          <w:sz w:val="24"/>
          <w:szCs w:val="24"/>
        </w:rPr>
        <w:t>66 Pa. C.S. §</w:t>
      </w:r>
      <w:r w:rsidR="0015597C">
        <w:rPr>
          <w:color w:val="333333"/>
          <w:sz w:val="24"/>
          <w:szCs w:val="24"/>
        </w:rPr>
        <w:t>§</w:t>
      </w:r>
      <w:r w:rsidR="00237CC3">
        <w:rPr>
          <w:color w:val="333333"/>
          <w:sz w:val="24"/>
          <w:szCs w:val="24"/>
        </w:rPr>
        <w:t xml:space="preserve"> 1303, 1304.</w:t>
      </w:r>
      <w:proofErr w:type="gramEnd"/>
      <w:r w:rsidR="00237CC3">
        <w:rPr>
          <w:color w:val="333333"/>
          <w:sz w:val="24"/>
          <w:szCs w:val="24"/>
        </w:rPr>
        <w:t xml:space="preserve">  </w:t>
      </w:r>
      <w:r w:rsidR="00251274">
        <w:rPr>
          <w:color w:val="333333"/>
          <w:sz w:val="24"/>
          <w:szCs w:val="24"/>
        </w:rPr>
        <w:t xml:space="preserve">There are two blocks of time for the Complainant that we know the actual usage.  Those time blocks are January 15, 2008 through October 9, 2008.  The average usage for that block of time </w:t>
      </w:r>
      <w:r w:rsidR="000773F2">
        <w:rPr>
          <w:color w:val="333333"/>
          <w:sz w:val="24"/>
          <w:szCs w:val="24"/>
        </w:rPr>
        <w:t>wa</w:t>
      </w:r>
      <w:r w:rsidR="00251274">
        <w:rPr>
          <w:color w:val="333333"/>
          <w:sz w:val="24"/>
          <w:szCs w:val="24"/>
        </w:rPr>
        <w:t>s 608 kilowatt hours per month.</w:t>
      </w:r>
      <w:r w:rsidR="00237CC3">
        <w:rPr>
          <w:rStyle w:val="FootnoteReference"/>
          <w:color w:val="333333"/>
          <w:sz w:val="24"/>
          <w:szCs w:val="24"/>
        </w:rPr>
        <w:footnoteReference w:id="2"/>
      </w:r>
      <w:r w:rsidR="00251274">
        <w:rPr>
          <w:color w:val="333333"/>
          <w:sz w:val="24"/>
          <w:szCs w:val="24"/>
        </w:rPr>
        <w:t xml:space="preserve">  The second known time block is June 13, 2011 through January 12, 2012.  The Complainant’s usage doubled at some point in time, but unfortunately, there is no evidence of the circumstances leading to that increase</w:t>
      </w:r>
      <w:r w:rsidR="00237CC3">
        <w:rPr>
          <w:color w:val="333333"/>
          <w:sz w:val="24"/>
          <w:szCs w:val="24"/>
        </w:rPr>
        <w:t>, nor do we know when the increased usage began</w:t>
      </w:r>
      <w:r w:rsidR="00251274">
        <w:rPr>
          <w:color w:val="333333"/>
          <w:sz w:val="24"/>
          <w:szCs w:val="24"/>
        </w:rPr>
        <w:t xml:space="preserve">.  The average usage </w:t>
      </w:r>
      <w:r w:rsidR="000773F2">
        <w:rPr>
          <w:color w:val="333333"/>
          <w:sz w:val="24"/>
          <w:szCs w:val="24"/>
        </w:rPr>
        <w:t>for that block of time wa</w:t>
      </w:r>
      <w:r w:rsidR="00251274">
        <w:rPr>
          <w:color w:val="333333"/>
          <w:sz w:val="24"/>
          <w:szCs w:val="24"/>
        </w:rPr>
        <w:t xml:space="preserve">s 1252 kilowatt hours per month.  </w:t>
      </w:r>
    </w:p>
    <w:p w:rsidR="000773F2" w:rsidRDefault="000773F2" w:rsidP="00251274">
      <w:pPr>
        <w:spacing w:line="360" w:lineRule="auto"/>
        <w:ind w:right="90" w:firstLine="1440"/>
        <w:rPr>
          <w:color w:val="333333"/>
          <w:sz w:val="24"/>
          <w:szCs w:val="24"/>
        </w:rPr>
      </w:pPr>
    </w:p>
    <w:p w:rsidR="00654517" w:rsidRDefault="00251274" w:rsidP="00251274">
      <w:pPr>
        <w:spacing w:line="360" w:lineRule="auto"/>
        <w:ind w:right="90" w:firstLine="1440"/>
        <w:rPr>
          <w:color w:val="333333"/>
          <w:sz w:val="24"/>
          <w:szCs w:val="24"/>
        </w:rPr>
      </w:pPr>
      <w:r>
        <w:rPr>
          <w:color w:val="333333"/>
          <w:sz w:val="24"/>
          <w:szCs w:val="24"/>
        </w:rPr>
        <w:t xml:space="preserve">The Complainant argues that the kilowatt hours used </w:t>
      </w:r>
      <w:r w:rsidR="000773F2">
        <w:rPr>
          <w:color w:val="333333"/>
          <w:sz w:val="24"/>
          <w:szCs w:val="24"/>
        </w:rPr>
        <w:t xml:space="preserve">to determine </w:t>
      </w:r>
      <w:r w:rsidR="00395E98">
        <w:rPr>
          <w:color w:val="333333"/>
          <w:sz w:val="24"/>
          <w:szCs w:val="24"/>
        </w:rPr>
        <w:t>h</w:t>
      </w:r>
      <w:r w:rsidR="000773F2">
        <w:rPr>
          <w:color w:val="333333"/>
          <w:sz w:val="24"/>
          <w:szCs w:val="24"/>
        </w:rPr>
        <w:t xml:space="preserve">is bill </w:t>
      </w:r>
      <w:r>
        <w:rPr>
          <w:color w:val="333333"/>
          <w:sz w:val="24"/>
          <w:szCs w:val="24"/>
        </w:rPr>
        <w:t>should be the lower of the known usage.  In light of the lack of evidence for the period from October 8, 2008 to June 13, 2011, I agree.  Therefore, Respondent should have charged the Complainant at their tariffed rate in effect for each of the thirty (30) months of service</w:t>
      </w:r>
      <w:r w:rsidR="00237CC3">
        <w:rPr>
          <w:color w:val="333333"/>
          <w:sz w:val="24"/>
          <w:szCs w:val="24"/>
        </w:rPr>
        <w:t>, multiplied by the 6</w:t>
      </w:r>
      <w:r>
        <w:rPr>
          <w:color w:val="333333"/>
          <w:sz w:val="24"/>
          <w:szCs w:val="24"/>
        </w:rPr>
        <w:t>0</w:t>
      </w:r>
      <w:r w:rsidR="00237CC3">
        <w:rPr>
          <w:color w:val="333333"/>
          <w:sz w:val="24"/>
          <w:szCs w:val="24"/>
        </w:rPr>
        <w:t>8</w:t>
      </w:r>
      <w:r>
        <w:rPr>
          <w:color w:val="333333"/>
          <w:sz w:val="24"/>
          <w:szCs w:val="24"/>
        </w:rPr>
        <w:t xml:space="preserve"> kilowatt hours.</w:t>
      </w:r>
    </w:p>
    <w:p w:rsidR="00337053" w:rsidRDefault="00337053" w:rsidP="00251274">
      <w:pPr>
        <w:spacing w:line="360" w:lineRule="auto"/>
        <w:ind w:right="90" w:firstLine="1440"/>
        <w:rPr>
          <w:color w:val="333333"/>
          <w:sz w:val="24"/>
          <w:szCs w:val="24"/>
        </w:rPr>
      </w:pPr>
    </w:p>
    <w:p w:rsidR="003F1140" w:rsidRDefault="003F1140" w:rsidP="00251274">
      <w:pPr>
        <w:spacing w:line="360" w:lineRule="auto"/>
        <w:ind w:right="90" w:firstLine="1440"/>
        <w:rPr>
          <w:color w:val="333333"/>
          <w:sz w:val="24"/>
          <w:szCs w:val="24"/>
        </w:rPr>
      </w:pPr>
      <w:r>
        <w:rPr>
          <w:color w:val="333333"/>
          <w:sz w:val="24"/>
          <w:szCs w:val="24"/>
        </w:rPr>
        <w:t>The Public Utility Code regulations provide:</w:t>
      </w:r>
    </w:p>
    <w:p w:rsidR="002F63C1" w:rsidRDefault="002F63C1" w:rsidP="002F63C1">
      <w:pPr>
        <w:ind w:left="2160" w:right="1440"/>
        <w:rPr>
          <w:color w:val="333333"/>
          <w:sz w:val="24"/>
          <w:szCs w:val="24"/>
        </w:rPr>
      </w:pPr>
    </w:p>
    <w:p w:rsidR="003F1140" w:rsidRDefault="003F1140" w:rsidP="002F63C1">
      <w:pPr>
        <w:ind w:left="2160" w:right="1440"/>
        <w:rPr>
          <w:color w:val="333333"/>
          <w:sz w:val="24"/>
          <w:szCs w:val="24"/>
        </w:rPr>
      </w:pPr>
      <w:r>
        <w:rPr>
          <w:color w:val="333333"/>
          <w:sz w:val="24"/>
          <w:szCs w:val="24"/>
        </w:rPr>
        <w:t xml:space="preserve">When a public utility </w:t>
      </w:r>
      <w:r w:rsidR="00C72936">
        <w:rPr>
          <w:color w:val="333333"/>
          <w:sz w:val="24"/>
          <w:szCs w:val="24"/>
        </w:rPr>
        <w:t>renders</w:t>
      </w:r>
      <w:r>
        <w:rPr>
          <w:color w:val="333333"/>
          <w:sz w:val="24"/>
          <w:szCs w:val="24"/>
        </w:rPr>
        <w:t xml:space="preserve"> a make-up bill for previously unbilled public utility service </w:t>
      </w:r>
      <w:r w:rsidR="00C72936">
        <w:rPr>
          <w:color w:val="333333"/>
          <w:sz w:val="24"/>
          <w:szCs w:val="24"/>
        </w:rPr>
        <w:t>which</w:t>
      </w:r>
      <w:r>
        <w:rPr>
          <w:color w:val="333333"/>
          <w:sz w:val="24"/>
          <w:szCs w:val="24"/>
        </w:rPr>
        <w:t xml:space="preserve"> accrued in the past 4 years resulting from public utility billing </w:t>
      </w:r>
      <w:r w:rsidR="00C72936">
        <w:rPr>
          <w:color w:val="333333"/>
          <w:sz w:val="24"/>
          <w:szCs w:val="24"/>
        </w:rPr>
        <w:t>error</w:t>
      </w:r>
      <w:r>
        <w:rPr>
          <w:color w:val="333333"/>
          <w:sz w:val="24"/>
          <w:szCs w:val="24"/>
        </w:rPr>
        <w:t xml:space="preserve">, meter failure, leakage that could not have been </w:t>
      </w:r>
      <w:r w:rsidR="00C72936">
        <w:rPr>
          <w:color w:val="333333"/>
          <w:sz w:val="24"/>
          <w:szCs w:val="24"/>
        </w:rPr>
        <w:t>reasonably</w:t>
      </w:r>
      <w:r>
        <w:rPr>
          <w:color w:val="333333"/>
          <w:sz w:val="24"/>
          <w:szCs w:val="24"/>
        </w:rPr>
        <w:t xml:space="preserve"> detected or loss </w:t>
      </w:r>
      <w:r w:rsidR="00466AB4">
        <w:rPr>
          <w:color w:val="333333"/>
          <w:sz w:val="24"/>
          <w:szCs w:val="24"/>
        </w:rPr>
        <w:t>o</w:t>
      </w:r>
      <w:r>
        <w:rPr>
          <w:color w:val="333333"/>
          <w:sz w:val="24"/>
          <w:szCs w:val="24"/>
        </w:rPr>
        <w:t xml:space="preserve">f service, or four or more consecutive estimated bills and the make-up bill exceeds otherwise normal estimated bill for </w:t>
      </w:r>
      <w:r w:rsidR="00C72936">
        <w:rPr>
          <w:color w:val="333333"/>
          <w:sz w:val="24"/>
          <w:szCs w:val="24"/>
        </w:rPr>
        <w:t>the</w:t>
      </w:r>
      <w:r>
        <w:rPr>
          <w:color w:val="333333"/>
          <w:sz w:val="24"/>
          <w:szCs w:val="24"/>
        </w:rPr>
        <w:t xml:space="preserve"> billing period during which the make-up bill is issued by at least 50% or at least $50, whichever is the greater:</w:t>
      </w:r>
    </w:p>
    <w:p w:rsidR="002F63C1" w:rsidRDefault="002F63C1" w:rsidP="002F63C1">
      <w:pPr>
        <w:ind w:left="2160" w:right="1440"/>
        <w:rPr>
          <w:color w:val="333333"/>
          <w:sz w:val="24"/>
          <w:szCs w:val="24"/>
        </w:rPr>
      </w:pPr>
    </w:p>
    <w:p w:rsidR="003F1140" w:rsidRDefault="003F1140" w:rsidP="00374E8E">
      <w:pPr>
        <w:pStyle w:val="ListParagraph"/>
        <w:numPr>
          <w:ilvl w:val="0"/>
          <w:numId w:val="19"/>
        </w:numPr>
        <w:ind w:right="720"/>
        <w:rPr>
          <w:color w:val="333333"/>
          <w:sz w:val="24"/>
          <w:szCs w:val="24"/>
        </w:rPr>
      </w:pPr>
      <w:r>
        <w:rPr>
          <w:color w:val="333333"/>
          <w:sz w:val="24"/>
          <w:szCs w:val="24"/>
        </w:rPr>
        <w:t>The public utility shall explain the bill to the customer and make a reasonable attempt to amortize the bill.</w:t>
      </w:r>
    </w:p>
    <w:p w:rsidR="002F63C1" w:rsidRDefault="002F63C1" w:rsidP="002F63C1">
      <w:pPr>
        <w:pStyle w:val="ListParagraph"/>
        <w:ind w:left="2520" w:right="90"/>
        <w:rPr>
          <w:color w:val="333333"/>
          <w:sz w:val="24"/>
          <w:szCs w:val="24"/>
        </w:rPr>
      </w:pPr>
    </w:p>
    <w:p w:rsidR="003F1140" w:rsidRDefault="003F1140" w:rsidP="002F63C1">
      <w:pPr>
        <w:pStyle w:val="ListParagraph"/>
        <w:numPr>
          <w:ilvl w:val="0"/>
          <w:numId w:val="19"/>
        </w:numPr>
        <w:ind w:right="90"/>
        <w:rPr>
          <w:color w:val="333333"/>
          <w:sz w:val="24"/>
          <w:szCs w:val="24"/>
        </w:rPr>
      </w:pPr>
      <w:r>
        <w:rPr>
          <w:color w:val="333333"/>
          <w:sz w:val="24"/>
          <w:szCs w:val="24"/>
        </w:rPr>
        <w:t xml:space="preserve">The period of the </w:t>
      </w:r>
      <w:r w:rsidR="00C72936">
        <w:rPr>
          <w:color w:val="333333"/>
          <w:sz w:val="24"/>
          <w:szCs w:val="24"/>
        </w:rPr>
        <w:t>amortization</w:t>
      </w:r>
      <w:r>
        <w:rPr>
          <w:color w:val="333333"/>
          <w:sz w:val="24"/>
          <w:szCs w:val="24"/>
        </w:rPr>
        <w:t xml:space="preserve"> may, at the option of the customer, extend</w:t>
      </w:r>
      <w:r w:rsidR="00466AB4">
        <w:rPr>
          <w:color w:val="333333"/>
          <w:sz w:val="24"/>
          <w:szCs w:val="24"/>
        </w:rPr>
        <w:t xml:space="preserve"> at least</w:t>
      </w:r>
      <w:r>
        <w:rPr>
          <w:color w:val="333333"/>
          <w:sz w:val="24"/>
          <w:szCs w:val="24"/>
        </w:rPr>
        <w:t xml:space="preserve"> as long as:</w:t>
      </w:r>
    </w:p>
    <w:p w:rsidR="002F63C1" w:rsidRPr="002F63C1" w:rsidRDefault="002F63C1" w:rsidP="002F63C1">
      <w:pPr>
        <w:ind w:right="90"/>
        <w:rPr>
          <w:color w:val="333333"/>
          <w:sz w:val="24"/>
          <w:szCs w:val="24"/>
        </w:rPr>
      </w:pPr>
    </w:p>
    <w:p w:rsidR="003F1140" w:rsidRDefault="003F1140" w:rsidP="003F1140">
      <w:pPr>
        <w:pStyle w:val="ListParagraph"/>
        <w:numPr>
          <w:ilvl w:val="0"/>
          <w:numId w:val="20"/>
        </w:numPr>
        <w:spacing w:line="360" w:lineRule="auto"/>
        <w:ind w:right="90"/>
        <w:rPr>
          <w:color w:val="333333"/>
          <w:sz w:val="24"/>
          <w:szCs w:val="24"/>
        </w:rPr>
      </w:pPr>
      <w:r>
        <w:rPr>
          <w:color w:val="333333"/>
          <w:sz w:val="24"/>
          <w:szCs w:val="24"/>
        </w:rPr>
        <w:t>The period during which the excess amount accrued</w:t>
      </w:r>
      <w:r w:rsidR="006B1861">
        <w:rPr>
          <w:color w:val="333333"/>
          <w:sz w:val="24"/>
          <w:szCs w:val="24"/>
        </w:rPr>
        <w:t>,</w:t>
      </w:r>
    </w:p>
    <w:p w:rsidR="003F1140" w:rsidRPr="003F1140" w:rsidRDefault="003F1140" w:rsidP="00134F22">
      <w:pPr>
        <w:tabs>
          <w:tab w:val="left" w:pos="3600"/>
        </w:tabs>
        <w:ind w:left="3240" w:right="720" w:hanging="360"/>
        <w:rPr>
          <w:color w:val="333333"/>
          <w:sz w:val="24"/>
          <w:szCs w:val="24"/>
        </w:rPr>
      </w:pPr>
      <w:r w:rsidRPr="003F1140">
        <w:rPr>
          <w:color w:val="333333"/>
          <w:sz w:val="24"/>
          <w:szCs w:val="24"/>
        </w:rPr>
        <w:t>ii.</w:t>
      </w:r>
      <w:r w:rsidR="00C72936">
        <w:rPr>
          <w:color w:val="333333"/>
          <w:sz w:val="24"/>
          <w:szCs w:val="24"/>
        </w:rPr>
        <w:t xml:space="preserve">   Necessary so that the quantity of service billed in any one billing period is not greater than the normal estimated quantity for that period plus 50%.  </w:t>
      </w:r>
      <w:proofErr w:type="gramStart"/>
      <w:r w:rsidR="00C72936">
        <w:rPr>
          <w:color w:val="333333"/>
          <w:sz w:val="24"/>
          <w:szCs w:val="24"/>
        </w:rPr>
        <w:t>52 Pa. Code § 56.14</w:t>
      </w:r>
      <w:r w:rsidR="009C0266">
        <w:rPr>
          <w:color w:val="333333"/>
          <w:sz w:val="24"/>
          <w:szCs w:val="24"/>
        </w:rPr>
        <w:t>.</w:t>
      </w:r>
      <w:proofErr w:type="gramEnd"/>
    </w:p>
    <w:p w:rsidR="000773F2" w:rsidRDefault="000773F2" w:rsidP="00251274">
      <w:pPr>
        <w:spacing w:line="360" w:lineRule="auto"/>
        <w:ind w:right="90" w:firstLine="1440"/>
        <w:rPr>
          <w:color w:val="333333"/>
          <w:sz w:val="24"/>
          <w:szCs w:val="24"/>
        </w:rPr>
      </w:pPr>
    </w:p>
    <w:p w:rsidR="00382B1A" w:rsidRDefault="000773F2" w:rsidP="00A114CD">
      <w:pPr>
        <w:spacing w:line="360" w:lineRule="auto"/>
        <w:ind w:right="90" w:firstLine="1440"/>
        <w:rPr>
          <w:color w:val="333333"/>
          <w:sz w:val="24"/>
          <w:szCs w:val="24"/>
        </w:rPr>
      </w:pPr>
      <w:r>
        <w:rPr>
          <w:color w:val="333333"/>
          <w:sz w:val="24"/>
          <w:szCs w:val="24"/>
        </w:rPr>
        <w:t xml:space="preserve">Additionally, the Complainant argues that “they knew the meter failed, but they chose not to do anything about it.”  </w:t>
      </w:r>
      <w:proofErr w:type="gramStart"/>
      <w:r w:rsidR="00927DDB">
        <w:rPr>
          <w:color w:val="333333"/>
          <w:sz w:val="24"/>
          <w:szCs w:val="24"/>
        </w:rPr>
        <w:t>(</w:t>
      </w:r>
      <w:r>
        <w:rPr>
          <w:color w:val="333333"/>
          <w:sz w:val="24"/>
          <w:szCs w:val="24"/>
        </w:rPr>
        <w:t>Tr. 20).</w:t>
      </w:r>
      <w:proofErr w:type="gramEnd"/>
      <w:r w:rsidR="00251274">
        <w:rPr>
          <w:color w:val="333333"/>
          <w:sz w:val="24"/>
          <w:szCs w:val="24"/>
        </w:rPr>
        <w:t xml:space="preserve">  </w:t>
      </w:r>
      <w:r w:rsidR="004168EF">
        <w:rPr>
          <w:color w:val="333333"/>
          <w:sz w:val="24"/>
          <w:szCs w:val="24"/>
        </w:rPr>
        <w:t>A utility is required to provide safe, efficient, reasona</w:t>
      </w:r>
      <w:r w:rsidR="00466AB4">
        <w:rPr>
          <w:color w:val="333333"/>
          <w:sz w:val="24"/>
          <w:szCs w:val="24"/>
        </w:rPr>
        <w:t xml:space="preserve">ble and adequate service.  </w:t>
      </w:r>
      <w:proofErr w:type="gramStart"/>
      <w:r w:rsidR="00466AB4">
        <w:rPr>
          <w:color w:val="333333"/>
          <w:sz w:val="24"/>
          <w:szCs w:val="24"/>
        </w:rPr>
        <w:t>66 Pa</w:t>
      </w:r>
      <w:r w:rsidR="004168EF">
        <w:rPr>
          <w:color w:val="333333"/>
          <w:sz w:val="24"/>
          <w:szCs w:val="24"/>
        </w:rPr>
        <w:t>. C.S. § 1501.</w:t>
      </w:r>
      <w:proofErr w:type="gramEnd"/>
      <w:r w:rsidR="004168EF">
        <w:rPr>
          <w:color w:val="333333"/>
          <w:sz w:val="24"/>
          <w:szCs w:val="24"/>
        </w:rPr>
        <w:t xml:space="preserve">  </w:t>
      </w:r>
      <w:r w:rsidR="00C72936">
        <w:rPr>
          <w:color w:val="333333"/>
          <w:sz w:val="24"/>
          <w:szCs w:val="24"/>
        </w:rPr>
        <w:t>The Respondent knew at or about</w:t>
      </w:r>
      <w:r w:rsidR="004168EF">
        <w:rPr>
          <w:color w:val="333333"/>
          <w:sz w:val="24"/>
          <w:szCs w:val="24"/>
        </w:rPr>
        <w:t xml:space="preserve"> July</w:t>
      </w:r>
      <w:r w:rsidR="004019A3">
        <w:rPr>
          <w:color w:val="333333"/>
          <w:sz w:val="24"/>
          <w:szCs w:val="24"/>
        </w:rPr>
        <w:t> </w:t>
      </w:r>
      <w:r w:rsidR="004168EF">
        <w:rPr>
          <w:color w:val="333333"/>
          <w:sz w:val="24"/>
          <w:szCs w:val="24"/>
        </w:rPr>
        <w:t xml:space="preserve">28, 2009, that there was an issue with the Complainant’s electric service and put the Complainant on notice that something with his account required his immediate attention.  The Respondent’s letter of July 28, 2009, stated unequivocally “[i]t’s </w:t>
      </w:r>
      <w:r w:rsidR="004168EF" w:rsidRPr="00C72936">
        <w:rPr>
          <w:i/>
          <w:color w:val="333333"/>
          <w:sz w:val="24"/>
          <w:szCs w:val="24"/>
        </w:rPr>
        <w:t>very important</w:t>
      </w:r>
      <w:r w:rsidR="004168EF">
        <w:rPr>
          <w:color w:val="333333"/>
          <w:sz w:val="24"/>
          <w:szCs w:val="24"/>
        </w:rPr>
        <w:t xml:space="preserve"> that we talk to you regarding your electric service account</w:t>
      </w:r>
      <w:r w:rsidR="004168EF" w:rsidRPr="00C72936">
        <w:rPr>
          <w:i/>
          <w:color w:val="333333"/>
          <w:sz w:val="24"/>
          <w:szCs w:val="24"/>
        </w:rPr>
        <w:t>.  Please call us as soon as possible</w:t>
      </w:r>
      <w:r w:rsidR="004168EF">
        <w:rPr>
          <w:color w:val="333333"/>
          <w:sz w:val="24"/>
          <w:szCs w:val="24"/>
        </w:rPr>
        <w:t xml:space="preserve">.”  </w:t>
      </w:r>
      <w:r w:rsidR="00C72936">
        <w:rPr>
          <w:color w:val="333333"/>
          <w:sz w:val="24"/>
          <w:szCs w:val="24"/>
        </w:rPr>
        <w:t xml:space="preserve">(Emphasis added).  </w:t>
      </w:r>
      <w:r w:rsidR="004168EF">
        <w:rPr>
          <w:color w:val="333333"/>
          <w:sz w:val="24"/>
          <w:szCs w:val="24"/>
        </w:rPr>
        <w:t>The Complainant stated that he called, waited, and gave up; he did not call again, despite the urgent language of the letter.  The Respondent did not follow up on the letter and nothing happened until the rebilling in May 2011.  I find that both the Complainant and the Respondent failed to act reasonably or adequately</w:t>
      </w:r>
      <w:r w:rsidR="00466AB4">
        <w:rPr>
          <w:color w:val="333333"/>
          <w:sz w:val="24"/>
          <w:szCs w:val="24"/>
        </w:rPr>
        <w:t>.</w:t>
      </w:r>
      <w:r w:rsidR="00A114CD">
        <w:rPr>
          <w:color w:val="333333"/>
          <w:sz w:val="24"/>
          <w:szCs w:val="24"/>
        </w:rPr>
        <w:t xml:space="preserve">  Indeed, had the Complainant contacted the Respondent as requested the issue would have been resolved in 2009 and not 2011.</w:t>
      </w:r>
      <w:r w:rsidR="00C72936">
        <w:rPr>
          <w:color w:val="333333"/>
          <w:sz w:val="24"/>
          <w:szCs w:val="24"/>
        </w:rPr>
        <w:t xml:space="preserve">  It is not reasonable to have called once and not waited for a response.  Since the Complainant hung up it is even more unreasonable to have not placed the call again considering the language of the letter.  Furthermore, the Complainant knew with his first $8 bill that something was amiss and simply chose to continue to receive electric service without notifying the Respondent that something was wrong with his bill.  The Complainant is equally at fault as the Respondent for the trajectory of this meter failure and make-up bill.</w:t>
      </w:r>
    </w:p>
    <w:p w:rsidR="00A114CD" w:rsidRDefault="00A114CD" w:rsidP="00A114CD">
      <w:pPr>
        <w:spacing w:line="360" w:lineRule="auto"/>
        <w:ind w:right="90" w:firstLine="1440"/>
        <w:rPr>
          <w:color w:val="333333"/>
          <w:sz w:val="24"/>
          <w:szCs w:val="24"/>
        </w:rPr>
      </w:pPr>
    </w:p>
    <w:p w:rsidR="006F2313" w:rsidRPr="006F2313" w:rsidRDefault="006F2313" w:rsidP="006F2313">
      <w:pPr>
        <w:pStyle w:val="PlainText"/>
        <w:spacing w:line="360" w:lineRule="auto"/>
        <w:ind w:firstLine="1440"/>
        <w:rPr>
          <w:rFonts w:ascii="Times New Roman" w:hAnsi="Times New Roman" w:cs="Times New Roman"/>
          <w:sz w:val="24"/>
          <w:szCs w:val="24"/>
        </w:rPr>
      </w:pPr>
      <w:r w:rsidRPr="006F2313">
        <w:rPr>
          <w:rFonts w:ascii="Times New Roman" w:hAnsi="Times New Roman" w:cs="Times New Roman"/>
          <w:sz w:val="24"/>
          <w:szCs w:val="24"/>
        </w:rPr>
        <w:t>In summary, the Complainant failed to prove that the Respondent should charge him for six (6) months at a lesser rate.  The Complainant used the service for thirty (30) months and must be charged the tariff rate for each month of service like any other customer.  The Formal Complaint is dismissed in part and the Respondent is ordered to issue a corrected make</w:t>
      </w:r>
      <w:r w:rsidR="00FD09EE">
        <w:rPr>
          <w:rFonts w:ascii="Times New Roman" w:hAnsi="Times New Roman" w:cs="Times New Roman"/>
          <w:sz w:val="24"/>
          <w:szCs w:val="24"/>
        </w:rPr>
        <w:noBreakHyphen/>
      </w:r>
      <w:r w:rsidRPr="006F2313">
        <w:rPr>
          <w:rFonts w:ascii="Times New Roman" w:hAnsi="Times New Roman" w:cs="Times New Roman"/>
          <w:sz w:val="24"/>
          <w:szCs w:val="24"/>
        </w:rPr>
        <w:t xml:space="preserve">up bill.  </w:t>
      </w:r>
    </w:p>
    <w:p w:rsidR="006F2313" w:rsidRDefault="006F2313" w:rsidP="00A114CD">
      <w:pPr>
        <w:spacing w:line="360" w:lineRule="auto"/>
        <w:ind w:right="90" w:firstLine="1440"/>
        <w:rPr>
          <w:color w:val="333333"/>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66 Pa. C.S. §</w:t>
      </w:r>
      <w:r>
        <w:rPr>
          <w:sz w:val="24"/>
          <w:szCs w:val="24"/>
        </w:rPr>
        <w:t xml:space="preserve"> </w:t>
      </w:r>
      <w:r w:rsidRPr="007934E4">
        <w:rPr>
          <w:sz w:val="24"/>
          <w:szCs w:val="24"/>
        </w:rPr>
        <w:t>701.</w:t>
      </w:r>
      <w:proofErr w:type="gramEnd"/>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proofErr w:type="gramStart"/>
      <w:r w:rsidR="00C1140C">
        <w:rPr>
          <w:sz w:val="24"/>
          <w:szCs w:val="24"/>
        </w:rPr>
        <w:t>Complainant</w:t>
      </w:r>
      <w:r w:rsidRPr="007934E4">
        <w:rPr>
          <w:sz w:val="24"/>
          <w:szCs w:val="24"/>
        </w:rPr>
        <w:t xml:space="preserve">  bears</w:t>
      </w:r>
      <w:proofErr w:type="gramEnd"/>
      <w:r w:rsidRPr="007934E4">
        <w:rPr>
          <w:sz w:val="24"/>
          <w:szCs w:val="24"/>
        </w:rPr>
        <w:t xml:space="preserve"> the burden of proof.  </w:t>
      </w:r>
      <w:proofErr w:type="gramStart"/>
      <w:r w:rsidRPr="007934E4">
        <w:rPr>
          <w:sz w:val="24"/>
          <w:szCs w:val="24"/>
        </w:rPr>
        <w:t>66 Pa. C.S. §</w:t>
      </w:r>
      <w:r>
        <w:rPr>
          <w:sz w:val="24"/>
          <w:szCs w:val="24"/>
        </w:rPr>
        <w:t xml:space="preserve"> </w:t>
      </w:r>
      <w:r w:rsidRPr="007934E4">
        <w:rPr>
          <w:sz w:val="24"/>
          <w:szCs w:val="24"/>
        </w:rPr>
        <w:t>332(a).</w:t>
      </w:r>
      <w:proofErr w:type="gramEnd"/>
    </w:p>
    <w:p w:rsidR="00382B1A" w:rsidRPr="007934E4" w:rsidRDefault="00382B1A" w:rsidP="00382B1A">
      <w:pPr>
        <w:tabs>
          <w:tab w:val="left" w:pos="2160"/>
        </w:tabs>
        <w:spacing w:line="360" w:lineRule="auto"/>
        <w:ind w:firstLine="1440"/>
        <w:rPr>
          <w:sz w:val="24"/>
          <w:szCs w:val="24"/>
        </w:rPr>
      </w:pPr>
    </w:p>
    <w:p w:rsidR="00382B1A" w:rsidRDefault="00382B1A" w:rsidP="00A114CD">
      <w:pPr>
        <w:tabs>
          <w:tab w:val="left" w:pos="90"/>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300 (1976).</w:t>
      </w:r>
      <w:proofErr w:type="gramEnd"/>
      <w:r w:rsidRPr="007934E4">
        <w:rPr>
          <w:spacing w:val="-3"/>
          <w:sz w:val="24"/>
          <w:szCs w:val="24"/>
        </w:rPr>
        <w:t xml:space="preserve">  This must be shown by a preponderance of the evidence.  </w:t>
      </w:r>
      <w:proofErr w:type="gramStart"/>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proofErr w:type="gramEnd"/>
      <w:r w:rsidRPr="00C1140C">
        <w:rPr>
          <w:i/>
          <w:spacing w:val="-3"/>
          <w:sz w:val="24"/>
          <w:szCs w:val="24"/>
        </w:rPr>
        <w:t xml:space="preserve"> </w:t>
      </w:r>
      <w:proofErr w:type="gramStart"/>
      <w:r w:rsidRPr="00C1140C">
        <w:rPr>
          <w:i/>
          <w:spacing w:val="-3"/>
          <w:sz w:val="24"/>
          <w:szCs w:val="24"/>
        </w:rPr>
        <w:t>Util</w:t>
      </w:r>
      <w:r w:rsidR="003E594B">
        <w:rPr>
          <w:i/>
          <w:spacing w:val="-3"/>
          <w:sz w:val="24"/>
          <w:szCs w:val="24"/>
        </w:rPr>
        <w:t>.</w:t>
      </w:r>
      <w:r w:rsidRPr="00C1140C">
        <w:rPr>
          <w:i/>
          <w:spacing w:val="-3"/>
          <w:sz w:val="24"/>
          <w:szCs w:val="24"/>
        </w:rPr>
        <w:t xml:space="preserve"> </w:t>
      </w:r>
      <w:proofErr w:type="spellStart"/>
      <w:r w:rsidRPr="00C1140C">
        <w:rPr>
          <w:i/>
          <w:spacing w:val="-3"/>
          <w:sz w:val="24"/>
          <w:szCs w:val="24"/>
        </w:rPr>
        <w:t>Comm’n</w:t>
      </w:r>
      <w:proofErr w:type="spellEnd"/>
      <w:r w:rsidRPr="007934E4">
        <w:rPr>
          <w:spacing w:val="-3"/>
          <w:sz w:val="24"/>
          <w:szCs w:val="24"/>
        </w:rPr>
        <w:t xml:space="preserve">, 578 A.2d 600 (1990), </w:t>
      </w:r>
      <w:r w:rsidRPr="007934E4">
        <w:rPr>
          <w:i/>
          <w:spacing w:val="-3"/>
          <w:sz w:val="24"/>
          <w:szCs w:val="24"/>
        </w:rPr>
        <w:t>alloc.</w:t>
      </w:r>
      <w:proofErr w:type="gramEnd"/>
      <w:r w:rsidRPr="007934E4">
        <w:rPr>
          <w:i/>
          <w:spacing w:val="-3"/>
          <w:sz w:val="24"/>
          <w:szCs w:val="24"/>
        </w:rPr>
        <w:t xml:space="preserve"> </w:t>
      </w:r>
      <w:proofErr w:type="gramStart"/>
      <w:r w:rsidRPr="007934E4">
        <w:rPr>
          <w:i/>
          <w:spacing w:val="-3"/>
          <w:sz w:val="24"/>
          <w:szCs w:val="24"/>
        </w:rPr>
        <w:t>den.</w:t>
      </w:r>
      <w:r w:rsidR="003E594B">
        <w:rPr>
          <w:spacing w:val="-3"/>
          <w:sz w:val="24"/>
          <w:szCs w:val="24"/>
        </w:rPr>
        <w:t xml:space="preserve">, 602 A.2d </w:t>
      </w:r>
      <w:r w:rsidRPr="007934E4">
        <w:rPr>
          <w:spacing w:val="-3"/>
          <w:sz w:val="24"/>
          <w:szCs w:val="24"/>
        </w:rPr>
        <w:t>863 (1992).</w:t>
      </w:r>
      <w:proofErr w:type="gramEnd"/>
    </w:p>
    <w:p w:rsidR="003117E6" w:rsidRDefault="003117E6" w:rsidP="00A114CD">
      <w:pPr>
        <w:tabs>
          <w:tab w:val="left" w:pos="90"/>
          <w:tab w:val="left" w:pos="2160"/>
        </w:tabs>
        <w:spacing w:line="360" w:lineRule="auto"/>
        <w:ind w:firstLine="1440"/>
        <w:rPr>
          <w:spacing w:val="-3"/>
          <w:sz w:val="24"/>
          <w:szCs w:val="24"/>
        </w:rPr>
      </w:pPr>
    </w:p>
    <w:p w:rsidR="00A114CD" w:rsidRDefault="00A114CD" w:rsidP="00812743">
      <w:pPr>
        <w:tabs>
          <w:tab w:val="left" w:pos="90"/>
          <w:tab w:val="left" w:pos="2160"/>
        </w:tabs>
        <w:spacing w:line="360" w:lineRule="auto"/>
        <w:ind w:firstLine="1440"/>
        <w:rPr>
          <w:color w:val="333333"/>
          <w:sz w:val="24"/>
          <w:szCs w:val="24"/>
        </w:rPr>
      </w:pPr>
      <w:r>
        <w:rPr>
          <w:spacing w:val="-3"/>
          <w:sz w:val="24"/>
          <w:szCs w:val="24"/>
        </w:rPr>
        <w:t>4.</w:t>
      </w:r>
      <w:r>
        <w:rPr>
          <w:spacing w:val="-3"/>
          <w:sz w:val="24"/>
          <w:szCs w:val="24"/>
        </w:rPr>
        <w:tab/>
      </w:r>
      <w:r>
        <w:rPr>
          <w:color w:val="333333"/>
          <w:sz w:val="24"/>
          <w:szCs w:val="24"/>
        </w:rPr>
        <w:t xml:space="preserve">No public utility shall, directly or indirectly, by any device whatsoever, or in anywise, demand or receive from any person…a greater or less rate for any service rendered or to be rendered by such utility than that specified in the tariff of such utility applicable thereto.  </w:t>
      </w:r>
      <w:proofErr w:type="gramStart"/>
      <w:r>
        <w:rPr>
          <w:color w:val="333333"/>
          <w:sz w:val="24"/>
          <w:szCs w:val="24"/>
        </w:rPr>
        <w:t>66 Pa. C.S. § 1303.</w:t>
      </w:r>
      <w:proofErr w:type="gramEnd"/>
    </w:p>
    <w:p w:rsidR="003B759B" w:rsidRDefault="003B759B" w:rsidP="00812743">
      <w:pPr>
        <w:tabs>
          <w:tab w:val="left" w:pos="90"/>
          <w:tab w:val="left" w:pos="2160"/>
        </w:tabs>
        <w:spacing w:line="360" w:lineRule="auto"/>
        <w:ind w:firstLine="1440"/>
        <w:rPr>
          <w:color w:val="333333"/>
          <w:sz w:val="24"/>
          <w:szCs w:val="24"/>
        </w:rPr>
      </w:pPr>
    </w:p>
    <w:p w:rsidR="00A114CD" w:rsidRDefault="00A114CD" w:rsidP="00812743">
      <w:pPr>
        <w:tabs>
          <w:tab w:val="left" w:pos="90"/>
          <w:tab w:val="left" w:pos="2160"/>
          <w:tab w:val="left" w:pos="9360"/>
        </w:tabs>
        <w:spacing w:line="360" w:lineRule="auto"/>
        <w:ind w:firstLine="1440"/>
        <w:rPr>
          <w:color w:val="333333"/>
          <w:sz w:val="24"/>
          <w:szCs w:val="24"/>
        </w:rPr>
      </w:pPr>
      <w:r>
        <w:rPr>
          <w:color w:val="333333"/>
          <w:sz w:val="24"/>
          <w:szCs w:val="24"/>
        </w:rPr>
        <w:t>5.</w:t>
      </w:r>
      <w:r>
        <w:rPr>
          <w:color w:val="333333"/>
          <w:sz w:val="24"/>
          <w:szCs w:val="24"/>
        </w:rPr>
        <w:tab/>
        <w:t>No public utility shall, as to rates, make or grant any unreasonable prefer</w:t>
      </w:r>
      <w:r w:rsidR="00533418">
        <w:rPr>
          <w:color w:val="333333"/>
          <w:sz w:val="24"/>
          <w:szCs w:val="24"/>
        </w:rPr>
        <w:t xml:space="preserve">ence or advantage to any person.  </w:t>
      </w:r>
      <w:proofErr w:type="gramStart"/>
      <w:r>
        <w:rPr>
          <w:color w:val="333333"/>
          <w:sz w:val="24"/>
          <w:szCs w:val="24"/>
        </w:rPr>
        <w:t>66 Pa. C.S. § 1304.</w:t>
      </w:r>
      <w:proofErr w:type="gramEnd"/>
    </w:p>
    <w:p w:rsidR="00A114CD" w:rsidRDefault="00A114CD" w:rsidP="00A114CD">
      <w:pPr>
        <w:tabs>
          <w:tab w:val="left" w:pos="90"/>
          <w:tab w:val="left" w:pos="2160"/>
        </w:tabs>
        <w:spacing w:line="360" w:lineRule="auto"/>
        <w:ind w:right="1440" w:firstLine="1440"/>
        <w:rPr>
          <w:color w:val="333333"/>
          <w:sz w:val="24"/>
          <w:szCs w:val="24"/>
        </w:rPr>
      </w:pPr>
    </w:p>
    <w:p w:rsidR="00A114CD" w:rsidRDefault="00A114CD" w:rsidP="00812743">
      <w:pPr>
        <w:tabs>
          <w:tab w:val="left" w:pos="90"/>
          <w:tab w:val="left" w:pos="2160"/>
        </w:tabs>
        <w:spacing w:line="360" w:lineRule="auto"/>
        <w:ind w:firstLine="1440"/>
        <w:rPr>
          <w:color w:val="333333"/>
          <w:sz w:val="24"/>
          <w:szCs w:val="24"/>
        </w:rPr>
      </w:pPr>
      <w:r>
        <w:rPr>
          <w:color w:val="333333"/>
          <w:sz w:val="24"/>
          <w:szCs w:val="24"/>
        </w:rPr>
        <w:t>6.</w:t>
      </w:r>
      <w:r>
        <w:rPr>
          <w:color w:val="333333"/>
          <w:sz w:val="24"/>
          <w:szCs w:val="24"/>
        </w:rPr>
        <w:tab/>
        <w:t xml:space="preserve">A utility is required to provide safe, efficient, reasonable and adequate service.  </w:t>
      </w:r>
      <w:proofErr w:type="gramStart"/>
      <w:r>
        <w:rPr>
          <w:color w:val="333333"/>
          <w:sz w:val="24"/>
          <w:szCs w:val="24"/>
        </w:rPr>
        <w:t>66 PA.</w:t>
      </w:r>
      <w:proofErr w:type="gramEnd"/>
      <w:r>
        <w:rPr>
          <w:color w:val="333333"/>
          <w:sz w:val="24"/>
          <w:szCs w:val="24"/>
        </w:rPr>
        <w:t xml:space="preserve"> </w:t>
      </w:r>
      <w:proofErr w:type="gramStart"/>
      <w:r>
        <w:rPr>
          <w:color w:val="333333"/>
          <w:sz w:val="24"/>
          <w:szCs w:val="24"/>
        </w:rPr>
        <w:t>C.S. § 1501.</w:t>
      </w:r>
      <w:proofErr w:type="gramEnd"/>
      <w:r>
        <w:rPr>
          <w:color w:val="333333"/>
          <w:sz w:val="24"/>
          <w:szCs w:val="24"/>
        </w:rPr>
        <w:t xml:space="preserve">  </w:t>
      </w:r>
    </w:p>
    <w:p w:rsidR="00A114CD" w:rsidRPr="007934E4" w:rsidRDefault="00A114CD" w:rsidP="00382B1A">
      <w:pPr>
        <w:tabs>
          <w:tab w:val="left" w:pos="2160"/>
        </w:tabs>
        <w:spacing w:line="360" w:lineRule="auto"/>
        <w:ind w:firstLine="1440"/>
        <w:rPr>
          <w:spacing w:val="-3"/>
          <w:sz w:val="24"/>
          <w:szCs w:val="24"/>
        </w:rPr>
      </w:pPr>
    </w:p>
    <w:p w:rsidR="009649FC" w:rsidRPr="00812743" w:rsidRDefault="009649FC" w:rsidP="00C21F78">
      <w:pPr>
        <w:spacing w:line="360" w:lineRule="auto"/>
        <w:jc w:val="center"/>
        <w:rPr>
          <w:b/>
          <w:sz w:val="24"/>
          <w:szCs w:val="24"/>
          <w:u w:val="single"/>
        </w:rPr>
      </w:pPr>
      <w:r w:rsidRPr="00812743">
        <w:rPr>
          <w:b/>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6C7753" w:rsidRDefault="006C7753" w:rsidP="0081696C">
      <w:pPr>
        <w:spacing w:line="360" w:lineRule="auto"/>
        <w:ind w:firstLine="1440"/>
        <w:outlineLvl w:val="0"/>
        <w:rPr>
          <w:sz w:val="24"/>
          <w:szCs w:val="24"/>
        </w:rPr>
      </w:pPr>
    </w:p>
    <w:p w:rsidR="006C7753" w:rsidRPr="006C7753" w:rsidRDefault="006C7753" w:rsidP="006C7753">
      <w:pPr>
        <w:pStyle w:val="PlainText"/>
        <w:numPr>
          <w:ilvl w:val="0"/>
          <w:numId w:val="22"/>
        </w:numPr>
        <w:ind w:left="2160" w:hanging="720"/>
        <w:rPr>
          <w:rFonts w:ascii="Times New Roman" w:hAnsi="Times New Roman" w:cs="Times New Roman"/>
          <w:sz w:val="24"/>
          <w:szCs w:val="24"/>
        </w:rPr>
      </w:pPr>
      <w:r w:rsidRPr="006C7753">
        <w:rPr>
          <w:rFonts w:ascii="Times New Roman" w:hAnsi="Times New Roman" w:cs="Times New Roman"/>
          <w:sz w:val="24"/>
          <w:szCs w:val="24"/>
        </w:rPr>
        <w:t>That the Formal Complaint of Matthew Gillette is dismissed in part.</w:t>
      </w:r>
    </w:p>
    <w:p w:rsidR="006C7753" w:rsidRPr="006C7753" w:rsidRDefault="006C7753" w:rsidP="006572EB">
      <w:pPr>
        <w:pStyle w:val="PlainText"/>
        <w:spacing w:line="360" w:lineRule="auto"/>
        <w:rPr>
          <w:rFonts w:ascii="Times New Roman" w:hAnsi="Times New Roman" w:cs="Times New Roman"/>
          <w:sz w:val="24"/>
          <w:szCs w:val="24"/>
        </w:rPr>
      </w:pPr>
    </w:p>
    <w:p w:rsidR="006C7753" w:rsidRPr="006C7753" w:rsidRDefault="006C7753" w:rsidP="005B5F19">
      <w:pPr>
        <w:pStyle w:val="PlainText"/>
        <w:numPr>
          <w:ilvl w:val="0"/>
          <w:numId w:val="22"/>
        </w:numPr>
        <w:spacing w:line="360" w:lineRule="auto"/>
        <w:ind w:left="0" w:firstLine="1440"/>
        <w:rPr>
          <w:rFonts w:ascii="Times New Roman" w:hAnsi="Times New Roman" w:cs="Times New Roman"/>
          <w:sz w:val="24"/>
          <w:szCs w:val="24"/>
        </w:rPr>
      </w:pPr>
      <w:r w:rsidRPr="006C7753">
        <w:rPr>
          <w:rFonts w:ascii="Times New Roman" w:hAnsi="Times New Roman" w:cs="Times New Roman"/>
          <w:sz w:val="24"/>
          <w:szCs w:val="24"/>
        </w:rPr>
        <w:t xml:space="preserve">That </w:t>
      </w:r>
      <w:r w:rsidR="00CE6CF5">
        <w:rPr>
          <w:rFonts w:ascii="Times New Roman" w:hAnsi="Times New Roman" w:cs="Times New Roman"/>
          <w:sz w:val="24"/>
          <w:szCs w:val="24"/>
        </w:rPr>
        <w:t xml:space="preserve">within twenty (20) days from the Commission’s final order in this case, </w:t>
      </w:r>
      <w:r w:rsidRPr="006C7753">
        <w:rPr>
          <w:rFonts w:ascii="Times New Roman" w:hAnsi="Times New Roman" w:cs="Times New Roman"/>
          <w:sz w:val="24"/>
          <w:szCs w:val="24"/>
        </w:rPr>
        <w:t xml:space="preserve">PPL Electric Utilities Corporation shall render a corrected make-up bill charging Matthew Gillette 608 </w:t>
      </w:r>
      <w:r w:rsidR="00D34A13">
        <w:rPr>
          <w:rFonts w:ascii="Times New Roman" w:hAnsi="Times New Roman" w:cs="Times New Roman"/>
          <w:sz w:val="24"/>
          <w:szCs w:val="24"/>
        </w:rPr>
        <w:t>KWH</w:t>
      </w:r>
      <w:r w:rsidRPr="006C7753">
        <w:rPr>
          <w:rFonts w:ascii="Times New Roman" w:hAnsi="Times New Roman" w:cs="Times New Roman"/>
          <w:sz w:val="24"/>
          <w:szCs w:val="24"/>
        </w:rPr>
        <w:t xml:space="preserve"> per month for thirty (30) months of electric service provided at the tariff rate in place for each month</w:t>
      </w:r>
      <w:r w:rsidR="00CE6CF5">
        <w:rPr>
          <w:rFonts w:ascii="Times New Roman" w:hAnsi="Times New Roman" w:cs="Times New Roman"/>
          <w:sz w:val="24"/>
          <w:szCs w:val="24"/>
        </w:rPr>
        <w:t xml:space="preserve"> during the period from November 11, 2011 through June 13, 2011.</w:t>
      </w:r>
    </w:p>
    <w:p w:rsidR="006C7753" w:rsidRPr="006C7753" w:rsidRDefault="006C7753" w:rsidP="00CE6CF5">
      <w:pPr>
        <w:pStyle w:val="PlainText"/>
        <w:spacing w:line="360" w:lineRule="auto"/>
        <w:ind w:firstLine="1440"/>
        <w:rPr>
          <w:rFonts w:ascii="Times New Roman" w:hAnsi="Times New Roman" w:cs="Times New Roman"/>
          <w:sz w:val="24"/>
          <w:szCs w:val="24"/>
        </w:rPr>
      </w:pPr>
    </w:p>
    <w:p w:rsidR="006C7753" w:rsidRDefault="006C7753" w:rsidP="00CE6CF5">
      <w:pPr>
        <w:pStyle w:val="PlainText"/>
        <w:numPr>
          <w:ilvl w:val="0"/>
          <w:numId w:val="22"/>
        </w:numPr>
        <w:spacing w:line="360" w:lineRule="auto"/>
        <w:ind w:left="0" w:firstLine="1440"/>
        <w:rPr>
          <w:rFonts w:ascii="Times New Roman" w:hAnsi="Times New Roman" w:cs="Times New Roman"/>
          <w:sz w:val="24"/>
          <w:szCs w:val="24"/>
        </w:rPr>
      </w:pPr>
      <w:r w:rsidRPr="006C7753">
        <w:rPr>
          <w:rFonts w:ascii="Times New Roman" w:hAnsi="Times New Roman" w:cs="Times New Roman"/>
          <w:sz w:val="24"/>
          <w:szCs w:val="24"/>
        </w:rPr>
        <w:t>That</w:t>
      </w:r>
      <w:r w:rsidR="00CE6CF5">
        <w:rPr>
          <w:rFonts w:ascii="Times New Roman" w:hAnsi="Times New Roman" w:cs="Times New Roman"/>
          <w:sz w:val="24"/>
          <w:szCs w:val="24"/>
        </w:rPr>
        <w:t xml:space="preserve"> beginning with the first billing period following the Commission’s final order in this case, PPL Electric Utilities Corporation shall bill </w:t>
      </w:r>
      <w:r w:rsidRPr="006C7753">
        <w:rPr>
          <w:rFonts w:ascii="Times New Roman" w:hAnsi="Times New Roman" w:cs="Times New Roman"/>
          <w:sz w:val="24"/>
          <w:szCs w:val="24"/>
        </w:rPr>
        <w:t xml:space="preserve">Matthew Gillette </w:t>
      </w:r>
      <w:r w:rsidR="00CE6CF5">
        <w:rPr>
          <w:rFonts w:ascii="Times New Roman" w:hAnsi="Times New Roman" w:cs="Times New Roman"/>
          <w:sz w:val="24"/>
          <w:szCs w:val="24"/>
        </w:rPr>
        <w:t>in equal installments for the make</w:t>
      </w:r>
      <w:r w:rsidR="007A783F">
        <w:rPr>
          <w:rFonts w:ascii="Times New Roman" w:hAnsi="Times New Roman" w:cs="Times New Roman"/>
          <w:sz w:val="24"/>
          <w:szCs w:val="24"/>
        </w:rPr>
        <w:t>-</w:t>
      </w:r>
      <w:r w:rsidR="00CE6CF5">
        <w:rPr>
          <w:rFonts w:ascii="Times New Roman" w:hAnsi="Times New Roman" w:cs="Times New Roman"/>
          <w:sz w:val="24"/>
          <w:szCs w:val="24"/>
        </w:rPr>
        <w:t>up bill so that the make</w:t>
      </w:r>
      <w:r w:rsidR="007A783F">
        <w:rPr>
          <w:rFonts w:ascii="Times New Roman" w:hAnsi="Times New Roman" w:cs="Times New Roman"/>
          <w:sz w:val="24"/>
          <w:szCs w:val="24"/>
        </w:rPr>
        <w:t>-</w:t>
      </w:r>
      <w:r w:rsidR="00CE6CF5">
        <w:rPr>
          <w:rFonts w:ascii="Times New Roman" w:hAnsi="Times New Roman" w:cs="Times New Roman"/>
          <w:sz w:val="24"/>
          <w:szCs w:val="24"/>
        </w:rPr>
        <w:t>up bill is paid in full within thirty (30) months.</w:t>
      </w:r>
      <w:r w:rsidRPr="006C7753">
        <w:rPr>
          <w:rFonts w:ascii="Times New Roman" w:hAnsi="Times New Roman" w:cs="Times New Roman"/>
          <w:sz w:val="24"/>
          <w:szCs w:val="24"/>
        </w:rPr>
        <w:t xml:space="preserve">  </w:t>
      </w:r>
    </w:p>
    <w:p w:rsidR="00CE6CF5" w:rsidRDefault="00CE6CF5" w:rsidP="00CE6CF5">
      <w:pPr>
        <w:pStyle w:val="ListParagraph"/>
        <w:ind w:left="0" w:firstLine="1440"/>
        <w:rPr>
          <w:sz w:val="24"/>
          <w:szCs w:val="24"/>
        </w:rPr>
      </w:pPr>
    </w:p>
    <w:p w:rsidR="00CE6CF5" w:rsidRPr="006C7753" w:rsidRDefault="00CE6CF5" w:rsidP="00CE6CF5">
      <w:pPr>
        <w:pStyle w:val="PlainText"/>
        <w:numPr>
          <w:ilvl w:val="0"/>
          <w:numId w:val="2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Matthew Gillett</w:t>
      </w:r>
      <w:r w:rsidR="007A783F">
        <w:rPr>
          <w:rFonts w:ascii="Times New Roman" w:hAnsi="Times New Roman" w:cs="Times New Roman"/>
          <w:sz w:val="24"/>
          <w:szCs w:val="24"/>
        </w:rPr>
        <w:t>e</w:t>
      </w:r>
      <w:r>
        <w:rPr>
          <w:rFonts w:ascii="Times New Roman" w:hAnsi="Times New Roman" w:cs="Times New Roman"/>
          <w:sz w:val="24"/>
          <w:szCs w:val="24"/>
        </w:rPr>
        <w:t xml:space="preserve"> shall timely pay his current bills for electric service plus the make</w:t>
      </w:r>
      <w:r w:rsidR="007A783F">
        <w:rPr>
          <w:rFonts w:ascii="Times New Roman" w:hAnsi="Times New Roman" w:cs="Times New Roman"/>
          <w:sz w:val="24"/>
          <w:szCs w:val="24"/>
        </w:rPr>
        <w:t>-</w:t>
      </w:r>
      <w:r>
        <w:rPr>
          <w:rFonts w:ascii="Times New Roman" w:hAnsi="Times New Roman" w:cs="Times New Roman"/>
          <w:sz w:val="24"/>
          <w:szCs w:val="24"/>
        </w:rPr>
        <w:t>up bill.</w:t>
      </w:r>
    </w:p>
    <w:p w:rsidR="006C7753" w:rsidRPr="006C7753" w:rsidRDefault="006C7753" w:rsidP="00CE6CF5">
      <w:pPr>
        <w:pStyle w:val="PlainText"/>
        <w:spacing w:line="360" w:lineRule="auto"/>
        <w:ind w:firstLine="1440"/>
        <w:rPr>
          <w:rFonts w:ascii="Times New Roman" w:hAnsi="Times New Roman" w:cs="Times New Roman"/>
          <w:sz w:val="24"/>
          <w:szCs w:val="24"/>
        </w:rPr>
      </w:pPr>
    </w:p>
    <w:p w:rsidR="006C7753" w:rsidRPr="006C7753" w:rsidRDefault="00CE6CF5" w:rsidP="00CE6CF5">
      <w:pPr>
        <w:pStyle w:val="PlainText"/>
        <w:ind w:firstLine="1440"/>
        <w:rPr>
          <w:rFonts w:ascii="Times New Roman" w:hAnsi="Times New Roman" w:cs="Times New Roman"/>
          <w:sz w:val="24"/>
          <w:szCs w:val="24"/>
        </w:rPr>
      </w:pPr>
      <w:r>
        <w:rPr>
          <w:rFonts w:ascii="Times New Roman" w:hAnsi="Times New Roman" w:cs="Times New Roman"/>
          <w:sz w:val="24"/>
          <w:szCs w:val="24"/>
        </w:rPr>
        <w:t>5</w:t>
      </w:r>
      <w:r w:rsidR="006572EB">
        <w:rPr>
          <w:rFonts w:ascii="Times New Roman" w:hAnsi="Times New Roman" w:cs="Times New Roman"/>
          <w:sz w:val="24"/>
          <w:szCs w:val="24"/>
        </w:rPr>
        <w:t>.</w:t>
      </w:r>
      <w:r w:rsidR="006572EB">
        <w:rPr>
          <w:rFonts w:ascii="Times New Roman" w:hAnsi="Times New Roman" w:cs="Times New Roman"/>
          <w:sz w:val="24"/>
          <w:szCs w:val="24"/>
        </w:rPr>
        <w:tab/>
      </w:r>
      <w:r w:rsidR="006C7753" w:rsidRPr="006C7753">
        <w:rPr>
          <w:rFonts w:ascii="Times New Roman" w:hAnsi="Times New Roman" w:cs="Times New Roman"/>
          <w:sz w:val="24"/>
          <w:szCs w:val="24"/>
        </w:rPr>
        <w:t>That the Secretary’s Bureau mark Docket No. F-2011-2266733 closed.</w:t>
      </w:r>
    </w:p>
    <w:p w:rsidR="006C7753" w:rsidRDefault="006C7753" w:rsidP="00CE6CF5">
      <w:pPr>
        <w:spacing w:line="360" w:lineRule="auto"/>
        <w:ind w:firstLine="1440"/>
        <w:outlineLvl w:val="0"/>
        <w:rPr>
          <w:b/>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A114CD">
        <w:rPr>
          <w:sz w:val="24"/>
          <w:szCs w:val="24"/>
          <w:u w:val="single"/>
        </w:rPr>
        <w:t>April 1</w:t>
      </w:r>
      <w:r w:rsidR="00102E41">
        <w:rPr>
          <w:sz w:val="24"/>
          <w:szCs w:val="24"/>
          <w:u w:val="single"/>
        </w:rPr>
        <w:t>6</w:t>
      </w:r>
      <w:r w:rsidR="00A114CD">
        <w:rPr>
          <w:sz w:val="24"/>
          <w:szCs w:val="24"/>
          <w:u w:val="single"/>
        </w:rPr>
        <w:t>, 2012</w:t>
      </w:r>
      <w:r w:rsidR="00A02D20">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2B19D4" w:rsidRPr="001027AA"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7A783F">
        <w:rPr>
          <w:sz w:val="24"/>
          <w:szCs w:val="24"/>
        </w:rPr>
        <w:t>Administrative Law Judge</w:t>
      </w:r>
    </w:p>
    <w:sectPr w:rsidR="002B19D4" w:rsidRPr="001027AA" w:rsidSect="005F452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97" w:rsidRDefault="00780B97">
      <w:r>
        <w:separator/>
      </w:r>
    </w:p>
  </w:endnote>
  <w:endnote w:type="continuationSeparator" w:id="0">
    <w:p w:rsidR="00780B97" w:rsidRDefault="0078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9F321B" w:rsidRDefault="005D4D0C" w:rsidP="0028114B">
    <w:pPr>
      <w:pStyle w:val="Footer"/>
      <w:framePr w:wrap="around" w:vAnchor="text" w:hAnchor="margin" w:xAlign="center" w:y="1"/>
      <w:rPr>
        <w:rStyle w:val="PageNumber"/>
        <w:sz w:val="24"/>
        <w:szCs w:val="24"/>
      </w:rPr>
    </w:pPr>
    <w:r w:rsidRPr="009F321B">
      <w:rPr>
        <w:rStyle w:val="PageNumber"/>
        <w:sz w:val="24"/>
        <w:szCs w:val="24"/>
      </w:rPr>
      <w:fldChar w:fldCharType="begin"/>
    </w:r>
    <w:r w:rsidR="00223E7E" w:rsidRPr="009F321B">
      <w:rPr>
        <w:rStyle w:val="PageNumber"/>
        <w:sz w:val="24"/>
        <w:szCs w:val="24"/>
      </w:rPr>
      <w:instrText xml:space="preserve">PAGE  </w:instrText>
    </w:r>
    <w:r w:rsidRPr="009F321B">
      <w:rPr>
        <w:rStyle w:val="PageNumber"/>
        <w:sz w:val="24"/>
        <w:szCs w:val="24"/>
      </w:rPr>
      <w:fldChar w:fldCharType="separate"/>
    </w:r>
    <w:r w:rsidR="00426925">
      <w:rPr>
        <w:rStyle w:val="PageNumber"/>
        <w:noProof/>
        <w:sz w:val="24"/>
        <w:szCs w:val="24"/>
      </w:rPr>
      <w:t>8</w:t>
    </w:r>
    <w:r w:rsidRPr="009F321B">
      <w:rPr>
        <w:rStyle w:val="PageNumber"/>
        <w:sz w:val="24"/>
        <w:szCs w:val="24"/>
      </w:rPr>
      <w:fldChar w:fldCharType="end"/>
    </w:r>
  </w:p>
  <w:p w:rsidR="00223E7E" w:rsidRDefault="00223E7E" w:rsidP="000A001F">
    <w:pPr>
      <w:pStyle w:val="Footer"/>
      <w:jc w:val="right"/>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1B" w:rsidRDefault="009F3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97" w:rsidRDefault="00780B97">
      <w:r>
        <w:separator/>
      </w:r>
    </w:p>
  </w:footnote>
  <w:footnote w:type="continuationSeparator" w:id="0">
    <w:p w:rsidR="00780B97" w:rsidRDefault="00780B97">
      <w:r>
        <w:continuationSeparator/>
      </w:r>
    </w:p>
  </w:footnote>
  <w:footnote w:id="1">
    <w:p w:rsidR="00914C7B" w:rsidRDefault="00914C7B">
      <w:pPr>
        <w:pStyle w:val="FootnoteText"/>
      </w:pPr>
      <w:r>
        <w:rPr>
          <w:rStyle w:val="FootnoteReference"/>
        </w:rPr>
        <w:footnoteRef/>
      </w:r>
      <w:r>
        <w:t xml:space="preserve"> There are two date stamps on the Formal Complaint, one for September 6, 2011, and one for October 3, 2011.</w:t>
      </w:r>
    </w:p>
  </w:footnote>
  <w:footnote w:id="2">
    <w:p w:rsidR="00237CC3" w:rsidRDefault="00237CC3">
      <w:pPr>
        <w:pStyle w:val="FootnoteText"/>
      </w:pPr>
      <w:r>
        <w:rPr>
          <w:rStyle w:val="FootnoteReference"/>
        </w:rPr>
        <w:footnoteRef/>
      </w:r>
      <w:r>
        <w:t xml:space="preserve"> This is a nine month block of time.  The kilowatt hour usage for those nine months was 867, 407, 604, 445, 436, 690, 845, 747, and 433.  The total usage was 5474.  The average usage was 608 kilowatt hours per month.  </w:t>
      </w:r>
      <w:proofErr w:type="gramStart"/>
      <w:r>
        <w:t xml:space="preserve">PPL </w:t>
      </w:r>
      <w:proofErr w:type="spellStart"/>
      <w:r>
        <w:t>Exh</w:t>
      </w:r>
      <w:proofErr w:type="spellEnd"/>
      <w:r>
        <w:t>.</w:t>
      </w:r>
      <w:proofErr w:type="gramEnd"/>
      <w:r w:rsidR="00C13C0F">
        <w:t> </w:t>
      </w:r>
      <w:r>
        <w:t xml:space="preserv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1B" w:rsidRDefault="009F3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1B" w:rsidRDefault="009F3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1B" w:rsidRDefault="009F3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C9CCC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9A909D2"/>
    <w:multiLevelType w:val="hybridMultilevel"/>
    <w:tmpl w:val="71903D3A"/>
    <w:lvl w:ilvl="0" w:tplc="810041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9D7736"/>
    <w:multiLevelType w:val="hybridMultilevel"/>
    <w:tmpl w:val="747ADAAE"/>
    <w:lvl w:ilvl="0" w:tplc="6262DDD2">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4"/>
  </w:num>
  <w:num w:numId="11">
    <w:abstractNumId w:val="11"/>
  </w:num>
  <w:num w:numId="12">
    <w:abstractNumId w:val="21"/>
  </w:num>
  <w:num w:numId="13">
    <w:abstractNumId w:val="1"/>
  </w:num>
  <w:num w:numId="14">
    <w:abstractNumId w:val="5"/>
  </w:num>
  <w:num w:numId="15">
    <w:abstractNumId w:val="18"/>
  </w:num>
  <w:num w:numId="16">
    <w:abstractNumId w:val="19"/>
  </w:num>
  <w:num w:numId="17">
    <w:abstractNumId w:val="7"/>
  </w:num>
  <w:num w:numId="18">
    <w:abstractNumId w:val="3"/>
  </w:num>
  <w:num w:numId="19">
    <w:abstractNumId w:val="16"/>
  </w:num>
  <w:num w:numId="20">
    <w:abstractNumId w:val="20"/>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4AA2"/>
    <w:rsid w:val="00020AB1"/>
    <w:rsid w:val="00022997"/>
    <w:rsid w:val="00022D67"/>
    <w:rsid w:val="00024D7B"/>
    <w:rsid w:val="0002512E"/>
    <w:rsid w:val="00034A86"/>
    <w:rsid w:val="00035C05"/>
    <w:rsid w:val="00035E78"/>
    <w:rsid w:val="000376EF"/>
    <w:rsid w:val="00042626"/>
    <w:rsid w:val="00043DD3"/>
    <w:rsid w:val="00055A89"/>
    <w:rsid w:val="00064F92"/>
    <w:rsid w:val="0006610A"/>
    <w:rsid w:val="00070E25"/>
    <w:rsid w:val="0007126E"/>
    <w:rsid w:val="000719F5"/>
    <w:rsid w:val="000728A4"/>
    <w:rsid w:val="000752FB"/>
    <w:rsid w:val="00075A22"/>
    <w:rsid w:val="000773F2"/>
    <w:rsid w:val="00080E5E"/>
    <w:rsid w:val="00082976"/>
    <w:rsid w:val="00091672"/>
    <w:rsid w:val="00091CE2"/>
    <w:rsid w:val="00095BED"/>
    <w:rsid w:val="000967DB"/>
    <w:rsid w:val="000A001F"/>
    <w:rsid w:val="000A1CB9"/>
    <w:rsid w:val="000A20A3"/>
    <w:rsid w:val="000A7E8C"/>
    <w:rsid w:val="000B5F6A"/>
    <w:rsid w:val="000C6F32"/>
    <w:rsid w:val="000D0A41"/>
    <w:rsid w:val="000E0BD8"/>
    <w:rsid w:val="000E277A"/>
    <w:rsid w:val="000E2934"/>
    <w:rsid w:val="000E6B17"/>
    <w:rsid w:val="000F0833"/>
    <w:rsid w:val="000F1894"/>
    <w:rsid w:val="000F1F62"/>
    <w:rsid w:val="000F2F0A"/>
    <w:rsid w:val="001027AA"/>
    <w:rsid w:val="00102E41"/>
    <w:rsid w:val="00110C23"/>
    <w:rsid w:val="001122A9"/>
    <w:rsid w:val="001155B6"/>
    <w:rsid w:val="00116136"/>
    <w:rsid w:val="00125871"/>
    <w:rsid w:val="00126207"/>
    <w:rsid w:val="001312A6"/>
    <w:rsid w:val="00134E8D"/>
    <w:rsid w:val="00134F22"/>
    <w:rsid w:val="00141DF5"/>
    <w:rsid w:val="00143C49"/>
    <w:rsid w:val="00147DEE"/>
    <w:rsid w:val="00152C6B"/>
    <w:rsid w:val="0015597C"/>
    <w:rsid w:val="0015646C"/>
    <w:rsid w:val="001620CA"/>
    <w:rsid w:val="00176F82"/>
    <w:rsid w:val="0018160C"/>
    <w:rsid w:val="00187B87"/>
    <w:rsid w:val="001930DE"/>
    <w:rsid w:val="00193B6C"/>
    <w:rsid w:val="001A3242"/>
    <w:rsid w:val="001A4CC0"/>
    <w:rsid w:val="001A721E"/>
    <w:rsid w:val="001B08E5"/>
    <w:rsid w:val="001B123C"/>
    <w:rsid w:val="001B3235"/>
    <w:rsid w:val="001C20B7"/>
    <w:rsid w:val="001C3F69"/>
    <w:rsid w:val="001C715B"/>
    <w:rsid w:val="001C7A1F"/>
    <w:rsid w:val="001D3206"/>
    <w:rsid w:val="001D6FCF"/>
    <w:rsid w:val="001E4FAC"/>
    <w:rsid w:val="001F0787"/>
    <w:rsid w:val="001F08B4"/>
    <w:rsid w:val="001F2116"/>
    <w:rsid w:val="001F6FC1"/>
    <w:rsid w:val="001F7F73"/>
    <w:rsid w:val="0020095D"/>
    <w:rsid w:val="002044E9"/>
    <w:rsid w:val="00215211"/>
    <w:rsid w:val="00220C5E"/>
    <w:rsid w:val="00220F7A"/>
    <w:rsid w:val="00223E7E"/>
    <w:rsid w:val="002300C7"/>
    <w:rsid w:val="00234619"/>
    <w:rsid w:val="0023520D"/>
    <w:rsid w:val="00235C44"/>
    <w:rsid w:val="00236FF7"/>
    <w:rsid w:val="00237CC3"/>
    <w:rsid w:val="002416AB"/>
    <w:rsid w:val="0024496F"/>
    <w:rsid w:val="00244D86"/>
    <w:rsid w:val="00251274"/>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F63C1"/>
    <w:rsid w:val="002F66F9"/>
    <w:rsid w:val="002F6BC1"/>
    <w:rsid w:val="00300A0A"/>
    <w:rsid w:val="00300CB7"/>
    <w:rsid w:val="00300F91"/>
    <w:rsid w:val="0030207C"/>
    <w:rsid w:val="003117E6"/>
    <w:rsid w:val="003129F7"/>
    <w:rsid w:val="00312E1C"/>
    <w:rsid w:val="00314675"/>
    <w:rsid w:val="00317B5C"/>
    <w:rsid w:val="00323AAE"/>
    <w:rsid w:val="00324F3E"/>
    <w:rsid w:val="0033043C"/>
    <w:rsid w:val="0033647C"/>
    <w:rsid w:val="00337053"/>
    <w:rsid w:val="00337C53"/>
    <w:rsid w:val="00340AB8"/>
    <w:rsid w:val="003421E0"/>
    <w:rsid w:val="00342A67"/>
    <w:rsid w:val="0034312D"/>
    <w:rsid w:val="00346E30"/>
    <w:rsid w:val="003539D2"/>
    <w:rsid w:val="0035737A"/>
    <w:rsid w:val="00364825"/>
    <w:rsid w:val="003657A8"/>
    <w:rsid w:val="00374E8E"/>
    <w:rsid w:val="00380AD7"/>
    <w:rsid w:val="00382B1A"/>
    <w:rsid w:val="0038396A"/>
    <w:rsid w:val="00386CDC"/>
    <w:rsid w:val="003878B7"/>
    <w:rsid w:val="00392382"/>
    <w:rsid w:val="00394493"/>
    <w:rsid w:val="003959AC"/>
    <w:rsid w:val="00395E03"/>
    <w:rsid w:val="00395E98"/>
    <w:rsid w:val="00396DE1"/>
    <w:rsid w:val="003A167D"/>
    <w:rsid w:val="003A6AA1"/>
    <w:rsid w:val="003B2AF4"/>
    <w:rsid w:val="003B715B"/>
    <w:rsid w:val="003B759B"/>
    <w:rsid w:val="003C050F"/>
    <w:rsid w:val="003C0716"/>
    <w:rsid w:val="003C7143"/>
    <w:rsid w:val="003D139F"/>
    <w:rsid w:val="003D15FA"/>
    <w:rsid w:val="003D7EC6"/>
    <w:rsid w:val="003E292B"/>
    <w:rsid w:val="003E594B"/>
    <w:rsid w:val="003F1140"/>
    <w:rsid w:val="003F5796"/>
    <w:rsid w:val="003F69BF"/>
    <w:rsid w:val="004019A3"/>
    <w:rsid w:val="00402359"/>
    <w:rsid w:val="004064A8"/>
    <w:rsid w:val="004168EF"/>
    <w:rsid w:val="0042160A"/>
    <w:rsid w:val="00422E29"/>
    <w:rsid w:val="00424A76"/>
    <w:rsid w:val="00426925"/>
    <w:rsid w:val="00427E73"/>
    <w:rsid w:val="004312BE"/>
    <w:rsid w:val="00431BEF"/>
    <w:rsid w:val="00442854"/>
    <w:rsid w:val="0045628C"/>
    <w:rsid w:val="0046339D"/>
    <w:rsid w:val="00466AB4"/>
    <w:rsid w:val="00476C8A"/>
    <w:rsid w:val="00486535"/>
    <w:rsid w:val="00490174"/>
    <w:rsid w:val="0049023F"/>
    <w:rsid w:val="004917C1"/>
    <w:rsid w:val="00491C99"/>
    <w:rsid w:val="00495450"/>
    <w:rsid w:val="004A1805"/>
    <w:rsid w:val="004A5AD6"/>
    <w:rsid w:val="004B0DE9"/>
    <w:rsid w:val="004B3058"/>
    <w:rsid w:val="004C3EFA"/>
    <w:rsid w:val="004D1B54"/>
    <w:rsid w:val="004D3108"/>
    <w:rsid w:val="004D46FD"/>
    <w:rsid w:val="004E20CB"/>
    <w:rsid w:val="004E2912"/>
    <w:rsid w:val="004E533F"/>
    <w:rsid w:val="004F2D3D"/>
    <w:rsid w:val="005032B5"/>
    <w:rsid w:val="00504937"/>
    <w:rsid w:val="00515937"/>
    <w:rsid w:val="00517AD1"/>
    <w:rsid w:val="00523780"/>
    <w:rsid w:val="00530D1B"/>
    <w:rsid w:val="00531226"/>
    <w:rsid w:val="00531409"/>
    <w:rsid w:val="00533418"/>
    <w:rsid w:val="00535DF7"/>
    <w:rsid w:val="00542107"/>
    <w:rsid w:val="00553EEB"/>
    <w:rsid w:val="00564C41"/>
    <w:rsid w:val="00582896"/>
    <w:rsid w:val="00584798"/>
    <w:rsid w:val="0059070D"/>
    <w:rsid w:val="00592C86"/>
    <w:rsid w:val="005A33D0"/>
    <w:rsid w:val="005B250B"/>
    <w:rsid w:val="005B5F19"/>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5B0"/>
    <w:rsid w:val="00634A5C"/>
    <w:rsid w:val="006352B9"/>
    <w:rsid w:val="00641596"/>
    <w:rsid w:val="0064329B"/>
    <w:rsid w:val="006441F5"/>
    <w:rsid w:val="00644E60"/>
    <w:rsid w:val="00645B55"/>
    <w:rsid w:val="00652C21"/>
    <w:rsid w:val="00654517"/>
    <w:rsid w:val="006572EB"/>
    <w:rsid w:val="0066237B"/>
    <w:rsid w:val="006656FC"/>
    <w:rsid w:val="00675607"/>
    <w:rsid w:val="00675986"/>
    <w:rsid w:val="00695694"/>
    <w:rsid w:val="006A21C2"/>
    <w:rsid w:val="006A3B47"/>
    <w:rsid w:val="006A7A0A"/>
    <w:rsid w:val="006B1861"/>
    <w:rsid w:val="006C1047"/>
    <w:rsid w:val="006C3226"/>
    <w:rsid w:val="006C7753"/>
    <w:rsid w:val="006D4BB7"/>
    <w:rsid w:val="006D75BD"/>
    <w:rsid w:val="006E4407"/>
    <w:rsid w:val="006F2313"/>
    <w:rsid w:val="006F44F9"/>
    <w:rsid w:val="007015FC"/>
    <w:rsid w:val="00707651"/>
    <w:rsid w:val="007114E7"/>
    <w:rsid w:val="0071588F"/>
    <w:rsid w:val="0073239A"/>
    <w:rsid w:val="0073727C"/>
    <w:rsid w:val="00744AF3"/>
    <w:rsid w:val="007464A1"/>
    <w:rsid w:val="00747E56"/>
    <w:rsid w:val="00751672"/>
    <w:rsid w:val="0075510C"/>
    <w:rsid w:val="00775593"/>
    <w:rsid w:val="00777900"/>
    <w:rsid w:val="00780B97"/>
    <w:rsid w:val="00782A08"/>
    <w:rsid w:val="00786153"/>
    <w:rsid w:val="00792C70"/>
    <w:rsid w:val="007965B0"/>
    <w:rsid w:val="007A49B5"/>
    <w:rsid w:val="007A783F"/>
    <w:rsid w:val="007B1672"/>
    <w:rsid w:val="007B1D2D"/>
    <w:rsid w:val="007B46F9"/>
    <w:rsid w:val="007B6CFE"/>
    <w:rsid w:val="007C74E3"/>
    <w:rsid w:val="007D3E3E"/>
    <w:rsid w:val="007D6063"/>
    <w:rsid w:val="007E09E5"/>
    <w:rsid w:val="007E31DB"/>
    <w:rsid w:val="007E4C74"/>
    <w:rsid w:val="007E7871"/>
    <w:rsid w:val="00803141"/>
    <w:rsid w:val="0081070B"/>
    <w:rsid w:val="00812743"/>
    <w:rsid w:val="008142EB"/>
    <w:rsid w:val="0081476B"/>
    <w:rsid w:val="0081669B"/>
    <w:rsid w:val="0081696C"/>
    <w:rsid w:val="008228F3"/>
    <w:rsid w:val="00823F91"/>
    <w:rsid w:val="00824683"/>
    <w:rsid w:val="008354C5"/>
    <w:rsid w:val="0083691D"/>
    <w:rsid w:val="00840FD3"/>
    <w:rsid w:val="00841779"/>
    <w:rsid w:val="00843F70"/>
    <w:rsid w:val="008506A0"/>
    <w:rsid w:val="00851A4F"/>
    <w:rsid w:val="00866264"/>
    <w:rsid w:val="008663C0"/>
    <w:rsid w:val="00867026"/>
    <w:rsid w:val="00867725"/>
    <w:rsid w:val="008746E1"/>
    <w:rsid w:val="008803F7"/>
    <w:rsid w:val="00881C76"/>
    <w:rsid w:val="0088763C"/>
    <w:rsid w:val="00893B0E"/>
    <w:rsid w:val="00893F0B"/>
    <w:rsid w:val="00894839"/>
    <w:rsid w:val="0089761B"/>
    <w:rsid w:val="008A60E2"/>
    <w:rsid w:val="008B1A8B"/>
    <w:rsid w:val="008B282A"/>
    <w:rsid w:val="008B2B8B"/>
    <w:rsid w:val="008C7F32"/>
    <w:rsid w:val="008D6D09"/>
    <w:rsid w:val="008D761F"/>
    <w:rsid w:val="008E5A53"/>
    <w:rsid w:val="008F013A"/>
    <w:rsid w:val="008F22F9"/>
    <w:rsid w:val="008F554F"/>
    <w:rsid w:val="008F6AC3"/>
    <w:rsid w:val="009077E3"/>
    <w:rsid w:val="00910EF2"/>
    <w:rsid w:val="00913B17"/>
    <w:rsid w:val="00914C7B"/>
    <w:rsid w:val="009166DD"/>
    <w:rsid w:val="0091672D"/>
    <w:rsid w:val="00922FE6"/>
    <w:rsid w:val="00927DDB"/>
    <w:rsid w:val="009342E4"/>
    <w:rsid w:val="009445E9"/>
    <w:rsid w:val="009634B4"/>
    <w:rsid w:val="009643E3"/>
    <w:rsid w:val="009649FC"/>
    <w:rsid w:val="00965F82"/>
    <w:rsid w:val="0098237A"/>
    <w:rsid w:val="00982B8E"/>
    <w:rsid w:val="009830C8"/>
    <w:rsid w:val="00983B9A"/>
    <w:rsid w:val="009877CF"/>
    <w:rsid w:val="00987B98"/>
    <w:rsid w:val="00995E0A"/>
    <w:rsid w:val="009B1C06"/>
    <w:rsid w:val="009C0266"/>
    <w:rsid w:val="009C22D0"/>
    <w:rsid w:val="009D5A08"/>
    <w:rsid w:val="009E69A1"/>
    <w:rsid w:val="009F1D5C"/>
    <w:rsid w:val="009F24FB"/>
    <w:rsid w:val="009F321B"/>
    <w:rsid w:val="009F4939"/>
    <w:rsid w:val="009F7BD8"/>
    <w:rsid w:val="00A022C7"/>
    <w:rsid w:val="00A02D20"/>
    <w:rsid w:val="00A0627A"/>
    <w:rsid w:val="00A114CD"/>
    <w:rsid w:val="00A2230F"/>
    <w:rsid w:val="00A22653"/>
    <w:rsid w:val="00A23BC5"/>
    <w:rsid w:val="00A24F45"/>
    <w:rsid w:val="00A345AE"/>
    <w:rsid w:val="00A409B8"/>
    <w:rsid w:val="00A4383B"/>
    <w:rsid w:val="00A475EE"/>
    <w:rsid w:val="00A523A9"/>
    <w:rsid w:val="00A52E9C"/>
    <w:rsid w:val="00A531A1"/>
    <w:rsid w:val="00A67786"/>
    <w:rsid w:val="00A67C1E"/>
    <w:rsid w:val="00A761ED"/>
    <w:rsid w:val="00A76B1D"/>
    <w:rsid w:val="00A83AA7"/>
    <w:rsid w:val="00A86505"/>
    <w:rsid w:val="00AA00A9"/>
    <w:rsid w:val="00AA0438"/>
    <w:rsid w:val="00AA0D95"/>
    <w:rsid w:val="00AA0E51"/>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0DDA"/>
    <w:rsid w:val="00AF2068"/>
    <w:rsid w:val="00AF7EAE"/>
    <w:rsid w:val="00B03092"/>
    <w:rsid w:val="00B0541E"/>
    <w:rsid w:val="00B13849"/>
    <w:rsid w:val="00B23067"/>
    <w:rsid w:val="00B2590D"/>
    <w:rsid w:val="00B32E66"/>
    <w:rsid w:val="00B34848"/>
    <w:rsid w:val="00B40E21"/>
    <w:rsid w:val="00B45676"/>
    <w:rsid w:val="00B45F71"/>
    <w:rsid w:val="00B5018B"/>
    <w:rsid w:val="00B625D9"/>
    <w:rsid w:val="00B665D7"/>
    <w:rsid w:val="00B70860"/>
    <w:rsid w:val="00B71D02"/>
    <w:rsid w:val="00B7570C"/>
    <w:rsid w:val="00B922CF"/>
    <w:rsid w:val="00BA2494"/>
    <w:rsid w:val="00BA47D2"/>
    <w:rsid w:val="00BA61F7"/>
    <w:rsid w:val="00BB3104"/>
    <w:rsid w:val="00BB352A"/>
    <w:rsid w:val="00BC2D8F"/>
    <w:rsid w:val="00BC2DE6"/>
    <w:rsid w:val="00BC7240"/>
    <w:rsid w:val="00BD42F1"/>
    <w:rsid w:val="00BE1D82"/>
    <w:rsid w:val="00BE6352"/>
    <w:rsid w:val="00BF5F04"/>
    <w:rsid w:val="00BF7A25"/>
    <w:rsid w:val="00C04CC1"/>
    <w:rsid w:val="00C052E4"/>
    <w:rsid w:val="00C056F8"/>
    <w:rsid w:val="00C1140C"/>
    <w:rsid w:val="00C1195C"/>
    <w:rsid w:val="00C136F0"/>
    <w:rsid w:val="00C13C0F"/>
    <w:rsid w:val="00C150A5"/>
    <w:rsid w:val="00C20E66"/>
    <w:rsid w:val="00C21F78"/>
    <w:rsid w:val="00C224B0"/>
    <w:rsid w:val="00C25C02"/>
    <w:rsid w:val="00C27A38"/>
    <w:rsid w:val="00C322C5"/>
    <w:rsid w:val="00C34D87"/>
    <w:rsid w:val="00C37F96"/>
    <w:rsid w:val="00C419F9"/>
    <w:rsid w:val="00C426F5"/>
    <w:rsid w:val="00C45D4C"/>
    <w:rsid w:val="00C537A8"/>
    <w:rsid w:val="00C546D2"/>
    <w:rsid w:val="00C607FF"/>
    <w:rsid w:val="00C61510"/>
    <w:rsid w:val="00C61561"/>
    <w:rsid w:val="00C6634A"/>
    <w:rsid w:val="00C7068E"/>
    <w:rsid w:val="00C72936"/>
    <w:rsid w:val="00C769EE"/>
    <w:rsid w:val="00C86201"/>
    <w:rsid w:val="00C908AD"/>
    <w:rsid w:val="00C920E5"/>
    <w:rsid w:val="00C94BB9"/>
    <w:rsid w:val="00CA1E0E"/>
    <w:rsid w:val="00CA5BA3"/>
    <w:rsid w:val="00CB0D2B"/>
    <w:rsid w:val="00CB4F5E"/>
    <w:rsid w:val="00CC49DA"/>
    <w:rsid w:val="00CC5E96"/>
    <w:rsid w:val="00CD3077"/>
    <w:rsid w:val="00CD4A78"/>
    <w:rsid w:val="00CD6B6A"/>
    <w:rsid w:val="00CE43B4"/>
    <w:rsid w:val="00CE68C6"/>
    <w:rsid w:val="00CE6CF5"/>
    <w:rsid w:val="00CF3BB0"/>
    <w:rsid w:val="00CF7138"/>
    <w:rsid w:val="00D0015B"/>
    <w:rsid w:val="00D02084"/>
    <w:rsid w:val="00D050DE"/>
    <w:rsid w:val="00D077EC"/>
    <w:rsid w:val="00D13B06"/>
    <w:rsid w:val="00D1728D"/>
    <w:rsid w:val="00D21BFC"/>
    <w:rsid w:val="00D21D55"/>
    <w:rsid w:val="00D21EF9"/>
    <w:rsid w:val="00D22F4A"/>
    <w:rsid w:val="00D23330"/>
    <w:rsid w:val="00D32326"/>
    <w:rsid w:val="00D34A13"/>
    <w:rsid w:val="00D34B76"/>
    <w:rsid w:val="00D35F74"/>
    <w:rsid w:val="00D4029A"/>
    <w:rsid w:val="00D416A5"/>
    <w:rsid w:val="00D50C56"/>
    <w:rsid w:val="00D5488B"/>
    <w:rsid w:val="00D55074"/>
    <w:rsid w:val="00D55AA4"/>
    <w:rsid w:val="00D5662B"/>
    <w:rsid w:val="00D6261D"/>
    <w:rsid w:val="00D6598A"/>
    <w:rsid w:val="00D65F4B"/>
    <w:rsid w:val="00D71653"/>
    <w:rsid w:val="00D72436"/>
    <w:rsid w:val="00D7411D"/>
    <w:rsid w:val="00D8063C"/>
    <w:rsid w:val="00D926F9"/>
    <w:rsid w:val="00D93182"/>
    <w:rsid w:val="00D961B5"/>
    <w:rsid w:val="00DA7FD6"/>
    <w:rsid w:val="00DB1328"/>
    <w:rsid w:val="00DB7EE0"/>
    <w:rsid w:val="00DC5120"/>
    <w:rsid w:val="00DD3E7F"/>
    <w:rsid w:val="00DE0ECC"/>
    <w:rsid w:val="00DE2348"/>
    <w:rsid w:val="00DE2362"/>
    <w:rsid w:val="00DE3943"/>
    <w:rsid w:val="00DE4500"/>
    <w:rsid w:val="00DE562E"/>
    <w:rsid w:val="00DE77F8"/>
    <w:rsid w:val="00DF0138"/>
    <w:rsid w:val="00DF294A"/>
    <w:rsid w:val="00E00EAF"/>
    <w:rsid w:val="00E0236A"/>
    <w:rsid w:val="00E11739"/>
    <w:rsid w:val="00E12F72"/>
    <w:rsid w:val="00E15A2D"/>
    <w:rsid w:val="00E15B2B"/>
    <w:rsid w:val="00E267A5"/>
    <w:rsid w:val="00E35AC9"/>
    <w:rsid w:val="00E413A9"/>
    <w:rsid w:val="00E437E3"/>
    <w:rsid w:val="00E5003A"/>
    <w:rsid w:val="00E514FA"/>
    <w:rsid w:val="00E56529"/>
    <w:rsid w:val="00E6135C"/>
    <w:rsid w:val="00E66725"/>
    <w:rsid w:val="00E67591"/>
    <w:rsid w:val="00E67A2A"/>
    <w:rsid w:val="00E728B0"/>
    <w:rsid w:val="00E75758"/>
    <w:rsid w:val="00E75BC0"/>
    <w:rsid w:val="00E85ECC"/>
    <w:rsid w:val="00E9292D"/>
    <w:rsid w:val="00EA2B0E"/>
    <w:rsid w:val="00EA56F6"/>
    <w:rsid w:val="00EA77CE"/>
    <w:rsid w:val="00EB1DAB"/>
    <w:rsid w:val="00EB1EEE"/>
    <w:rsid w:val="00EB7818"/>
    <w:rsid w:val="00EC15BD"/>
    <w:rsid w:val="00EC38D5"/>
    <w:rsid w:val="00EC41CE"/>
    <w:rsid w:val="00EC477B"/>
    <w:rsid w:val="00EC62F4"/>
    <w:rsid w:val="00ED0F47"/>
    <w:rsid w:val="00EE30FD"/>
    <w:rsid w:val="00EE34BE"/>
    <w:rsid w:val="00EF1C47"/>
    <w:rsid w:val="00EF6C7F"/>
    <w:rsid w:val="00F025F2"/>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6520"/>
    <w:rsid w:val="00FA7894"/>
    <w:rsid w:val="00FC4DCA"/>
    <w:rsid w:val="00FC4DD1"/>
    <w:rsid w:val="00FD09EE"/>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DE2362"/>
    <w:pPr>
      <w:ind w:left="720"/>
      <w:contextualSpacing/>
    </w:pPr>
  </w:style>
  <w:style w:type="character" w:styleId="Hyperlink">
    <w:name w:val="Hyperlink"/>
    <w:basedOn w:val="DefaultParagraphFont"/>
    <w:uiPriority w:val="99"/>
    <w:unhideWhenUsed/>
    <w:rsid w:val="00C607FF"/>
    <w:rPr>
      <w:strike w:val="0"/>
      <w:dstrike w:val="0"/>
      <w:color w:val="004B91"/>
      <w:u w:val="none"/>
      <w:effect w:val="none"/>
    </w:rPr>
  </w:style>
  <w:style w:type="character" w:customStyle="1" w:styleId="pmterms11">
    <w:name w:val="pmterms11"/>
    <w:basedOn w:val="DefaultParagraphFont"/>
    <w:rsid w:val="00C607FF"/>
    <w:rPr>
      <w:b/>
      <w:bCs/>
      <w:i w:val="0"/>
      <w:iCs w:val="0"/>
      <w:color w:val="000000"/>
    </w:rPr>
  </w:style>
  <w:style w:type="paragraph" w:styleId="PlainText">
    <w:name w:val="Plain Text"/>
    <w:basedOn w:val="Normal"/>
    <w:link w:val="PlainTextChar"/>
    <w:uiPriority w:val="99"/>
    <w:unhideWhenUsed/>
    <w:rsid w:val="006F23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2313"/>
    <w:rPr>
      <w:rFonts w:ascii="Calibri" w:eastAsiaTheme="minorHAnsi" w:hAnsi="Calibri" w:cstheme="minorBidi"/>
      <w:sz w:val="22"/>
      <w:szCs w:val="21"/>
    </w:rPr>
  </w:style>
  <w:style w:type="character" w:styleId="EndnoteReference">
    <w:name w:val="endnote reference"/>
    <w:basedOn w:val="DefaultParagraphFont"/>
    <w:rsid w:val="00914C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DE2362"/>
    <w:pPr>
      <w:ind w:left="720"/>
      <w:contextualSpacing/>
    </w:pPr>
  </w:style>
  <w:style w:type="character" w:styleId="Hyperlink">
    <w:name w:val="Hyperlink"/>
    <w:basedOn w:val="DefaultParagraphFont"/>
    <w:uiPriority w:val="99"/>
    <w:unhideWhenUsed/>
    <w:rsid w:val="00C607FF"/>
    <w:rPr>
      <w:strike w:val="0"/>
      <w:dstrike w:val="0"/>
      <w:color w:val="004B91"/>
      <w:u w:val="none"/>
      <w:effect w:val="none"/>
    </w:rPr>
  </w:style>
  <w:style w:type="character" w:customStyle="1" w:styleId="pmterms11">
    <w:name w:val="pmterms11"/>
    <w:basedOn w:val="DefaultParagraphFont"/>
    <w:rsid w:val="00C607FF"/>
    <w:rPr>
      <w:b/>
      <w:bCs/>
      <w:i w:val="0"/>
      <w:iCs w:val="0"/>
      <w:color w:val="000000"/>
    </w:rPr>
  </w:style>
  <w:style w:type="paragraph" w:styleId="PlainText">
    <w:name w:val="Plain Text"/>
    <w:basedOn w:val="Normal"/>
    <w:link w:val="PlainTextChar"/>
    <w:uiPriority w:val="99"/>
    <w:unhideWhenUsed/>
    <w:rsid w:val="006F23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2313"/>
    <w:rPr>
      <w:rFonts w:ascii="Calibri" w:eastAsiaTheme="minorHAnsi" w:hAnsi="Calibri" w:cstheme="minorBidi"/>
      <w:sz w:val="22"/>
      <w:szCs w:val="21"/>
    </w:rPr>
  </w:style>
  <w:style w:type="character" w:styleId="EndnoteReference">
    <w:name w:val="endnote reference"/>
    <w:basedOn w:val="DefaultParagraphFont"/>
    <w:rsid w:val="00914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8627">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3275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5f444d23a3aaa5886f210e5ee2791e1d&amp;_xfercite=%3ccite%20cc%3d%22USA%22%3e%3c%21%5bCDATA%5b2011%20Pa.%20PUC%20LEXIS%20882%5d%5d%3e%3c%2fcite%3e&amp;_butType=3&amp;_butStat=2&amp;_butNum=18&amp;_butInline=1&amp;_butinfo=%3ccite%20cc%3d%22USA%22%3e%3c%21%5bCDATA%5b66%20Pa.%20PUC%20463%5d%5d%3e%3c%2fcite%3e&amp;_fmtstr=FULL&amp;docnum=7&amp;_startdoc=1&amp;wchp=dGLzVzB-zSkAW&amp;_md5=4dfc1e24d47dfda8b8257470599366d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5f444d23a3aaa5886f210e5ee2791e1d&amp;_xfercite=%3ccite%20cc%3d%22USA%22%3e%3c%21%5bCDATA%5b2011%20Pa.%20PUC%20LEXIS%20882%5d%5d%3e%3c%2fcite%3e&amp;_butType=3&amp;_butStat=2&amp;_butNum=17&amp;_butInline=1&amp;_butinfo=%3ccite%20cc%3d%22USA%22%3e%3c%21%5bCDATA%5b447%20A.2d%201100%5d%5d%3e%3c%2fcite%3e&amp;_fmtstr=FULL&amp;docnum=7&amp;_startdoc=1&amp;wchp=dGLzVzB-zSkAW&amp;_md5=09d658c8f1a296a1ce75f32a532488c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exis.com/research/buttonTFLink?_m=5f444d23a3aaa5886f210e5ee2791e1d&amp;_xfercite=%3ccite%20cc%3d%22USA%22%3e%3c%21%5bCDATA%5b2011%20Pa.%20PUC%20LEXIS%20882%5d%5d%3e%3c%2fcite%3e&amp;_butType=3&amp;_butStat=2&amp;_butNum=16&amp;_butInline=1&amp;_butinfo=%3ccite%20cc%3d%22USA%22%3e%3c%21%5bCDATA%5b60%20Pa.%20PUC%20215%5d%5d%3e%3c%2fcite%3e&amp;_fmtstr=FULL&amp;docnum=7&amp;_startdoc=1&amp;wchp=dGLzVzB-zSkAW&amp;_md5=882698216e48cf5c617cdead3d69983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exis.com/research/buttonTFLink?_m=5f444d23a3aaa5886f210e5ee2791e1d&amp;_xfercite=%3ccite%20cc%3d%22USA%22%3e%3c%21%5bCDATA%5b2011%20Pa.%20PUC%20LEXIS%20882%5d%5d%3e%3c%2fcite%3e&amp;_butType=3&amp;_butStat=2&amp;_butNum=15&amp;_butInline=1&amp;_butinfo=%3ccite%20cc%3d%22USA%22%3e%3c%21%5bCDATA%5b55%20Pa.%20PUC%20637%5d%5d%3e%3c%2fcite%3e&amp;_fmtstr=FULL&amp;docnum=7&amp;_startdoc=1&amp;wchp=dGLzVzB-zSkAW&amp;_md5=ba677f05721551a8580c16f9ea2ad2f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8F8B-E11B-45B0-8782-C47EBBFC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2012-05-09T16:49:00Z</cp:lastPrinted>
  <dcterms:created xsi:type="dcterms:W3CDTF">2012-05-09T16:50:00Z</dcterms:created>
  <dcterms:modified xsi:type="dcterms:W3CDTF">2012-05-09T16:50:00Z</dcterms:modified>
</cp:coreProperties>
</file>