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6EA" w:rsidRPr="00C055EF" w:rsidRDefault="00D246EA" w:rsidP="009C37FA">
      <w:pPr>
        <w:tabs>
          <w:tab w:val="center" w:pos="4680"/>
        </w:tabs>
        <w:spacing w:line="240" w:lineRule="auto"/>
        <w:jc w:val="center"/>
        <w:rPr>
          <w:b/>
          <w:szCs w:val="24"/>
        </w:rPr>
      </w:pPr>
      <w:bookmarkStart w:id="0" w:name="_GoBack"/>
      <w:bookmarkEnd w:id="0"/>
      <w:r w:rsidRPr="00C055EF">
        <w:rPr>
          <w:b/>
          <w:szCs w:val="24"/>
        </w:rPr>
        <w:t>BEFORE THE</w:t>
      </w:r>
    </w:p>
    <w:p w:rsidR="00D246EA" w:rsidRPr="00C055EF" w:rsidRDefault="00D246EA" w:rsidP="009C37FA">
      <w:pPr>
        <w:tabs>
          <w:tab w:val="center" w:pos="4680"/>
        </w:tabs>
        <w:spacing w:line="240" w:lineRule="auto"/>
        <w:jc w:val="center"/>
        <w:rPr>
          <w:szCs w:val="24"/>
        </w:rPr>
      </w:pPr>
      <w:r w:rsidRPr="00C055EF">
        <w:rPr>
          <w:b/>
          <w:szCs w:val="24"/>
        </w:rPr>
        <w:t>PENNSYLVANIA PUBLIC UTILITY COMMISSIO</w:t>
      </w:r>
      <w:r w:rsidR="00BA58F3">
        <w:rPr>
          <w:b/>
          <w:szCs w:val="24"/>
        </w:rPr>
        <w:t>N</w:t>
      </w:r>
    </w:p>
    <w:p w:rsidR="00D246EA" w:rsidRPr="00C055EF" w:rsidRDefault="00D246EA" w:rsidP="009C37FA">
      <w:pPr>
        <w:spacing w:line="240" w:lineRule="auto"/>
        <w:jc w:val="both"/>
        <w:rPr>
          <w:szCs w:val="24"/>
        </w:rPr>
      </w:pPr>
    </w:p>
    <w:p w:rsidR="00D246EA" w:rsidRPr="00C055EF" w:rsidRDefault="00D246EA" w:rsidP="009C37FA">
      <w:pPr>
        <w:spacing w:line="240" w:lineRule="auto"/>
        <w:jc w:val="both"/>
        <w:rPr>
          <w:szCs w:val="24"/>
        </w:rPr>
      </w:pPr>
    </w:p>
    <w:p w:rsidR="00D246EA" w:rsidRPr="00C055EF" w:rsidRDefault="00D246EA" w:rsidP="009C37FA">
      <w:pPr>
        <w:spacing w:line="240" w:lineRule="auto"/>
        <w:jc w:val="both"/>
        <w:rPr>
          <w:szCs w:val="24"/>
        </w:rPr>
      </w:pPr>
    </w:p>
    <w:p w:rsidR="00A93525" w:rsidRDefault="00A93525" w:rsidP="00A93525">
      <w:pPr>
        <w:tabs>
          <w:tab w:val="left" w:pos="-720"/>
        </w:tabs>
        <w:suppressAutoHyphens/>
        <w:spacing w:line="240" w:lineRule="auto"/>
        <w:rPr>
          <w:spacing w:val="-3"/>
        </w:rPr>
      </w:pPr>
      <w:r>
        <w:rPr>
          <w:spacing w:val="-3"/>
        </w:rPr>
        <w:t xml:space="preserve">Pennsylvania Public Utility Commission, </w:t>
      </w:r>
      <w:r w:rsidRPr="00A93525">
        <w:rPr>
          <w:i/>
          <w:spacing w:val="-3"/>
        </w:rPr>
        <w:t>et al</w:t>
      </w:r>
      <w:r>
        <w:rPr>
          <w:spacing w:val="-3"/>
        </w:rPr>
        <w:t>.</w:t>
      </w:r>
      <w:r>
        <w:rPr>
          <w:spacing w:val="-3"/>
        </w:rPr>
        <w:tab/>
        <w:t>:</w:t>
      </w:r>
      <w:r>
        <w:rPr>
          <w:spacing w:val="-3"/>
        </w:rPr>
        <w:tab/>
      </w:r>
      <w:r>
        <w:rPr>
          <w:spacing w:val="-3"/>
        </w:rPr>
        <w:tab/>
        <w:t>R-2012-2285985</w:t>
      </w:r>
    </w:p>
    <w:p w:rsidR="00A93525" w:rsidRDefault="00A93525" w:rsidP="00A93525">
      <w:pPr>
        <w:tabs>
          <w:tab w:val="left" w:pos="-720"/>
        </w:tabs>
        <w:suppressAutoHyphens/>
        <w:spacing w:line="240" w:lineRule="auto"/>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t>C-2012-2292047</w:t>
      </w:r>
    </w:p>
    <w:p w:rsidR="00A93525" w:rsidRDefault="00A93525" w:rsidP="00A93525">
      <w:pPr>
        <w:tabs>
          <w:tab w:val="left" w:pos="-720"/>
        </w:tabs>
        <w:suppressAutoHyphens/>
        <w:spacing w:line="240" w:lineRule="auto"/>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t>C-2012-2295218</w:t>
      </w:r>
    </w:p>
    <w:p w:rsidR="00A93525" w:rsidRDefault="0084562F" w:rsidP="00A93525">
      <w:pPr>
        <w:tabs>
          <w:tab w:val="left" w:pos="-720"/>
        </w:tabs>
        <w:suppressAutoHyphens/>
        <w:spacing w:line="240" w:lineRule="auto"/>
        <w:rPr>
          <w:spacing w:val="-3"/>
        </w:rPr>
      </w:pPr>
      <w:r>
        <w:rPr>
          <w:spacing w:val="-3"/>
        </w:rPr>
        <w:tab/>
      </w:r>
      <w:r>
        <w:rPr>
          <w:spacing w:val="-3"/>
        </w:rPr>
        <w:tab/>
      </w:r>
      <w:r w:rsidR="00A93525">
        <w:rPr>
          <w:spacing w:val="-3"/>
        </w:rPr>
        <w:tab/>
      </w:r>
      <w:r w:rsidR="00A93525">
        <w:rPr>
          <w:spacing w:val="-3"/>
        </w:rPr>
        <w:tab/>
      </w:r>
      <w:r w:rsidR="00A93525">
        <w:rPr>
          <w:spacing w:val="-3"/>
        </w:rPr>
        <w:tab/>
      </w:r>
      <w:r w:rsidR="00A93525">
        <w:rPr>
          <w:spacing w:val="-3"/>
        </w:rPr>
        <w:tab/>
      </w:r>
      <w:r w:rsidR="00A93525">
        <w:rPr>
          <w:spacing w:val="-3"/>
        </w:rPr>
        <w:tab/>
        <w:t>:</w:t>
      </w:r>
      <w:r w:rsidR="00A93525">
        <w:rPr>
          <w:spacing w:val="-3"/>
        </w:rPr>
        <w:tab/>
      </w:r>
      <w:r w:rsidR="00A93525">
        <w:rPr>
          <w:spacing w:val="-3"/>
        </w:rPr>
        <w:tab/>
        <w:t>C-2012-2295700</w:t>
      </w:r>
    </w:p>
    <w:p w:rsidR="00A93525" w:rsidRDefault="00A93525" w:rsidP="00A93525">
      <w:pPr>
        <w:tabs>
          <w:tab w:val="left" w:pos="-720"/>
        </w:tabs>
        <w:suppressAutoHyphens/>
        <w:spacing w:line="240" w:lineRule="auto"/>
        <w:rPr>
          <w:spacing w:val="-3"/>
        </w:rPr>
      </w:pPr>
      <w:r>
        <w:rPr>
          <w:spacing w:val="-3"/>
        </w:rPr>
        <w:tab/>
      </w:r>
      <w:r>
        <w:rPr>
          <w:spacing w:val="-3"/>
        </w:rPr>
        <w:tab/>
      </w:r>
      <w:r w:rsidR="0084562F">
        <w:rPr>
          <w:spacing w:val="-3"/>
        </w:rPr>
        <w:t>v.</w:t>
      </w:r>
      <w:r>
        <w:rPr>
          <w:spacing w:val="-3"/>
        </w:rPr>
        <w:tab/>
      </w:r>
      <w:r>
        <w:rPr>
          <w:spacing w:val="-3"/>
        </w:rPr>
        <w:tab/>
      </w:r>
      <w:r>
        <w:rPr>
          <w:spacing w:val="-3"/>
        </w:rPr>
        <w:tab/>
      </w:r>
      <w:r>
        <w:rPr>
          <w:spacing w:val="-3"/>
        </w:rPr>
        <w:tab/>
      </w:r>
      <w:r>
        <w:rPr>
          <w:spacing w:val="-3"/>
        </w:rPr>
        <w:tab/>
        <w:t>:</w:t>
      </w:r>
      <w:r>
        <w:rPr>
          <w:spacing w:val="-3"/>
        </w:rPr>
        <w:tab/>
      </w:r>
      <w:r>
        <w:rPr>
          <w:spacing w:val="-3"/>
        </w:rPr>
        <w:tab/>
        <w:t>C-2012-2298317</w:t>
      </w:r>
    </w:p>
    <w:p w:rsidR="00A93525" w:rsidRDefault="00A93525" w:rsidP="00A93525">
      <w:pPr>
        <w:tabs>
          <w:tab w:val="left" w:pos="-720"/>
        </w:tabs>
        <w:suppressAutoHyphens/>
        <w:spacing w:line="240" w:lineRule="auto"/>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t>C-2012-2298575</w:t>
      </w:r>
    </w:p>
    <w:p w:rsidR="00A93525" w:rsidRDefault="00A93525" w:rsidP="00A93525">
      <w:pPr>
        <w:tabs>
          <w:tab w:val="left" w:pos="-720"/>
        </w:tabs>
        <w:suppressAutoHyphens/>
        <w:spacing w:line="240" w:lineRule="auto"/>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t>C-2012-2299156</w:t>
      </w:r>
    </w:p>
    <w:p w:rsidR="00A93525" w:rsidRDefault="00A93525" w:rsidP="00A93525">
      <w:pPr>
        <w:tabs>
          <w:tab w:val="left" w:pos="-720"/>
        </w:tabs>
        <w:suppressAutoHyphens/>
        <w:spacing w:line="240" w:lineRule="auto"/>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t>C-2012-2300419</w:t>
      </w:r>
    </w:p>
    <w:p w:rsidR="0084562F" w:rsidRDefault="0084562F" w:rsidP="00A93525">
      <w:pPr>
        <w:tabs>
          <w:tab w:val="left" w:pos="-720"/>
        </w:tabs>
        <w:suppressAutoHyphens/>
        <w:spacing w:line="240" w:lineRule="auto"/>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t>C-2012-2302827</w:t>
      </w:r>
    </w:p>
    <w:p w:rsidR="00A93525" w:rsidRDefault="00A93525" w:rsidP="00A93525">
      <w:pPr>
        <w:tabs>
          <w:tab w:val="left" w:pos="-720"/>
        </w:tabs>
        <w:suppressAutoHyphens/>
        <w:spacing w:line="240" w:lineRule="auto"/>
        <w:rPr>
          <w:spacing w:val="-3"/>
        </w:rPr>
      </w:pPr>
      <w:r>
        <w:rPr>
          <w:spacing w:val="-3"/>
        </w:rPr>
        <w:t>Peoples Natural Gas Company LLC</w:t>
      </w:r>
      <w:r>
        <w:rPr>
          <w:spacing w:val="-3"/>
        </w:rPr>
        <w:tab/>
      </w:r>
      <w:r>
        <w:rPr>
          <w:spacing w:val="-3"/>
        </w:rPr>
        <w:tab/>
      </w:r>
      <w:r>
        <w:rPr>
          <w:spacing w:val="-3"/>
        </w:rPr>
        <w:tab/>
        <w:t>:</w:t>
      </w:r>
      <w:r>
        <w:rPr>
          <w:spacing w:val="-3"/>
        </w:rPr>
        <w:tab/>
      </w:r>
      <w:r>
        <w:rPr>
          <w:spacing w:val="-3"/>
        </w:rPr>
        <w:tab/>
        <w:t>C-2012-2302859</w:t>
      </w:r>
    </w:p>
    <w:p w:rsidR="00A93525" w:rsidRDefault="00A93525" w:rsidP="00A93525">
      <w:pPr>
        <w:tabs>
          <w:tab w:val="left" w:pos="-720"/>
        </w:tabs>
        <w:suppressAutoHyphens/>
        <w:spacing w:line="240" w:lineRule="auto"/>
        <w:rPr>
          <w:spacing w:val="-3"/>
        </w:rPr>
      </w:pPr>
    </w:p>
    <w:p w:rsidR="00A93525" w:rsidRDefault="00A93525" w:rsidP="00A93525">
      <w:pPr>
        <w:tabs>
          <w:tab w:val="left" w:pos="-720"/>
        </w:tabs>
        <w:suppressAutoHyphens/>
        <w:spacing w:line="240" w:lineRule="auto"/>
        <w:rPr>
          <w:spacing w:val="-3"/>
        </w:rPr>
      </w:pPr>
    </w:p>
    <w:p w:rsidR="00A93525" w:rsidRDefault="00A93525" w:rsidP="00A93525">
      <w:pPr>
        <w:tabs>
          <w:tab w:val="left" w:pos="-720"/>
        </w:tabs>
        <w:suppressAutoHyphens/>
        <w:spacing w:line="240" w:lineRule="auto"/>
        <w:rPr>
          <w:spacing w:val="-3"/>
        </w:rPr>
      </w:pPr>
    </w:p>
    <w:p w:rsidR="001A517C" w:rsidRDefault="00D246EA" w:rsidP="00D246EA">
      <w:pPr>
        <w:jc w:val="center"/>
        <w:rPr>
          <w:b/>
          <w:szCs w:val="24"/>
          <w:u w:val="single"/>
        </w:rPr>
      </w:pPr>
      <w:r w:rsidRPr="00C055EF">
        <w:rPr>
          <w:b/>
          <w:szCs w:val="24"/>
          <w:u w:val="single"/>
        </w:rPr>
        <w:t>PREHEARING ORDER</w:t>
      </w:r>
    </w:p>
    <w:p w:rsidR="009457B7" w:rsidRDefault="009457B7" w:rsidP="009457B7">
      <w:pPr>
        <w:ind w:firstLine="720"/>
      </w:pPr>
      <w:r w:rsidRPr="00A320B8">
        <w:tab/>
      </w:r>
    </w:p>
    <w:p w:rsidR="009457B7" w:rsidRDefault="009457B7" w:rsidP="00411241">
      <w:pPr>
        <w:ind w:firstLine="1440"/>
      </w:pPr>
      <w:r w:rsidRPr="00A320B8">
        <w:t xml:space="preserve">On </w:t>
      </w:r>
      <w:r>
        <w:t>February 28, 2012</w:t>
      </w:r>
      <w:r w:rsidRPr="00A320B8">
        <w:t xml:space="preserve">, </w:t>
      </w:r>
      <w:r>
        <w:t>Peoples Natural Gas Company LLC</w:t>
      </w:r>
      <w:r w:rsidRPr="00A320B8">
        <w:t>, (</w:t>
      </w:r>
      <w:r>
        <w:t>Peoples</w:t>
      </w:r>
      <w:r w:rsidRPr="00A320B8">
        <w:t xml:space="preserve"> or </w:t>
      </w:r>
      <w:r w:rsidRPr="00D3234F">
        <w:t xml:space="preserve">the Company) filed </w:t>
      </w:r>
      <w:bookmarkStart w:id="1" w:name="OLE_LINK1"/>
      <w:bookmarkStart w:id="2" w:name="OLE_LINK2"/>
      <w:r w:rsidRPr="00D3234F">
        <w:t>Tariff Gas – P</w:t>
      </w:r>
      <w:r w:rsidR="00614199">
        <w:t>A</w:t>
      </w:r>
      <w:r w:rsidRPr="00D3234F">
        <w:t xml:space="preserve"> PUC No. </w:t>
      </w:r>
      <w:r>
        <w:t>45,</w:t>
      </w:r>
      <w:r w:rsidRPr="00D3234F">
        <w:t xml:space="preserve"> </w:t>
      </w:r>
      <w:bookmarkEnd w:id="1"/>
      <w:bookmarkEnd w:id="2"/>
      <w:r w:rsidRPr="00D3234F">
        <w:t xml:space="preserve">containing proposed changes in rates, rules, and regulations calculated </w:t>
      </w:r>
      <w:r w:rsidRPr="0062678E">
        <w:t xml:space="preserve">to </w:t>
      </w:r>
      <w:r w:rsidRPr="00840E50">
        <w:t>produce approximately $</w:t>
      </w:r>
      <w:r>
        <w:t>28.4</w:t>
      </w:r>
      <w:r w:rsidRPr="00840E50">
        <w:t xml:space="preserve"> million in additional annual</w:t>
      </w:r>
      <w:r w:rsidRPr="00840E50">
        <w:rPr>
          <w:i/>
        </w:rPr>
        <w:t xml:space="preserve"> </w:t>
      </w:r>
      <w:r w:rsidRPr="00840E50">
        <w:t>revenues</w:t>
      </w:r>
      <w:r>
        <w:t>; as well as, Supplement No. 6 to Tariff Gas – P</w:t>
      </w:r>
      <w:r w:rsidR="00614199">
        <w:t>A</w:t>
      </w:r>
      <w:r>
        <w:t xml:space="preserve"> PUC No. </w:t>
      </w:r>
      <w:proofErr w:type="gramStart"/>
      <w:r>
        <w:t>S-2</w:t>
      </w:r>
      <w:r w:rsidRPr="00840E50">
        <w:t>,</w:t>
      </w:r>
      <w:r>
        <w:t xml:space="preserve"> containing proposed changes to its supplier tariff.</w:t>
      </w:r>
      <w:proofErr w:type="gramEnd"/>
      <w:r>
        <w:t xml:space="preserve">  This rate change represents an </w:t>
      </w:r>
      <w:r w:rsidRPr="00840E50">
        <w:t>increase of 7.</w:t>
      </w:r>
      <w:r>
        <w:t>5</w:t>
      </w:r>
      <w:r w:rsidRPr="00840E50">
        <w:t>%</w:t>
      </w:r>
      <w:r>
        <w:t xml:space="preserve"> in total annual operating revenues</w:t>
      </w:r>
      <w:r w:rsidRPr="00840E50">
        <w:t>.</w:t>
      </w:r>
      <w:r>
        <w:t xml:space="preserve"> </w:t>
      </w:r>
      <w:r w:rsidRPr="00840E50">
        <w:t xml:space="preserve"> </w:t>
      </w:r>
      <w:r w:rsidRPr="00D3234F">
        <w:t>Tariff Gas – P</w:t>
      </w:r>
      <w:r>
        <w:t>A</w:t>
      </w:r>
      <w:r w:rsidRPr="00D3234F">
        <w:t xml:space="preserve"> PUC No. </w:t>
      </w:r>
      <w:r>
        <w:t xml:space="preserve">45 and Supplement No. 6 to Tariff Gas – PA PUC No. S-2 </w:t>
      </w:r>
      <w:proofErr w:type="gramStart"/>
      <w:r>
        <w:t>propose</w:t>
      </w:r>
      <w:proofErr w:type="gramEnd"/>
      <w:r>
        <w:t xml:space="preserve"> effective dates of April 28, 2012.</w:t>
      </w:r>
    </w:p>
    <w:p w:rsidR="009457B7" w:rsidRDefault="009457B7" w:rsidP="00411241">
      <w:pPr>
        <w:ind w:firstLine="720"/>
      </w:pPr>
    </w:p>
    <w:p w:rsidR="009457B7" w:rsidRDefault="00DC2ED4" w:rsidP="00411241">
      <w:pPr>
        <w:ind w:firstLine="1440"/>
      </w:pPr>
      <w:r>
        <w:t>Peoples'</w:t>
      </w:r>
      <w:r w:rsidR="009457B7" w:rsidRPr="00840E50">
        <w:t xml:space="preserve"> proposed general rate increase is based on a future test year ending </w:t>
      </w:r>
      <w:r w:rsidR="009457B7">
        <w:t>October 31</w:t>
      </w:r>
      <w:r w:rsidR="009457B7" w:rsidRPr="00840E50">
        <w:t>, 201</w:t>
      </w:r>
      <w:r w:rsidR="009457B7">
        <w:t>2</w:t>
      </w:r>
      <w:r w:rsidR="009457B7" w:rsidRPr="00840E50">
        <w:t xml:space="preserve">, and is designed to allow the Company an opportunity to earn an </w:t>
      </w:r>
      <w:r w:rsidR="009457B7" w:rsidRPr="00903DE7">
        <w:t>overall rate of return of 8.</w:t>
      </w:r>
      <w:r w:rsidR="009457B7">
        <w:t>2</w:t>
      </w:r>
      <w:r w:rsidR="009457B7" w:rsidRPr="00903DE7">
        <w:t>4%, including an 11.</w:t>
      </w:r>
      <w:r w:rsidR="009457B7">
        <w:t>25</w:t>
      </w:r>
      <w:r w:rsidR="009457B7" w:rsidRPr="00903DE7">
        <w:t>% return on common equity.</w:t>
      </w:r>
    </w:p>
    <w:p w:rsidR="004E47EA" w:rsidRPr="008726B9" w:rsidRDefault="004E47EA" w:rsidP="00411241">
      <w:pPr>
        <w:ind w:firstLine="1440"/>
        <w:rPr>
          <w:i/>
        </w:rPr>
      </w:pPr>
    </w:p>
    <w:p w:rsidR="009457B7" w:rsidRDefault="009457B7" w:rsidP="00411241">
      <w:pPr>
        <w:ind w:firstLine="720"/>
      </w:pPr>
      <w:r>
        <w:tab/>
      </w:r>
      <w:r w:rsidRPr="00977785">
        <w:t xml:space="preserve">Under </w:t>
      </w:r>
      <w:r w:rsidR="00DC2ED4">
        <w:t>Peoples'</w:t>
      </w:r>
      <w:r w:rsidRPr="00977785">
        <w:t xml:space="preserve"> proposed</w:t>
      </w:r>
      <w:r>
        <w:t xml:space="preserve"> revenue</w:t>
      </w:r>
      <w:r w:rsidRPr="00977785">
        <w:t xml:space="preserve"> increase, </w:t>
      </w:r>
      <w:r w:rsidRPr="00996321">
        <w:t>the total annual bill for a</w:t>
      </w:r>
      <w:r>
        <w:t xml:space="preserve"> </w:t>
      </w:r>
      <w:r w:rsidRPr="00996321">
        <w:t xml:space="preserve">typical residential customer who purchases </w:t>
      </w:r>
      <w:r>
        <w:t>92.0</w:t>
      </w:r>
      <w:r w:rsidRPr="00996321">
        <w:t xml:space="preserve"> Mcf of gas from </w:t>
      </w:r>
      <w:r>
        <w:t>Peoples each year</w:t>
      </w:r>
      <w:r w:rsidRPr="00996321">
        <w:t xml:space="preserve"> would</w:t>
      </w:r>
      <w:r>
        <w:t xml:space="preserve"> </w:t>
      </w:r>
      <w:r w:rsidRPr="00996321">
        <w:t>increase from $</w:t>
      </w:r>
      <w:r>
        <w:t>955.20</w:t>
      </w:r>
      <w:r w:rsidRPr="00996321">
        <w:t xml:space="preserve"> to $1,</w:t>
      </w:r>
      <w:r>
        <w:t>040.88, an increase of $85.68 or</w:t>
      </w:r>
      <w:r w:rsidRPr="00996321">
        <w:t xml:space="preserve"> </w:t>
      </w:r>
      <w:r>
        <w:t>9</w:t>
      </w:r>
      <w:r w:rsidRPr="00996321">
        <w:t>.</w:t>
      </w:r>
      <w:r>
        <w:t>0</w:t>
      </w:r>
      <w:r w:rsidRPr="00996321">
        <w:t xml:space="preserve"> percent.</w:t>
      </w:r>
      <w:r>
        <w:t xml:space="preserve"> </w:t>
      </w:r>
      <w:r w:rsidRPr="00996321">
        <w:t xml:space="preserve"> The total annual bill for</w:t>
      </w:r>
      <w:r>
        <w:t xml:space="preserve"> </w:t>
      </w:r>
      <w:r w:rsidRPr="00996321">
        <w:t xml:space="preserve">a commercial customer purchasing </w:t>
      </w:r>
      <w:r>
        <w:t>289</w:t>
      </w:r>
      <w:r w:rsidRPr="00996321">
        <w:t xml:space="preserve"> Mcf of gas from </w:t>
      </w:r>
      <w:r>
        <w:t>Peoples</w:t>
      </w:r>
      <w:r w:rsidRPr="00996321">
        <w:t xml:space="preserve"> each year</w:t>
      </w:r>
      <w:r>
        <w:t xml:space="preserve"> </w:t>
      </w:r>
      <w:r w:rsidRPr="00996321">
        <w:t>would increase from $</w:t>
      </w:r>
      <w:r>
        <w:t>2,345.64</w:t>
      </w:r>
      <w:r w:rsidRPr="00996321">
        <w:t xml:space="preserve"> to $</w:t>
      </w:r>
      <w:r>
        <w:t>2,555.64</w:t>
      </w:r>
      <w:r w:rsidRPr="00996321">
        <w:t>,</w:t>
      </w:r>
      <w:r>
        <w:t xml:space="preserve"> an increase of $210.00 or 9.0 </w:t>
      </w:r>
      <w:r w:rsidRPr="00996321">
        <w:t xml:space="preserve">percent. </w:t>
      </w:r>
      <w:r>
        <w:t xml:space="preserve"> </w:t>
      </w:r>
      <w:r w:rsidRPr="00996321">
        <w:t>The total bill</w:t>
      </w:r>
      <w:r>
        <w:t xml:space="preserve"> </w:t>
      </w:r>
      <w:r w:rsidRPr="00996321">
        <w:t xml:space="preserve">for an industrial </w:t>
      </w:r>
      <w:r w:rsidRPr="00996321">
        <w:lastRenderedPageBreak/>
        <w:t xml:space="preserve">customer purchasing </w:t>
      </w:r>
      <w:r>
        <w:t>3,948</w:t>
      </w:r>
      <w:r w:rsidRPr="00996321">
        <w:t xml:space="preserve"> Mcf of gas from </w:t>
      </w:r>
      <w:r>
        <w:t>Peoples</w:t>
      </w:r>
      <w:r w:rsidRPr="00996321">
        <w:t xml:space="preserve"> each year</w:t>
      </w:r>
      <w:r>
        <w:t xml:space="preserve"> </w:t>
      </w:r>
      <w:r w:rsidRPr="00996321">
        <w:t xml:space="preserve">would </w:t>
      </w:r>
      <w:r>
        <w:t>increase</w:t>
      </w:r>
      <w:r w:rsidRPr="00996321">
        <w:t xml:space="preserve"> from $</w:t>
      </w:r>
      <w:r>
        <w:t>27,696.48</w:t>
      </w:r>
      <w:r w:rsidRPr="00996321">
        <w:t xml:space="preserve"> to $</w:t>
      </w:r>
      <w:r>
        <w:t>28,075.92</w:t>
      </w:r>
      <w:r w:rsidRPr="00996321">
        <w:t>,</w:t>
      </w:r>
      <w:r>
        <w:t xml:space="preserve"> an increase of $379.44 or 1.4</w:t>
      </w:r>
      <w:r w:rsidRPr="00996321">
        <w:t xml:space="preserve"> percent.</w:t>
      </w:r>
    </w:p>
    <w:p w:rsidR="00A93525" w:rsidRDefault="00A93525" w:rsidP="00411241">
      <w:pPr>
        <w:ind w:firstLine="720"/>
      </w:pPr>
    </w:p>
    <w:p w:rsidR="004E47EA" w:rsidRDefault="004F296E" w:rsidP="00411241">
      <w:pPr>
        <w:rPr>
          <w:szCs w:val="24"/>
        </w:rPr>
      </w:pPr>
      <w:r>
        <w:tab/>
      </w:r>
      <w:r>
        <w:tab/>
        <w:t xml:space="preserve">By order entered April 26, 2012, the Commission suspended the Tariffs until November 28, 2012.  Peoples filed a tariff supplement </w:t>
      </w:r>
      <w:r w:rsidR="00B24D17">
        <w:t>on April 27, 2012</w:t>
      </w:r>
      <w:r w:rsidR="00436C11">
        <w:t>,</w:t>
      </w:r>
      <w:r>
        <w:t xml:space="preserve"> reflecting the suspension as directed by the Commission’s April 26, 2012 order.</w:t>
      </w:r>
      <w:r w:rsidR="007C2688">
        <w:rPr>
          <w:szCs w:val="24"/>
        </w:rPr>
        <w:tab/>
      </w:r>
    </w:p>
    <w:p w:rsidR="007C2688" w:rsidRPr="007C2688" w:rsidRDefault="00CE617C" w:rsidP="00411241">
      <w:pPr>
        <w:rPr>
          <w:szCs w:val="24"/>
        </w:rPr>
      </w:pPr>
      <w:r w:rsidRPr="007C2688">
        <w:rPr>
          <w:szCs w:val="24"/>
        </w:rPr>
        <w:tab/>
      </w:r>
    </w:p>
    <w:p w:rsidR="009A64B7" w:rsidRPr="00BE749B" w:rsidRDefault="001E2FE1" w:rsidP="00411241">
      <w:r w:rsidRPr="00C055EF">
        <w:rPr>
          <w:szCs w:val="24"/>
        </w:rPr>
        <w:tab/>
      </w:r>
      <w:r w:rsidRPr="00C055EF">
        <w:rPr>
          <w:szCs w:val="24"/>
        </w:rPr>
        <w:tab/>
        <w:t xml:space="preserve">To date, the Commission’s </w:t>
      </w:r>
      <w:r w:rsidR="00D04086">
        <w:rPr>
          <w:szCs w:val="24"/>
        </w:rPr>
        <w:t>Bureau of Investigation and Enforcement (BIE)</w:t>
      </w:r>
      <w:r w:rsidRPr="00C055EF">
        <w:rPr>
          <w:szCs w:val="24"/>
        </w:rPr>
        <w:t xml:space="preserve"> entered its appearance in this proceeding, while th</w:t>
      </w:r>
      <w:r w:rsidR="00D04086">
        <w:rPr>
          <w:szCs w:val="24"/>
        </w:rPr>
        <w:t>e Office of Consumer Advocate (</w:t>
      </w:r>
      <w:r w:rsidRPr="00C055EF">
        <w:rPr>
          <w:szCs w:val="24"/>
        </w:rPr>
        <w:t>OCA</w:t>
      </w:r>
      <w:r w:rsidR="00A36D4C" w:rsidRPr="00C055EF">
        <w:rPr>
          <w:szCs w:val="24"/>
        </w:rPr>
        <w:t xml:space="preserve">) and </w:t>
      </w:r>
      <w:r w:rsidRPr="00C055EF">
        <w:rPr>
          <w:szCs w:val="24"/>
        </w:rPr>
        <w:t>the Office of</w:t>
      </w:r>
      <w:r w:rsidR="00D04086">
        <w:rPr>
          <w:szCs w:val="24"/>
        </w:rPr>
        <w:t xml:space="preserve"> Small Business Advocate (OSBA</w:t>
      </w:r>
      <w:r w:rsidRPr="00C055EF">
        <w:rPr>
          <w:szCs w:val="24"/>
        </w:rPr>
        <w:t xml:space="preserve">) filed complaints.  </w:t>
      </w:r>
      <w:r w:rsidR="00715311">
        <w:rPr>
          <w:szCs w:val="24"/>
        </w:rPr>
        <w:t xml:space="preserve">The OCA complaint is </w:t>
      </w:r>
      <w:r w:rsidR="00BB1A11">
        <w:rPr>
          <w:szCs w:val="24"/>
        </w:rPr>
        <w:t xml:space="preserve">filed at </w:t>
      </w:r>
      <w:r w:rsidR="00BE749B" w:rsidRPr="007A1FE4">
        <w:t>Docket No. C-2012-2292047</w:t>
      </w:r>
      <w:r w:rsidR="00F34275">
        <w:t>, and OSBA’s</w:t>
      </w:r>
      <w:r w:rsidR="00BE749B">
        <w:t xml:space="preserve"> complaint is at Docket No. </w:t>
      </w:r>
      <w:proofErr w:type="gramStart"/>
      <w:r w:rsidR="00BE749B" w:rsidRPr="007A1FE4">
        <w:t>C-2012-2295218</w:t>
      </w:r>
      <w:r w:rsidR="00BE749B">
        <w:t>.</w:t>
      </w:r>
      <w:proofErr w:type="gramEnd"/>
      <w:r w:rsidR="00BE749B">
        <w:t xml:space="preserve">  Formal complaints were filed by t</w:t>
      </w:r>
      <w:r w:rsidR="00BE749B" w:rsidRPr="00BE749B">
        <w:t>he Pennsylvania State University</w:t>
      </w:r>
      <w:r w:rsidR="005205F0">
        <w:t xml:space="preserve"> at Docket No.</w:t>
      </w:r>
      <w:r w:rsidR="00BE749B" w:rsidRPr="00BE749B">
        <w:t xml:space="preserve"> </w:t>
      </w:r>
      <w:proofErr w:type="gramStart"/>
      <w:r w:rsidR="00BE749B" w:rsidRPr="00BE749B">
        <w:t>C</w:t>
      </w:r>
      <w:r w:rsidR="00DC2ED4">
        <w:noBreakHyphen/>
      </w:r>
      <w:r w:rsidR="00BE749B" w:rsidRPr="00BE749B">
        <w:t>2012-2298317, and Snyder Brothers, Inc.</w:t>
      </w:r>
      <w:r w:rsidR="00F34275">
        <w:t>,</w:t>
      </w:r>
      <w:r w:rsidR="00BE749B" w:rsidRPr="00BE749B">
        <w:t xml:space="preserve"> Buffalo Valley Ltd., Snyder Armclar Gas Company LP and S&amp;D Energy (collectively, Snyder Brothers) at C-2012-2302859</w:t>
      </w:r>
      <w:r w:rsidR="00BE749B">
        <w:t>.</w:t>
      </w:r>
      <w:proofErr w:type="gramEnd"/>
      <w:r w:rsidR="00BE749B">
        <w:t xml:space="preserve"> </w:t>
      </w:r>
      <w:r w:rsidR="00F34275">
        <w:t xml:space="preserve"> </w:t>
      </w:r>
      <w:r w:rsidR="00BE749B">
        <w:t>The following individual ratepayers have also filed formal complaints:  Raymond E. Anderson, C-2012-2298575</w:t>
      </w:r>
      <w:r w:rsidR="00F34275">
        <w:t>;</w:t>
      </w:r>
      <w:r w:rsidR="00BE749B">
        <w:t xml:space="preserve"> Daniel Killmeyer, C</w:t>
      </w:r>
      <w:r w:rsidR="00F34275">
        <w:noBreakHyphen/>
      </w:r>
      <w:r w:rsidR="00BE749B">
        <w:t>2012-2295700</w:t>
      </w:r>
      <w:r w:rsidR="00F34275">
        <w:t>;</w:t>
      </w:r>
      <w:r w:rsidR="00BE749B">
        <w:t xml:space="preserve"> Severo C. Miglioretti, C-2012-2302827</w:t>
      </w:r>
      <w:r w:rsidR="00F34275">
        <w:t>;</w:t>
      </w:r>
      <w:r w:rsidR="00BE749B">
        <w:t xml:space="preserve"> Steven J. Swencki, C-2012-2299156</w:t>
      </w:r>
      <w:r w:rsidR="00F34275">
        <w:t>;</w:t>
      </w:r>
      <w:r w:rsidR="00BE749B">
        <w:t xml:space="preserve"> </w:t>
      </w:r>
      <w:r w:rsidR="00F34275">
        <w:t xml:space="preserve">and </w:t>
      </w:r>
      <w:r w:rsidR="00BE749B">
        <w:t xml:space="preserve">James Weber, C-2012-2300419. </w:t>
      </w:r>
      <w:r w:rsidR="00F34275">
        <w:t xml:space="preserve"> </w:t>
      </w:r>
      <w:r w:rsidR="00471C88" w:rsidRPr="00BE749B">
        <w:rPr>
          <w:szCs w:val="24"/>
        </w:rPr>
        <w:t xml:space="preserve">Petitions to Intervene were filed by </w:t>
      </w:r>
      <w:r w:rsidR="001B1E6E" w:rsidRPr="00BE749B">
        <w:rPr>
          <w:szCs w:val="24"/>
        </w:rPr>
        <w:t>Dominion Retail, Inc.</w:t>
      </w:r>
      <w:r w:rsidR="007E3D09" w:rsidRPr="00BE749B">
        <w:rPr>
          <w:szCs w:val="24"/>
        </w:rPr>
        <w:t>,</w:t>
      </w:r>
      <w:r w:rsidR="001B1E6E" w:rsidRPr="00BE749B">
        <w:rPr>
          <w:szCs w:val="24"/>
        </w:rPr>
        <w:t xml:space="preserve"> Interstate Gas Supply, Inc</w:t>
      </w:r>
      <w:r w:rsidR="004C2622">
        <w:rPr>
          <w:szCs w:val="24"/>
        </w:rPr>
        <w:t>.</w:t>
      </w:r>
      <w:r w:rsidR="00AD19BA">
        <w:rPr>
          <w:szCs w:val="24"/>
        </w:rPr>
        <w:t xml:space="preserve">, </w:t>
      </w:r>
      <w:r w:rsidR="00AB186C" w:rsidRPr="00BE749B">
        <w:rPr>
          <w:szCs w:val="24"/>
        </w:rPr>
        <w:t>Equitable Energy</w:t>
      </w:r>
      <w:r w:rsidR="00AD19BA">
        <w:rPr>
          <w:szCs w:val="24"/>
        </w:rPr>
        <w:t>, the Pennsylvania Independent Oil and Gas Association (PIOGA), the Retail Energy Supply Association (RESA), the Coalition for Affordable Utility Services and Energy Efficiency in Pennsylvania (CAUSE-PA)</w:t>
      </w:r>
      <w:r w:rsidR="00AD19BA">
        <w:rPr>
          <w:rStyle w:val="FootnoteReference"/>
          <w:szCs w:val="24"/>
        </w:rPr>
        <w:footnoteReference w:id="1"/>
      </w:r>
      <w:r w:rsidR="00AD19BA">
        <w:rPr>
          <w:szCs w:val="24"/>
        </w:rPr>
        <w:t xml:space="preserve"> and the Community Action Association of Pennsylvania (CAAP)</w:t>
      </w:r>
      <w:r w:rsidR="00471C88" w:rsidRPr="00BE749B">
        <w:rPr>
          <w:szCs w:val="24"/>
        </w:rPr>
        <w:t>.</w:t>
      </w:r>
      <w:r w:rsidR="00471C88">
        <w:rPr>
          <w:szCs w:val="24"/>
        </w:rPr>
        <w:t xml:space="preserve">  </w:t>
      </w:r>
    </w:p>
    <w:p w:rsidR="009A64B7" w:rsidRDefault="009A64B7" w:rsidP="00411241">
      <w:pPr>
        <w:rPr>
          <w:szCs w:val="24"/>
        </w:rPr>
      </w:pPr>
    </w:p>
    <w:p w:rsidR="00047F1C" w:rsidRDefault="009A64B7" w:rsidP="00411241">
      <w:pPr>
        <w:ind w:firstLine="720"/>
        <w:rPr>
          <w:szCs w:val="24"/>
        </w:rPr>
      </w:pPr>
      <w:r>
        <w:rPr>
          <w:szCs w:val="24"/>
        </w:rPr>
        <w:t xml:space="preserve">            </w:t>
      </w:r>
      <w:r w:rsidR="001E2FE1" w:rsidRPr="00C055EF">
        <w:rPr>
          <w:szCs w:val="24"/>
        </w:rPr>
        <w:t xml:space="preserve">A prehearing conference was held on </w:t>
      </w:r>
      <w:r w:rsidR="00D04086">
        <w:rPr>
          <w:szCs w:val="24"/>
        </w:rPr>
        <w:t>Tuesday, May 8, 2012</w:t>
      </w:r>
      <w:r w:rsidRPr="00F56905">
        <w:rPr>
          <w:szCs w:val="24"/>
        </w:rPr>
        <w:t xml:space="preserve">.  </w:t>
      </w:r>
      <w:r w:rsidR="001E2FE1" w:rsidRPr="00F56905">
        <w:rPr>
          <w:szCs w:val="24"/>
        </w:rPr>
        <w:t xml:space="preserve">Counsel for </w:t>
      </w:r>
      <w:r w:rsidR="002947E8" w:rsidRPr="00F56905">
        <w:rPr>
          <w:szCs w:val="24"/>
        </w:rPr>
        <w:t>Peoples</w:t>
      </w:r>
      <w:r w:rsidR="00FE2065" w:rsidRPr="00F56905">
        <w:rPr>
          <w:szCs w:val="24"/>
        </w:rPr>
        <w:t xml:space="preserve">, </w:t>
      </w:r>
      <w:r w:rsidR="001E2FE1" w:rsidRPr="00F56905">
        <w:rPr>
          <w:szCs w:val="24"/>
        </w:rPr>
        <w:t>the statutory parties</w:t>
      </w:r>
      <w:r w:rsidR="00F56905">
        <w:rPr>
          <w:szCs w:val="24"/>
        </w:rPr>
        <w:t xml:space="preserve">, </w:t>
      </w:r>
      <w:r w:rsidR="00F34275">
        <w:rPr>
          <w:szCs w:val="24"/>
        </w:rPr>
        <w:t xml:space="preserve">and </w:t>
      </w:r>
      <w:r w:rsidR="00F56905">
        <w:rPr>
          <w:szCs w:val="24"/>
        </w:rPr>
        <w:t xml:space="preserve">the </w:t>
      </w:r>
      <w:r w:rsidR="00DC0C4C">
        <w:rPr>
          <w:szCs w:val="24"/>
        </w:rPr>
        <w:t>interveners</w:t>
      </w:r>
      <w:r w:rsidR="002947E8" w:rsidRPr="00F56905">
        <w:rPr>
          <w:szCs w:val="24"/>
        </w:rPr>
        <w:t xml:space="preserve"> </w:t>
      </w:r>
      <w:r w:rsidR="00FE2065" w:rsidRPr="00F56905">
        <w:rPr>
          <w:szCs w:val="24"/>
        </w:rPr>
        <w:t>attended the conference</w:t>
      </w:r>
      <w:r w:rsidR="00FE2065" w:rsidRPr="002A161B">
        <w:rPr>
          <w:szCs w:val="24"/>
        </w:rPr>
        <w:t xml:space="preserve">.  </w:t>
      </w:r>
      <w:r w:rsidR="00D04086" w:rsidRPr="002A161B">
        <w:rPr>
          <w:szCs w:val="24"/>
        </w:rPr>
        <w:t xml:space="preserve">Complainants Pennsylvania State </w:t>
      </w:r>
      <w:r w:rsidR="00843E84" w:rsidRPr="002A161B">
        <w:rPr>
          <w:szCs w:val="24"/>
        </w:rPr>
        <w:t>University</w:t>
      </w:r>
      <w:r w:rsidR="00D04086" w:rsidRPr="002A161B">
        <w:rPr>
          <w:szCs w:val="24"/>
        </w:rPr>
        <w:t xml:space="preserve"> and Snyder Brothers</w:t>
      </w:r>
      <w:r w:rsidR="002A161B" w:rsidRPr="002A161B">
        <w:rPr>
          <w:szCs w:val="24"/>
        </w:rPr>
        <w:t xml:space="preserve"> were also represented by counsel.</w:t>
      </w:r>
      <w:r w:rsidR="00D04086" w:rsidRPr="002A161B">
        <w:rPr>
          <w:szCs w:val="24"/>
        </w:rPr>
        <w:t xml:space="preserve"> </w:t>
      </w:r>
      <w:r w:rsidR="00FE2065" w:rsidRPr="002A161B">
        <w:rPr>
          <w:szCs w:val="24"/>
        </w:rPr>
        <w:t xml:space="preserve"> </w:t>
      </w:r>
      <w:r w:rsidR="001E2FE1" w:rsidRPr="002A161B">
        <w:rPr>
          <w:szCs w:val="24"/>
        </w:rPr>
        <w:t>This Order memorializes the matters decided and agreed upon by</w:t>
      </w:r>
      <w:r w:rsidR="001E2FE1" w:rsidRPr="00C055EF">
        <w:rPr>
          <w:szCs w:val="24"/>
        </w:rPr>
        <w:t xml:space="preserve"> the parties attending the conference.</w:t>
      </w:r>
    </w:p>
    <w:p w:rsidR="00047F1C" w:rsidRDefault="00047F1C" w:rsidP="00411241">
      <w:pPr>
        <w:ind w:firstLine="720"/>
        <w:rPr>
          <w:szCs w:val="24"/>
        </w:rPr>
      </w:pPr>
    </w:p>
    <w:p w:rsidR="00661CF0" w:rsidRPr="00C055EF" w:rsidRDefault="00A93525" w:rsidP="00411241">
      <w:pPr>
        <w:jc w:val="center"/>
        <w:rPr>
          <w:szCs w:val="24"/>
        </w:rPr>
      </w:pPr>
      <w:r>
        <w:rPr>
          <w:b/>
          <w:szCs w:val="24"/>
          <w:u w:val="single"/>
        </w:rPr>
        <w:br w:type="page"/>
      </w:r>
      <w:r w:rsidR="00661CF0" w:rsidRPr="00C055EF">
        <w:rPr>
          <w:b/>
          <w:szCs w:val="24"/>
          <w:u w:val="single"/>
        </w:rPr>
        <w:lastRenderedPageBreak/>
        <w:t>Litigation Schedule</w:t>
      </w:r>
    </w:p>
    <w:p w:rsidR="00661CF0" w:rsidRPr="00C055EF" w:rsidRDefault="00661CF0" w:rsidP="00411241">
      <w:pPr>
        <w:rPr>
          <w:szCs w:val="24"/>
        </w:rPr>
      </w:pPr>
    </w:p>
    <w:p w:rsidR="00661CF0" w:rsidRPr="00C055EF" w:rsidRDefault="00661CF0" w:rsidP="00411241">
      <w:pPr>
        <w:rPr>
          <w:szCs w:val="24"/>
        </w:rPr>
      </w:pPr>
      <w:r w:rsidRPr="00C055EF">
        <w:rPr>
          <w:szCs w:val="24"/>
        </w:rPr>
        <w:tab/>
      </w:r>
      <w:r w:rsidRPr="00C055EF">
        <w:rPr>
          <w:szCs w:val="24"/>
        </w:rPr>
        <w:tab/>
        <w:t>The parties agree upon the following litigation schedule:</w:t>
      </w:r>
    </w:p>
    <w:p w:rsidR="00661CF0" w:rsidRPr="00C055EF" w:rsidRDefault="00661CF0" w:rsidP="00411241">
      <w:pPr>
        <w:rPr>
          <w:szCs w:val="24"/>
        </w:rPr>
      </w:pP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898"/>
        <w:gridCol w:w="6678"/>
      </w:tblGrid>
      <w:tr w:rsidR="00661CF0" w:rsidRPr="00C055EF" w:rsidTr="00B410BF">
        <w:tblPrEx>
          <w:tblCellMar>
            <w:top w:w="0" w:type="dxa"/>
            <w:bottom w:w="0" w:type="dxa"/>
          </w:tblCellMar>
        </w:tblPrEx>
        <w:tc>
          <w:tcPr>
            <w:tcW w:w="2898" w:type="dxa"/>
          </w:tcPr>
          <w:p w:rsidR="00661CF0" w:rsidRPr="00C055EF" w:rsidRDefault="00661CF0" w:rsidP="00B017E6">
            <w:pPr>
              <w:pStyle w:val="Heading2"/>
              <w:rPr>
                <w:sz w:val="24"/>
                <w:szCs w:val="24"/>
                <w:u w:val="none"/>
              </w:rPr>
            </w:pPr>
            <w:r w:rsidRPr="00C055EF">
              <w:rPr>
                <w:sz w:val="24"/>
                <w:szCs w:val="24"/>
              </w:rPr>
              <w:t>Date</w:t>
            </w:r>
          </w:p>
        </w:tc>
        <w:tc>
          <w:tcPr>
            <w:tcW w:w="6678" w:type="dxa"/>
          </w:tcPr>
          <w:p w:rsidR="00661CF0" w:rsidRPr="00C055EF" w:rsidRDefault="00661CF0" w:rsidP="00B017E6">
            <w:pPr>
              <w:pStyle w:val="Heading2"/>
              <w:rPr>
                <w:sz w:val="24"/>
                <w:szCs w:val="24"/>
                <w:u w:val="none"/>
              </w:rPr>
            </w:pPr>
            <w:r w:rsidRPr="00C055EF">
              <w:rPr>
                <w:sz w:val="24"/>
                <w:szCs w:val="24"/>
              </w:rPr>
              <w:t>Event</w:t>
            </w:r>
          </w:p>
        </w:tc>
      </w:tr>
      <w:tr w:rsidR="00661CF0" w:rsidRPr="00C055EF" w:rsidTr="00B410BF">
        <w:tblPrEx>
          <w:tblCellMar>
            <w:top w:w="0" w:type="dxa"/>
            <w:bottom w:w="0" w:type="dxa"/>
          </w:tblCellMar>
        </w:tblPrEx>
        <w:tc>
          <w:tcPr>
            <w:tcW w:w="2898" w:type="dxa"/>
          </w:tcPr>
          <w:p w:rsidR="00661CF0" w:rsidRPr="00C055EF" w:rsidRDefault="002E7DD5" w:rsidP="00B017E6">
            <w:pPr>
              <w:rPr>
                <w:szCs w:val="24"/>
              </w:rPr>
            </w:pPr>
            <w:r>
              <w:rPr>
                <w:szCs w:val="24"/>
              </w:rPr>
              <w:t>February 27, 2012</w:t>
            </w:r>
          </w:p>
        </w:tc>
        <w:tc>
          <w:tcPr>
            <w:tcW w:w="6678" w:type="dxa"/>
          </w:tcPr>
          <w:p w:rsidR="00661CF0" w:rsidRPr="00C055EF" w:rsidRDefault="00661CF0" w:rsidP="00B017E6">
            <w:pPr>
              <w:rPr>
                <w:szCs w:val="24"/>
              </w:rPr>
            </w:pPr>
            <w:r w:rsidRPr="00C055EF">
              <w:rPr>
                <w:szCs w:val="24"/>
              </w:rPr>
              <w:t>Company Submission of Filing &amp; Testimony</w:t>
            </w:r>
          </w:p>
        </w:tc>
      </w:tr>
      <w:tr w:rsidR="00661CF0" w:rsidRPr="00C055EF" w:rsidTr="00B410BF">
        <w:tblPrEx>
          <w:tblCellMar>
            <w:top w:w="0" w:type="dxa"/>
            <w:bottom w:w="0" w:type="dxa"/>
          </w:tblCellMar>
        </w:tblPrEx>
        <w:tc>
          <w:tcPr>
            <w:tcW w:w="2898" w:type="dxa"/>
          </w:tcPr>
          <w:p w:rsidR="00661CF0" w:rsidRPr="00C055EF" w:rsidRDefault="002E7DD5" w:rsidP="00B017E6">
            <w:pPr>
              <w:rPr>
                <w:szCs w:val="24"/>
              </w:rPr>
            </w:pPr>
            <w:r>
              <w:rPr>
                <w:szCs w:val="24"/>
              </w:rPr>
              <w:t>May 8, 2012</w:t>
            </w:r>
          </w:p>
        </w:tc>
        <w:tc>
          <w:tcPr>
            <w:tcW w:w="6678" w:type="dxa"/>
          </w:tcPr>
          <w:p w:rsidR="00661CF0" w:rsidRPr="00C055EF" w:rsidRDefault="00661CF0" w:rsidP="00B017E6">
            <w:pPr>
              <w:rPr>
                <w:szCs w:val="24"/>
              </w:rPr>
            </w:pPr>
            <w:r w:rsidRPr="00C055EF">
              <w:rPr>
                <w:szCs w:val="24"/>
              </w:rPr>
              <w:t>Prehearing Conference</w:t>
            </w:r>
          </w:p>
        </w:tc>
      </w:tr>
      <w:tr w:rsidR="00661CF0" w:rsidRPr="00C055EF" w:rsidTr="00B410BF">
        <w:tblPrEx>
          <w:tblCellMar>
            <w:top w:w="0" w:type="dxa"/>
            <w:bottom w:w="0" w:type="dxa"/>
          </w:tblCellMar>
        </w:tblPrEx>
        <w:tc>
          <w:tcPr>
            <w:tcW w:w="2898" w:type="dxa"/>
          </w:tcPr>
          <w:p w:rsidR="00661CF0" w:rsidRPr="00C055EF" w:rsidRDefault="002E7DD5" w:rsidP="00B017E6">
            <w:pPr>
              <w:rPr>
                <w:szCs w:val="24"/>
              </w:rPr>
            </w:pPr>
            <w:r>
              <w:rPr>
                <w:szCs w:val="24"/>
              </w:rPr>
              <w:t>May 30, 2012</w:t>
            </w:r>
          </w:p>
        </w:tc>
        <w:tc>
          <w:tcPr>
            <w:tcW w:w="6678" w:type="dxa"/>
          </w:tcPr>
          <w:p w:rsidR="00661CF0" w:rsidRPr="00C055EF" w:rsidRDefault="00661CF0" w:rsidP="00B017E6">
            <w:pPr>
              <w:rPr>
                <w:szCs w:val="24"/>
                <w:u w:val="single"/>
              </w:rPr>
            </w:pPr>
            <w:r w:rsidRPr="00C055EF">
              <w:rPr>
                <w:szCs w:val="24"/>
              </w:rPr>
              <w:t xml:space="preserve">Written Direct Testimony of All Other Parties Due </w:t>
            </w:r>
            <w:r w:rsidRPr="00C055EF">
              <w:rPr>
                <w:szCs w:val="24"/>
                <w:u w:val="single"/>
              </w:rPr>
              <w:t>In-Hand</w:t>
            </w:r>
          </w:p>
        </w:tc>
      </w:tr>
      <w:tr w:rsidR="00661CF0" w:rsidRPr="00C055EF" w:rsidTr="00B410BF">
        <w:tblPrEx>
          <w:tblCellMar>
            <w:top w:w="0" w:type="dxa"/>
            <w:bottom w:w="0" w:type="dxa"/>
          </w:tblCellMar>
        </w:tblPrEx>
        <w:tc>
          <w:tcPr>
            <w:tcW w:w="2898" w:type="dxa"/>
          </w:tcPr>
          <w:p w:rsidR="00661CF0" w:rsidRPr="00C055EF" w:rsidRDefault="002E7DD5" w:rsidP="00B017E6">
            <w:pPr>
              <w:rPr>
                <w:szCs w:val="24"/>
              </w:rPr>
            </w:pPr>
            <w:r>
              <w:rPr>
                <w:szCs w:val="24"/>
              </w:rPr>
              <w:t>June 25, 2012</w:t>
            </w:r>
          </w:p>
        </w:tc>
        <w:tc>
          <w:tcPr>
            <w:tcW w:w="6678" w:type="dxa"/>
          </w:tcPr>
          <w:p w:rsidR="00661CF0" w:rsidRPr="00C055EF" w:rsidRDefault="00661CF0" w:rsidP="00B017E6">
            <w:pPr>
              <w:rPr>
                <w:szCs w:val="24"/>
              </w:rPr>
            </w:pPr>
            <w:r w:rsidRPr="00C055EF">
              <w:rPr>
                <w:szCs w:val="24"/>
              </w:rPr>
              <w:t xml:space="preserve">Written Rebuttal Testimony Due </w:t>
            </w:r>
            <w:r w:rsidRPr="00C055EF">
              <w:rPr>
                <w:szCs w:val="24"/>
                <w:u w:val="single"/>
              </w:rPr>
              <w:t>In-Hand</w:t>
            </w:r>
          </w:p>
        </w:tc>
      </w:tr>
      <w:tr w:rsidR="00661CF0" w:rsidRPr="00C055EF" w:rsidTr="00B410BF">
        <w:tblPrEx>
          <w:tblCellMar>
            <w:top w:w="0" w:type="dxa"/>
            <w:bottom w:w="0" w:type="dxa"/>
          </w:tblCellMar>
        </w:tblPrEx>
        <w:tc>
          <w:tcPr>
            <w:tcW w:w="2898" w:type="dxa"/>
          </w:tcPr>
          <w:p w:rsidR="00661CF0" w:rsidRPr="00C055EF" w:rsidRDefault="002E7DD5" w:rsidP="00B017E6">
            <w:pPr>
              <w:rPr>
                <w:szCs w:val="24"/>
              </w:rPr>
            </w:pPr>
            <w:r>
              <w:rPr>
                <w:szCs w:val="24"/>
              </w:rPr>
              <w:t>July 13, 2012</w:t>
            </w:r>
          </w:p>
        </w:tc>
        <w:tc>
          <w:tcPr>
            <w:tcW w:w="6678" w:type="dxa"/>
          </w:tcPr>
          <w:p w:rsidR="00661CF0" w:rsidRPr="00C055EF" w:rsidRDefault="00661CF0" w:rsidP="00B017E6">
            <w:pPr>
              <w:rPr>
                <w:szCs w:val="24"/>
              </w:rPr>
            </w:pPr>
            <w:r w:rsidRPr="00C055EF">
              <w:rPr>
                <w:szCs w:val="24"/>
              </w:rPr>
              <w:t xml:space="preserve">Written Surrebuttal Testimony Due </w:t>
            </w:r>
            <w:r w:rsidRPr="00C055EF">
              <w:rPr>
                <w:szCs w:val="24"/>
                <w:u w:val="single"/>
              </w:rPr>
              <w:t>In-Hand</w:t>
            </w:r>
          </w:p>
        </w:tc>
      </w:tr>
      <w:tr w:rsidR="00C3047B" w:rsidRPr="00C055EF" w:rsidTr="00B410BF">
        <w:tblPrEx>
          <w:tblCellMar>
            <w:top w:w="0" w:type="dxa"/>
            <w:bottom w:w="0" w:type="dxa"/>
          </w:tblCellMar>
        </w:tblPrEx>
        <w:tc>
          <w:tcPr>
            <w:tcW w:w="2898" w:type="dxa"/>
          </w:tcPr>
          <w:p w:rsidR="00C3047B" w:rsidRPr="00C055EF" w:rsidRDefault="002E7DD5" w:rsidP="00243A84">
            <w:pPr>
              <w:rPr>
                <w:szCs w:val="24"/>
              </w:rPr>
            </w:pPr>
            <w:r>
              <w:rPr>
                <w:szCs w:val="24"/>
              </w:rPr>
              <w:t>July 13, 2012</w:t>
            </w:r>
          </w:p>
        </w:tc>
        <w:tc>
          <w:tcPr>
            <w:tcW w:w="6678" w:type="dxa"/>
          </w:tcPr>
          <w:p w:rsidR="00C3047B" w:rsidRDefault="00C3047B" w:rsidP="00B017E6">
            <w:pPr>
              <w:rPr>
                <w:szCs w:val="24"/>
              </w:rPr>
            </w:pPr>
            <w:r>
              <w:rPr>
                <w:szCs w:val="24"/>
              </w:rPr>
              <w:t xml:space="preserve">Witness Schedule Due </w:t>
            </w:r>
            <w:r w:rsidRPr="00C3047B">
              <w:rPr>
                <w:szCs w:val="24"/>
                <w:u w:val="single"/>
              </w:rPr>
              <w:t>In-Hand</w:t>
            </w:r>
          </w:p>
        </w:tc>
      </w:tr>
      <w:tr w:rsidR="00661CF0" w:rsidRPr="00C055EF" w:rsidTr="00B410BF">
        <w:tblPrEx>
          <w:tblCellMar>
            <w:top w:w="0" w:type="dxa"/>
            <w:bottom w:w="0" w:type="dxa"/>
          </w:tblCellMar>
        </w:tblPrEx>
        <w:tc>
          <w:tcPr>
            <w:tcW w:w="2898" w:type="dxa"/>
          </w:tcPr>
          <w:p w:rsidR="00661CF0" w:rsidRPr="00C055EF" w:rsidRDefault="002E7DD5" w:rsidP="00B017E6">
            <w:pPr>
              <w:rPr>
                <w:szCs w:val="24"/>
              </w:rPr>
            </w:pPr>
            <w:r>
              <w:rPr>
                <w:szCs w:val="24"/>
              </w:rPr>
              <w:t>July 18-20, 2012</w:t>
            </w:r>
          </w:p>
        </w:tc>
        <w:tc>
          <w:tcPr>
            <w:tcW w:w="6678" w:type="dxa"/>
          </w:tcPr>
          <w:p w:rsidR="00661CF0" w:rsidRPr="00C055EF" w:rsidRDefault="00A1194C" w:rsidP="00D255D4">
            <w:pPr>
              <w:rPr>
                <w:szCs w:val="24"/>
              </w:rPr>
            </w:pPr>
            <w:r w:rsidRPr="00C055EF">
              <w:rPr>
                <w:szCs w:val="24"/>
              </w:rPr>
              <w:t xml:space="preserve">Technical </w:t>
            </w:r>
            <w:r w:rsidR="00661CF0" w:rsidRPr="00C055EF">
              <w:rPr>
                <w:szCs w:val="24"/>
              </w:rPr>
              <w:t xml:space="preserve">Evidentiary Hearings </w:t>
            </w:r>
            <w:r w:rsidR="00332ED6">
              <w:rPr>
                <w:szCs w:val="24"/>
              </w:rPr>
              <w:t xml:space="preserve">and oral rejoinder </w:t>
            </w:r>
            <w:r w:rsidR="00D255D4">
              <w:rPr>
                <w:szCs w:val="24"/>
              </w:rPr>
              <w:t>i</w:t>
            </w:r>
            <w:r w:rsidR="00661CF0" w:rsidRPr="00C055EF">
              <w:rPr>
                <w:szCs w:val="24"/>
              </w:rPr>
              <w:t xml:space="preserve">n </w:t>
            </w:r>
            <w:r w:rsidRPr="00C055EF">
              <w:rPr>
                <w:szCs w:val="24"/>
              </w:rPr>
              <w:t>Harrisburg</w:t>
            </w:r>
          </w:p>
        </w:tc>
      </w:tr>
      <w:tr w:rsidR="00661CF0" w:rsidRPr="00C055EF" w:rsidTr="00B410BF">
        <w:tblPrEx>
          <w:tblCellMar>
            <w:top w:w="0" w:type="dxa"/>
            <w:bottom w:w="0" w:type="dxa"/>
          </w:tblCellMar>
        </w:tblPrEx>
        <w:tc>
          <w:tcPr>
            <w:tcW w:w="2898" w:type="dxa"/>
          </w:tcPr>
          <w:p w:rsidR="00661CF0" w:rsidRPr="00C055EF" w:rsidRDefault="002E7DD5" w:rsidP="00427C3F">
            <w:pPr>
              <w:rPr>
                <w:szCs w:val="24"/>
              </w:rPr>
            </w:pPr>
            <w:r>
              <w:rPr>
                <w:szCs w:val="24"/>
              </w:rPr>
              <w:t>August 3, 2012</w:t>
            </w:r>
          </w:p>
        </w:tc>
        <w:tc>
          <w:tcPr>
            <w:tcW w:w="6678" w:type="dxa"/>
          </w:tcPr>
          <w:p w:rsidR="00661CF0" w:rsidRPr="00C055EF" w:rsidRDefault="00661CF0" w:rsidP="00B017E6">
            <w:pPr>
              <w:rPr>
                <w:szCs w:val="24"/>
              </w:rPr>
            </w:pPr>
            <w:r w:rsidRPr="00C055EF">
              <w:rPr>
                <w:szCs w:val="24"/>
              </w:rPr>
              <w:t xml:space="preserve">Main Briefs Due </w:t>
            </w:r>
            <w:r w:rsidRPr="00C055EF">
              <w:rPr>
                <w:szCs w:val="24"/>
                <w:u w:val="single"/>
              </w:rPr>
              <w:t>In-Hand</w:t>
            </w:r>
          </w:p>
        </w:tc>
      </w:tr>
      <w:tr w:rsidR="00661CF0" w:rsidRPr="00C055EF" w:rsidTr="00B410BF">
        <w:tblPrEx>
          <w:tblCellMar>
            <w:top w:w="0" w:type="dxa"/>
            <w:bottom w:w="0" w:type="dxa"/>
          </w:tblCellMar>
        </w:tblPrEx>
        <w:tc>
          <w:tcPr>
            <w:tcW w:w="2898" w:type="dxa"/>
          </w:tcPr>
          <w:p w:rsidR="00661CF0" w:rsidRPr="00C055EF" w:rsidRDefault="002E7DD5" w:rsidP="00B017E6">
            <w:pPr>
              <w:rPr>
                <w:szCs w:val="24"/>
              </w:rPr>
            </w:pPr>
            <w:r>
              <w:rPr>
                <w:szCs w:val="24"/>
              </w:rPr>
              <w:t>August 10, 2012</w:t>
            </w:r>
          </w:p>
        </w:tc>
        <w:tc>
          <w:tcPr>
            <w:tcW w:w="6678" w:type="dxa"/>
          </w:tcPr>
          <w:p w:rsidR="00661CF0" w:rsidRPr="00C055EF" w:rsidRDefault="00661CF0" w:rsidP="00B410BF">
            <w:pPr>
              <w:spacing w:line="240" w:lineRule="auto"/>
              <w:rPr>
                <w:szCs w:val="24"/>
              </w:rPr>
            </w:pPr>
            <w:r w:rsidRPr="00C055EF">
              <w:rPr>
                <w:szCs w:val="24"/>
              </w:rPr>
              <w:t xml:space="preserve">Reply Briefs Due </w:t>
            </w:r>
            <w:r w:rsidRPr="00C055EF">
              <w:rPr>
                <w:szCs w:val="24"/>
                <w:u w:val="single"/>
              </w:rPr>
              <w:t>In-Hand</w:t>
            </w:r>
            <w:r w:rsidRPr="00C055EF">
              <w:rPr>
                <w:szCs w:val="24"/>
              </w:rPr>
              <w:t xml:space="preserve"> or Submission of Joint Settlement Petition Executed By Representatives of All Parties, Together With All Parties’ Statements In Support of Settlement</w:t>
            </w:r>
          </w:p>
        </w:tc>
      </w:tr>
    </w:tbl>
    <w:p w:rsidR="00661CF0" w:rsidRPr="00C055EF" w:rsidRDefault="00661CF0" w:rsidP="004E47EA">
      <w:pPr>
        <w:rPr>
          <w:szCs w:val="24"/>
        </w:rPr>
      </w:pPr>
    </w:p>
    <w:p w:rsidR="00C3047B" w:rsidRDefault="00661CF0" w:rsidP="00411241">
      <w:pPr>
        <w:ind w:firstLine="1440"/>
        <w:rPr>
          <w:szCs w:val="24"/>
        </w:rPr>
      </w:pPr>
      <w:r w:rsidRPr="00C055EF">
        <w:rPr>
          <w:szCs w:val="24"/>
        </w:rPr>
        <w:t xml:space="preserve">The parties are reminded of the Commission’s requirements for the preparation and filing of written testimony.  </w:t>
      </w:r>
      <w:proofErr w:type="gramStart"/>
      <w:r w:rsidRPr="00C055EF">
        <w:rPr>
          <w:szCs w:val="24"/>
        </w:rPr>
        <w:t xml:space="preserve">52 </w:t>
      </w:r>
      <w:smartTag w:uri="urn:schemas-microsoft-com:office:smarttags" w:element="country-region">
        <w:smartTag w:uri="urn:schemas-microsoft-com:office:smarttags" w:element="State">
          <w:r w:rsidRPr="00C055EF">
            <w:rPr>
              <w:szCs w:val="24"/>
            </w:rPr>
            <w:t>Pa.</w:t>
          </w:r>
        </w:smartTag>
      </w:smartTag>
      <w:r w:rsidRPr="00C055EF">
        <w:rPr>
          <w:szCs w:val="24"/>
        </w:rPr>
        <w:t xml:space="preserve"> Code §5.412.</w:t>
      </w:r>
      <w:proofErr w:type="gramEnd"/>
      <w:r w:rsidRPr="00C055EF">
        <w:rPr>
          <w:szCs w:val="24"/>
        </w:rPr>
        <w:t xml:space="preserve">  Written testimony must be accompanied by all exhibits to which it relates.  </w:t>
      </w:r>
      <w:r w:rsidR="00C3047B">
        <w:rPr>
          <w:szCs w:val="24"/>
        </w:rPr>
        <w:t xml:space="preserve">Technical terms and concepts are to be clearly defined and explained in the testimonies and briefs.  </w:t>
      </w:r>
    </w:p>
    <w:p w:rsidR="004E47EA" w:rsidRDefault="004E47EA" w:rsidP="00411241">
      <w:pPr>
        <w:ind w:firstLine="1440"/>
        <w:rPr>
          <w:szCs w:val="24"/>
        </w:rPr>
      </w:pPr>
    </w:p>
    <w:p w:rsidR="00DE5C0B" w:rsidRDefault="00661CF0" w:rsidP="00411241">
      <w:pPr>
        <w:ind w:firstLine="1440"/>
        <w:rPr>
          <w:szCs w:val="24"/>
        </w:rPr>
      </w:pPr>
      <w:r w:rsidRPr="00C055EF">
        <w:rPr>
          <w:szCs w:val="24"/>
        </w:rPr>
        <w:t xml:space="preserve">The above-stated dates are </w:t>
      </w:r>
      <w:r w:rsidRPr="00C055EF">
        <w:rPr>
          <w:szCs w:val="24"/>
          <w:u w:val="single"/>
        </w:rPr>
        <w:t>in-hand</w:t>
      </w:r>
      <w:r w:rsidRPr="00C055EF">
        <w:rPr>
          <w:szCs w:val="24"/>
        </w:rPr>
        <w:t xml:space="preserve"> dates for service on the parties and the </w:t>
      </w:r>
      <w:r w:rsidR="00375C8A">
        <w:rPr>
          <w:szCs w:val="24"/>
        </w:rPr>
        <w:t>Presiding</w:t>
      </w:r>
      <w:r w:rsidRPr="00C055EF">
        <w:rPr>
          <w:szCs w:val="24"/>
        </w:rPr>
        <w:t xml:space="preserve"> Administrative Law Judge</w:t>
      </w:r>
      <w:r w:rsidR="00D633F9">
        <w:rPr>
          <w:szCs w:val="24"/>
        </w:rPr>
        <w:t xml:space="preserve"> (</w:t>
      </w:r>
      <w:r w:rsidRPr="00C055EF">
        <w:rPr>
          <w:szCs w:val="24"/>
        </w:rPr>
        <w:t xml:space="preserve">ALJ).  The parties and the </w:t>
      </w:r>
      <w:r w:rsidR="00375C8A">
        <w:rPr>
          <w:szCs w:val="24"/>
        </w:rPr>
        <w:t>Presiding</w:t>
      </w:r>
      <w:r w:rsidRPr="00C055EF">
        <w:rPr>
          <w:szCs w:val="24"/>
        </w:rPr>
        <w:t xml:space="preserve"> ALJ agree to accept email transmission of such material, so long as th</w:t>
      </w:r>
      <w:r w:rsidR="00225674">
        <w:rPr>
          <w:szCs w:val="24"/>
        </w:rPr>
        <w:t>e subject email is received by 4:30</w:t>
      </w:r>
      <w:r w:rsidRPr="00C055EF">
        <w:rPr>
          <w:szCs w:val="24"/>
        </w:rPr>
        <w:t xml:space="preserve"> p.m. on the date due and</w:t>
      </w:r>
      <w:r w:rsidR="00467B2B" w:rsidRPr="00C055EF">
        <w:rPr>
          <w:szCs w:val="24"/>
        </w:rPr>
        <w:t xml:space="preserve"> provided the email is followed the next business day by sending a hard copy of the same material</w:t>
      </w:r>
      <w:r w:rsidR="009772E0" w:rsidRPr="00C055EF">
        <w:rPr>
          <w:szCs w:val="24"/>
        </w:rPr>
        <w:t xml:space="preserve"> via first-</w:t>
      </w:r>
      <w:r w:rsidR="00467B2B" w:rsidRPr="00C055EF">
        <w:rPr>
          <w:szCs w:val="24"/>
        </w:rPr>
        <w:t xml:space="preserve">class mail postage prepaid to the parties designated on the </w:t>
      </w:r>
      <w:r w:rsidR="00225674">
        <w:rPr>
          <w:szCs w:val="24"/>
        </w:rPr>
        <w:t>F</w:t>
      </w:r>
      <w:r w:rsidR="008524F5">
        <w:rPr>
          <w:szCs w:val="24"/>
        </w:rPr>
        <w:t>u</w:t>
      </w:r>
      <w:r w:rsidR="00225674">
        <w:rPr>
          <w:szCs w:val="24"/>
        </w:rPr>
        <w:t xml:space="preserve">ll </w:t>
      </w:r>
      <w:r w:rsidR="00467B2B" w:rsidRPr="00C055EF">
        <w:rPr>
          <w:szCs w:val="24"/>
        </w:rPr>
        <w:t>Service List</w:t>
      </w:r>
      <w:r w:rsidR="00332ED6">
        <w:rPr>
          <w:szCs w:val="24"/>
        </w:rPr>
        <w:t>.</w:t>
      </w:r>
      <w:r w:rsidR="001F7E8A" w:rsidRPr="00C055EF">
        <w:rPr>
          <w:szCs w:val="24"/>
        </w:rPr>
        <w:t xml:space="preserve"> </w:t>
      </w:r>
      <w:r w:rsidR="00614199">
        <w:rPr>
          <w:szCs w:val="24"/>
        </w:rPr>
        <w:t xml:space="preserve"> </w:t>
      </w:r>
      <w:r w:rsidRPr="00C055EF">
        <w:rPr>
          <w:szCs w:val="24"/>
        </w:rPr>
        <w:t xml:space="preserve">The email address of the </w:t>
      </w:r>
      <w:r w:rsidR="00375C8A">
        <w:rPr>
          <w:szCs w:val="24"/>
        </w:rPr>
        <w:t>Presiding</w:t>
      </w:r>
      <w:r w:rsidRPr="00C055EF">
        <w:rPr>
          <w:szCs w:val="24"/>
        </w:rPr>
        <w:t xml:space="preserve"> </w:t>
      </w:r>
      <w:r w:rsidR="00A746B3">
        <w:rPr>
          <w:szCs w:val="24"/>
        </w:rPr>
        <w:t>ALJ is</w:t>
      </w:r>
      <w:r w:rsidRPr="00C055EF">
        <w:rPr>
          <w:szCs w:val="24"/>
        </w:rPr>
        <w:t xml:space="preserve">: </w:t>
      </w:r>
      <w:r w:rsidR="00DA6A49">
        <w:rPr>
          <w:szCs w:val="24"/>
        </w:rPr>
        <w:t xml:space="preserve"> </w:t>
      </w:r>
      <w:hyperlink r:id="rId9" w:history="1">
        <w:r w:rsidR="008B30C6" w:rsidRPr="004E5346">
          <w:rPr>
            <w:rStyle w:val="Hyperlink"/>
            <w:szCs w:val="24"/>
          </w:rPr>
          <w:t>malong@pa.gov</w:t>
        </w:r>
      </w:hyperlink>
      <w:r w:rsidR="00DA6A49">
        <w:rPr>
          <w:szCs w:val="24"/>
        </w:rPr>
        <w:t>.</w:t>
      </w:r>
      <w:r w:rsidR="008B30C6">
        <w:rPr>
          <w:szCs w:val="24"/>
        </w:rPr>
        <w:t xml:space="preserve"> </w:t>
      </w:r>
      <w:r w:rsidRPr="00C055EF">
        <w:rPr>
          <w:szCs w:val="24"/>
        </w:rPr>
        <w:t xml:space="preserve"> The </w:t>
      </w:r>
      <w:r w:rsidR="00375C8A">
        <w:rPr>
          <w:szCs w:val="24"/>
        </w:rPr>
        <w:t>Presiding</w:t>
      </w:r>
      <w:r w:rsidRPr="00C055EF">
        <w:rPr>
          <w:szCs w:val="24"/>
        </w:rPr>
        <w:t xml:space="preserve"> ALJ will not accept facsimile transmissions greater than ten pages in length without prior authorization.  If in doubt, please call the office (412</w:t>
      </w:r>
      <w:r w:rsidRPr="00C055EF">
        <w:rPr>
          <w:szCs w:val="24"/>
        </w:rPr>
        <w:noBreakHyphen/>
        <w:t>565-3550).</w:t>
      </w:r>
    </w:p>
    <w:p w:rsidR="00DE5C0B" w:rsidRDefault="00DE5C0B" w:rsidP="00411241">
      <w:pPr>
        <w:rPr>
          <w:szCs w:val="24"/>
        </w:rPr>
      </w:pPr>
    </w:p>
    <w:p w:rsidR="001E2FE1" w:rsidRPr="00C055EF" w:rsidRDefault="00661CF0" w:rsidP="00411241">
      <w:pPr>
        <w:ind w:firstLine="1440"/>
        <w:rPr>
          <w:szCs w:val="24"/>
        </w:rPr>
      </w:pPr>
      <w:r w:rsidRPr="00C055EF">
        <w:rPr>
          <w:szCs w:val="24"/>
        </w:rPr>
        <w:lastRenderedPageBreak/>
        <w:t xml:space="preserve">Hearings will begin promptly at </w:t>
      </w:r>
      <w:r w:rsidR="00602BAF">
        <w:rPr>
          <w:b/>
          <w:szCs w:val="24"/>
          <w:u w:val="single"/>
        </w:rPr>
        <w:t>10:0</w:t>
      </w:r>
      <w:r w:rsidRPr="00C055EF">
        <w:rPr>
          <w:b/>
          <w:szCs w:val="24"/>
          <w:u w:val="single"/>
        </w:rPr>
        <w:t>0 a.m.</w:t>
      </w:r>
      <w:r w:rsidRPr="00C055EF">
        <w:rPr>
          <w:szCs w:val="24"/>
        </w:rPr>
        <w:t xml:space="preserve"> each day.  The parties must confer before commencement of the hearings to schedule their witnesses so as to avoid “holes” or “dead time” during the hearings</w:t>
      </w:r>
      <w:r w:rsidR="00C3047B">
        <w:rPr>
          <w:szCs w:val="24"/>
        </w:rPr>
        <w:t xml:space="preserve">. </w:t>
      </w:r>
      <w:r w:rsidR="00AB4F34">
        <w:rPr>
          <w:szCs w:val="24"/>
        </w:rPr>
        <w:t xml:space="preserve"> </w:t>
      </w:r>
    </w:p>
    <w:p w:rsidR="00A93525" w:rsidRDefault="00A93525" w:rsidP="00411241">
      <w:pPr>
        <w:jc w:val="center"/>
        <w:rPr>
          <w:b/>
          <w:szCs w:val="24"/>
          <w:u w:val="single"/>
        </w:rPr>
      </w:pPr>
    </w:p>
    <w:p w:rsidR="00897E6A" w:rsidRDefault="00897E6A" w:rsidP="00411241">
      <w:pPr>
        <w:jc w:val="center"/>
        <w:rPr>
          <w:b/>
          <w:szCs w:val="24"/>
          <w:u w:val="single"/>
        </w:rPr>
      </w:pPr>
      <w:r w:rsidRPr="00C055EF">
        <w:rPr>
          <w:b/>
          <w:szCs w:val="24"/>
          <w:u w:val="single"/>
        </w:rPr>
        <w:t>Petition</w:t>
      </w:r>
      <w:r w:rsidR="004A3990">
        <w:rPr>
          <w:b/>
          <w:szCs w:val="24"/>
          <w:u w:val="single"/>
        </w:rPr>
        <w:t>s</w:t>
      </w:r>
      <w:r w:rsidRPr="00C055EF">
        <w:rPr>
          <w:b/>
          <w:szCs w:val="24"/>
          <w:u w:val="single"/>
        </w:rPr>
        <w:t xml:space="preserve"> to Intervene</w:t>
      </w:r>
    </w:p>
    <w:p w:rsidR="00B410BF" w:rsidRPr="00C055EF" w:rsidRDefault="00B410BF" w:rsidP="00411241">
      <w:pPr>
        <w:jc w:val="center"/>
        <w:rPr>
          <w:szCs w:val="24"/>
        </w:rPr>
      </w:pPr>
    </w:p>
    <w:p w:rsidR="00897E6A" w:rsidRDefault="00B410BF" w:rsidP="00411241">
      <w:pPr>
        <w:rPr>
          <w:szCs w:val="24"/>
        </w:rPr>
      </w:pPr>
      <w:r>
        <w:rPr>
          <w:szCs w:val="24"/>
        </w:rPr>
        <w:tab/>
      </w:r>
      <w:r>
        <w:rPr>
          <w:szCs w:val="24"/>
        </w:rPr>
        <w:tab/>
        <w:t xml:space="preserve">Petitions to Intervene filed by </w:t>
      </w:r>
      <w:r w:rsidR="00574970">
        <w:rPr>
          <w:szCs w:val="24"/>
        </w:rPr>
        <w:t>Equitable Energy, Interstate Gas Supply, Inc., Dominion Retail, Inc., PIOGA, and RESA were granted.  Ruling on the petitions to intervene of CAUSE-PA and CAAP were held in abeyance and will be dealt with by separate order.</w:t>
      </w:r>
    </w:p>
    <w:p w:rsidR="004A3990" w:rsidRDefault="004A3990" w:rsidP="00411241">
      <w:pPr>
        <w:rPr>
          <w:szCs w:val="24"/>
        </w:rPr>
      </w:pPr>
    </w:p>
    <w:p w:rsidR="004A3990" w:rsidRPr="00C055EF" w:rsidRDefault="004A3990" w:rsidP="00411241">
      <w:pPr>
        <w:jc w:val="center"/>
        <w:rPr>
          <w:szCs w:val="24"/>
        </w:rPr>
      </w:pPr>
      <w:r w:rsidRPr="00C055EF">
        <w:rPr>
          <w:b/>
          <w:szCs w:val="24"/>
          <w:u w:val="single"/>
        </w:rPr>
        <w:t>Parties</w:t>
      </w:r>
    </w:p>
    <w:p w:rsidR="004A3990" w:rsidRPr="00C055EF" w:rsidRDefault="004A3990" w:rsidP="00411241">
      <w:pPr>
        <w:rPr>
          <w:szCs w:val="24"/>
        </w:rPr>
      </w:pPr>
    </w:p>
    <w:p w:rsidR="004A3990" w:rsidRDefault="004A3990" w:rsidP="00411241">
      <w:pPr>
        <w:rPr>
          <w:szCs w:val="24"/>
        </w:rPr>
      </w:pPr>
      <w:r w:rsidRPr="00C055EF">
        <w:rPr>
          <w:szCs w:val="24"/>
        </w:rPr>
        <w:tab/>
      </w:r>
      <w:r w:rsidRPr="00C055EF">
        <w:rPr>
          <w:szCs w:val="24"/>
        </w:rPr>
        <w:tab/>
      </w:r>
      <w:r w:rsidR="0042101A">
        <w:rPr>
          <w:szCs w:val="24"/>
        </w:rPr>
        <w:t>The parties are directed to monitor filings with the Commission’s Secretary’s Bureau and advise the undersigned of any additional formal complaints filed</w:t>
      </w:r>
      <w:r w:rsidR="0096278B">
        <w:rPr>
          <w:szCs w:val="24"/>
        </w:rPr>
        <w:t xml:space="preserve"> after the date of this Order</w:t>
      </w:r>
      <w:r w:rsidR="0042101A">
        <w:rPr>
          <w:szCs w:val="24"/>
        </w:rPr>
        <w:t xml:space="preserve">.  </w:t>
      </w:r>
      <w:r w:rsidRPr="00C055EF">
        <w:rPr>
          <w:szCs w:val="24"/>
        </w:rPr>
        <w:t xml:space="preserve">  </w:t>
      </w:r>
    </w:p>
    <w:p w:rsidR="00B410BF" w:rsidRDefault="00B410BF" w:rsidP="00411241">
      <w:pPr>
        <w:rPr>
          <w:szCs w:val="24"/>
        </w:rPr>
      </w:pPr>
    </w:p>
    <w:p w:rsidR="00B410BF" w:rsidRPr="00B410BF" w:rsidRDefault="00B410BF" w:rsidP="00411241">
      <w:pPr>
        <w:jc w:val="center"/>
        <w:rPr>
          <w:b/>
          <w:szCs w:val="24"/>
          <w:u w:val="single"/>
        </w:rPr>
      </w:pPr>
      <w:r w:rsidRPr="00B410BF">
        <w:rPr>
          <w:b/>
          <w:szCs w:val="24"/>
          <w:u w:val="single"/>
        </w:rPr>
        <w:t>Consolidation</w:t>
      </w:r>
    </w:p>
    <w:p w:rsidR="00995F6D" w:rsidRDefault="00995F6D" w:rsidP="00411241">
      <w:pPr>
        <w:rPr>
          <w:szCs w:val="24"/>
        </w:rPr>
      </w:pPr>
    </w:p>
    <w:p w:rsidR="00F92785" w:rsidRDefault="00F92785" w:rsidP="00411241">
      <w:pPr>
        <w:ind w:firstLine="1440"/>
      </w:pPr>
      <w:proofErr w:type="gramStart"/>
      <w:r w:rsidRPr="007A1FE4">
        <w:t>The complaints of OCA, Docket No.</w:t>
      </w:r>
      <w:proofErr w:type="gramEnd"/>
      <w:r w:rsidRPr="007A1FE4">
        <w:t xml:space="preserve"> </w:t>
      </w:r>
      <w:proofErr w:type="gramStart"/>
      <w:r w:rsidR="007A1FE4" w:rsidRPr="007A1FE4">
        <w:t>C-2012-2292047</w:t>
      </w:r>
      <w:r w:rsidR="00411241">
        <w:t>;</w:t>
      </w:r>
      <w:r w:rsidR="007A1FE4">
        <w:t xml:space="preserve"> OSBA</w:t>
      </w:r>
      <w:r w:rsidR="00DC2ED4">
        <w:t>, Docket</w:t>
      </w:r>
      <w:r w:rsidR="007A1FE4">
        <w:t xml:space="preserve"> No.</w:t>
      </w:r>
      <w:proofErr w:type="gramEnd"/>
      <w:r w:rsidR="007A1FE4">
        <w:t xml:space="preserve"> </w:t>
      </w:r>
      <w:r w:rsidR="007A1FE4" w:rsidRPr="007A1FE4">
        <w:t>C</w:t>
      </w:r>
      <w:r w:rsidR="00DC2ED4">
        <w:noBreakHyphen/>
      </w:r>
      <w:r w:rsidR="007A1FE4" w:rsidRPr="007A1FE4">
        <w:t>2012-2295218</w:t>
      </w:r>
      <w:r w:rsidR="00411241">
        <w:t>;</w:t>
      </w:r>
      <w:r w:rsidRPr="007A1FE4">
        <w:t xml:space="preserve"> </w:t>
      </w:r>
      <w:r w:rsidR="007A1FE4">
        <w:t>Raymond E. Anderson, C-2012-2298575</w:t>
      </w:r>
      <w:r w:rsidR="00411241">
        <w:t>;</w:t>
      </w:r>
      <w:r w:rsidR="007A1FE4">
        <w:t xml:space="preserve"> Daniel Killmeyer, C-2012-2295700</w:t>
      </w:r>
      <w:r w:rsidR="00411241">
        <w:t>;</w:t>
      </w:r>
      <w:r w:rsidR="007A1FE4">
        <w:t xml:space="preserve"> Severo C. Miglioretti, C-2012-2302827</w:t>
      </w:r>
      <w:r w:rsidR="00411241">
        <w:t>;</w:t>
      </w:r>
      <w:r w:rsidR="007A1FE4">
        <w:t xml:space="preserve"> Steven J. Swencki, C-2012-2299156</w:t>
      </w:r>
      <w:r w:rsidR="00A93525">
        <w:t>;</w:t>
      </w:r>
      <w:r w:rsidR="007A1FE4">
        <w:t xml:space="preserve"> James Weber, C</w:t>
      </w:r>
      <w:r w:rsidR="00DC2ED4">
        <w:noBreakHyphen/>
      </w:r>
      <w:r w:rsidR="007A1FE4">
        <w:t>2012-2300419</w:t>
      </w:r>
      <w:r w:rsidR="00411241">
        <w:t>;</w:t>
      </w:r>
      <w:r w:rsidR="007A1FE4">
        <w:t xml:space="preserve"> The Pennsylvania State University, C-2012-2298317</w:t>
      </w:r>
      <w:r w:rsidR="00411241">
        <w:t>;</w:t>
      </w:r>
      <w:r w:rsidR="007A1FE4">
        <w:t xml:space="preserve"> and Snyder Brothers</w:t>
      </w:r>
      <w:r w:rsidR="008C5630">
        <w:t xml:space="preserve"> </w:t>
      </w:r>
      <w:r w:rsidR="007A1FE4">
        <w:t>at C-2012-2302859</w:t>
      </w:r>
      <w:r w:rsidRPr="007A1FE4">
        <w:t>,</w:t>
      </w:r>
      <w:r>
        <w:t xml:space="preserve"> are hereby consolidated at Docket No. </w:t>
      </w:r>
      <w:proofErr w:type="gramStart"/>
      <w:r>
        <w:t>R-</w:t>
      </w:r>
      <w:r w:rsidR="007A1FE4">
        <w:t>2012-2285985</w:t>
      </w:r>
      <w:r>
        <w:t>.</w:t>
      </w:r>
      <w:proofErr w:type="gramEnd"/>
    </w:p>
    <w:p w:rsidR="00B410BF" w:rsidRDefault="00B410BF" w:rsidP="00411241">
      <w:pPr>
        <w:rPr>
          <w:szCs w:val="24"/>
        </w:rPr>
      </w:pPr>
    </w:p>
    <w:p w:rsidR="00995F6D" w:rsidRPr="00995F6D" w:rsidRDefault="00995F6D" w:rsidP="00411241">
      <w:pPr>
        <w:jc w:val="center"/>
        <w:rPr>
          <w:b/>
          <w:szCs w:val="24"/>
          <w:u w:val="single"/>
        </w:rPr>
      </w:pPr>
      <w:r>
        <w:rPr>
          <w:b/>
          <w:szCs w:val="24"/>
          <w:u w:val="single"/>
        </w:rPr>
        <w:t>Full Service List and Limited Service List</w:t>
      </w:r>
    </w:p>
    <w:p w:rsidR="004A3990" w:rsidRPr="00C055EF" w:rsidRDefault="004A3990" w:rsidP="00411241">
      <w:pPr>
        <w:rPr>
          <w:szCs w:val="24"/>
        </w:rPr>
      </w:pPr>
    </w:p>
    <w:p w:rsidR="00B20D8D" w:rsidRPr="00DE2F1E" w:rsidRDefault="00B20D8D" w:rsidP="00411241">
      <w:pPr>
        <w:rPr>
          <w:szCs w:val="24"/>
        </w:rPr>
      </w:pPr>
      <w:r>
        <w:rPr>
          <w:szCs w:val="24"/>
        </w:rPr>
        <w:tab/>
      </w:r>
      <w:r>
        <w:rPr>
          <w:szCs w:val="24"/>
        </w:rPr>
        <w:tab/>
      </w:r>
      <w:r w:rsidRPr="00B20D8D">
        <w:rPr>
          <w:szCs w:val="24"/>
        </w:rPr>
        <w:t>Parties who d</w:t>
      </w:r>
      <w:r>
        <w:rPr>
          <w:szCs w:val="24"/>
        </w:rPr>
        <w:t>id</w:t>
      </w:r>
      <w:r w:rsidRPr="00B20D8D">
        <w:rPr>
          <w:szCs w:val="24"/>
        </w:rPr>
        <w:t xml:space="preserve"> not attend the prehearing conference</w:t>
      </w:r>
      <w:r w:rsidR="0052321B">
        <w:rPr>
          <w:szCs w:val="24"/>
        </w:rPr>
        <w:t xml:space="preserve"> or inform the Administrative Law Judge of their desire</w:t>
      </w:r>
      <w:r w:rsidR="00217935">
        <w:rPr>
          <w:szCs w:val="24"/>
        </w:rPr>
        <w:t xml:space="preserve"> to participate on the Full Service List </w:t>
      </w:r>
      <w:r w:rsidR="0072603B">
        <w:rPr>
          <w:szCs w:val="24"/>
        </w:rPr>
        <w:t xml:space="preserve">are </w:t>
      </w:r>
      <w:r w:rsidRPr="00B20D8D">
        <w:rPr>
          <w:szCs w:val="24"/>
        </w:rPr>
        <w:t xml:space="preserve">included on </w:t>
      </w:r>
      <w:r w:rsidR="0072603B">
        <w:rPr>
          <w:szCs w:val="24"/>
        </w:rPr>
        <w:t>a</w:t>
      </w:r>
      <w:r w:rsidRPr="00B20D8D">
        <w:rPr>
          <w:szCs w:val="24"/>
        </w:rPr>
        <w:t xml:space="preserve"> Limited Service List for this case.  Each party appearing on the Limited Service List will not be required to file and serve any documents in this case and the parties on the Full Service List will not be required to serve copies of their documents on those parties on the Limited Service List.  Parties </w:t>
      </w:r>
      <w:r w:rsidRPr="00B20D8D">
        <w:rPr>
          <w:szCs w:val="24"/>
        </w:rPr>
        <w:lastRenderedPageBreak/>
        <w:t>on the Limited Service List will receive copies of Orders, Hearing Notices, the Recommended Decision and the Commission’s Decision</w:t>
      </w:r>
      <w:r w:rsidR="002221D5">
        <w:rPr>
          <w:szCs w:val="24"/>
        </w:rPr>
        <w:t>.</w:t>
      </w:r>
      <w:r w:rsidR="00DE2F1E">
        <w:rPr>
          <w:szCs w:val="24"/>
        </w:rPr>
        <w:t xml:space="preserve"> </w:t>
      </w:r>
    </w:p>
    <w:p w:rsidR="006B69E2" w:rsidRDefault="00DE2F1E" w:rsidP="00411241">
      <w:pPr>
        <w:rPr>
          <w:szCs w:val="24"/>
        </w:rPr>
      </w:pPr>
      <w:r w:rsidRPr="00DE2F1E">
        <w:rPr>
          <w:szCs w:val="24"/>
        </w:rPr>
        <w:tab/>
      </w:r>
      <w:r w:rsidRPr="00DE2F1E">
        <w:rPr>
          <w:szCs w:val="24"/>
        </w:rPr>
        <w:tab/>
      </w:r>
    </w:p>
    <w:p w:rsidR="00DE2F1E" w:rsidRPr="00D66147" w:rsidRDefault="00DE2F1E" w:rsidP="00411241">
      <w:pPr>
        <w:ind w:firstLine="1440"/>
        <w:rPr>
          <w:szCs w:val="24"/>
        </w:rPr>
      </w:pPr>
      <w:r w:rsidRPr="00DE2F1E">
        <w:rPr>
          <w:szCs w:val="24"/>
        </w:rPr>
        <w:t xml:space="preserve">Parties included on the Limited Service List have the right to appear and testify at any Public Input Hearing scheduled in this case.  Persons testifying at </w:t>
      </w:r>
      <w:r w:rsidR="009F193A">
        <w:rPr>
          <w:szCs w:val="24"/>
        </w:rPr>
        <w:t>a</w:t>
      </w:r>
      <w:r w:rsidRPr="00DE2F1E">
        <w:rPr>
          <w:szCs w:val="24"/>
        </w:rPr>
        <w:t xml:space="preserve"> Public Input Hearing, however, will </w:t>
      </w:r>
      <w:r w:rsidRPr="00D66147">
        <w:rPr>
          <w:szCs w:val="24"/>
        </w:rPr>
        <w:t>not be permitted to also testify at the technical evidentiary hearings.</w:t>
      </w:r>
      <w:r w:rsidR="00D66147" w:rsidRPr="00D66147">
        <w:rPr>
          <w:szCs w:val="24"/>
        </w:rPr>
        <w:t xml:space="preserve">  </w:t>
      </w:r>
    </w:p>
    <w:p w:rsidR="00D66147" w:rsidRPr="00D66147" w:rsidRDefault="00D66147" w:rsidP="00411241">
      <w:pPr>
        <w:rPr>
          <w:szCs w:val="24"/>
        </w:rPr>
      </w:pPr>
    </w:p>
    <w:p w:rsidR="00D66147" w:rsidRPr="00486895" w:rsidRDefault="00D66147" w:rsidP="00411241">
      <w:pPr>
        <w:rPr>
          <w:szCs w:val="24"/>
        </w:rPr>
      </w:pPr>
      <w:r w:rsidRPr="00D66147">
        <w:rPr>
          <w:szCs w:val="24"/>
        </w:rPr>
        <w:tab/>
      </w:r>
      <w:r w:rsidRPr="00D66147">
        <w:rPr>
          <w:szCs w:val="24"/>
        </w:rPr>
        <w:tab/>
        <w:t xml:space="preserve">All parties </w:t>
      </w:r>
      <w:r>
        <w:rPr>
          <w:szCs w:val="24"/>
        </w:rPr>
        <w:t xml:space="preserve">who </w:t>
      </w:r>
      <w:r w:rsidRPr="00D66147">
        <w:rPr>
          <w:szCs w:val="24"/>
        </w:rPr>
        <w:t>attend</w:t>
      </w:r>
      <w:r>
        <w:rPr>
          <w:szCs w:val="24"/>
        </w:rPr>
        <w:t>ed</w:t>
      </w:r>
      <w:r w:rsidRPr="00D66147">
        <w:rPr>
          <w:szCs w:val="24"/>
        </w:rPr>
        <w:t xml:space="preserve"> the prehearing conference will be included on the Full Service List for this case</w:t>
      </w:r>
      <w:r>
        <w:rPr>
          <w:szCs w:val="24"/>
        </w:rPr>
        <w:t xml:space="preserve"> since no attendees opted </w:t>
      </w:r>
      <w:r w:rsidRPr="00D66147">
        <w:rPr>
          <w:szCs w:val="24"/>
        </w:rPr>
        <w:t>for a lesser degree of participation</w:t>
      </w:r>
      <w:r>
        <w:rPr>
          <w:szCs w:val="24"/>
        </w:rPr>
        <w:t xml:space="preserve">.  </w:t>
      </w:r>
      <w:r w:rsidRPr="00D66147">
        <w:rPr>
          <w:szCs w:val="24"/>
        </w:rPr>
        <w:t>Each party appearing on the Full Service List</w:t>
      </w:r>
      <w:r w:rsidRPr="00D66147">
        <w:rPr>
          <w:b/>
          <w:i/>
          <w:szCs w:val="24"/>
        </w:rPr>
        <w:t xml:space="preserve"> </w:t>
      </w:r>
      <w:r w:rsidRPr="00D66147">
        <w:rPr>
          <w:szCs w:val="24"/>
        </w:rPr>
        <w:t xml:space="preserve">must serve a copy of every document it files in this case, including, but not limited to discovery requests, </w:t>
      </w:r>
      <w:r>
        <w:rPr>
          <w:szCs w:val="24"/>
        </w:rPr>
        <w:t xml:space="preserve">motions, testimony, and briefs </w:t>
      </w:r>
      <w:r w:rsidRPr="00D66147">
        <w:rPr>
          <w:szCs w:val="24"/>
        </w:rPr>
        <w:t xml:space="preserve">on every other party on the Full Service List in accordance with the schedule </w:t>
      </w:r>
      <w:r w:rsidR="00486895">
        <w:rPr>
          <w:szCs w:val="24"/>
        </w:rPr>
        <w:t>e</w:t>
      </w:r>
      <w:r w:rsidRPr="00D66147">
        <w:rPr>
          <w:szCs w:val="24"/>
        </w:rPr>
        <w:t>stablished at the prehearing conference.</w:t>
      </w:r>
      <w:r>
        <w:rPr>
          <w:szCs w:val="24"/>
        </w:rPr>
        <w:t xml:space="preserve">  In addition,</w:t>
      </w:r>
      <w:r w:rsidR="00486895">
        <w:rPr>
          <w:szCs w:val="24"/>
        </w:rPr>
        <w:t xml:space="preserve"> every documen</w:t>
      </w:r>
      <w:r w:rsidR="00B306C9">
        <w:rPr>
          <w:szCs w:val="24"/>
        </w:rPr>
        <w:t xml:space="preserve">t filed must be served on </w:t>
      </w:r>
      <w:r w:rsidR="0072603B">
        <w:rPr>
          <w:szCs w:val="24"/>
        </w:rPr>
        <w:t>the presiding ALJ</w:t>
      </w:r>
      <w:r w:rsidR="00486895">
        <w:rPr>
          <w:szCs w:val="24"/>
        </w:rPr>
        <w:t xml:space="preserve">.  Discovery requests and responses are not to be served on the </w:t>
      </w:r>
      <w:r w:rsidR="00B306C9">
        <w:rPr>
          <w:szCs w:val="24"/>
        </w:rPr>
        <w:t>P</w:t>
      </w:r>
      <w:r w:rsidR="00486895">
        <w:rPr>
          <w:szCs w:val="24"/>
        </w:rPr>
        <w:t xml:space="preserve">residing ALJ unless </w:t>
      </w:r>
      <w:r w:rsidR="00B306C9">
        <w:rPr>
          <w:szCs w:val="24"/>
        </w:rPr>
        <w:t xml:space="preserve">attached to a motion to compel.  </w:t>
      </w:r>
    </w:p>
    <w:p w:rsidR="00486895" w:rsidRPr="00486895" w:rsidRDefault="00486895" w:rsidP="00411241">
      <w:pPr>
        <w:rPr>
          <w:szCs w:val="24"/>
        </w:rPr>
      </w:pPr>
    </w:p>
    <w:p w:rsidR="00DE2F1E" w:rsidRDefault="00486895" w:rsidP="00411241">
      <w:pPr>
        <w:rPr>
          <w:szCs w:val="24"/>
        </w:rPr>
      </w:pPr>
      <w:r w:rsidRPr="00486895">
        <w:rPr>
          <w:szCs w:val="24"/>
        </w:rPr>
        <w:tab/>
      </w:r>
      <w:r w:rsidRPr="00486895">
        <w:rPr>
          <w:szCs w:val="24"/>
        </w:rPr>
        <w:tab/>
        <w:t xml:space="preserve">Any party may send to the </w:t>
      </w:r>
      <w:r w:rsidR="00B306C9">
        <w:rPr>
          <w:szCs w:val="24"/>
        </w:rPr>
        <w:t>P</w:t>
      </w:r>
      <w:r w:rsidRPr="00486895">
        <w:rPr>
          <w:szCs w:val="24"/>
        </w:rPr>
        <w:t xml:space="preserve">residing </w:t>
      </w:r>
      <w:r>
        <w:rPr>
          <w:szCs w:val="24"/>
        </w:rPr>
        <w:t>ALJ</w:t>
      </w:r>
      <w:r w:rsidRPr="00486895">
        <w:rPr>
          <w:szCs w:val="24"/>
        </w:rPr>
        <w:t xml:space="preserve"> a letter requesting to be moved from either the Full Service List to the Limited Service List, or to be moved from the Limited Service List to the Full Service List.  Upon the </w:t>
      </w:r>
      <w:r w:rsidR="00B306C9">
        <w:rPr>
          <w:szCs w:val="24"/>
        </w:rPr>
        <w:t>receipt of such a request, the P</w:t>
      </w:r>
      <w:r w:rsidRPr="00486895">
        <w:rPr>
          <w:szCs w:val="24"/>
        </w:rPr>
        <w:t xml:space="preserve">residing </w:t>
      </w:r>
      <w:r w:rsidR="00B306C9">
        <w:rPr>
          <w:szCs w:val="24"/>
        </w:rPr>
        <w:t>ALJ</w:t>
      </w:r>
      <w:r w:rsidR="00614199">
        <w:rPr>
          <w:szCs w:val="24"/>
        </w:rPr>
        <w:t xml:space="preserve"> will issue an o</w:t>
      </w:r>
      <w:r w:rsidRPr="00486895">
        <w:rPr>
          <w:szCs w:val="24"/>
        </w:rPr>
        <w:t>rder revising the Service Lists for this case.  Such changes will be e</w:t>
      </w:r>
      <w:r w:rsidR="00614199">
        <w:rPr>
          <w:szCs w:val="24"/>
        </w:rPr>
        <w:t>ffective as of the date of the o</w:t>
      </w:r>
      <w:r w:rsidRPr="00486895">
        <w:rPr>
          <w:szCs w:val="24"/>
        </w:rPr>
        <w:t xml:space="preserve">rder and will not apply to any document filed and served prior to the date of that </w:t>
      </w:r>
      <w:r w:rsidR="00614199">
        <w:rPr>
          <w:szCs w:val="24"/>
        </w:rPr>
        <w:t>o</w:t>
      </w:r>
      <w:r w:rsidRPr="00486895">
        <w:rPr>
          <w:szCs w:val="24"/>
        </w:rPr>
        <w:t>rder.</w:t>
      </w:r>
    </w:p>
    <w:p w:rsidR="008E482E" w:rsidRDefault="008E482E" w:rsidP="00411241">
      <w:pPr>
        <w:rPr>
          <w:szCs w:val="24"/>
        </w:rPr>
      </w:pPr>
    </w:p>
    <w:p w:rsidR="008E482E" w:rsidRPr="00D66147" w:rsidRDefault="008E482E" w:rsidP="00411241">
      <w:pPr>
        <w:rPr>
          <w:szCs w:val="24"/>
        </w:rPr>
      </w:pPr>
      <w:r>
        <w:rPr>
          <w:szCs w:val="24"/>
        </w:rPr>
        <w:tab/>
      </w:r>
      <w:r>
        <w:rPr>
          <w:szCs w:val="24"/>
        </w:rPr>
        <w:tab/>
        <w:t>Updated Full and Limited Service Lists will be circulated by separate order.</w:t>
      </w:r>
    </w:p>
    <w:p w:rsidR="00B80476" w:rsidRPr="00B20D8D" w:rsidRDefault="00B80476" w:rsidP="00411241">
      <w:pPr>
        <w:rPr>
          <w:szCs w:val="24"/>
        </w:rPr>
      </w:pPr>
    </w:p>
    <w:p w:rsidR="0089017C" w:rsidRDefault="0089017C" w:rsidP="00411241">
      <w:pPr>
        <w:jc w:val="center"/>
        <w:rPr>
          <w:b/>
          <w:szCs w:val="24"/>
          <w:u w:val="single"/>
        </w:rPr>
      </w:pPr>
      <w:r w:rsidRPr="00C055EF">
        <w:rPr>
          <w:b/>
          <w:szCs w:val="24"/>
          <w:u w:val="single"/>
        </w:rPr>
        <w:t>Public Input Hearings</w:t>
      </w:r>
    </w:p>
    <w:p w:rsidR="000517CF" w:rsidRPr="00C055EF" w:rsidRDefault="000517CF" w:rsidP="00411241">
      <w:pPr>
        <w:jc w:val="center"/>
        <w:rPr>
          <w:szCs w:val="24"/>
        </w:rPr>
      </w:pPr>
    </w:p>
    <w:p w:rsidR="00BD4B53" w:rsidRDefault="00F35AC1" w:rsidP="00411241">
      <w:pPr>
        <w:rPr>
          <w:szCs w:val="24"/>
        </w:rPr>
      </w:pPr>
      <w:r>
        <w:rPr>
          <w:szCs w:val="24"/>
        </w:rPr>
        <w:tab/>
      </w:r>
      <w:r>
        <w:rPr>
          <w:szCs w:val="24"/>
        </w:rPr>
        <w:tab/>
        <w:t>Sufficient public interest has been identified</w:t>
      </w:r>
      <w:r w:rsidR="0072603B">
        <w:rPr>
          <w:szCs w:val="24"/>
        </w:rPr>
        <w:t xml:space="preserve"> </w:t>
      </w:r>
      <w:r>
        <w:rPr>
          <w:szCs w:val="24"/>
        </w:rPr>
        <w:t>to warrant holding public input hearings</w:t>
      </w:r>
      <w:r w:rsidR="00411241">
        <w:rPr>
          <w:szCs w:val="24"/>
        </w:rPr>
        <w:t xml:space="preserve"> in the North Hills area of Allegheny County and Monroeville in eastern Allegheny County</w:t>
      </w:r>
      <w:r w:rsidR="0016667B">
        <w:rPr>
          <w:szCs w:val="24"/>
        </w:rPr>
        <w:t>.</w:t>
      </w:r>
      <w:r>
        <w:rPr>
          <w:szCs w:val="24"/>
        </w:rPr>
        <w:t xml:space="preserve"> </w:t>
      </w:r>
      <w:r w:rsidR="00614199">
        <w:rPr>
          <w:szCs w:val="24"/>
        </w:rPr>
        <w:t xml:space="preserve"> </w:t>
      </w:r>
      <w:r w:rsidR="005D44A5">
        <w:rPr>
          <w:szCs w:val="24"/>
        </w:rPr>
        <w:t>The parties will be notified of the schedule for these hearings at a later date.</w:t>
      </w:r>
      <w:r w:rsidR="00FF7D4C">
        <w:rPr>
          <w:szCs w:val="24"/>
        </w:rPr>
        <w:t xml:space="preserve"> </w:t>
      </w:r>
    </w:p>
    <w:p w:rsidR="005D44A5" w:rsidRDefault="005D44A5" w:rsidP="00411241">
      <w:pPr>
        <w:rPr>
          <w:szCs w:val="24"/>
        </w:rPr>
      </w:pPr>
    </w:p>
    <w:p w:rsidR="00B34559" w:rsidRPr="00C055EF" w:rsidRDefault="00411241" w:rsidP="00411241">
      <w:pPr>
        <w:pStyle w:val="Heading2"/>
        <w:jc w:val="center"/>
        <w:rPr>
          <w:sz w:val="24"/>
          <w:szCs w:val="24"/>
        </w:rPr>
      </w:pPr>
      <w:r>
        <w:rPr>
          <w:sz w:val="24"/>
          <w:szCs w:val="24"/>
        </w:rPr>
        <w:br w:type="page"/>
      </w:r>
      <w:r w:rsidR="00B34559" w:rsidRPr="00C055EF">
        <w:rPr>
          <w:sz w:val="24"/>
          <w:szCs w:val="24"/>
        </w:rPr>
        <w:lastRenderedPageBreak/>
        <w:t>Issues</w:t>
      </w:r>
    </w:p>
    <w:p w:rsidR="00B34559" w:rsidRPr="00C055EF" w:rsidRDefault="00B34559" w:rsidP="00411241">
      <w:pPr>
        <w:rPr>
          <w:szCs w:val="24"/>
        </w:rPr>
      </w:pPr>
    </w:p>
    <w:p w:rsidR="00085BAF" w:rsidRPr="00C055EF" w:rsidRDefault="00B34559" w:rsidP="00411241">
      <w:pPr>
        <w:rPr>
          <w:szCs w:val="24"/>
        </w:rPr>
      </w:pPr>
      <w:r w:rsidRPr="00C055EF">
        <w:rPr>
          <w:szCs w:val="24"/>
        </w:rPr>
        <w:tab/>
      </w:r>
      <w:r w:rsidRPr="00C055EF">
        <w:rPr>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rsidR="00047F1C" w:rsidRDefault="00047F1C" w:rsidP="00411241">
      <w:pPr>
        <w:ind w:right="1440"/>
      </w:pPr>
    </w:p>
    <w:p w:rsidR="00B34559" w:rsidRPr="00047F1C" w:rsidRDefault="00B34559" w:rsidP="00411241">
      <w:pPr>
        <w:jc w:val="center"/>
        <w:rPr>
          <w:b/>
          <w:u w:val="single"/>
        </w:rPr>
      </w:pPr>
      <w:r w:rsidRPr="00047F1C">
        <w:rPr>
          <w:b/>
          <w:u w:val="single"/>
        </w:rPr>
        <w:t>Discovery</w:t>
      </w:r>
    </w:p>
    <w:p w:rsidR="00B34559" w:rsidRPr="00C055EF" w:rsidRDefault="00B34559" w:rsidP="00411241">
      <w:pPr>
        <w:rPr>
          <w:szCs w:val="24"/>
        </w:rPr>
      </w:pPr>
    </w:p>
    <w:p w:rsidR="00B34559" w:rsidRPr="00C055EF" w:rsidRDefault="00B34559" w:rsidP="00411241">
      <w:pPr>
        <w:rPr>
          <w:szCs w:val="24"/>
        </w:rPr>
      </w:pPr>
      <w:r w:rsidRPr="00C055EF">
        <w:rPr>
          <w:szCs w:val="24"/>
        </w:rPr>
        <w:tab/>
      </w:r>
      <w:r w:rsidRPr="00C055EF">
        <w:rPr>
          <w:szCs w:val="24"/>
        </w:rPr>
        <w:tab/>
        <w:t xml:space="preserve">The parties shall engage in informal discovery whenever and wherever possible in an attempt to resolve any discovery disputes amicably.  </w:t>
      </w:r>
      <w:proofErr w:type="gramStart"/>
      <w:r w:rsidRPr="00C055EF">
        <w:rPr>
          <w:szCs w:val="24"/>
        </w:rPr>
        <w:t xml:space="preserve">52 </w:t>
      </w:r>
      <w:smartTag w:uri="urn:schemas-microsoft-com:office:smarttags" w:element="country-region">
        <w:smartTag w:uri="urn:schemas-microsoft-com:office:smarttags" w:element="State">
          <w:r w:rsidRPr="00C055EF">
            <w:rPr>
              <w:szCs w:val="24"/>
            </w:rPr>
            <w:t>Pa.</w:t>
          </w:r>
        </w:smartTag>
      </w:smartTag>
      <w:r w:rsidRPr="00C055EF">
        <w:rPr>
          <w:szCs w:val="24"/>
        </w:rPr>
        <w:t xml:space="preserve"> Code §5.322.</w:t>
      </w:r>
      <w:proofErr w:type="gramEnd"/>
      <w:r w:rsidRPr="00C055EF">
        <w:rPr>
          <w:szCs w:val="24"/>
        </w:rPr>
        <w:t xml:space="preserve">  If this process fails, the parties have recourse to the Commission’s procedures for formal discovery, as herein modified.  </w:t>
      </w:r>
      <w:proofErr w:type="gramStart"/>
      <w:r w:rsidRPr="00C055EF">
        <w:rPr>
          <w:szCs w:val="24"/>
        </w:rPr>
        <w:t xml:space="preserve">52 </w:t>
      </w:r>
      <w:smartTag w:uri="urn:schemas-microsoft-com:office:smarttags" w:element="country-region">
        <w:smartTag w:uri="urn:schemas-microsoft-com:office:smarttags" w:element="State">
          <w:r w:rsidRPr="00C055EF">
            <w:rPr>
              <w:szCs w:val="24"/>
            </w:rPr>
            <w:t>Pa.</w:t>
          </w:r>
        </w:smartTag>
      </w:smartTag>
      <w:r w:rsidRPr="00C055EF">
        <w:rPr>
          <w:szCs w:val="24"/>
        </w:rPr>
        <w:t xml:space="preserve"> Code §§5.321, </w:t>
      </w:r>
      <w:r w:rsidRPr="00C055EF">
        <w:rPr>
          <w:i/>
          <w:szCs w:val="24"/>
        </w:rPr>
        <w:t>et</w:t>
      </w:r>
      <w:r w:rsidRPr="00C055EF">
        <w:rPr>
          <w:szCs w:val="24"/>
        </w:rPr>
        <w:t xml:space="preserve"> </w:t>
      </w:r>
      <w:r w:rsidRPr="00C055EF">
        <w:rPr>
          <w:i/>
          <w:szCs w:val="24"/>
        </w:rPr>
        <w:t>seq</w:t>
      </w:r>
      <w:r w:rsidRPr="00C055EF">
        <w:rPr>
          <w:szCs w:val="24"/>
        </w:rPr>
        <w:t>.</w:t>
      </w:r>
      <w:proofErr w:type="gramEnd"/>
      <w:r w:rsidRPr="00C055EF">
        <w:rPr>
          <w:szCs w:val="24"/>
        </w:rPr>
        <w:t xml:space="preserve">  The parties must not send the Presiding ALJ discovery material or cover letters, unless attached to a motion to compel.  </w:t>
      </w:r>
      <w:r w:rsidRPr="0016667B">
        <w:rPr>
          <w:b/>
          <w:szCs w:val="24"/>
        </w:rPr>
        <w:t>All motions to compel must contain a certification of counsel of the informal discovery undertaken and their efforts to resolve their discovery disputes informally.</w:t>
      </w:r>
      <w:r w:rsidRPr="00C055EF">
        <w:rPr>
          <w:szCs w:val="24"/>
        </w:rPr>
        <w:t xml:space="preserve">  If a motion to compel fails to contain such certification, the Presiding ALJ will contact the parties and direct them to pursue informal discovery.</w:t>
      </w:r>
    </w:p>
    <w:p w:rsidR="00B34559" w:rsidRPr="00C055EF" w:rsidRDefault="00B34559" w:rsidP="009D7CFB">
      <w:pPr>
        <w:rPr>
          <w:szCs w:val="24"/>
        </w:rPr>
      </w:pPr>
    </w:p>
    <w:p w:rsidR="0016667B" w:rsidRDefault="00B34559" w:rsidP="009D7CFB">
      <w:pPr>
        <w:rPr>
          <w:szCs w:val="24"/>
        </w:rPr>
      </w:pPr>
      <w:r w:rsidRPr="00C055EF">
        <w:rPr>
          <w:szCs w:val="24"/>
        </w:rPr>
        <w:tab/>
      </w:r>
      <w:r w:rsidRPr="00C055EF">
        <w:rPr>
          <w:szCs w:val="24"/>
        </w:rPr>
        <w:tab/>
        <w:t xml:space="preserve">The </w:t>
      </w:r>
      <w:r w:rsidR="00A94FB5">
        <w:rPr>
          <w:szCs w:val="24"/>
        </w:rPr>
        <w:t>parties agreed to the following modifications to the</w:t>
      </w:r>
      <w:r w:rsidRPr="00C055EF">
        <w:rPr>
          <w:szCs w:val="24"/>
        </w:rPr>
        <w:t xml:space="preserve"> Commission’s pr</w:t>
      </w:r>
      <w:r w:rsidR="00A94FB5">
        <w:rPr>
          <w:szCs w:val="24"/>
        </w:rPr>
        <w:t>ocedures for formal discovery:</w:t>
      </w:r>
    </w:p>
    <w:p w:rsidR="004E47EA" w:rsidRDefault="004E47EA" w:rsidP="004E47EA">
      <w:pPr>
        <w:spacing w:line="240" w:lineRule="auto"/>
        <w:ind w:left="720" w:right="1440"/>
        <w:rPr>
          <w:szCs w:val="24"/>
        </w:rPr>
      </w:pPr>
    </w:p>
    <w:p w:rsidR="00EF6E81" w:rsidRDefault="0016667B" w:rsidP="004E47EA">
      <w:pPr>
        <w:spacing w:line="240" w:lineRule="auto"/>
        <w:ind w:left="720" w:right="1440"/>
        <w:rPr>
          <w:szCs w:val="24"/>
        </w:rPr>
      </w:pPr>
      <w:r>
        <w:rPr>
          <w:szCs w:val="24"/>
        </w:rPr>
        <w:tab/>
      </w:r>
      <w:r w:rsidR="00EF6E81" w:rsidRPr="00EF6E81">
        <w:rPr>
          <w:szCs w:val="24"/>
        </w:rPr>
        <w:t>a.</w:t>
      </w:r>
      <w:r w:rsidR="00EF6E81" w:rsidRPr="00EF6E81">
        <w:rPr>
          <w:szCs w:val="24"/>
        </w:rPr>
        <w:tab/>
        <w:t xml:space="preserve">Written interrogatories propounded after noon on a Friday or the business day before a state-recognized holiday shall be deemed served on the following business day.  </w:t>
      </w:r>
    </w:p>
    <w:p w:rsidR="00EF6E81" w:rsidRPr="00EF6E81" w:rsidRDefault="00EF6E81" w:rsidP="004E47EA">
      <w:pPr>
        <w:spacing w:line="240" w:lineRule="auto"/>
        <w:ind w:left="720" w:right="1440"/>
        <w:rPr>
          <w:szCs w:val="24"/>
        </w:rPr>
      </w:pPr>
    </w:p>
    <w:p w:rsidR="00EF6E81" w:rsidRDefault="00EF6E81" w:rsidP="004E47EA">
      <w:pPr>
        <w:spacing w:line="240" w:lineRule="auto"/>
        <w:ind w:left="720" w:right="1440" w:firstLine="720"/>
        <w:rPr>
          <w:szCs w:val="24"/>
        </w:rPr>
      </w:pPr>
      <w:r w:rsidRPr="00EF6E81">
        <w:rPr>
          <w:szCs w:val="24"/>
        </w:rPr>
        <w:t>b.</w:t>
      </w:r>
      <w:r w:rsidRPr="00EF6E81">
        <w:rPr>
          <w:szCs w:val="24"/>
        </w:rPr>
        <w:tab/>
        <w:t>Answers to written interrogatories shall be served in-hand within ten (10) calendar days of service.</w:t>
      </w:r>
    </w:p>
    <w:p w:rsidR="00EF6E81" w:rsidRPr="00EF6E81" w:rsidRDefault="00EF6E81" w:rsidP="004E47EA">
      <w:pPr>
        <w:spacing w:line="240" w:lineRule="auto"/>
        <w:ind w:left="720" w:right="1440" w:firstLine="720"/>
        <w:rPr>
          <w:szCs w:val="24"/>
        </w:rPr>
      </w:pPr>
    </w:p>
    <w:p w:rsidR="00EF6E81" w:rsidRDefault="00EF6E81" w:rsidP="004E47EA">
      <w:pPr>
        <w:spacing w:line="240" w:lineRule="auto"/>
        <w:ind w:left="720" w:right="1440" w:firstLine="720"/>
        <w:rPr>
          <w:szCs w:val="24"/>
        </w:rPr>
      </w:pPr>
      <w:r w:rsidRPr="00EF6E81">
        <w:rPr>
          <w:szCs w:val="24"/>
        </w:rPr>
        <w:t>c.</w:t>
      </w:r>
      <w:r w:rsidRPr="00EF6E81">
        <w:rPr>
          <w:szCs w:val="24"/>
        </w:rPr>
        <w:tab/>
        <w:t>Objections to interrogatories must be communicated orally within three (3) calendar days of service.  Unresolved objections must be served upon the Presiding ALJ within five (5) days of service of interrogatories.</w:t>
      </w:r>
    </w:p>
    <w:p w:rsidR="00EF6E81" w:rsidRPr="00EF6E81" w:rsidRDefault="00EF6E81" w:rsidP="004E47EA">
      <w:pPr>
        <w:spacing w:line="240" w:lineRule="auto"/>
        <w:ind w:left="720" w:right="1440" w:firstLine="720"/>
        <w:rPr>
          <w:szCs w:val="24"/>
        </w:rPr>
      </w:pPr>
    </w:p>
    <w:p w:rsidR="00EF6E81" w:rsidRDefault="00EF6E81" w:rsidP="004E47EA">
      <w:pPr>
        <w:spacing w:line="240" w:lineRule="auto"/>
        <w:ind w:left="720" w:right="1440" w:firstLine="720"/>
        <w:rPr>
          <w:szCs w:val="24"/>
        </w:rPr>
      </w:pPr>
      <w:r w:rsidRPr="00EF6E81">
        <w:rPr>
          <w:szCs w:val="24"/>
        </w:rPr>
        <w:t>d.</w:t>
      </w:r>
      <w:r w:rsidRPr="00EF6E81">
        <w:rPr>
          <w:szCs w:val="24"/>
        </w:rPr>
        <w:tab/>
        <w:t xml:space="preserve">Motions to dismiss objections and/or direct the answering of interrogatories (motions to compel) must be filed within three (3) calendar days of service of written objections. </w:t>
      </w:r>
    </w:p>
    <w:p w:rsidR="00EF6E81" w:rsidRPr="00EF6E81" w:rsidRDefault="00EF6E81" w:rsidP="004E47EA">
      <w:pPr>
        <w:spacing w:line="240" w:lineRule="auto"/>
        <w:ind w:left="720" w:right="1440" w:firstLine="720"/>
        <w:rPr>
          <w:szCs w:val="24"/>
        </w:rPr>
      </w:pPr>
    </w:p>
    <w:p w:rsidR="00EF6E81" w:rsidRDefault="00EF6E81" w:rsidP="004E47EA">
      <w:pPr>
        <w:spacing w:line="240" w:lineRule="auto"/>
        <w:ind w:left="720" w:right="1440" w:firstLine="720"/>
        <w:rPr>
          <w:szCs w:val="24"/>
        </w:rPr>
      </w:pPr>
      <w:r w:rsidRPr="00EF6E81">
        <w:rPr>
          <w:szCs w:val="24"/>
        </w:rPr>
        <w:t>e.</w:t>
      </w:r>
      <w:r w:rsidRPr="00EF6E81">
        <w:rPr>
          <w:szCs w:val="24"/>
        </w:rPr>
        <w:tab/>
        <w:t xml:space="preserve">Answers to motions to dismiss and/or direct the answering of interrogatories must be filed within three (3) calendar days of service of such motions. </w:t>
      </w:r>
    </w:p>
    <w:p w:rsidR="00EF6E81" w:rsidRPr="00EF6E81" w:rsidRDefault="00EF6E81" w:rsidP="004E47EA">
      <w:pPr>
        <w:spacing w:line="240" w:lineRule="auto"/>
        <w:ind w:left="720" w:right="1440" w:firstLine="720"/>
        <w:rPr>
          <w:szCs w:val="24"/>
        </w:rPr>
      </w:pPr>
    </w:p>
    <w:p w:rsidR="00EF6E81" w:rsidRDefault="00EF6E81" w:rsidP="004E47EA">
      <w:pPr>
        <w:spacing w:line="240" w:lineRule="auto"/>
        <w:ind w:left="720" w:right="1440" w:firstLine="720"/>
        <w:rPr>
          <w:szCs w:val="24"/>
        </w:rPr>
      </w:pPr>
      <w:r w:rsidRPr="00EF6E81">
        <w:rPr>
          <w:szCs w:val="24"/>
        </w:rPr>
        <w:t>f.</w:t>
      </w:r>
      <w:r w:rsidRPr="00EF6E81">
        <w:rPr>
          <w:szCs w:val="24"/>
        </w:rPr>
        <w:tab/>
        <w:t>Responses to requests for document production, entry for inspection, or other purposes must be served in-hand within ten (10) calendar days of service.</w:t>
      </w:r>
    </w:p>
    <w:p w:rsidR="00EF6E81" w:rsidRPr="00EF6E81" w:rsidRDefault="00EF6E81" w:rsidP="004E47EA">
      <w:pPr>
        <w:spacing w:line="240" w:lineRule="auto"/>
        <w:ind w:left="720" w:right="1440" w:firstLine="720"/>
        <w:rPr>
          <w:szCs w:val="24"/>
        </w:rPr>
      </w:pPr>
    </w:p>
    <w:p w:rsidR="00B71F14" w:rsidRPr="00FA105B" w:rsidRDefault="00EF6E81" w:rsidP="004E47EA">
      <w:pPr>
        <w:spacing w:line="240" w:lineRule="auto"/>
        <w:ind w:left="720" w:right="1440" w:firstLine="720"/>
        <w:rPr>
          <w:szCs w:val="24"/>
        </w:rPr>
      </w:pPr>
      <w:r w:rsidRPr="00EF6E81">
        <w:rPr>
          <w:szCs w:val="24"/>
        </w:rPr>
        <w:t>g.</w:t>
      </w:r>
      <w:r w:rsidRPr="00EF6E81">
        <w:rPr>
          <w:szCs w:val="24"/>
        </w:rPr>
        <w:tab/>
        <w:t>Answers to on-the-record data requests shall be served in-hand within seven (7) calendar days of the requests.</w:t>
      </w:r>
    </w:p>
    <w:p w:rsidR="004A3AE8" w:rsidRPr="00C055EF" w:rsidRDefault="004A3AE8" w:rsidP="009D7CFB">
      <w:pPr>
        <w:pStyle w:val="Footer"/>
        <w:tabs>
          <w:tab w:val="clear" w:pos="4320"/>
          <w:tab w:val="clear" w:pos="8640"/>
        </w:tabs>
        <w:jc w:val="center"/>
        <w:rPr>
          <w:b/>
          <w:szCs w:val="24"/>
          <w:u w:val="single"/>
        </w:rPr>
      </w:pPr>
    </w:p>
    <w:p w:rsidR="00B34559" w:rsidRPr="00C055EF" w:rsidRDefault="00B34559" w:rsidP="00411241">
      <w:pPr>
        <w:pStyle w:val="Footer"/>
        <w:tabs>
          <w:tab w:val="clear" w:pos="4320"/>
          <w:tab w:val="clear" w:pos="8640"/>
        </w:tabs>
        <w:jc w:val="center"/>
        <w:rPr>
          <w:szCs w:val="24"/>
        </w:rPr>
      </w:pPr>
      <w:r w:rsidRPr="00C055EF">
        <w:rPr>
          <w:b/>
          <w:szCs w:val="24"/>
          <w:u w:val="single"/>
        </w:rPr>
        <w:t>Settlement and Stipulations</w:t>
      </w:r>
    </w:p>
    <w:p w:rsidR="00B34559" w:rsidRPr="00C055EF" w:rsidRDefault="00B34559" w:rsidP="00411241">
      <w:pPr>
        <w:pStyle w:val="Footer"/>
        <w:tabs>
          <w:tab w:val="clear" w:pos="4320"/>
          <w:tab w:val="clear" w:pos="8640"/>
        </w:tabs>
        <w:rPr>
          <w:szCs w:val="24"/>
        </w:rPr>
      </w:pPr>
    </w:p>
    <w:p w:rsidR="001700EF" w:rsidRDefault="00B34559" w:rsidP="00411241">
      <w:pPr>
        <w:pStyle w:val="Footer"/>
        <w:tabs>
          <w:tab w:val="clear" w:pos="4320"/>
          <w:tab w:val="clear" w:pos="8640"/>
        </w:tabs>
        <w:rPr>
          <w:szCs w:val="24"/>
        </w:rPr>
      </w:pPr>
      <w:r w:rsidRPr="00C055EF">
        <w:rPr>
          <w:szCs w:val="24"/>
        </w:rPr>
        <w:tab/>
      </w:r>
      <w:r w:rsidRPr="00C055EF">
        <w:rPr>
          <w:szCs w:val="24"/>
        </w:rPr>
        <w:tab/>
        <w:t xml:space="preserve">The parties are reminded it is the Commission’s policy to encourage settlements.  </w:t>
      </w:r>
      <w:proofErr w:type="gramStart"/>
      <w:r w:rsidRPr="00C055EF">
        <w:rPr>
          <w:szCs w:val="24"/>
        </w:rPr>
        <w:t xml:space="preserve">52 </w:t>
      </w:r>
      <w:smartTag w:uri="urn:schemas-microsoft-com:office:smarttags" w:element="country-region">
        <w:smartTag w:uri="urn:schemas-microsoft-com:office:smarttags" w:element="State">
          <w:r w:rsidRPr="00C055EF">
            <w:rPr>
              <w:szCs w:val="24"/>
            </w:rPr>
            <w:t>Pa.</w:t>
          </w:r>
        </w:smartTag>
      </w:smartTag>
      <w:r w:rsidRPr="00C055EF">
        <w:rPr>
          <w:szCs w:val="24"/>
        </w:rPr>
        <w:t xml:space="preserve"> Code §5.231(a).</w:t>
      </w:r>
      <w:proofErr w:type="gramEnd"/>
      <w:r w:rsidRPr="00C055EF">
        <w:rPr>
          <w:szCs w:val="24"/>
        </w:rPr>
        <w:t xml:space="preserve">  The parties are strongly urged to seriously explore this possibility.</w:t>
      </w:r>
      <w:r w:rsidR="006B54A5">
        <w:rPr>
          <w:szCs w:val="24"/>
        </w:rPr>
        <w:t xml:space="preserve"> </w:t>
      </w:r>
      <w:r w:rsidRPr="00C055EF">
        <w:rPr>
          <w:szCs w:val="24"/>
        </w:rPr>
        <w:t xml:space="preserve">  Submission of a Joint Settlement Petition executed by representatives of all parties, together with all parties’ Statements In Support of Settlement, must be filed with the Secretary for the Commission and received in-hand by the Presiding ALJ no later than the close of business on </w:t>
      </w:r>
      <w:r w:rsidR="004D0BDA">
        <w:rPr>
          <w:szCs w:val="24"/>
        </w:rPr>
        <w:t>August 10, 2012</w:t>
      </w:r>
      <w:r w:rsidR="00E044B0">
        <w:rPr>
          <w:szCs w:val="24"/>
        </w:rPr>
        <w:t xml:space="preserve">.  </w:t>
      </w:r>
    </w:p>
    <w:p w:rsidR="004D0BDA" w:rsidRPr="00C055EF" w:rsidRDefault="004D0BDA" w:rsidP="00411241">
      <w:pPr>
        <w:pStyle w:val="Footer"/>
        <w:tabs>
          <w:tab w:val="clear" w:pos="4320"/>
          <w:tab w:val="clear" w:pos="8640"/>
        </w:tabs>
        <w:rPr>
          <w:szCs w:val="24"/>
        </w:rPr>
      </w:pPr>
    </w:p>
    <w:p w:rsidR="00B34559" w:rsidRPr="00C055EF" w:rsidRDefault="00B34559" w:rsidP="00411241">
      <w:pPr>
        <w:pStyle w:val="Footer"/>
        <w:tabs>
          <w:tab w:val="clear" w:pos="4320"/>
          <w:tab w:val="clear" w:pos="8640"/>
        </w:tabs>
        <w:rPr>
          <w:szCs w:val="24"/>
        </w:rPr>
      </w:pPr>
      <w:r w:rsidRPr="00C055EF">
        <w:rPr>
          <w:szCs w:val="24"/>
        </w:rPr>
        <w:tab/>
      </w:r>
      <w:r w:rsidRPr="00C055EF">
        <w:rPr>
          <w:szCs w:val="24"/>
        </w:rPr>
        <w:tab/>
        <w:t xml:space="preserve">If settlement is not feasible, the parties are encouraged to stipulate to any matters they reasonably can to expedite this proceeding, lessen the burden of time and expenses in litigation on all parties and conserve precious administrative hearing resources.  </w:t>
      </w:r>
      <w:proofErr w:type="gramStart"/>
      <w:r w:rsidRPr="00C055EF">
        <w:rPr>
          <w:szCs w:val="24"/>
        </w:rPr>
        <w:t xml:space="preserve">52 </w:t>
      </w:r>
      <w:smartTag w:uri="urn:schemas-microsoft-com:office:smarttags" w:element="country-region">
        <w:smartTag w:uri="urn:schemas-microsoft-com:office:smarttags" w:element="State">
          <w:r w:rsidRPr="00C055EF">
            <w:rPr>
              <w:szCs w:val="24"/>
            </w:rPr>
            <w:t>Pa.</w:t>
          </w:r>
        </w:smartTag>
      </w:smartTag>
      <w:r w:rsidRPr="00C055EF">
        <w:rPr>
          <w:szCs w:val="24"/>
        </w:rPr>
        <w:t xml:space="preserve"> Code §§5.232 and 5.234.</w:t>
      </w:r>
      <w:proofErr w:type="gramEnd"/>
      <w:r w:rsidRPr="00C055EF">
        <w:rPr>
          <w:szCs w:val="24"/>
        </w:rPr>
        <w:t xml:space="preserve">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411241" w:rsidRDefault="00411241" w:rsidP="00411241">
      <w:pPr>
        <w:pStyle w:val="Footer"/>
        <w:tabs>
          <w:tab w:val="clear" w:pos="4320"/>
          <w:tab w:val="clear" w:pos="8640"/>
        </w:tabs>
        <w:jc w:val="center"/>
        <w:rPr>
          <w:b/>
          <w:szCs w:val="24"/>
          <w:u w:val="single"/>
        </w:rPr>
      </w:pPr>
    </w:p>
    <w:p w:rsidR="00B34559" w:rsidRPr="00C055EF" w:rsidRDefault="00B34559" w:rsidP="00411241">
      <w:pPr>
        <w:pStyle w:val="Footer"/>
        <w:tabs>
          <w:tab w:val="clear" w:pos="4320"/>
          <w:tab w:val="clear" w:pos="8640"/>
        </w:tabs>
        <w:jc w:val="center"/>
        <w:rPr>
          <w:szCs w:val="24"/>
        </w:rPr>
      </w:pPr>
      <w:r w:rsidRPr="00C055EF">
        <w:rPr>
          <w:b/>
          <w:szCs w:val="24"/>
          <w:u w:val="single"/>
        </w:rPr>
        <w:t>Cross-Examination</w:t>
      </w:r>
    </w:p>
    <w:p w:rsidR="00B34559" w:rsidRPr="00C055EF" w:rsidRDefault="00B34559" w:rsidP="00411241">
      <w:pPr>
        <w:pStyle w:val="Footer"/>
        <w:tabs>
          <w:tab w:val="clear" w:pos="4320"/>
          <w:tab w:val="clear" w:pos="8640"/>
        </w:tabs>
        <w:rPr>
          <w:szCs w:val="24"/>
        </w:rPr>
      </w:pPr>
    </w:p>
    <w:p w:rsidR="00B34559" w:rsidRDefault="00B34559" w:rsidP="00411241">
      <w:pPr>
        <w:pStyle w:val="Footer"/>
        <w:tabs>
          <w:tab w:val="clear" w:pos="4320"/>
          <w:tab w:val="clear" w:pos="8640"/>
        </w:tabs>
        <w:rPr>
          <w:szCs w:val="24"/>
        </w:rPr>
      </w:pPr>
      <w:r w:rsidRPr="00C055EF">
        <w:rPr>
          <w:szCs w:val="24"/>
        </w:rPr>
        <w:tab/>
      </w:r>
      <w:r w:rsidRPr="00C055EF">
        <w:rPr>
          <w:szCs w:val="24"/>
        </w:rPr>
        <w:tab/>
        <w:t xml:space="preserve">Friendly cross-examination or cumulative cross-examination during hearings will not be permitted.  </w:t>
      </w:r>
      <w:proofErr w:type="gramStart"/>
      <w:r w:rsidRPr="00C055EF">
        <w:rPr>
          <w:szCs w:val="24"/>
        </w:rPr>
        <w:t xml:space="preserve">52 </w:t>
      </w:r>
      <w:smartTag w:uri="urn:schemas-microsoft-com:office:smarttags" w:element="country-region">
        <w:smartTag w:uri="urn:schemas-microsoft-com:office:smarttags" w:element="State">
          <w:r w:rsidRPr="00C055EF">
            <w:rPr>
              <w:szCs w:val="24"/>
            </w:rPr>
            <w:t>Pa.</w:t>
          </w:r>
        </w:smartTag>
      </w:smartTag>
      <w:r w:rsidRPr="00C055EF">
        <w:rPr>
          <w:szCs w:val="24"/>
        </w:rPr>
        <w:t xml:space="preserve"> Code §§5.76 &amp; 5.243.</w:t>
      </w:r>
      <w:proofErr w:type="gramEnd"/>
    </w:p>
    <w:p w:rsidR="006B69E2" w:rsidRPr="00C055EF" w:rsidRDefault="006B69E2" w:rsidP="00411241">
      <w:pPr>
        <w:pStyle w:val="Footer"/>
        <w:tabs>
          <w:tab w:val="clear" w:pos="4320"/>
          <w:tab w:val="clear" w:pos="8640"/>
        </w:tabs>
        <w:rPr>
          <w:szCs w:val="24"/>
        </w:rPr>
      </w:pPr>
    </w:p>
    <w:p w:rsidR="00B34559" w:rsidRPr="00C055EF" w:rsidRDefault="00B34559" w:rsidP="00411241">
      <w:pPr>
        <w:pStyle w:val="Footer"/>
        <w:tabs>
          <w:tab w:val="clear" w:pos="4320"/>
          <w:tab w:val="clear" w:pos="8640"/>
        </w:tabs>
        <w:jc w:val="center"/>
        <w:rPr>
          <w:szCs w:val="24"/>
        </w:rPr>
      </w:pPr>
      <w:r w:rsidRPr="00C055EF">
        <w:rPr>
          <w:b/>
          <w:szCs w:val="24"/>
          <w:u w:val="single"/>
        </w:rPr>
        <w:lastRenderedPageBreak/>
        <w:t>Briefs</w:t>
      </w:r>
    </w:p>
    <w:p w:rsidR="00B34559" w:rsidRPr="00C055EF" w:rsidRDefault="00B34559" w:rsidP="00411241">
      <w:pPr>
        <w:pStyle w:val="Footer"/>
        <w:tabs>
          <w:tab w:val="clear" w:pos="4320"/>
          <w:tab w:val="clear" w:pos="8640"/>
        </w:tabs>
        <w:rPr>
          <w:szCs w:val="24"/>
        </w:rPr>
      </w:pPr>
    </w:p>
    <w:p w:rsidR="00B34559" w:rsidRPr="00C055EF" w:rsidRDefault="00B34559" w:rsidP="00411241">
      <w:pPr>
        <w:pStyle w:val="Footer"/>
        <w:tabs>
          <w:tab w:val="clear" w:pos="4320"/>
          <w:tab w:val="clear" w:pos="8640"/>
        </w:tabs>
        <w:rPr>
          <w:szCs w:val="24"/>
        </w:rPr>
      </w:pPr>
      <w:r w:rsidRPr="00C055EF">
        <w:rPr>
          <w:szCs w:val="24"/>
        </w:rPr>
        <w:tab/>
      </w:r>
      <w:r w:rsidRPr="00C055EF">
        <w:rPr>
          <w:szCs w:val="24"/>
        </w:rPr>
        <w:tab/>
        <w:t xml:space="preserve">The parties must comply with 52 </w:t>
      </w:r>
      <w:smartTag w:uri="urn:schemas-microsoft-com:office:smarttags" w:element="State">
        <w:smartTag w:uri="urn:schemas-microsoft-com:office:smarttags" w:element="country-region">
          <w:r w:rsidRPr="00C055EF">
            <w:rPr>
              <w:szCs w:val="24"/>
            </w:rPr>
            <w:t>Pa.</w:t>
          </w:r>
        </w:smartTag>
      </w:smartTag>
      <w:r w:rsidRPr="00C055EF">
        <w:rPr>
          <w:szCs w:val="24"/>
        </w:rPr>
        <w:t xml:space="preserve"> Code §§5.501, </w:t>
      </w:r>
      <w:r w:rsidRPr="00C055EF">
        <w:rPr>
          <w:i/>
          <w:szCs w:val="24"/>
        </w:rPr>
        <w:t>et</w:t>
      </w:r>
      <w:r w:rsidRPr="00C055EF">
        <w:rPr>
          <w:szCs w:val="24"/>
        </w:rPr>
        <w:t xml:space="preserve"> </w:t>
      </w:r>
      <w:r w:rsidRPr="00C055EF">
        <w:rPr>
          <w:i/>
          <w:szCs w:val="24"/>
        </w:rPr>
        <w:t>seq</w:t>
      </w:r>
      <w:r w:rsidRPr="00C055EF">
        <w:rPr>
          <w:szCs w:val="24"/>
        </w:rPr>
        <w:t>., regarding the preparation and filing of briefs.  Page limitations on briefs will be discussed on or before the last day of hearing.  Where possible, the parties sh</w:t>
      </w:r>
      <w:r w:rsidR="00614199">
        <w:rPr>
          <w:szCs w:val="24"/>
        </w:rPr>
        <w:t>all submit to the Presiding ALJ</w:t>
      </w:r>
      <w:r w:rsidRPr="00C055EF">
        <w:rPr>
          <w:szCs w:val="24"/>
        </w:rPr>
        <w:t xml:space="preserve"> </w:t>
      </w:r>
      <w:r w:rsidRPr="006B54A5">
        <w:rPr>
          <w:b/>
          <w:szCs w:val="24"/>
        </w:rPr>
        <w:t>one</w:t>
      </w:r>
      <w:r w:rsidRPr="00C055EF">
        <w:rPr>
          <w:szCs w:val="24"/>
        </w:rPr>
        <w:t xml:space="preserve"> hard copy of their briefs and one copy by email.  If a party cannot provide a copy by email or on computer disk, it must submit two hard copies of briefs.  The electronic version of a brief must be prepared on an </w:t>
      </w:r>
      <w:smartTag w:uri="urn:schemas-microsoft-com:office:smarttags" w:element="stockticker">
        <w:r w:rsidRPr="00C055EF">
          <w:rPr>
            <w:szCs w:val="24"/>
          </w:rPr>
          <w:t>IBM</w:t>
        </w:r>
      </w:smartTag>
      <w:r w:rsidRPr="00C055EF">
        <w:rPr>
          <w:szCs w:val="24"/>
        </w:rPr>
        <w:t xml:space="preserve"> compatible system in </w:t>
      </w:r>
      <w:r w:rsidRPr="004D0BDA">
        <w:rPr>
          <w:i/>
          <w:szCs w:val="24"/>
        </w:rPr>
        <w:t xml:space="preserve">Microsoft </w:t>
      </w:r>
      <w:r w:rsidR="00654324" w:rsidRPr="004D0BDA">
        <w:rPr>
          <w:i/>
          <w:szCs w:val="24"/>
        </w:rPr>
        <w:t xml:space="preserve">Office </w:t>
      </w:r>
      <w:r w:rsidRPr="004D0BDA">
        <w:rPr>
          <w:i/>
          <w:szCs w:val="24"/>
        </w:rPr>
        <w:t>Word </w:t>
      </w:r>
      <w:r w:rsidR="004D0BDA" w:rsidRPr="004D0BDA">
        <w:rPr>
          <w:i/>
          <w:szCs w:val="24"/>
        </w:rPr>
        <w:t>2010</w:t>
      </w:r>
      <w:r w:rsidRPr="00C055EF">
        <w:rPr>
          <w:szCs w:val="24"/>
        </w:rPr>
        <w:t xml:space="preserve"> format or in an earlier version of this software application.  If in doubt, please call the office of the Presiding ALJ for clarification.</w:t>
      </w:r>
    </w:p>
    <w:p w:rsidR="00654324" w:rsidRPr="00C055EF" w:rsidRDefault="00654324" w:rsidP="00411241">
      <w:pPr>
        <w:pStyle w:val="Footer"/>
        <w:tabs>
          <w:tab w:val="clear" w:pos="4320"/>
          <w:tab w:val="clear" w:pos="8640"/>
        </w:tabs>
        <w:rPr>
          <w:szCs w:val="24"/>
        </w:rPr>
      </w:pPr>
    </w:p>
    <w:p w:rsidR="00654324" w:rsidRDefault="00654324" w:rsidP="00411241">
      <w:pPr>
        <w:pStyle w:val="Footer"/>
        <w:tabs>
          <w:tab w:val="clear" w:pos="4320"/>
          <w:tab w:val="clear" w:pos="8640"/>
        </w:tabs>
        <w:rPr>
          <w:szCs w:val="24"/>
        </w:rPr>
      </w:pPr>
      <w:r w:rsidRPr="00C055EF">
        <w:rPr>
          <w:szCs w:val="24"/>
        </w:rPr>
        <w:tab/>
      </w:r>
      <w:r w:rsidRPr="00C055EF">
        <w:rPr>
          <w:szCs w:val="24"/>
        </w:rPr>
        <w:tab/>
      </w:r>
      <w:r w:rsidRPr="00C055EF">
        <w:rPr>
          <w:b/>
          <w:szCs w:val="24"/>
          <w:u w:val="single"/>
        </w:rPr>
        <w:t>IMPORTANT NOTICE</w:t>
      </w:r>
      <w:r w:rsidRPr="00C055EF">
        <w:rPr>
          <w:szCs w:val="24"/>
        </w:rPr>
        <w:t xml:space="preserve">: </w:t>
      </w:r>
      <w:r w:rsidR="00DF6E59">
        <w:rPr>
          <w:szCs w:val="24"/>
        </w:rPr>
        <w:t xml:space="preserve"> </w:t>
      </w:r>
      <w:r w:rsidR="00A35477" w:rsidRPr="00C055EF">
        <w:rPr>
          <w:szCs w:val="24"/>
        </w:rPr>
        <w:t xml:space="preserve">All briefs </w:t>
      </w:r>
      <w:r w:rsidR="00A35477" w:rsidRPr="00C055EF">
        <w:rPr>
          <w:b/>
          <w:szCs w:val="24"/>
          <w:u w:val="single"/>
        </w:rPr>
        <w:t>must</w:t>
      </w:r>
      <w:r w:rsidR="00A35477" w:rsidRPr="00C055EF">
        <w:rPr>
          <w:szCs w:val="24"/>
        </w:rPr>
        <w:t xml:space="preserve"> conform to the </w:t>
      </w:r>
      <w:r w:rsidR="00C9730E" w:rsidRPr="00C055EF">
        <w:rPr>
          <w:szCs w:val="24"/>
        </w:rPr>
        <w:t xml:space="preserve">“Special Instructions for Briefs and Exceptions in Major </w:t>
      </w:r>
      <w:r w:rsidR="00CC78DC">
        <w:rPr>
          <w:szCs w:val="24"/>
        </w:rPr>
        <w:t xml:space="preserve">General </w:t>
      </w:r>
      <w:r w:rsidR="00C9730E" w:rsidRPr="00C055EF">
        <w:rPr>
          <w:szCs w:val="24"/>
        </w:rPr>
        <w:t xml:space="preserve">Rate Increase Proceedings,” which are attached hereto as </w:t>
      </w:r>
      <w:r w:rsidR="00C9730E" w:rsidRPr="006B54A5">
        <w:rPr>
          <w:szCs w:val="24"/>
        </w:rPr>
        <w:t>Appendix </w:t>
      </w:r>
      <w:r w:rsidR="006B54A5">
        <w:rPr>
          <w:szCs w:val="24"/>
        </w:rPr>
        <w:t>A</w:t>
      </w:r>
      <w:r w:rsidR="00C9730E" w:rsidRPr="00C055EF">
        <w:rPr>
          <w:szCs w:val="24"/>
        </w:rPr>
        <w:t xml:space="preserve"> and incorporated herein by reference as fully as though they were set forth herein in detail.  </w:t>
      </w:r>
      <w:r w:rsidR="003F5351" w:rsidRPr="00C055EF">
        <w:rPr>
          <w:szCs w:val="24"/>
        </w:rPr>
        <w:t>A party’s f</w:t>
      </w:r>
      <w:r w:rsidR="00C9730E" w:rsidRPr="00C055EF">
        <w:rPr>
          <w:szCs w:val="24"/>
        </w:rPr>
        <w:t xml:space="preserve">ailure to follow these instructions in the smallest detail will result in </w:t>
      </w:r>
      <w:r w:rsidR="003F5351" w:rsidRPr="00C055EF">
        <w:rPr>
          <w:szCs w:val="24"/>
        </w:rPr>
        <w:t>non</w:t>
      </w:r>
      <w:r w:rsidR="00580BCF">
        <w:rPr>
          <w:szCs w:val="24"/>
        </w:rPr>
        <w:noBreakHyphen/>
      </w:r>
      <w:r w:rsidR="003F5351" w:rsidRPr="00C055EF">
        <w:rPr>
          <w:szCs w:val="24"/>
        </w:rPr>
        <w:t xml:space="preserve">consideration </w:t>
      </w:r>
      <w:r w:rsidR="00C9730E" w:rsidRPr="00C055EF">
        <w:rPr>
          <w:szCs w:val="24"/>
        </w:rPr>
        <w:t>of</w:t>
      </w:r>
      <w:r w:rsidR="003F5351" w:rsidRPr="00C055EF">
        <w:rPr>
          <w:szCs w:val="24"/>
        </w:rPr>
        <w:t xml:space="preserve"> that</w:t>
      </w:r>
      <w:r w:rsidR="00C9730E" w:rsidRPr="00C055EF">
        <w:rPr>
          <w:szCs w:val="24"/>
        </w:rPr>
        <w:t xml:space="preserve"> party’s pos</w:t>
      </w:r>
      <w:r w:rsidR="003F5351" w:rsidRPr="00C055EF">
        <w:rPr>
          <w:szCs w:val="24"/>
        </w:rPr>
        <w:t>i</w:t>
      </w:r>
      <w:r w:rsidR="00C9730E" w:rsidRPr="00C055EF">
        <w:rPr>
          <w:szCs w:val="24"/>
        </w:rPr>
        <w:t>tion</w:t>
      </w:r>
      <w:r w:rsidR="003F5351" w:rsidRPr="00C055EF">
        <w:rPr>
          <w:szCs w:val="24"/>
        </w:rPr>
        <w:t xml:space="preserve">, regardless of </w:t>
      </w:r>
      <w:r w:rsidR="009D68DC" w:rsidRPr="00C055EF">
        <w:rPr>
          <w:szCs w:val="24"/>
        </w:rPr>
        <w:t xml:space="preserve">where the record </w:t>
      </w:r>
      <w:r w:rsidR="00D34865" w:rsidRPr="00C055EF">
        <w:rPr>
          <w:szCs w:val="24"/>
        </w:rPr>
        <w:t xml:space="preserve">may </w:t>
      </w:r>
      <w:r w:rsidR="009D68DC" w:rsidRPr="00C055EF">
        <w:rPr>
          <w:szCs w:val="24"/>
        </w:rPr>
        <w:t xml:space="preserve">support it or </w:t>
      </w:r>
      <w:r w:rsidR="003F5351" w:rsidRPr="00C055EF">
        <w:rPr>
          <w:szCs w:val="24"/>
        </w:rPr>
        <w:t>the position of any other party to this proceeding.  Your anticipated cooperation will be appreciated.</w:t>
      </w:r>
    </w:p>
    <w:p w:rsidR="004D0BDA" w:rsidRDefault="004D0BDA" w:rsidP="00411241">
      <w:pPr>
        <w:pStyle w:val="Footer"/>
        <w:tabs>
          <w:tab w:val="clear" w:pos="4320"/>
          <w:tab w:val="clear" w:pos="8640"/>
        </w:tabs>
        <w:jc w:val="center"/>
        <w:rPr>
          <w:b/>
          <w:szCs w:val="24"/>
          <w:u w:val="single"/>
        </w:rPr>
      </w:pPr>
    </w:p>
    <w:p w:rsidR="00B34559" w:rsidRPr="00C055EF" w:rsidRDefault="00B34559" w:rsidP="00411241">
      <w:pPr>
        <w:pStyle w:val="Footer"/>
        <w:tabs>
          <w:tab w:val="clear" w:pos="4320"/>
          <w:tab w:val="clear" w:pos="8640"/>
        </w:tabs>
        <w:jc w:val="center"/>
        <w:rPr>
          <w:szCs w:val="24"/>
        </w:rPr>
      </w:pPr>
      <w:r w:rsidRPr="00C055EF">
        <w:rPr>
          <w:b/>
          <w:szCs w:val="24"/>
          <w:u w:val="single"/>
        </w:rPr>
        <w:t>Modification</w:t>
      </w:r>
    </w:p>
    <w:p w:rsidR="00B34559" w:rsidRPr="00C055EF" w:rsidRDefault="00B34559" w:rsidP="00411241">
      <w:pPr>
        <w:pStyle w:val="Footer"/>
        <w:tabs>
          <w:tab w:val="clear" w:pos="4320"/>
          <w:tab w:val="clear" w:pos="8640"/>
        </w:tabs>
        <w:rPr>
          <w:szCs w:val="24"/>
        </w:rPr>
      </w:pPr>
    </w:p>
    <w:p w:rsidR="00B34559" w:rsidRPr="00C055EF" w:rsidRDefault="00B34559" w:rsidP="00411241">
      <w:pPr>
        <w:pStyle w:val="Footer"/>
        <w:tabs>
          <w:tab w:val="clear" w:pos="4320"/>
          <w:tab w:val="clear" w:pos="8640"/>
        </w:tabs>
        <w:rPr>
          <w:spacing w:val="-3"/>
          <w:szCs w:val="24"/>
        </w:rPr>
      </w:pPr>
      <w:r w:rsidRPr="00C055EF">
        <w:rPr>
          <w:szCs w:val="24"/>
        </w:rPr>
        <w:tab/>
      </w:r>
      <w:r w:rsidRPr="00C055EF">
        <w:rPr>
          <w:szCs w:val="24"/>
        </w:rPr>
        <w:tab/>
        <w:t xml:space="preserve">Any of the provisions of this </w:t>
      </w:r>
      <w:r w:rsidRPr="00C055EF">
        <w:rPr>
          <w:spacing w:val="-3"/>
          <w:szCs w:val="24"/>
        </w:rPr>
        <w:t>Prehearing Order may be modified upon motion and good cause shown by any party in interest.</w:t>
      </w:r>
    </w:p>
    <w:p w:rsidR="00B34559" w:rsidRPr="00C055EF" w:rsidRDefault="00B34559" w:rsidP="00411241">
      <w:pPr>
        <w:pStyle w:val="Footer"/>
        <w:tabs>
          <w:tab w:val="clear" w:pos="4320"/>
          <w:tab w:val="clear" w:pos="8640"/>
        </w:tabs>
        <w:rPr>
          <w:spacing w:val="-3"/>
          <w:szCs w:val="24"/>
        </w:rPr>
      </w:pPr>
    </w:p>
    <w:p w:rsidR="00D96314" w:rsidRPr="00C055EF" w:rsidRDefault="00D96314" w:rsidP="00B34559">
      <w:pPr>
        <w:pStyle w:val="Footer"/>
        <w:tabs>
          <w:tab w:val="clear" w:pos="4320"/>
          <w:tab w:val="clear" w:pos="8640"/>
        </w:tabs>
        <w:rPr>
          <w:spacing w:val="-3"/>
          <w:szCs w:val="24"/>
        </w:rPr>
      </w:pPr>
    </w:p>
    <w:p w:rsidR="002219F2" w:rsidRDefault="002219F2" w:rsidP="002219F2">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4D0BDA">
        <w:rPr>
          <w:rFonts w:ascii="Times New Roman" w:hAnsi="Times New Roman" w:cs="Times New Roman"/>
          <w:spacing w:val="-3"/>
          <w:u w:val="single"/>
        </w:rPr>
        <w:t>May 9, 2012</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77345">
        <w:rPr>
          <w:rFonts w:ascii="Times New Roman" w:hAnsi="Times New Roman" w:cs="Times New Roman"/>
          <w:spacing w:val="-3"/>
        </w:rPr>
        <w:tab/>
      </w:r>
      <w:r>
        <w:rPr>
          <w:rFonts w:ascii="Times New Roman" w:hAnsi="Times New Roman" w:cs="Times New Roman"/>
          <w:spacing w:val="-3"/>
        </w:rPr>
        <w:t>_______________________________</w:t>
      </w:r>
    </w:p>
    <w:p w:rsidR="002219F2" w:rsidRDefault="002219F2" w:rsidP="002219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D0BDA">
        <w:rPr>
          <w:rFonts w:ascii="Times New Roman" w:hAnsi="Times New Roman" w:cs="Times New Roman"/>
          <w:spacing w:val="-3"/>
        </w:rPr>
        <w:t>Mary D. Long</w:t>
      </w:r>
    </w:p>
    <w:p w:rsidR="002219F2" w:rsidRPr="000E6DAB" w:rsidRDefault="002219F2" w:rsidP="004D0BDA">
      <w:pPr>
        <w:pStyle w:val="ParaTab1"/>
        <w:ind w:firstLine="0"/>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0E6DAB" w:rsidRPr="000E6DAB" w:rsidRDefault="000E6DAB" w:rsidP="008F6C35">
      <w:pPr>
        <w:pStyle w:val="Footer"/>
        <w:tabs>
          <w:tab w:val="clear" w:pos="4320"/>
          <w:tab w:val="clear" w:pos="8640"/>
        </w:tabs>
        <w:jc w:val="center"/>
        <w:rPr>
          <w:szCs w:val="24"/>
        </w:rPr>
      </w:pPr>
    </w:p>
    <w:sectPr w:rsidR="000E6DAB" w:rsidRPr="000E6DAB" w:rsidSect="004E47EA">
      <w:footerReference w:type="even" r:id="rId10"/>
      <w:footerReference w:type="default" r:id="rId11"/>
      <w:endnotePr>
        <w:numFmt w:val="decimal"/>
      </w:endnotePr>
      <w:pgSz w:w="12240" w:h="15840" w:code="1"/>
      <w:pgMar w:top="1440" w:right="1440" w:bottom="1440" w:left="1440" w:header="144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98F" w:rsidRPr="0038319B" w:rsidRDefault="00AE298F">
      <w:pPr>
        <w:rPr>
          <w:sz w:val="19"/>
          <w:szCs w:val="19"/>
        </w:rPr>
      </w:pPr>
      <w:r w:rsidRPr="0038319B">
        <w:rPr>
          <w:sz w:val="19"/>
          <w:szCs w:val="19"/>
        </w:rPr>
        <w:separator/>
      </w:r>
    </w:p>
  </w:endnote>
  <w:endnote w:type="continuationSeparator" w:id="0">
    <w:p w:rsidR="00AE298F" w:rsidRPr="0038319B" w:rsidRDefault="00AE298F">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74" w:rsidRPr="0038319B" w:rsidRDefault="00716B74"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rsidR="00716B74" w:rsidRPr="0038319B" w:rsidRDefault="00716B74">
    <w:pPr>
      <w:pStyle w:val="Footer"/>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59" w:rsidRPr="004E47EA" w:rsidRDefault="00B84C59">
    <w:pPr>
      <w:pStyle w:val="Footer"/>
      <w:jc w:val="center"/>
      <w:rPr>
        <w:sz w:val="22"/>
        <w:szCs w:val="22"/>
      </w:rPr>
    </w:pPr>
    <w:r w:rsidRPr="004E47EA">
      <w:rPr>
        <w:sz w:val="22"/>
        <w:szCs w:val="22"/>
      </w:rPr>
      <w:fldChar w:fldCharType="begin"/>
    </w:r>
    <w:r w:rsidRPr="004E47EA">
      <w:rPr>
        <w:sz w:val="22"/>
        <w:szCs w:val="22"/>
      </w:rPr>
      <w:instrText xml:space="preserve"> PAGE   \* MERGEFORMAT </w:instrText>
    </w:r>
    <w:r w:rsidRPr="004E47EA">
      <w:rPr>
        <w:sz w:val="22"/>
        <w:szCs w:val="22"/>
      </w:rPr>
      <w:fldChar w:fldCharType="separate"/>
    </w:r>
    <w:r w:rsidR="00405B5D">
      <w:rPr>
        <w:noProof/>
        <w:sz w:val="22"/>
        <w:szCs w:val="22"/>
      </w:rPr>
      <w:t>8</w:t>
    </w:r>
    <w:r w:rsidRPr="004E47EA">
      <w:rPr>
        <w:sz w:val="22"/>
        <w:szCs w:val="22"/>
      </w:rPr>
      <w:fldChar w:fldCharType="end"/>
    </w:r>
  </w:p>
  <w:p w:rsidR="008F6C35" w:rsidRDefault="008F6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98F" w:rsidRPr="0038319B" w:rsidRDefault="00AE298F">
      <w:pPr>
        <w:rPr>
          <w:sz w:val="19"/>
          <w:szCs w:val="19"/>
        </w:rPr>
      </w:pPr>
      <w:r w:rsidRPr="0038319B">
        <w:rPr>
          <w:sz w:val="19"/>
          <w:szCs w:val="19"/>
        </w:rPr>
        <w:separator/>
      </w:r>
    </w:p>
  </w:footnote>
  <w:footnote w:type="continuationSeparator" w:id="0">
    <w:p w:rsidR="00AE298F" w:rsidRPr="0038319B" w:rsidRDefault="00AE298F">
      <w:pPr>
        <w:rPr>
          <w:sz w:val="19"/>
          <w:szCs w:val="19"/>
        </w:rPr>
      </w:pPr>
      <w:r w:rsidRPr="0038319B">
        <w:rPr>
          <w:sz w:val="19"/>
          <w:szCs w:val="19"/>
        </w:rPr>
        <w:continuationSeparator/>
      </w:r>
    </w:p>
  </w:footnote>
  <w:footnote w:id="1">
    <w:p w:rsidR="00AD19BA" w:rsidRPr="004E47EA" w:rsidRDefault="00AD19BA" w:rsidP="00843E84">
      <w:pPr>
        <w:pStyle w:val="FootnoteText"/>
        <w:ind w:firstLine="720"/>
        <w:rPr>
          <w:sz w:val="20"/>
        </w:rPr>
      </w:pPr>
      <w:r w:rsidRPr="004E47EA">
        <w:rPr>
          <w:rStyle w:val="FootnoteReference"/>
          <w:sz w:val="20"/>
        </w:rPr>
        <w:footnoteRef/>
      </w:r>
      <w:r w:rsidRPr="004E47EA">
        <w:rPr>
          <w:sz w:val="20"/>
        </w:rPr>
        <w:t xml:space="preserve"> </w:t>
      </w:r>
      <w:r w:rsidR="00843E84" w:rsidRPr="004E47EA">
        <w:rPr>
          <w:sz w:val="20"/>
        </w:rPr>
        <w:tab/>
      </w:r>
      <w:r w:rsidRPr="004E47EA">
        <w:rPr>
          <w:sz w:val="20"/>
        </w:rPr>
        <w:t xml:space="preserve">CAUSE-PA also filed a complaint at PUC Docket No. </w:t>
      </w:r>
      <w:proofErr w:type="gramStart"/>
      <w:r w:rsidRPr="004E47EA">
        <w:rPr>
          <w:sz w:val="20"/>
        </w:rPr>
        <w:t>C-2012-2302843.</w:t>
      </w:r>
      <w:proofErr w:type="gramEnd"/>
      <w:r w:rsidR="00900376" w:rsidRPr="004E47EA">
        <w:rPr>
          <w:sz w:val="20"/>
        </w:rPr>
        <w:t xml:space="preserve">  This complaint was not consolidated with this proceeding pending ruling upon CAUSE-PA’s petition to intervene.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C0BBD"/>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7099120"/>
  </w:docVars>
  <w:rsids>
    <w:rsidRoot w:val="00D246EA"/>
    <w:rsid w:val="00002E71"/>
    <w:rsid w:val="00007B24"/>
    <w:rsid w:val="00013385"/>
    <w:rsid w:val="0001444C"/>
    <w:rsid w:val="00015C87"/>
    <w:rsid w:val="00022031"/>
    <w:rsid w:val="00022664"/>
    <w:rsid w:val="00024AA5"/>
    <w:rsid w:val="00025122"/>
    <w:rsid w:val="000255FB"/>
    <w:rsid w:val="00025E28"/>
    <w:rsid w:val="00027E4C"/>
    <w:rsid w:val="00032AA1"/>
    <w:rsid w:val="00035D88"/>
    <w:rsid w:val="000404B5"/>
    <w:rsid w:val="00041943"/>
    <w:rsid w:val="00042860"/>
    <w:rsid w:val="00044944"/>
    <w:rsid w:val="00047F1C"/>
    <w:rsid w:val="000514DC"/>
    <w:rsid w:val="000517CF"/>
    <w:rsid w:val="0005471E"/>
    <w:rsid w:val="00057138"/>
    <w:rsid w:val="0006429B"/>
    <w:rsid w:val="0006554F"/>
    <w:rsid w:val="00070D98"/>
    <w:rsid w:val="000716B7"/>
    <w:rsid w:val="00073388"/>
    <w:rsid w:val="000767FF"/>
    <w:rsid w:val="0008135A"/>
    <w:rsid w:val="00084258"/>
    <w:rsid w:val="00085BAF"/>
    <w:rsid w:val="00087CC5"/>
    <w:rsid w:val="0009005C"/>
    <w:rsid w:val="000945B0"/>
    <w:rsid w:val="00096BA9"/>
    <w:rsid w:val="00096F74"/>
    <w:rsid w:val="000A510C"/>
    <w:rsid w:val="000A7EFE"/>
    <w:rsid w:val="000B23CB"/>
    <w:rsid w:val="000B629F"/>
    <w:rsid w:val="000C08F3"/>
    <w:rsid w:val="000C1A6B"/>
    <w:rsid w:val="000C269C"/>
    <w:rsid w:val="000C2C00"/>
    <w:rsid w:val="000C3925"/>
    <w:rsid w:val="000C40B9"/>
    <w:rsid w:val="000C5510"/>
    <w:rsid w:val="000C71B2"/>
    <w:rsid w:val="000D1336"/>
    <w:rsid w:val="000D396C"/>
    <w:rsid w:val="000D5C9F"/>
    <w:rsid w:val="000D7906"/>
    <w:rsid w:val="000E0C64"/>
    <w:rsid w:val="000E6C36"/>
    <w:rsid w:val="000E6DAB"/>
    <w:rsid w:val="000F0CB0"/>
    <w:rsid w:val="000F1E2C"/>
    <w:rsid w:val="000F22AD"/>
    <w:rsid w:val="000F235E"/>
    <w:rsid w:val="000F6D8B"/>
    <w:rsid w:val="00105690"/>
    <w:rsid w:val="001059C3"/>
    <w:rsid w:val="00111205"/>
    <w:rsid w:val="00114A5C"/>
    <w:rsid w:val="00114D69"/>
    <w:rsid w:val="001163B8"/>
    <w:rsid w:val="00120A71"/>
    <w:rsid w:val="0012337D"/>
    <w:rsid w:val="00126555"/>
    <w:rsid w:val="001336B2"/>
    <w:rsid w:val="001341E8"/>
    <w:rsid w:val="0014695E"/>
    <w:rsid w:val="00150F38"/>
    <w:rsid w:val="001534FA"/>
    <w:rsid w:val="001549F0"/>
    <w:rsid w:val="001551FE"/>
    <w:rsid w:val="00156AFD"/>
    <w:rsid w:val="00161D0B"/>
    <w:rsid w:val="00163667"/>
    <w:rsid w:val="00164440"/>
    <w:rsid w:val="0016667B"/>
    <w:rsid w:val="00166CFA"/>
    <w:rsid w:val="001700EF"/>
    <w:rsid w:val="00171BA7"/>
    <w:rsid w:val="001720A6"/>
    <w:rsid w:val="00177C22"/>
    <w:rsid w:val="00182211"/>
    <w:rsid w:val="0018502A"/>
    <w:rsid w:val="001870A9"/>
    <w:rsid w:val="00187114"/>
    <w:rsid w:val="00190B52"/>
    <w:rsid w:val="00192F81"/>
    <w:rsid w:val="00194198"/>
    <w:rsid w:val="00197214"/>
    <w:rsid w:val="00197FE7"/>
    <w:rsid w:val="001A2FF5"/>
    <w:rsid w:val="001A474D"/>
    <w:rsid w:val="001A517C"/>
    <w:rsid w:val="001A5CB4"/>
    <w:rsid w:val="001B1E6E"/>
    <w:rsid w:val="001B37F9"/>
    <w:rsid w:val="001B389A"/>
    <w:rsid w:val="001B669F"/>
    <w:rsid w:val="001B717E"/>
    <w:rsid w:val="001B7B44"/>
    <w:rsid w:val="001C104C"/>
    <w:rsid w:val="001C1DA4"/>
    <w:rsid w:val="001D06F2"/>
    <w:rsid w:val="001E13F6"/>
    <w:rsid w:val="001E2FE1"/>
    <w:rsid w:val="001E6948"/>
    <w:rsid w:val="001E6AC2"/>
    <w:rsid w:val="001E7C98"/>
    <w:rsid w:val="001F166D"/>
    <w:rsid w:val="001F5956"/>
    <w:rsid w:val="001F5E84"/>
    <w:rsid w:val="001F7CF1"/>
    <w:rsid w:val="001F7E8A"/>
    <w:rsid w:val="002002ED"/>
    <w:rsid w:val="00201FC3"/>
    <w:rsid w:val="00202271"/>
    <w:rsid w:val="00205676"/>
    <w:rsid w:val="0020746B"/>
    <w:rsid w:val="002107F3"/>
    <w:rsid w:val="00210D7F"/>
    <w:rsid w:val="00212F85"/>
    <w:rsid w:val="0021472B"/>
    <w:rsid w:val="00216054"/>
    <w:rsid w:val="00217935"/>
    <w:rsid w:val="00221630"/>
    <w:rsid w:val="002219F2"/>
    <w:rsid w:val="002221D5"/>
    <w:rsid w:val="002231E7"/>
    <w:rsid w:val="00225429"/>
    <w:rsid w:val="00225674"/>
    <w:rsid w:val="0022623F"/>
    <w:rsid w:val="002270C7"/>
    <w:rsid w:val="00234986"/>
    <w:rsid w:val="0023594C"/>
    <w:rsid w:val="00237F95"/>
    <w:rsid w:val="002439BE"/>
    <w:rsid w:val="00243A84"/>
    <w:rsid w:val="00244DC3"/>
    <w:rsid w:val="00245691"/>
    <w:rsid w:val="00247677"/>
    <w:rsid w:val="00251107"/>
    <w:rsid w:val="00254AC4"/>
    <w:rsid w:val="0025505D"/>
    <w:rsid w:val="0025568C"/>
    <w:rsid w:val="0025624A"/>
    <w:rsid w:val="002569D2"/>
    <w:rsid w:val="00256F15"/>
    <w:rsid w:val="002659C1"/>
    <w:rsid w:val="002705F3"/>
    <w:rsid w:val="002715D6"/>
    <w:rsid w:val="00273113"/>
    <w:rsid w:val="00281525"/>
    <w:rsid w:val="00281F7B"/>
    <w:rsid w:val="00282E72"/>
    <w:rsid w:val="00286013"/>
    <w:rsid w:val="00286E18"/>
    <w:rsid w:val="00292413"/>
    <w:rsid w:val="002947E8"/>
    <w:rsid w:val="00297007"/>
    <w:rsid w:val="002A08AE"/>
    <w:rsid w:val="002A161B"/>
    <w:rsid w:val="002A5244"/>
    <w:rsid w:val="002A5634"/>
    <w:rsid w:val="002A667C"/>
    <w:rsid w:val="002B080D"/>
    <w:rsid w:val="002B222F"/>
    <w:rsid w:val="002B43C8"/>
    <w:rsid w:val="002C0A83"/>
    <w:rsid w:val="002C5195"/>
    <w:rsid w:val="002C6736"/>
    <w:rsid w:val="002D3212"/>
    <w:rsid w:val="002D3360"/>
    <w:rsid w:val="002D46AD"/>
    <w:rsid w:val="002D4AD0"/>
    <w:rsid w:val="002D50E8"/>
    <w:rsid w:val="002E2732"/>
    <w:rsid w:val="002E414F"/>
    <w:rsid w:val="002E62AE"/>
    <w:rsid w:val="002E7CBD"/>
    <w:rsid w:val="002E7DD5"/>
    <w:rsid w:val="002F0988"/>
    <w:rsid w:val="003009B5"/>
    <w:rsid w:val="00302100"/>
    <w:rsid w:val="00304EAE"/>
    <w:rsid w:val="00305A3E"/>
    <w:rsid w:val="003105EB"/>
    <w:rsid w:val="00314634"/>
    <w:rsid w:val="003209B7"/>
    <w:rsid w:val="0032184B"/>
    <w:rsid w:val="00322AAB"/>
    <w:rsid w:val="00323CE9"/>
    <w:rsid w:val="0032536B"/>
    <w:rsid w:val="00332ED6"/>
    <w:rsid w:val="0033676C"/>
    <w:rsid w:val="003367D1"/>
    <w:rsid w:val="00343DF7"/>
    <w:rsid w:val="00344BBD"/>
    <w:rsid w:val="003560A1"/>
    <w:rsid w:val="0036055F"/>
    <w:rsid w:val="00363FC4"/>
    <w:rsid w:val="00372BCE"/>
    <w:rsid w:val="00375C8A"/>
    <w:rsid w:val="00375FC7"/>
    <w:rsid w:val="00376661"/>
    <w:rsid w:val="00376FD2"/>
    <w:rsid w:val="00377219"/>
    <w:rsid w:val="00381B41"/>
    <w:rsid w:val="0038319B"/>
    <w:rsid w:val="00383E9E"/>
    <w:rsid w:val="00386EC2"/>
    <w:rsid w:val="00391123"/>
    <w:rsid w:val="003914A1"/>
    <w:rsid w:val="003928FD"/>
    <w:rsid w:val="00392AD3"/>
    <w:rsid w:val="00397CDF"/>
    <w:rsid w:val="003A3AF6"/>
    <w:rsid w:val="003A51FD"/>
    <w:rsid w:val="003A698F"/>
    <w:rsid w:val="003A7731"/>
    <w:rsid w:val="003B0F7E"/>
    <w:rsid w:val="003B5554"/>
    <w:rsid w:val="003C0F08"/>
    <w:rsid w:val="003C18D2"/>
    <w:rsid w:val="003C49C9"/>
    <w:rsid w:val="003D00C1"/>
    <w:rsid w:val="003D15D0"/>
    <w:rsid w:val="003D38F7"/>
    <w:rsid w:val="003D6830"/>
    <w:rsid w:val="003E0082"/>
    <w:rsid w:val="003E29D4"/>
    <w:rsid w:val="003E5D1E"/>
    <w:rsid w:val="003F15E2"/>
    <w:rsid w:val="003F347A"/>
    <w:rsid w:val="003F5351"/>
    <w:rsid w:val="003F69C5"/>
    <w:rsid w:val="0040464B"/>
    <w:rsid w:val="00405B5D"/>
    <w:rsid w:val="00407E2D"/>
    <w:rsid w:val="00411241"/>
    <w:rsid w:val="00412AAE"/>
    <w:rsid w:val="004148B3"/>
    <w:rsid w:val="0041758B"/>
    <w:rsid w:val="00417A48"/>
    <w:rsid w:val="004204B4"/>
    <w:rsid w:val="0042101A"/>
    <w:rsid w:val="004252F4"/>
    <w:rsid w:val="004255AD"/>
    <w:rsid w:val="00427446"/>
    <w:rsid w:val="00427731"/>
    <w:rsid w:val="00427C3F"/>
    <w:rsid w:val="00431ED9"/>
    <w:rsid w:val="004345F2"/>
    <w:rsid w:val="00436C11"/>
    <w:rsid w:val="00441E8C"/>
    <w:rsid w:val="00443FC3"/>
    <w:rsid w:val="00444F84"/>
    <w:rsid w:val="00447DAD"/>
    <w:rsid w:val="0045770A"/>
    <w:rsid w:val="004610DD"/>
    <w:rsid w:val="00464FEE"/>
    <w:rsid w:val="00466C20"/>
    <w:rsid w:val="00466EEB"/>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B1125"/>
    <w:rsid w:val="004B1E4E"/>
    <w:rsid w:val="004B2B97"/>
    <w:rsid w:val="004B58A0"/>
    <w:rsid w:val="004C1229"/>
    <w:rsid w:val="004C1ADF"/>
    <w:rsid w:val="004C2622"/>
    <w:rsid w:val="004C3351"/>
    <w:rsid w:val="004C66DC"/>
    <w:rsid w:val="004C6ACC"/>
    <w:rsid w:val="004D0BDA"/>
    <w:rsid w:val="004D1AF6"/>
    <w:rsid w:val="004D26B3"/>
    <w:rsid w:val="004D3CF4"/>
    <w:rsid w:val="004D5571"/>
    <w:rsid w:val="004D6A84"/>
    <w:rsid w:val="004E2DEE"/>
    <w:rsid w:val="004E3916"/>
    <w:rsid w:val="004E47EA"/>
    <w:rsid w:val="004E48B8"/>
    <w:rsid w:val="004E56E5"/>
    <w:rsid w:val="004E6C5D"/>
    <w:rsid w:val="004F296E"/>
    <w:rsid w:val="004F3674"/>
    <w:rsid w:val="004F52CA"/>
    <w:rsid w:val="00500E04"/>
    <w:rsid w:val="00501290"/>
    <w:rsid w:val="00503B65"/>
    <w:rsid w:val="005055FD"/>
    <w:rsid w:val="00510BCD"/>
    <w:rsid w:val="00513A0D"/>
    <w:rsid w:val="00513E78"/>
    <w:rsid w:val="0051710C"/>
    <w:rsid w:val="005205F0"/>
    <w:rsid w:val="00520B4D"/>
    <w:rsid w:val="00521F2B"/>
    <w:rsid w:val="0052321B"/>
    <w:rsid w:val="005235D3"/>
    <w:rsid w:val="005245B1"/>
    <w:rsid w:val="00526125"/>
    <w:rsid w:val="0052693F"/>
    <w:rsid w:val="00527EB8"/>
    <w:rsid w:val="005319D7"/>
    <w:rsid w:val="005463A9"/>
    <w:rsid w:val="00546F57"/>
    <w:rsid w:val="0054708F"/>
    <w:rsid w:val="005474D6"/>
    <w:rsid w:val="00554F2B"/>
    <w:rsid w:val="00562BF1"/>
    <w:rsid w:val="00574970"/>
    <w:rsid w:val="005756F9"/>
    <w:rsid w:val="00575B38"/>
    <w:rsid w:val="00576844"/>
    <w:rsid w:val="005773BD"/>
    <w:rsid w:val="0058038D"/>
    <w:rsid w:val="00580BCF"/>
    <w:rsid w:val="00583A50"/>
    <w:rsid w:val="00584AF6"/>
    <w:rsid w:val="00590615"/>
    <w:rsid w:val="005943D3"/>
    <w:rsid w:val="005945F6"/>
    <w:rsid w:val="00595C07"/>
    <w:rsid w:val="005963C4"/>
    <w:rsid w:val="005A1C96"/>
    <w:rsid w:val="005A560D"/>
    <w:rsid w:val="005B04D0"/>
    <w:rsid w:val="005B4EAA"/>
    <w:rsid w:val="005B7654"/>
    <w:rsid w:val="005C5138"/>
    <w:rsid w:val="005C5ED9"/>
    <w:rsid w:val="005C70F2"/>
    <w:rsid w:val="005D141F"/>
    <w:rsid w:val="005D44A5"/>
    <w:rsid w:val="005D45C9"/>
    <w:rsid w:val="005E6C7E"/>
    <w:rsid w:val="005E77A2"/>
    <w:rsid w:val="005F4BD5"/>
    <w:rsid w:val="006023C2"/>
    <w:rsid w:val="0060255E"/>
    <w:rsid w:val="006026DA"/>
    <w:rsid w:val="00602BAF"/>
    <w:rsid w:val="00603FCF"/>
    <w:rsid w:val="00607F27"/>
    <w:rsid w:val="00613DA8"/>
    <w:rsid w:val="00614199"/>
    <w:rsid w:val="00614B07"/>
    <w:rsid w:val="006168E1"/>
    <w:rsid w:val="00616EF1"/>
    <w:rsid w:val="0062040F"/>
    <w:rsid w:val="00622936"/>
    <w:rsid w:val="0062391C"/>
    <w:rsid w:val="0062406D"/>
    <w:rsid w:val="00624998"/>
    <w:rsid w:val="00624A87"/>
    <w:rsid w:val="0062593D"/>
    <w:rsid w:val="00636172"/>
    <w:rsid w:val="0064016B"/>
    <w:rsid w:val="0064206D"/>
    <w:rsid w:val="00645937"/>
    <w:rsid w:val="00651B5B"/>
    <w:rsid w:val="00654324"/>
    <w:rsid w:val="0065509C"/>
    <w:rsid w:val="0065674E"/>
    <w:rsid w:val="00657880"/>
    <w:rsid w:val="00657F07"/>
    <w:rsid w:val="00661B4E"/>
    <w:rsid w:val="00661CF0"/>
    <w:rsid w:val="00662C19"/>
    <w:rsid w:val="0067080A"/>
    <w:rsid w:val="00670B1B"/>
    <w:rsid w:val="006729FF"/>
    <w:rsid w:val="006734EC"/>
    <w:rsid w:val="00675F41"/>
    <w:rsid w:val="00676400"/>
    <w:rsid w:val="006801D7"/>
    <w:rsid w:val="0068098C"/>
    <w:rsid w:val="00682EB4"/>
    <w:rsid w:val="00684C33"/>
    <w:rsid w:val="00692D9A"/>
    <w:rsid w:val="00694E8C"/>
    <w:rsid w:val="006A64F2"/>
    <w:rsid w:val="006A6FAE"/>
    <w:rsid w:val="006B3EFB"/>
    <w:rsid w:val="006B54A5"/>
    <w:rsid w:val="006B690F"/>
    <w:rsid w:val="006B69E2"/>
    <w:rsid w:val="006C245B"/>
    <w:rsid w:val="006C3072"/>
    <w:rsid w:val="006C578A"/>
    <w:rsid w:val="006C5DA4"/>
    <w:rsid w:val="006C6F08"/>
    <w:rsid w:val="006C7836"/>
    <w:rsid w:val="006D491B"/>
    <w:rsid w:val="006D6B1D"/>
    <w:rsid w:val="006E1DF2"/>
    <w:rsid w:val="006E2729"/>
    <w:rsid w:val="006E57E8"/>
    <w:rsid w:val="006F08AE"/>
    <w:rsid w:val="006F2ACE"/>
    <w:rsid w:val="007000FB"/>
    <w:rsid w:val="007008E0"/>
    <w:rsid w:val="00705235"/>
    <w:rsid w:val="0071044A"/>
    <w:rsid w:val="007107AD"/>
    <w:rsid w:val="00715311"/>
    <w:rsid w:val="00716B74"/>
    <w:rsid w:val="00721F14"/>
    <w:rsid w:val="00723821"/>
    <w:rsid w:val="007241C6"/>
    <w:rsid w:val="0072603B"/>
    <w:rsid w:val="00735001"/>
    <w:rsid w:val="00742C25"/>
    <w:rsid w:val="00743300"/>
    <w:rsid w:val="00745364"/>
    <w:rsid w:val="00747A6F"/>
    <w:rsid w:val="007520AB"/>
    <w:rsid w:val="00752308"/>
    <w:rsid w:val="00764D5B"/>
    <w:rsid w:val="00766C21"/>
    <w:rsid w:val="00767683"/>
    <w:rsid w:val="0077010C"/>
    <w:rsid w:val="00772875"/>
    <w:rsid w:val="0077419F"/>
    <w:rsid w:val="0077518D"/>
    <w:rsid w:val="00776BEF"/>
    <w:rsid w:val="00781BAD"/>
    <w:rsid w:val="00783E2F"/>
    <w:rsid w:val="00787B82"/>
    <w:rsid w:val="00792375"/>
    <w:rsid w:val="00796F08"/>
    <w:rsid w:val="007A1A4C"/>
    <w:rsid w:val="007A1FE4"/>
    <w:rsid w:val="007A3DF4"/>
    <w:rsid w:val="007A4181"/>
    <w:rsid w:val="007A46A0"/>
    <w:rsid w:val="007A646C"/>
    <w:rsid w:val="007B21DD"/>
    <w:rsid w:val="007B430A"/>
    <w:rsid w:val="007B51B9"/>
    <w:rsid w:val="007B5630"/>
    <w:rsid w:val="007C0BAC"/>
    <w:rsid w:val="007C2688"/>
    <w:rsid w:val="007C5C9F"/>
    <w:rsid w:val="007C5E26"/>
    <w:rsid w:val="007D2137"/>
    <w:rsid w:val="007D3A28"/>
    <w:rsid w:val="007D67D1"/>
    <w:rsid w:val="007D796C"/>
    <w:rsid w:val="007E2A88"/>
    <w:rsid w:val="007E3D09"/>
    <w:rsid w:val="007E65F3"/>
    <w:rsid w:val="007F6755"/>
    <w:rsid w:val="00803C80"/>
    <w:rsid w:val="008046A7"/>
    <w:rsid w:val="0081794C"/>
    <w:rsid w:val="0082072C"/>
    <w:rsid w:val="008211B6"/>
    <w:rsid w:val="008215F2"/>
    <w:rsid w:val="0082268A"/>
    <w:rsid w:val="00823ECB"/>
    <w:rsid w:val="008305E5"/>
    <w:rsid w:val="00831EDA"/>
    <w:rsid w:val="008363BD"/>
    <w:rsid w:val="008433EA"/>
    <w:rsid w:val="00843476"/>
    <w:rsid w:val="00843826"/>
    <w:rsid w:val="00843E84"/>
    <w:rsid w:val="0084562F"/>
    <w:rsid w:val="008524F5"/>
    <w:rsid w:val="008527AF"/>
    <w:rsid w:val="00852BFB"/>
    <w:rsid w:val="00853982"/>
    <w:rsid w:val="0085531D"/>
    <w:rsid w:val="0085796E"/>
    <w:rsid w:val="00860898"/>
    <w:rsid w:val="00872392"/>
    <w:rsid w:val="008739F3"/>
    <w:rsid w:val="00875888"/>
    <w:rsid w:val="00875DE6"/>
    <w:rsid w:val="00877335"/>
    <w:rsid w:val="008779FD"/>
    <w:rsid w:val="00881A7C"/>
    <w:rsid w:val="00885412"/>
    <w:rsid w:val="0088650D"/>
    <w:rsid w:val="0089017C"/>
    <w:rsid w:val="0089092B"/>
    <w:rsid w:val="00890FD6"/>
    <w:rsid w:val="0089104A"/>
    <w:rsid w:val="00893AEA"/>
    <w:rsid w:val="00894A65"/>
    <w:rsid w:val="00895B38"/>
    <w:rsid w:val="00896729"/>
    <w:rsid w:val="00896DED"/>
    <w:rsid w:val="00897E6A"/>
    <w:rsid w:val="008A43BB"/>
    <w:rsid w:val="008A53F1"/>
    <w:rsid w:val="008A56AE"/>
    <w:rsid w:val="008B30C6"/>
    <w:rsid w:val="008B629C"/>
    <w:rsid w:val="008C0A8C"/>
    <w:rsid w:val="008C1CCC"/>
    <w:rsid w:val="008C4B08"/>
    <w:rsid w:val="008C5630"/>
    <w:rsid w:val="008C6C90"/>
    <w:rsid w:val="008C6CD3"/>
    <w:rsid w:val="008D25CC"/>
    <w:rsid w:val="008D3E8B"/>
    <w:rsid w:val="008D5B17"/>
    <w:rsid w:val="008D72E7"/>
    <w:rsid w:val="008D7CB6"/>
    <w:rsid w:val="008E19FD"/>
    <w:rsid w:val="008E1A72"/>
    <w:rsid w:val="008E482E"/>
    <w:rsid w:val="008E484D"/>
    <w:rsid w:val="008E4AAD"/>
    <w:rsid w:val="008F3DEC"/>
    <w:rsid w:val="008F6C35"/>
    <w:rsid w:val="00900376"/>
    <w:rsid w:val="00904091"/>
    <w:rsid w:val="009044B7"/>
    <w:rsid w:val="009063FA"/>
    <w:rsid w:val="00906E26"/>
    <w:rsid w:val="00912360"/>
    <w:rsid w:val="00914472"/>
    <w:rsid w:val="009163C9"/>
    <w:rsid w:val="00917AE9"/>
    <w:rsid w:val="00921DA9"/>
    <w:rsid w:val="00922491"/>
    <w:rsid w:val="00934F65"/>
    <w:rsid w:val="00940305"/>
    <w:rsid w:val="0094137F"/>
    <w:rsid w:val="00941BFF"/>
    <w:rsid w:val="00941E0A"/>
    <w:rsid w:val="00942B3C"/>
    <w:rsid w:val="00943570"/>
    <w:rsid w:val="009457B7"/>
    <w:rsid w:val="00951621"/>
    <w:rsid w:val="00951681"/>
    <w:rsid w:val="00951BC4"/>
    <w:rsid w:val="00956A19"/>
    <w:rsid w:val="009603C9"/>
    <w:rsid w:val="00960B87"/>
    <w:rsid w:val="0096278B"/>
    <w:rsid w:val="00962AAD"/>
    <w:rsid w:val="009635AB"/>
    <w:rsid w:val="00964ECF"/>
    <w:rsid w:val="00971A09"/>
    <w:rsid w:val="00973E74"/>
    <w:rsid w:val="00974281"/>
    <w:rsid w:val="00975E03"/>
    <w:rsid w:val="009772E0"/>
    <w:rsid w:val="00980566"/>
    <w:rsid w:val="00986732"/>
    <w:rsid w:val="00986ECD"/>
    <w:rsid w:val="009903E3"/>
    <w:rsid w:val="00990BCC"/>
    <w:rsid w:val="009911B5"/>
    <w:rsid w:val="0099176B"/>
    <w:rsid w:val="0099459B"/>
    <w:rsid w:val="00995F6D"/>
    <w:rsid w:val="009972E5"/>
    <w:rsid w:val="009A0A22"/>
    <w:rsid w:val="009A2737"/>
    <w:rsid w:val="009A2A70"/>
    <w:rsid w:val="009A3D45"/>
    <w:rsid w:val="009A622A"/>
    <w:rsid w:val="009A64B7"/>
    <w:rsid w:val="009A7D1A"/>
    <w:rsid w:val="009B1A62"/>
    <w:rsid w:val="009B3268"/>
    <w:rsid w:val="009B5FBB"/>
    <w:rsid w:val="009B6AE5"/>
    <w:rsid w:val="009B795E"/>
    <w:rsid w:val="009C37FA"/>
    <w:rsid w:val="009D0659"/>
    <w:rsid w:val="009D119A"/>
    <w:rsid w:val="009D3FC3"/>
    <w:rsid w:val="009D674B"/>
    <w:rsid w:val="009D68DC"/>
    <w:rsid w:val="009D737E"/>
    <w:rsid w:val="009D7CFB"/>
    <w:rsid w:val="009E0743"/>
    <w:rsid w:val="009E0762"/>
    <w:rsid w:val="009E16BB"/>
    <w:rsid w:val="009E3575"/>
    <w:rsid w:val="009E6878"/>
    <w:rsid w:val="009F07ED"/>
    <w:rsid w:val="009F17FE"/>
    <w:rsid w:val="009F193A"/>
    <w:rsid w:val="009F2B70"/>
    <w:rsid w:val="009F34A1"/>
    <w:rsid w:val="009F4617"/>
    <w:rsid w:val="009F47A7"/>
    <w:rsid w:val="009F7990"/>
    <w:rsid w:val="009F7A6D"/>
    <w:rsid w:val="00A009D4"/>
    <w:rsid w:val="00A0161B"/>
    <w:rsid w:val="00A1194C"/>
    <w:rsid w:val="00A12944"/>
    <w:rsid w:val="00A14EFC"/>
    <w:rsid w:val="00A162C3"/>
    <w:rsid w:val="00A22BE0"/>
    <w:rsid w:val="00A23840"/>
    <w:rsid w:val="00A23CBF"/>
    <w:rsid w:val="00A24C4F"/>
    <w:rsid w:val="00A24D8E"/>
    <w:rsid w:val="00A27657"/>
    <w:rsid w:val="00A30C18"/>
    <w:rsid w:val="00A312B8"/>
    <w:rsid w:val="00A32C82"/>
    <w:rsid w:val="00A33A9C"/>
    <w:rsid w:val="00A34BD3"/>
    <w:rsid w:val="00A35315"/>
    <w:rsid w:val="00A35477"/>
    <w:rsid w:val="00A36D4C"/>
    <w:rsid w:val="00A43A1C"/>
    <w:rsid w:val="00A442C3"/>
    <w:rsid w:val="00A60FB3"/>
    <w:rsid w:val="00A6198D"/>
    <w:rsid w:val="00A64001"/>
    <w:rsid w:val="00A7014D"/>
    <w:rsid w:val="00A71047"/>
    <w:rsid w:val="00A7350E"/>
    <w:rsid w:val="00A746B3"/>
    <w:rsid w:val="00A835FF"/>
    <w:rsid w:val="00A83846"/>
    <w:rsid w:val="00A83E30"/>
    <w:rsid w:val="00A90C2F"/>
    <w:rsid w:val="00A916E8"/>
    <w:rsid w:val="00A92349"/>
    <w:rsid w:val="00A93525"/>
    <w:rsid w:val="00A9375E"/>
    <w:rsid w:val="00A944BC"/>
    <w:rsid w:val="00A94FB5"/>
    <w:rsid w:val="00AA1CCA"/>
    <w:rsid w:val="00AA2355"/>
    <w:rsid w:val="00AB07B5"/>
    <w:rsid w:val="00AB0B25"/>
    <w:rsid w:val="00AB186C"/>
    <w:rsid w:val="00AB3EDF"/>
    <w:rsid w:val="00AB4F34"/>
    <w:rsid w:val="00AB515B"/>
    <w:rsid w:val="00AC3769"/>
    <w:rsid w:val="00AC54FF"/>
    <w:rsid w:val="00AC575A"/>
    <w:rsid w:val="00AD066A"/>
    <w:rsid w:val="00AD069F"/>
    <w:rsid w:val="00AD19BA"/>
    <w:rsid w:val="00AE298F"/>
    <w:rsid w:val="00AE3450"/>
    <w:rsid w:val="00AE699D"/>
    <w:rsid w:val="00AF1477"/>
    <w:rsid w:val="00AF14F3"/>
    <w:rsid w:val="00AF33FC"/>
    <w:rsid w:val="00AF4C7A"/>
    <w:rsid w:val="00AF6FC9"/>
    <w:rsid w:val="00B00AA3"/>
    <w:rsid w:val="00B0123E"/>
    <w:rsid w:val="00B017E6"/>
    <w:rsid w:val="00B04340"/>
    <w:rsid w:val="00B072ED"/>
    <w:rsid w:val="00B14A97"/>
    <w:rsid w:val="00B15030"/>
    <w:rsid w:val="00B150FA"/>
    <w:rsid w:val="00B20D8C"/>
    <w:rsid w:val="00B20D8D"/>
    <w:rsid w:val="00B20EE3"/>
    <w:rsid w:val="00B21B7C"/>
    <w:rsid w:val="00B22AC5"/>
    <w:rsid w:val="00B24C6D"/>
    <w:rsid w:val="00B24D17"/>
    <w:rsid w:val="00B306C9"/>
    <w:rsid w:val="00B323F0"/>
    <w:rsid w:val="00B34559"/>
    <w:rsid w:val="00B37E41"/>
    <w:rsid w:val="00B410BF"/>
    <w:rsid w:val="00B42A94"/>
    <w:rsid w:val="00B47709"/>
    <w:rsid w:val="00B50794"/>
    <w:rsid w:val="00B517F3"/>
    <w:rsid w:val="00B71F14"/>
    <w:rsid w:val="00B75FAB"/>
    <w:rsid w:val="00B763C7"/>
    <w:rsid w:val="00B7646C"/>
    <w:rsid w:val="00B80476"/>
    <w:rsid w:val="00B816DD"/>
    <w:rsid w:val="00B81A18"/>
    <w:rsid w:val="00B81D8F"/>
    <w:rsid w:val="00B82AC2"/>
    <w:rsid w:val="00B83C4A"/>
    <w:rsid w:val="00B84C59"/>
    <w:rsid w:val="00B85E90"/>
    <w:rsid w:val="00BA0069"/>
    <w:rsid w:val="00BA3333"/>
    <w:rsid w:val="00BA36B3"/>
    <w:rsid w:val="00BA45E7"/>
    <w:rsid w:val="00BA4FDC"/>
    <w:rsid w:val="00BA58F3"/>
    <w:rsid w:val="00BA5B1F"/>
    <w:rsid w:val="00BA66B1"/>
    <w:rsid w:val="00BB1638"/>
    <w:rsid w:val="00BB1A11"/>
    <w:rsid w:val="00BB1A8A"/>
    <w:rsid w:val="00BB4BAF"/>
    <w:rsid w:val="00BB51FB"/>
    <w:rsid w:val="00BB6918"/>
    <w:rsid w:val="00BB7E8B"/>
    <w:rsid w:val="00BC1DCF"/>
    <w:rsid w:val="00BC346D"/>
    <w:rsid w:val="00BC35D4"/>
    <w:rsid w:val="00BC3D16"/>
    <w:rsid w:val="00BC56F4"/>
    <w:rsid w:val="00BD4B53"/>
    <w:rsid w:val="00BD4DFB"/>
    <w:rsid w:val="00BE3510"/>
    <w:rsid w:val="00BE66CB"/>
    <w:rsid w:val="00BE749B"/>
    <w:rsid w:val="00BE761E"/>
    <w:rsid w:val="00BE7C7B"/>
    <w:rsid w:val="00BF0827"/>
    <w:rsid w:val="00BF2F4A"/>
    <w:rsid w:val="00BF3093"/>
    <w:rsid w:val="00BF3C89"/>
    <w:rsid w:val="00C04531"/>
    <w:rsid w:val="00C04558"/>
    <w:rsid w:val="00C04EA1"/>
    <w:rsid w:val="00C055EF"/>
    <w:rsid w:val="00C1179A"/>
    <w:rsid w:val="00C11AAF"/>
    <w:rsid w:val="00C11EFF"/>
    <w:rsid w:val="00C124E6"/>
    <w:rsid w:val="00C13F83"/>
    <w:rsid w:val="00C15ECA"/>
    <w:rsid w:val="00C20E93"/>
    <w:rsid w:val="00C22213"/>
    <w:rsid w:val="00C222F3"/>
    <w:rsid w:val="00C23BF2"/>
    <w:rsid w:val="00C24004"/>
    <w:rsid w:val="00C24455"/>
    <w:rsid w:val="00C254F0"/>
    <w:rsid w:val="00C25EDA"/>
    <w:rsid w:val="00C3047B"/>
    <w:rsid w:val="00C35674"/>
    <w:rsid w:val="00C37CD0"/>
    <w:rsid w:val="00C42915"/>
    <w:rsid w:val="00C4508D"/>
    <w:rsid w:val="00C46557"/>
    <w:rsid w:val="00C46DC6"/>
    <w:rsid w:val="00C4789A"/>
    <w:rsid w:val="00C53A8E"/>
    <w:rsid w:val="00C54579"/>
    <w:rsid w:val="00C55401"/>
    <w:rsid w:val="00C6480A"/>
    <w:rsid w:val="00C679CE"/>
    <w:rsid w:val="00C73A6E"/>
    <w:rsid w:val="00C75773"/>
    <w:rsid w:val="00C75F6A"/>
    <w:rsid w:val="00C77BF9"/>
    <w:rsid w:val="00C81090"/>
    <w:rsid w:val="00C93740"/>
    <w:rsid w:val="00C96C3D"/>
    <w:rsid w:val="00C9730E"/>
    <w:rsid w:val="00CA06B1"/>
    <w:rsid w:val="00CA6AF5"/>
    <w:rsid w:val="00CA6B55"/>
    <w:rsid w:val="00CA7F6D"/>
    <w:rsid w:val="00CB7B6B"/>
    <w:rsid w:val="00CC0BE8"/>
    <w:rsid w:val="00CC3E11"/>
    <w:rsid w:val="00CC6700"/>
    <w:rsid w:val="00CC6D89"/>
    <w:rsid w:val="00CC6F63"/>
    <w:rsid w:val="00CC78DC"/>
    <w:rsid w:val="00CD20F8"/>
    <w:rsid w:val="00CD34E9"/>
    <w:rsid w:val="00CD3A90"/>
    <w:rsid w:val="00CE116F"/>
    <w:rsid w:val="00CE1403"/>
    <w:rsid w:val="00CE1BCC"/>
    <w:rsid w:val="00CE21D8"/>
    <w:rsid w:val="00CE2FD5"/>
    <w:rsid w:val="00CE354D"/>
    <w:rsid w:val="00CE3B7D"/>
    <w:rsid w:val="00CE617C"/>
    <w:rsid w:val="00CF034F"/>
    <w:rsid w:val="00CF1A8C"/>
    <w:rsid w:val="00CF35E9"/>
    <w:rsid w:val="00CF43F2"/>
    <w:rsid w:val="00CF4B8D"/>
    <w:rsid w:val="00CF7BAF"/>
    <w:rsid w:val="00D02312"/>
    <w:rsid w:val="00D04086"/>
    <w:rsid w:val="00D06CF4"/>
    <w:rsid w:val="00D1088E"/>
    <w:rsid w:val="00D15412"/>
    <w:rsid w:val="00D162BC"/>
    <w:rsid w:val="00D167BB"/>
    <w:rsid w:val="00D205BA"/>
    <w:rsid w:val="00D246EA"/>
    <w:rsid w:val="00D255D4"/>
    <w:rsid w:val="00D25F59"/>
    <w:rsid w:val="00D2720D"/>
    <w:rsid w:val="00D3255C"/>
    <w:rsid w:val="00D3420E"/>
    <w:rsid w:val="00D34865"/>
    <w:rsid w:val="00D3525E"/>
    <w:rsid w:val="00D356CF"/>
    <w:rsid w:val="00D4206A"/>
    <w:rsid w:val="00D45091"/>
    <w:rsid w:val="00D50C61"/>
    <w:rsid w:val="00D5467C"/>
    <w:rsid w:val="00D57818"/>
    <w:rsid w:val="00D60683"/>
    <w:rsid w:val="00D61DC7"/>
    <w:rsid w:val="00D633F9"/>
    <w:rsid w:val="00D65AC8"/>
    <w:rsid w:val="00D66147"/>
    <w:rsid w:val="00D7008E"/>
    <w:rsid w:val="00D72F00"/>
    <w:rsid w:val="00D75ADF"/>
    <w:rsid w:val="00D77345"/>
    <w:rsid w:val="00D807D1"/>
    <w:rsid w:val="00D84932"/>
    <w:rsid w:val="00D91676"/>
    <w:rsid w:val="00D9281D"/>
    <w:rsid w:val="00D96314"/>
    <w:rsid w:val="00DA0270"/>
    <w:rsid w:val="00DA06FC"/>
    <w:rsid w:val="00DA29A8"/>
    <w:rsid w:val="00DA56F0"/>
    <w:rsid w:val="00DA5F0B"/>
    <w:rsid w:val="00DA6113"/>
    <w:rsid w:val="00DA6A49"/>
    <w:rsid w:val="00DB123E"/>
    <w:rsid w:val="00DB5F13"/>
    <w:rsid w:val="00DB7979"/>
    <w:rsid w:val="00DC0699"/>
    <w:rsid w:val="00DC0C4C"/>
    <w:rsid w:val="00DC22C5"/>
    <w:rsid w:val="00DC2ED4"/>
    <w:rsid w:val="00DC5B32"/>
    <w:rsid w:val="00DD0C56"/>
    <w:rsid w:val="00DD14E6"/>
    <w:rsid w:val="00DD3E45"/>
    <w:rsid w:val="00DD742F"/>
    <w:rsid w:val="00DE2141"/>
    <w:rsid w:val="00DE2A19"/>
    <w:rsid w:val="00DE2F1E"/>
    <w:rsid w:val="00DE2FEA"/>
    <w:rsid w:val="00DE5630"/>
    <w:rsid w:val="00DE5C0B"/>
    <w:rsid w:val="00DE5FF0"/>
    <w:rsid w:val="00DF0EC6"/>
    <w:rsid w:val="00DF1592"/>
    <w:rsid w:val="00DF1691"/>
    <w:rsid w:val="00DF26E7"/>
    <w:rsid w:val="00DF6DBF"/>
    <w:rsid w:val="00DF6E59"/>
    <w:rsid w:val="00E006C8"/>
    <w:rsid w:val="00E044B0"/>
    <w:rsid w:val="00E049A4"/>
    <w:rsid w:val="00E054B8"/>
    <w:rsid w:val="00E125AF"/>
    <w:rsid w:val="00E13082"/>
    <w:rsid w:val="00E1342A"/>
    <w:rsid w:val="00E14388"/>
    <w:rsid w:val="00E1687C"/>
    <w:rsid w:val="00E16B41"/>
    <w:rsid w:val="00E17371"/>
    <w:rsid w:val="00E21788"/>
    <w:rsid w:val="00E225EF"/>
    <w:rsid w:val="00E242D3"/>
    <w:rsid w:val="00E24CA4"/>
    <w:rsid w:val="00E32889"/>
    <w:rsid w:val="00E36C6E"/>
    <w:rsid w:val="00E414F8"/>
    <w:rsid w:val="00E43A15"/>
    <w:rsid w:val="00E4472A"/>
    <w:rsid w:val="00E47077"/>
    <w:rsid w:val="00E52101"/>
    <w:rsid w:val="00E53C53"/>
    <w:rsid w:val="00E56ADF"/>
    <w:rsid w:val="00E56C5E"/>
    <w:rsid w:val="00E641A6"/>
    <w:rsid w:val="00E6714F"/>
    <w:rsid w:val="00E705D3"/>
    <w:rsid w:val="00E73062"/>
    <w:rsid w:val="00E7317F"/>
    <w:rsid w:val="00E73276"/>
    <w:rsid w:val="00E75BEC"/>
    <w:rsid w:val="00E76ACE"/>
    <w:rsid w:val="00E8256E"/>
    <w:rsid w:val="00E84012"/>
    <w:rsid w:val="00E861DA"/>
    <w:rsid w:val="00E904E5"/>
    <w:rsid w:val="00E96A0E"/>
    <w:rsid w:val="00EA7897"/>
    <w:rsid w:val="00EB1B66"/>
    <w:rsid w:val="00EB208A"/>
    <w:rsid w:val="00EB2FB3"/>
    <w:rsid w:val="00EB434A"/>
    <w:rsid w:val="00EB44B5"/>
    <w:rsid w:val="00EB4B99"/>
    <w:rsid w:val="00EB6C7C"/>
    <w:rsid w:val="00EC11E4"/>
    <w:rsid w:val="00EC1AE7"/>
    <w:rsid w:val="00EC7FD4"/>
    <w:rsid w:val="00ED1EC3"/>
    <w:rsid w:val="00ED2F45"/>
    <w:rsid w:val="00ED4012"/>
    <w:rsid w:val="00ED55A2"/>
    <w:rsid w:val="00EE010A"/>
    <w:rsid w:val="00EE01C0"/>
    <w:rsid w:val="00EE0C3B"/>
    <w:rsid w:val="00EF0124"/>
    <w:rsid w:val="00EF12CB"/>
    <w:rsid w:val="00EF4F0C"/>
    <w:rsid w:val="00EF6E81"/>
    <w:rsid w:val="00F0033E"/>
    <w:rsid w:val="00F02A7A"/>
    <w:rsid w:val="00F03624"/>
    <w:rsid w:val="00F06057"/>
    <w:rsid w:val="00F3014C"/>
    <w:rsid w:val="00F34275"/>
    <w:rsid w:val="00F353CE"/>
    <w:rsid w:val="00F35AC1"/>
    <w:rsid w:val="00F35B2E"/>
    <w:rsid w:val="00F3651B"/>
    <w:rsid w:val="00F37163"/>
    <w:rsid w:val="00F41761"/>
    <w:rsid w:val="00F435F1"/>
    <w:rsid w:val="00F45F9D"/>
    <w:rsid w:val="00F47958"/>
    <w:rsid w:val="00F47E33"/>
    <w:rsid w:val="00F50847"/>
    <w:rsid w:val="00F51224"/>
    <w:rsid w:val="00F56905"/>
    <w:rsid w:val="00F65411"/>
    <w:rsid w:val="00F67312"/>
    <w:rsid w:val="00F710FC"/>
    <w:rsid w:val="00F73B62"/>
    <w:rsid w:val="00F73E58"/>
    <w:rsid w:val="00F7406E"/>
    <w:rsid w:val="00F74249"/>
    <w:rsid w:val="00F75473"/>
    <w:rsid w:val="00F75BE8"/>
    <w:rsid w:val="00F838BA"/>
    <w:rsid w:val="00F83F38"/>
    <w:rsid w:val="00F84751"/>
    <w:rsid w:val="00F85075"/>
    <w:rsid w:val="00F92785"/>
    <w:rsid w:val="00F974C3"/>
    <w:rsid w:val="00FA105B"/>
    <w:rsid w:val="00FA1C46"/>
    <w:rsid w:val="00FA521B"/>
    <w:rsid w:val="00FA7E0A"/>
    <w:rsid w:val="00FB0CB0"/>
    <w:rsid w:val="00FB1797"/>
    <w:rsid w:val="00FC7574"/>
    <w:rsid w:val="00FD241B"/>
    <w:rsid w:val="00FD2B9F"/>
    <w:rsid w:val="00FE0A6D"/>
    <w:rsid w:val="00FE2065"/>
    <w:rsid w:val="00FE2301"/>
    <w:rsid w:val="00FE3202"/>
    <w:rsid w:val="00FE3976"/>
    <w:rsid w:val="00FE4274"/>
    <w:rsid w:val="00FE5327"/>
    <w:rsid w:val="00FE6FF7"/>
    <w:rsid w:val="00FF0616"/>
    <w:rsid w:val="00FF235B"/>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376"/>
    <w:pPr>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900376"/>
    <w:pPr>
      <w:spacing w:line="240" w:lineRule="auto"/>
      <w:jc w:val="both"/>
    </w:p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93525"/>
    <w:pPr>
      <w:spacing w:line="240" w:lineRule="auto"/>
    </w:pPr>
    <w:rPr>
      <w:rFonts w:ascii="Tahoma" w:hAnsi="Tahoma" w:cs="Tahoma"/>
      <w:sz w:val="16"/>
      <w:szCs w:val="16"/>
    </w:rPr>
  </w:style>
  <w:style w:type="character" w:customStyle="1" w:styleId="BalloonTextChar">
    <w:name w:val="Balloon Text Char"/>
    <w:link w:val="BalloonText"/>
    <w:rsid w:val="00A935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376"/>
    <w:pPr>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900376"/>
    <w:pPr>
      <w:spacing w:line="240" w:lineRule="auto"/>
      <w:jc w:val="both"/>
    </w:p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93525"/>
    <w:pPr>
      <w:spacing w:line="240" w:lineRule="auto"/>
    </w:pPr>
    <w:rPr>
      <w:rFonts w:ascii="Tahoma" w:hAnsi="Tahoma" w:cs="Tahoma"/>
      <w:sz w:val="16"/>
      <w:szCs w:val="16"/>
    </w:rPr>
  </w:style>
  <w:style w:type="character" w:customStyle="1" w:styleId="BalloonTextChar">
    <w:name w:val="Balloon Text Char"/>
    <w:link w:val="BalloonText"/>
    <w:rsid w:val="00A935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9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E53F-2177-4C68-98F2-E77E5415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13959</CharactersWithSpaces>
  <SharedDoc>false</SharedDoc>
  <HLinks>
    <vt:vector size="6" baseType="variant">
      <vt:variant>
        <vt:i4>3997714</vt:i4>
      </vt:variant>
      <vt:variant>
        <vt:i4>0</vt:i4>
      </vt:variant>
      <vt:variant>
        <vt:i4>0</vt:i4>
      </vt:variant>
      <vt:variant>
        <vt:i4>5</vt:i4>
      </vt:variant>
      <vt:variant>
        <vt:lpwstr>mailto:malong@pa.gov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bfaccenda</cp:lastModifiedBy>
  <cp:revision>2</cp:revision>
  <cp:lastPrinted>2012-05-09T14:40:00Z</cp:lastPrinted>
  <dcterms:created xsi:type="dcterms:W3CDTF">2012-05-09T16:56:00Z</dcterms:created>
  <dcterms:modified xsi:type="dcterms:W3CDTF">2012-05-09T16:56:00Z</dcterms:modified>
</cp:coreProperties>
</file>