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4230"/>
        <w:gridCol w:w="2880"/>
      </w:tblGrid>
      <w:tr w:rsidR="00F824DA" w:rsidRPr="005536DA" w:rsidTr="004E5C14">
        <w:tc>
          <w:tcPr>
            <w:tcW w:w="2448" w:type="dxa"/>
          </w:tcPr>
          <w:p w:rsidR="00F824DA" w:rsidRPr="005536DA" w:rsidRDefault="00F824DA" w:rsidP="0019656D">
            <w:pPr>
              <w:rPr>
                <w:szCs w:val="26"/>
              </w:rPr>
            </w:pPr>
          </w:p>
        </w:tc>
        <w:tc>
          <w:tcPr>
            <w:tcW w:w="4230" w:type="dxa"/>
          </w:tcPr>
          <w:p w:rsidR="00F824DA" w:rsidRPr="005536DA" w:rsidRDefault="00F824DA" w:rsidP="0019656D">
            <w:pPr>
              <w:rPr>
                <w:b/>
                <w:szCs w:val="26"/>
              </w:rPr>
            </w:pPr>
            <w:r w:rsidRPr="005536DA">
              <w:rPr>
                <w:b/>
                <w:szCs w:val="26"/>
              </w:rPr>
              <w:t>PENNSYLVANIA</w:t>
            </w:r>
          </w:p>
          <w:p w:rsidR="00F824DA" w:rsidRPr="005536DA" w:rsidRDefault="00F824DA" w:rsidP="0019656D">
            <w:pPr>
              <w:rPr>
                <w:b/>
                <w:szCs w:val="26"/>
              </w:rPr>
            </w:pPr>
            <w:r w:rsidRPr="005536DA">
              <w:rPr>
                <w:b/>
                <w:szCs w:val="26"/>
              </w:rPr>
              <w:t>PUBLIC UTILITY COMMISSION</w:t>
            </w:r>
          </w:p>
          <w:p w:rsidR="00F824DA" w:rsidRPr="005536DA" w:rsidRDefault="00F824DA" w:rsidP="0019656D">
            <w:pPr>
              <w:rPr>
                <w:szCs w:val="26"/>
              </w:rPr>
            </w:pPr>
            <w:r w:rsidRPr="005536DA">
              <w:rPr>
                <w:b/>
                <w:szCs w:val="26"/>
              </w:rPr>
              <w:t>Harrisburg, PA  17105-3265</w:t>
            </w:r>
          </w:p>
        </w:tc>
        <w:tc>
          <w:tcPr>
            <w:tcW w:w="2880" w:type="dxa"/>
          </w:tcPr>
          <w:p w:rsidR="00F824DA" w:rsidRPr="005536DA" w:rsidRDefault="00F824DA" w:rsidP="0019656D">
            <w:pPr>
              <w:rPr>
                <w:szCs w:val="26"/>
              </w:rPr>
            </w:pPr>
          </w:p>
        </w:tc>
      </w:tr>
    </w:tbl>
    <w:p w:rsidR="00F824DA" w:rsidRPr="005536DA" w:rsidRDefault="00F824DA" w:rsidP="0019656D">
      <w:pPr>
        <w:rPr>
          <w:szCs w:val="26"/>
        </w:rPr>
      </w:pPr>
    </w:p>
    <w:tbl>
      <w:tblPr>
        <w:tblW w:w="0" w:type="auto"/>
        <w:tblLayout w:type="fixed"/>
        <w:tblLook w:val="0000" w:firstRow="0" w:lastRow="0" w:firstColumn="0" w:lastColumn="0" w:noHBand="0" w:noVBand="0"/>
      </w:tblPr>
      <w:tblGrid>
        <w:gridCol w:w="4428"/>
        <w:gridCol w:w="5130"/>
      </w:tblGrid>
      <w:tr w:rsidR="00F824DA" w:rsidRPr="005536DA" w:rsidTr="004E5C14">
        <w:tc>
          <w:tcPr>
            <w:tcW w:w="4428" w:type="dxa"/>
          </w:tcPr>
          <w:p w:rsidR="00F824DA" w:rsidRPr="005536DA" w:rsidRDefault="00F824DA" w:rsidP="0019656D">
            <w:pPr>
              <w:rPr>
                <w:szCs w:val="26"/>
              </w:rPr>
            </w:pPr>
          </w:p>
        </w:tc>
        <w:tc>
          <w:tcPr>
            <w:tcW w:w="5130" w:type="dxa"/>
          </w:tcPr>
          <w:p w:rsidR="00F824DA" w:rsidRPr="005536DA" w:rsidRDefault="00F824DA" w:rsidP="0019656D">
            <w:pPr>
              <w:ind w:firstLine="612"/>
              <w:rPr>
                <w:color w:val="auto"/>
                <w:szCs w:val="26"/>
              </w:rPr>
            </w:pPr>
            <w:r w:rsidRPr="005536DA">
              <w:rPr>
                <w:color w:val="auto"/>
                <w:szCs w:val="26"/>
              </w:rPr>
              <w:t>Publ</w:t>
            </w:r>
            <w:r w:rsidR="007D31C3" w:rsidRPr="005536DA">
              <w:rPr>
                <w:color w:val="auto"/>
                <w:szCs w:val="26"/>
              </w:rPr>
              <w:t>ic Meeting held May 10</w:t>
            </w:r>
            <w:r w:rsidR="00B85FBB" w:rsidRPr="005536DA">
              <w:rPr>
                <w:color w:val="auto"/>
                <w:szCs w:val="26"/>
              </w:rPr>
              <w:t>, 2012</w:t>
            </w:r>
          </w:p>
        </w:tc>
      </w:tr>
      <w:tr w:rsidR="00F824DA" w:rsidRPr="005536DA" w:rsidTr="004E5C14">
        <w:tc>
          <w:tcPr>
            <w:tcW w:w="4428" w:type="dxa"/>
          </w:tcPr>
          <w:p w:rsidR="00F824DA" w:rsidRPr="005536DA" w:rsidRDefault="00F824DA" w:rsidP="0019656D">
            <w:pPr>
              <w:rPr>
                <w:szCs w:val="26"/>
              </w:rPr>
            </w:pPr>
            <w:r w:rsidRPr="005536DA">
              <w:rPr>
                <w:szCs w:val="26"/>
              </w:rPr>
              <w:t>Commissioners Present:</w:t>
            </w:r>
          </w:p>
        </w:tc>
        <w:tc>
          <w:tcPr>
            <w:tcW w:w="5130" w:type="dxa"/>
          </w:tcPr>
          <w:p w:rsidR="00F824DA" w:rsidRPr="005536DA" w:rsidRDefault="00F824DA" w:rsidP="0019656D">
            <w:pPr>
              <w:rPr>
                <w:szCs w:val="26"/>
              </w:rPr>
            </w:pPr>
          </w:p>
        </w:tc>
      </w:tr>
    </w:tbl>
    <w:p w:rsidR="00F824DA" w:rsidRPr="005536DA" w:rsidRDefault="00F824DA" w:rsidP="0019656D">
      <w:pPr>
        <w:rPr>
          <w:szCs w:val="26"/>
        </w:rPr>
      </w:pPr>
    </w:p>
    <w:tbl>
      <w:tblPr>
        <w:tblW w:w="9558" w:type="dxa"/>
        <w:tblLayout w:type="fixed"/>
        <w:tblLook w:val="0000" w:firstRow="0" w:lastRow="0" w:firstColumn="0" w:lastColumn="0" w:noHBand="0" w:noVBand="0"/>
      </w:tblPr>
      <w:tblGrid>
        <w:gridCol w:w="6678"/>
        <w:gridCol w:w="2880"/>
      </w:tblGrid>
      <w:tr w:rsidR="00F824DA" w:rsidRPr="005536DA" w:rsidTr="00DD2DE7">
        <w:tc>
          <w:tcPr>
            <w:tcW w:w="6678" w:type="dxa"/>
          </w:tcPr>
          <w:p w:rsidR="00F824DA" w:rsidRPr="005536DA" w:rsidRDefault="00F824DA" w:rsidP="0019656D">
            <w:pPr>
              <w:ind w:firstLine="450"/>
              <w:rPr>
                <w:szCs w:val="26"/>
              </w:rPr>
            </w:pPr>
            <w:r w:rsidRPr="005536DA">
              <w:rPr>
                <w:szCs w:val="26"/>
              </w:rPr>
              <w:t xml:space="preserve">Robert F. </w:t>
            </w:r>
            <w:proofErr w:type="spellStart"/>
            <w:r w:rsidRPr="005536DA">
              <w:rPr>
                <w:szCs w:val="26"/>
              </w:rPr>
              <w:t>Powelson</w:t>
            </w:r>
            <w:proofErr w:type="spellEnd"/>
            <w:r w:rsidRPr="005536DA">
              <w:rPr>
                <w:szCs w:val="26"/>
              </w:rPr>
              <w:t>, Chairman</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John F. Coleman, Jr., Vice Chairman</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Wayne E. Gardner</w:t>
            </w:r>
          </w:p>
        </w:tc>
        <w:tc>
          <w:tcPr>
            <w:tcW w:w="2880" w:type="dxa"/>
          </w:tcPr>
          <w:p w:rsidR="00F824DA" w:rsidRPr="005536DA" w:rsidRDefault="00F824DA" w:rsidP="0019656D">
            <w:pPr>
              <w:rPr>
                <w:szCs w:val="26"/>
              </w:rPr>
            </w:pPr>
          </w:p>
        </w:tc>
      </w:tr>
      <w:tr w:rsidR="00F824DA" w:rsidRPr="005536DA" w:rsidTr="00DD2DE7">
        <w:tc>
          <w:tcPr>
            <w:tcW w:w="6678" w:type="dxa"/>
          </w:tcPr>
          <w:p w:rsidR="00F824DA" w:rsidRPr="005536DA" w:rsidRDefault="00F824DA" w:rsidP="0019656D">
            <w:pPr>
              <w:ind w:firstLine="450"/>
              <w:rPr>
                <w:szCs w:val="26"/>
              </w:rPr>
            </w:pPr>
            <w:r w:rsidRPr="005536DA">
              <w:rPr>
                <w:szCs w:val="26"/>
              </w:rPr>
              <w:t xml:space="preserve">James H. </w:t>
            </w:r>
            <w:proofErr w:type="spellStart"/>
            <w:r w:rsidRPr="005536DA">
              <w:rPr>
                <w:szCs w:val="26"/>
              </w:rPr>
              <w:t>Cawley</w:t>
            </w:r>
            <w:proofErr w:type="spellEnd"/>
          </w:p>
        </w:tc>
        <w:tc>
          <w:tcPr>
            <w:tcW w:w="2880" w:type="dxa"/>
          </w:tcPr>
          <w:p w:rsidR="00F824DA" w:rsidRPr="005536DA" w:rsidRDefault="00F824DA" w:rsidP="0019656D">
            <w:pPr>
              <w:rPr>
                <w:szCs w:val="26"/>
              </w:rPr>
            </w:pPr>
          </w:p>
        </w:tc>
      </w:tr>
      <w:tr w:rsidR="00F824DA" w:rsidRPr="005536DA" w:rsidTr="00DD2DE7">
        <w:tc>
          <w:tcPr>
            <w:tcW w:w="6678" w:type="dxa"/>
          </w:tcPr>
          <w:p w:rsidR="00341937" w:rsidRPr="005536DA" w:rsidRDefault="00F824DA" w:rsidP="0019656D">
            <w:pPr>
              <w:ind w:firstLine="450"/>
              <w:rPr>
                <w:szCs w:val="26"/>
              </w:rPr>
            </w:pPr>
            <w:r w:rsidRPr="005536DA">
              <w:rPr>
                <w:szCs w:val="26"/>
              </w:rPr>
              <w:t xml:space="preserve">Pamela A. </w:t>
            </w:r>
            <w:proofErr w:type="spellStart"/>
            <w:r w:rsidRPr="005536DA">
              <w:rPr>
                <w:szCs w:val="26"/>
              </w:rPr>
              <w:t>Witmer</w:t>
            </w:r>
            <w:proofErr w:type="spellEnd"/>
          </w:p>
          <w:p w:rsidR="005536DA" w:rsidRPr="005536DA" w:rsidRDefault="005536DA" w:rsidP="0019656D">
            <w:pPr>
              <w:ind w:firstLine="450"/>
              <w:rPr>
                <w:szCs w:val="26"/>
              </w:rPr>
            </w:pPr>
          </w:p>
          <w:p w:rsidR="00341937" w:rsidRPr="005536DA" w:rsidRDefault="00341937" w:rsidP="0019656D">
            <w:pPr>
              <w:ind w:firstLine="450"/>
              <w:rPr>
                <w:szCs w:val="26"/>
              </w:rPr>
            </w:pPr>
          </w:p>
          <w:p w:rsidR="005536DA" w:rsidRPr="005536DA" w:rsidRDefault="005536DA" w:rsidP="0019656D">
            <w:pPr>
              <w:ind w:right="1584"/>
              <w:rPr>
                <w:spacing w:val="-3"/>
                <w:szCs w:val="26"/>
              </w:rPr>
            </w:pPr>
            <w:r w:rsidRPr="005536DA">
              <w:rPr>
                <w:spacing w:val="-3"/>
                <w:szCs w:val="26"/>
              </w:rPr>
              <w:t xml:space="preserve">Joint Application of The York Water Company and </w:t>
            </w:r>
            <w:proofErr w:type="spellStart"/>
            <w:r w:rsidRPr="005536DA">
              <w:rPr>
                <w:spacing w:val="-3"/>
                <w:szCs w:val="26"/>
              </w:rPr>
              <w:t>Stahlman</w:t>
            </w:r>
            <w:proofErr w:type="spellEnd"/>
            <w:r w:rsidRPr="005536DA">
              <w:rPr>
                <w:spacing w:val="-3"/>
                <w:szCs w:val="26"/>
              </w:rPr>
              <w:t xml:space="preserve"> Enterprises, LLC (also known as Asbury Pointe Water and Sewer Company) for approval of: 1) the transfer by sale of certain pub</w:t>
            </w:r>
            <w:r w:rsidR="00EB123F">
              <w:rPr>
                <w:spacing w:val="-3"/>
                <w:szCs w:val="26"/>
              </w:rPr>
              <w:t xml:space="preserve">lic wastewater facilities  </w:t>
            </w:r>
            <w:r w:rsidRPr="005536DA">
              <w:rPr>
                <w:spacing w:val="-3"/>
                <w:szCs w:val="26"/>
              </w:rPr>
              <w:t xml:space="preserve">and rights from </w:t>
            </w:r>
            <w:proofErr w:type="spellStart"/>
            <w:r w:rsidRPr="005536DA">
              <w:rPr>
                <w:spacing w:val="-3"/>
                <w:szCs w:val="26"/>
              </w:rPr>
              <w:t>Stahlman</w:t>
            </w:r>
            <w:proofErr w:type="spellEnd"/>
            <w:r w:rsidRPr="005536DA">
              <w:rPr>
                <w:spacing w:val="-3"/>
                <w:szCs w:val="26"/>
              </w:rPr>
              <w:t xml:space="preserve"> Enterprises, LLC (Asbury Pointe Water and Sewer Company), to The York Water Company; 2) the abandonment by </w:t>
            </w:r>
            <w:proofErr w:type="spellStart"/>
            <w:r w:rsidRPr="005536DA">
              <w:rPr>
                <w:spacing w:val="-3"/>
                <w:szCs w:val="26"/>
              </w:rPr>
              <w:t>Stahlman</w:t>
            </w:r>
            <w:proofErr w:type="spellEnd"/>
            <w:r w:rsidRPr="005536DA">
              <w:rPr>
                <w:spacing w:val="-3"/>
                <w:szCs w:val="26"/>
              </w:rPr>
              <w:t xml:space="preserve"> Enterprises, LLC (Asbury Pointe Water and Sewer Company) of wastewater service to the public in East Manchester Township, York County, PA and 3) the approval for The York Water Company to begin to offer, render, furnish and supply wastewater service in additional territory in East Manche</w:t>
            </w:r>
            <w:r w:rsidR="00EB123F">
              <w:rPr>
                <w:spacing w:val="-3"/>
                <w:szCs w:val="26"/>
              </w:rPr>
              <w:t xml:space="preserve">ster Township, York County, </w:t>
            </w:r>
            <w:r w:rsidRPr="005536DA">
              <w:rPr>
                <w:spacing w:val="-3"/>
                <w:szCs w:val="26"/>
              </w:rPr>
              <w:t xml:space="preserve"> abutting the existing service territory currently served by </w:t>
            </w:r>
            <w:proofErr w:type="spellStart"/>
            <w:r w:rsidRPr="005536DA">
              <w:rPr>
                <w:spacing w:val="-3"/>
                <w:szCs w:val="26"/>
              </w:rPr>
              <w:t>Stahlman</w:t>
            </w:r>
            <w:proofErr w:type="spellEnd"/>
            <w:r w:rsidRPr="005536DA">
              <w:rPr>
                <w:spacing w:val="-3"/>
                <w:szCs w:val="26"/>
              </w:rPr>
              <w:t xml:space="preserve"> Enterprises, LLC.</w:t>
            </w:r>
          </w:p>
          <w:p w:rsidR="005E533B" w:rsidRPr="005536DA" w:rsidRDefault="002A5EAA" w:rsidP="0019656D">
            <w:pPr>
              <w:ind w:firstLine="450"/>
              <w:rPr>
                <w:spacing w:val="-3"/>
                <w:szCs w:val="26"/>
              </w:rPr>
            </w:pPr>
            <w:r w:rsidRPr="005536DA">
              <w:rPr>
                <w:b/>
                <w:spacing w:val="-3"/>
                <w:szCs w:val="26"/>
              </w:rPr>
              <w:t xml:space="preserve">          </w:t>
            </w:r>
            <w:r w:rsidR="00694DBE" w:rsidRPr="005536DA">
              <w:rPr>
                <w:b/>
                <w:spacing w:val="-3"/>
                <w:szCs w:val="26"/>
              </w:rPr>
              <w:t xml:space="preserve"> </w:t>
            </w:r>
          </w:p>
          <w:p w:rsidR="00341937" w:rsidRPr="005536DA" w:rsidRDefault="00341937" w:rsidP="0019656D">
            <w:pPr>
              <w:rPr>
                <w:spacing w:val="-3"/>
                <w:szCs w:val="26"/>
              </w:rPr>
            </w:pPr>
          </w:p>
          <w:tbl>
            <w:tblPr>
              <w:tblW w:w="9558" w:type="dxa"/>
              <w:tblLayout w:type="fixed"/>
              <w:tblLook w:val="0000" w:firstRow="0" w:lastRow="0" w:firstColumn="0" w:lastColumn="0" w:noHBand="0" w:noVBand="0"/>
            </w:tblPr>
            <w:tblGrid>
              <w:gridCol w:w="5418"/>
              <w:gridCol w:w="4140"/>
            </w:tblGrid>
            <w:tr w:rsidR="00341937" w:rsidRPr="005536DA" w:rsidTr="00AC6256">
              <w:tc>
                <w:tcPr>
                  <w:tcW w:w="5418" w:type="dxa"/>
                </w:tcPr>
                <w:p w:rsidR="00341937" w:rsidRPr="005536DA" w:rsidRDefault="00341937" w:rsidP="0019656D">
                  <w:pPr>
                    <w:rPr>
                      <w:szCs w:val="26"/>
                    </w:rPr>
                  </w:pPr>
                  <w:r w:rsidRPr="005536DA">
                    <w:rPr>
                      <w:szCs w:val="26"/>
                    </w:rPr>
                    <w:t xml:space="preserve">                                                         </w:t>
                  </w:r>
                  <w:r w:rsidRPr="005536DA">
                    <w:rPr>
                      <w:b/>
                      <w:szCs w:val="26"/>
                    </w:rPr>
                    <w:t>ORDER</w:t>
                  </w:r>
                </w:p>
                <w:p w:rsidR="00341937" w:rsidRPr="005536DA" w:rsidRDefault="00341937" w:rsidP="0019656D">
                  <w:pPr>
                    <w:rPr>
                      <w:szCs w:val="26"/>
                    </w:rPr>
                  </w:pPr>
                  <w:r w:rsidRPr="005536DA">
                    <w:rPr>
                      <w:szCs w:val="26"/>
                    </w:rPr>
                    <w:t xml:space="preserve">                     </w:t>
                  </w:r>
                </w:p>
              </w:tc>
              <w:tc>
                <w:tcPr>
                  <w:tcW w:w="4140" w:type="dxa"/>
                </w:tcPr>
                <w:p w:rsidR="00341937" w:rsidRPr="005536DA" w:rsidRDefault="00341937" w:rsidP="0019656D">
                  <w:pPr>
                    <w:ind w:firstLine="1332"/>
                    <w:rPr>
                      <w:szCs w:val="26"/>
                    </w:rPr>
                  </w:pPr>
                </w:p>
              </w:tc>
            </w:tr>
          </w:tbl>
          <w:p w:rsidR="00341937" w:rsidRPr="005536DA" w:rsidRDefault="00341937" w:rsidP="0019656D">
            <w:pPr>
              <w:rPr>
                <w:b/>
                <w:szCs w:val="26"/>
              </w:rPr>
            </w:pPr>
            <w:r w:rsidRPr="005536DA">
              <w:rPr>
                <w:b/>
                <w:szCs w:val="26"/>
              </w:rPr>
              <w:t>BY THE COMMISSION:</w:t>
            </w:r>
          </w:p>
        </w:tc>
        <w:tc>
          <w:tcPr>
            <w:tcW w:w="2880" w:type="dxa"/>
          </w:tcPr>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5536DA" w:rsidP="0019656D">
            <w:pPr>
              <w:rPr>
                <w:szCs w:val="26"/>
              </w:rPr>
            </w:pPr>
            <w:r w:rsidRPr="005536DA">
              <w:rPr>
                <w:szCs w:val="26"/>
              </w:rPr>
              <w:t>Docket Numbers:</w:t>
            </w:r>
          </w:p>
          <w:p w:rsidR="00694DBE" w:rsidRPr="005536DA" w:rsidRDefault="005536DA" w:rsidP="0019656D">
            <w:pPr>
              <w:rPr>
                <w:szCs w:val="26"/>
              </w:rPr>
            </w:pPr>
            <w:r w:rsidRPr="005536DA">
              <w:rPr>
                <w:szCs w:val="26"/>
              </w:rPr>
              <w:t>A-2012-2291572</w:t>
            </w:r>
          </w:p>
          <w:p w:rsidR="00694DBE" w:rsidRPr="005536DA" w:rsidRDefault="00694DBE" w:rsidP="0019656D">
            <w:pPr>
              <w:rPr>
                <w:szCs w:val="26"/>
              </w:rPr>
            </w:pPr>
          </w:p>
          <w:p w:rsidR="00694DBE" w:rsidRPr="005536DA" w:rsidRDefault="005536DA" w:rsidP="0019656D">
            <w:pPr>
              <w:rPr>
                <w:szCs w:val="26"/>
              </w:rPr>
            </w:pPr>
            <w:r w:rsidRPr="005536DA">
              <w:rPr>
                <w:szCs w:val="26"/>
              </w:rPr>
              <w:t>A-2012-2291575</w:t>
            </w: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rPr>
                <w:szCs w:val="26"/>
              </w:rPr>
            </w:pPr>
          </w:p>
          <w:p w:rsidR="00694DBE" w:rsidRPr="005536DA" w:rsidRDefault="00694DBE" w:rsidP="0019656D">
            <w:pPr>
              <w:ind w:firstLine="720"/>
              <w:rPr>
                <w:szCs w:val="26"/>
              </w:rPr>
            </w:pPr>
          </w:p>
        </w:tc>
      </w:tr>
    </w:tbl>
    <w:p w:rsidR="00674A8F" w:rsidRPr="005536DA" w:rsidRDefault="00674A8F" w:rsidP="0019656D">
      <w:pPr>
        <w:rPr>
          <w:b/>
          <w:szCs w:val="26"/>
        </w:rPr>
      </w:pPr>
    </w:p>
    <w:p w:rsidR="007870AA" w:rsidRPr="005536DA" w:rsidRDefault="007F79D8" w:rsidP="0019656D">
      <w:pPr>
        <w:spacing w:line="360" w:lineRule="auto"/>
        <w:rPr>
          <w:szCs w:val="26"/>
        </w:rPr>
      </w:pPr>
      <w:r w:rsidRPr="005536DA">
        <w:rPr>
          <w:szCs w:val="26"/>
        </w:rPr>
        <w:tab/>
      </w:r>
      <w:r w:rsidR="007870AA" w:rsidRPr="005536DA">
        <w:rPr>
          <w:szCs w:val="26"/>
        </w:rPr>
        <w:t xml:space="preserve">             </w:t>
      </w:r>
      <w:r w:rsidRPr="005536DA">
        <w:rPr>
          <w:szCs w:val="26"/>
        </w:rPr>
        <w:t>On February 28, 2012</w:t>
      </w:r>
      <w:r w:rsidR="00F824DA" w:rsidRPr="005536DA">
        <w:rPr>
          <w:szCs w:val="26"/>
        </w:rPr>
        <w:t xml:space="preserve">, pursuant to </w:t>
      </w:r>
      <w:bookmarkStart w:id="0" w:name="OLE_LINK1"/>
      <w:bookmarkStart w:id="1" w:name="OLE_LINK2"/>
      <w:r w:rsidR="00F824DA" w:rsidRPr="005536DA">
        <w:rPr>
          <w:szCs w:val="26"/>
        </w:rPr>
        <w:t>Section 1102(a)(1)(</w:t>
      </w:r>
      <w:proofErr w:type="spellStart"/>
      <w:r w:rsidR="00F824DA" w:rsidRPr="005536DA">
        <w:rPr>
          <w:szCs w:val="26"/>
        </w:rPr>
        <w:t>i</w:t>
      </w:r>
      <w:proofErr w:type="spellEnd"/>
      <w:r w:rsidR="00F824DA" w:rsidRPr="005536DA">
        <w:rPr>
          <w:szCs w:val="26"/>
        </w:rPr>
        <w:t>), (2) and (3) of the Public Utility Code, 66 Pa. C.S. §1102(2)(1)(</w:t>
      </w:r>
      <w:proofErr w:type="spellStart"/>
      <w:r w:rsidR="00F824DA" w:rsidRPr="005536DA">
        <w:rPr>
          <w:szCs w:val="26"/>
        </w:rPr>
        <w:t>i</w:t>
      </w:r>
      <w:proofErr w:type="spellEnd"/>
      <w:r w:rsidR="00F824DA" w:rsidRPr="005536DA">
        <w:rPr>
          <w:szCs w:val="26"/>
        </w:rPr>
        <w:t>), (2) and (3),</w:t>
      </w:r>
      <w:r w:rsidR="007A17BC" w:rsidRPr="005536DA">
        <w:rPr>
          <w:szCs w:val="26"/>
        </w:rPr>
        <w:t xml:space="preserve"> The</w:t>
      </w:r>
      <w:r w:rsidRPr="005536DA">
        <w:rPr>
          <w:szCs w:val="26"/>
        </w:rPr>
        <w:t xml:space="preserve"> York Water Company (York)</w:t>
      </w:r>
      <w:r w:rsidR="00694DBE" w:rsidRPr="005536DA">
        <w:rPr>
          <w:szCs w:val="26"/>
        </w:rPr>
        <w:t>,</w:t>
      </w:r>
      <w:r w:rsidRPr="005536DA">
        <w:rPr>
          <w:szCs w:val="26"/>
        </w:rPr>
        <w:t xml:space="preserve"> </w:t>
      </w:r>
      <w:r w:rsidR="00A473F3" w:rsidRPr="005536DA">
        <w:rPr>
          <w:szCs w:val="26"/>
        </w:rPr>
        <w:t>130 East Market Street, York, PA 17405</w:t>
      </w:r>
      <w:r w:rsidR="00F824DA" w:rsidRPr="005536DA">
        <w:rPr>
          <w:szCs w:val="26"/>
        </w:rPr>
        <w:t xml:space="preserve"> and</w:t>
      </w:r>
      <w:r w:rsidR="00A473F3" w:rsidRPr="005536DA">
        <w:rPr>
          <w:szCs w:val="26"/>
        </w:rPr>
        <w:t xml:space="preserve"> </w:t>
      </w:r>
      <w:proofErr w:type="spellStart"/>
      <w:r w:rsidR="00A473F3" w:rsidRPr="005536DA">
        <w:rPr>
          <w:szCs w:val="26"/>
        </w:rPr>
        <w:t>Stahlman</w:t>
      </w:r>
      <w:proofErr w:type="spellEnd"/>
      <w:r w:rsidR="00A473F3" w:rsidRPr="005536DA">
        <w:rPr>
          <w:szCs w:val="26"/>
        </w:rPr>
        <w:t xml:space="preserve"> Enterprises, LLC aka </w:t>
      </w:r>
      <w:r w:rsidR="00A473F3" w:rsidRPr="005536DA">
        <w:rPr>
          <w:szCs w:val="26"/>
        </w:rPr>
        <w:lastRenderedPageBreak/>
        <w:t>Asbury Pointe Wate</w:t>
      </w:r>
      <w:r w:rsidR="007A17BC" w:rsidRPr="005536DA">
        <w:rPr>
          <w:szCs w:val="26"/>
        </w:rPr>
        <w:t>r a</w:t>
      </w:r>
      <w:r w:rsidR="00341937" w:rsidRPr="005536DA">
        <w:rPr>
          <w:szCs w:val="26"/>
        </w:rPr>
        <w:t>nd Sewer Company</w:t>
      </w:r>
      <w:r w:rsidR="007870AA" w:rsidRPr="005536DA">
        <w:rPr>
          <w:szCs w:val="26"/>
        </w:rPr>
        <w:t xml:space="preserve"> (</w:t>
      </w:r>
      <w:proofErr w:type="spellStart"/>
      <w:r w:rsidR="007870AA" w:rsidRPr="005536DA">
        <w:rPr>
          <w:szCs w:val="26"/>
        </w:rPr>
        <w:t>Stahlman</w:t>
      </w:r>
      <w:proofErr w:type="spellEnd"/>
      <w:r w:rsidR="00A473F3" w:rsidRPr="005536DA">
        <w:rPr>
          <w:szCs w:val="26"/>
        </w:rPr>
        <w:t>) 139 East Market Street York, PA 17401</w:t>
      </w:r>
      <w:r w:rsidR="00F824DA" w:rsidRPr="005536DA">
        <w:rPr>
          <w:szCs w:val="26"/>
        </w:rPr>
        <w:t xml:space="preserve"> </w:t>
      </w:r>
      <w:bookmarkEnd w:id="0"/>
      <w:bookmarkEnd w:id="1"/>
      <w:r w:rsidR="00F824DA" w:rsidRPr="005536DA">
        <w:rPr>
          <w:szCs w:val="26"/>
        </w:rPr>
        <w:t>filed a Joint Application for approval of:</w:t>
      </w:r>
      <w:r w:rsidR="00A473F3" w:rsidRPr="005536DA">
        <w:rPr>
          <w:szCs w:val="26"/>
        </w:rPr>
        <w:t>1) the transfer, by sale, of wastewater</w:t>
      </w:r>
      <w:r w:rsidR="00694DBE" w:rsidRPr="005536DA">
        <w:rPr>
          <w:szCs w:val="26"/>
        </w:rPr>
        <w:t xml:space="preserve"> facilities and rights of </w:t>
      </w:r>
      <w:proofErr w:type="spellStart"/>
      <w:r w:rsidR="00694DBE" w:rsidRPr="005536DA">
        <w:rPr>
          <w:szCs w:val="26"/>
        </w:rPr>
        <w:t>Stahlman</w:t>
      </w:r>
      <w:proofErr w:type="spellEnd"/>
      <w:r w:rsidR="00A473F3" w:rsidRPr="005536DA">
        <w:rPr>
          <w:szCs w:val="26"/>
        </w:rPr>
        <w:t xml:space="preserve"> to York; 2) the abandonm</w:t>
      </w:r>
      <w:r w:rsidR="007870AA" w:rsidRPr="005536DA">
        <w:rPr>
          <w:szCs w:val="26"/>
        </w:rPr>
        <w:t xml:space="preserve">ent by </w:t>
      </w:r>
      <w:proofErr w:type="spellStart"/>
      <w:r w:rsidR="007870AA" w:rsidRPr="005536DA">
        <w:rPr>
          <w:szCs w:val="26"/>
        </w:rPr>
        <w:t>Stahlman</w:t>
      </w:r>
      <w:proofErr w:type="spellEnd"/>
      <w:r w:rsidR="00A473F3" w:rsidRPr="005536DA">
        <w:rPr>
          <w:szCs w:val="26"/>
        </w:rPr>
        <w:t xml:space="preserve"> of wastewater service to the public in East M</w:t>
      </w:r>
      <w:r w:rsidR="00FB6511" w:rsidRPr="005536DA">
        <w:rPr>
          <w:szCs w:val="26"/>
        </w:rPr>
        <w:t>anchester Township, York County;</w:t>
      </w:r>
      <w:r w:rsidR="007A17BC" w:rsidRPr="005536DA">
        <w:rPr>
          <w:szCs w:val="26"/>
        </w:rPr>
        <w:t xml:space="preserve"> and</w:t>
      </w:r>
      <w:r w:rsidR="00A473F3" w:rsidRPr="005536DA">
        <w:rPr>
          <w:szCs w:val="26"/>
        </w:rPr>
        <w:t xml:space="preserve"> 3) the approval of York to begin wastewater service in additional territory in East M</w:t>
      </w:r>
      <w:r w:rsidR="008D6313" w:rsidRPr="005536DA">
        <w:rPr>
          <w:szCs w:val="26"/>
        </w:rPr>
        <w:t>anchester Township, York County, abutting the existing territory currently serve</w:t>
      </w:r>
      <w:r w:rsidR="00244E1A" w:rsidRPr="005536DA">
        <w:rPr>
          <w:szCs w:val="26"/>
        </w:rPr>
        <w:t xml:space="preserve">d by </w:t>
      </w:r>
      <w:proofErr w:type="spellStart"/>
      <w:r w:rsidR="00244E1A" w:rsidRPr="005536DA">
        <w:rPr>
          <w:szCs w:val="26"/>
        </w:rPr>
        <w:t>Stahlman</w:t>
      </w:r>
      <w:proofErr w:type="spellEnd"/>
      <w:r w:rsidR="008D6313" w:rsidRPr="005536DA">
        <w:rPr>
          <w:szCs w:val="26"/>
        </w:rPr>
        <w:t>.</w:t>
      </w:r>
    </w:p>
    <w:p w:rsidR="00F824DA" w:rsidRPr="005536DA" w:rsidRDefault="00A473F3" w:rsidP="00262A9A">
      <w:pPr>
        <w:spacing w:line="360" w:lineRule="auto"/>
        <w:rPr>
          <w:szCs w:val="26"/>
        </w:rPr>
      </w:pPr>
      <w:r w:rsidRPr="005536DA">
        <w:rPr>
          <w:szCs w:val="26"/>
        </w:rPr>
        <w:t xml:space="preserve"> </w:t>
      </w:r>
      <w:r w:rsidR="00F824DA" w:rsidRPr="005536DA">
        <w:rPr>
          <w:szCs w:val="26"/>
        </w:rPr>
        <w:t xml:space="preserve"> </w:t>
      </w:r>
    </w:p>
    <w:p w:rsidR="00F824DA" w:rsidRPr="005536DA" w:rsidRDefault="00F824DA" w:rsidP="00262A9A">
      <w:pPr>
        <w:spacing w:line="360" w:lineRule="auto"/>
        <w:rPr>
          <w:szCs w:val="26"/>
        </w:rPr>
      </w:pPr>
      <w:r w:rsidRPr="005536DA">
        <w:rPr>
          <w:szCs w:val="26"/>
        </w:rPr>
        <w:t xml:space="preserve"> </w:t>
      </w:r>
      <w:r w:rsidRPr="005536DA">
        <w:rPr>
          <w:szCs w:val="26"/>
        </w:rPr>
        <w:tab/>
      </w:r>
      <w:r w:rsidR="00864DAA" w:rsidRPr="005536DA">
        <w:rPr>
          <w:szCs w:val="26"/>
        </w:rPr>
        <w:t xml:space="preserve">            </w:t>
      </w:r>
      <w:r w:rsidR="007870AA" w:rsidRPr="005536DA">
        <w:rPr>
          <w:szCs w:val="26"/>
        </w:rPr>
        <w:t xml:space="preserve"> </w:t>
      </w:r>
      <w:r w:rsidRPr="005536DA">
        <w:rPr>
          <w:szCs w:val="26"/>
        </w:rPr>
        <w:t>Proofs of service and publication were su</w:t>
      </w:r>
      <w:r w:rsidR="007A17BC" w:rsidRPr="005536DA">
        <w:rPr>
          <w:szCs w:val="26"/>
        </w:rPr>
        <w:t>bmitted by York</w:t>
      </w:r>
      <w:r w:rsidRPr="005536DA">
        <w:rPr>
          <w:szCs w:val="26"/>
        </w:rPr>
        <w:t xml:space="preserve">.  In addition, </w:t>
      </w:r>
      <w:r w:rsidR="007A17BC" w:rsidRPr="005536DA">
        <w:rPr>
          <w:szCs w:val="26"/>
        </w:rPr>
        <w:t xml:space="preserve">notice of </w:t>
      </w:r>
      <w:r w:rsidRPr="005536DA">
        <w:rPr>
          <w:szCs w:val="26"/>
        </w:rPr>
        <w:t xml:space="preserve">this Joint Application was published in </w:t>
      </w:r>
      <w:r w:rsidRPr="005536DA">
        <w:rPr>
          <w:i/>
          <w:szCs w:val="26"/>
        </w:rPr>
        <w:t>The Pennsylvania Bulletin,</w:t>
      </w:r>
      <w:r w:rsidRPr="005536DA">
        <w:rPr>
          <w:szCs w:val="26"/>
        </w:rPr>
        <w:t xml:space="preserve"> 41 Pa. B 4737,</w:t>
      </w:r>
      <w:r w:rsidR="000C0368" w:rsidRPr="005536DA">
        <w:rPr>
          <w:szCs w:val="26"/>
        </w:rPr>
        <w:t xml:space="preserve"> Saturday, March 17, 2012.</w:t>
      </w:r>
      <w:r w:rsidRPr="005536DA">
        <w:rPr>
          <w:i/>
          <w:szCs w:val="26"/>
        </w:rPr>
        <w:t xml:space="preserve">  </w:t>
      </w:r>
      <w:r w:rsidRPr="005536DA">
        <w:rPr>
          <w:szCs w:val="26"/>
        </w:rPr>
        <w:t>The protest period ended</w:t>
      </w:r>
      <w:r w:rsidR="000C0368" w:rsidRPr="005536DA">
        <w:rPr>
          <w:szCs w:val="26"/>
        </w:rPr>
        <w:t xml:space="preserve"> April 2, 2012.</w:t>
      </w:r>
      <w:r w:rsidRPr="005536DA">
        <w:rPr>
          <w:szCs w:val="26"/>
        </w:rPr>
        <w:t xml:space="preserve">  No protests were filed and no hearings were held.</w:t>
      </w:r>
    </w:p>
    <w:p w:rsidR="00F824DA" w:rsidRPr="005536DA" w:rsidRDefault="00F824DA" w:rsidP="00262A9A">
      <w:pPr>
        <w:spacing w:line="360" w:lineRule="auto"/>
        <w:rPr>
          <w:szCs w:val="26"/>
        </w:rPr>
      </w:pPr>
    </w:p>
    <w:p w:rsidR="00F824DA" w:rsidRPr="005536DA" w:rsidRDefault="00A473F3" w:rsidP="00262A9A">
      <w:pPr>
        <w:spacing w:line="360" w:lineRule="auto"/>
        <w:rPr>
          <w:szCs w:val="26"/>
        </w:rPr>
      </w:pPr>
      <w:r w:rsidRPr="005536DA">
        <w:rPr>
          <w:szCs w:val="26"/>
        </w:rPr>
        <w:tab/>
      </w:r>
      <w:r w:rsidR="007870AA" w:rsidRPr="005536DA">
        <w:rPr>
          <w:szCs w:val="26"/>
        </w:rPr>
        <w:t xml:space="preserve">           </w:t>
      </w:r>
      <w:r w:rsidR="007A17BC" w:rsidRPr="005536DA">
        <w:rPr>
          <w:szCs w:val="26"/>
        </w:rPr>
        <w:t xml:space="preserve"> </w:t>
      </w:r>
      <w:r w:rsidRPr="005536DA">
        <w:rPr>
          <w:szCs w:val="26"/>
        </w:rPr>
        <w:t>York</w:t>
      </w:r>
      <w:r w:rsidR="00F824DA" w:rsidRPr="005536DA">
        <w:rPr>
          <w:szCs w:val="26"/>
        </w:rPr>
        <w:t xml:space="preserve"> is a public utility corporation duly organized and existing under the laws of the Commonwealth of Pennsylvania and is engaged in the business of supplying and distributing water.  Water service is furnished to the public in a service terri</w:t>
      </w:r>
      <w:r w:rsidRPr="005536DA">
        <w:rPr>
          <w:szCs w:val="26"/>
        </w:rPr>
        <w:t>tory encompassing 46 communities within</w:t>
      </w:r>
      <w:r w:rsidR="00F824DA" w:rsidRPr="005536DA">
        <w:rPr>
          <w:szCs w:val="26"/>
        </w:rPr>
        <w:t xml:space="preserve"> the commonwealth with a c</w:t>
      </w:r>
      <w:r w:rsidRPr="005536DA">
        <w:rPr>
          <w:szCs w:val="26"/>
        </w:rPr>
        <w:t>ombined population of over 182</w:t>
      </w:r>
      <w:r w:rsidR="006F4465" w:rsidRPr="005536DA">
        <w:rPr>
          <w:szCs w:val="26"/>
        </w:rPr>
        <w:t>,000.  York</w:t>
      </w:r>
      <w:r w:rsidR="00F824DA" w:rsidRPr="005536DA">
        <w:rPr>
          <w:szCs w:val="26"/>
        </w:rPr>
        <w:t>’s existing service territory covers various counties throughout Pennsylva</w:t>
      </w:r>
      <w:r w:rsidR="00CF6197" w:rsidRPr="005536DA">
        <w:rPr>
          <w:szCs w:val="26"/>
        </w:rPr>
        <w:t>nia, including York</w:t>
      </w:r>
      <w:r w:rsidR="00F824DA" w:rsidRPr="005536DA">
        <w:rPr>
          <w:szCs w:val="26"/>
        </w:rPr>
        <w:t xml:space="preserve"> County, Pennsylvania.</w:t>
      </w:r>
      <w:r w:rsidR="00C36505" w:rsidRPr="005536DA">
        <w:rPr>
          <w:szCs w:val="26"/>
        </w:rPr>
        <w:t xml:space="preserve">  The proposed</w:t>
      </w:r>
      <w:r w:rsidR="002A355D" w:rsidRPr="005536DA">
        <w:rPr>
          <w:szCs w:val="26"/>
        </w:rPr>
        <w:t xml:space="preserve"> </w:t>
      </w:r>
      <w:r w:rsidR="00C36505" w:rsidRPr="005536DA">
        <w:rPr>
          <w:szCs w:val="26"/>
        </w:rPr>
        <w:t>acquisition will be the first time that York will</w:t>
      </w:r>
      <w:r w:rsidR="00244E1A" w:rsidRPr="005536DA">
        <w:rPr>
          <w:szCs w:val="26"/>
        </w:rPr>
        <w:t xml:space="preserve"> own and</w:t>
      </w:r>
      <w:r w:rsidR="00C36505" w:rsidRPr="005536DA">
        <w:rPr>
          <w:szCs w:val="26"/>
        </w:rPr>
        <w:t xml:space="preserve"> operate a wastewater system.</w:t>
      </w:r>
    </w:p>
    <w:p w:rsidR="00F824DA" w:rsidRPr="005536DA" w:rsidRDefault="00F824DA" w:rsidP="00262A9A">
      <w:pPr>
        <w:spacing w:line="360" w:lineRule="auto"/>
        <w:rPr>
          <w:szCs w:val="26"/>
        </w:rPr>
      </w:pPr>
    </w:p>
    <w:p w:rsidR="00746BBB" w:rsidRPr="005536DA" w:rsidRDefault="00F824DA" w:rsidP="00262A9A">
      <w:pPr>
        <w:spacing w:line="360" w:lineRule="auto"/>
        <w:rPr>
          <w:szCs w:val="26"/>
        </w:rPr>
      </w:pPr>
      <w:r w:rsidRPr="005536DA">
        <w:rPr>
          <w:szCs w:val="26"/>
        </w:rPr>
        <w:tab/>
      </w:r>
      <w:r w:rsidR="007870AA" w:rsidRPr="005536DA">
        <w:rPr>
          <w:szCs w:val="26"/>
        </w:rPr>
        <w:t xml:space="preserve">           </w:t>
      </w:r>
      <w:proofErr w:type="spellStart"/>
      <w:r w:rsidR="007870AA" w:rsidRPr="005536DA">
        <w:rPr>
          <w:szCs w:val="26"/>
        </w:rPr>
        <w:t>Stahlman</w:t>
      </w:r>
      <w:proofErr w:type="spellEnd"/>
      <w:r w:rsidR="007870AA" w:rsidRPr="005536DA">
        <w:rPr>
          <w:szCs w:val="26"/>
        </w:rPr>
        <w:t xml:space="preserve"> is a limited liability company formed </w:t>
      </w:r>
      <w:r w:rsidRPr="005536DA">
        <w:rPr>
          <w:szCs w:val="26"/>
        </w:rPr>
        <w:t>under the laws of the Commonwealth of Pennsylvania</w:t>
      </w:r>
      <w:r w:rsidR="00552FAD" w:rsidRPr="005536DA">
        <w:rPr>
          <w:szCs w:val="26"/>
        </w:rPr>
        <w:t xml:space="preserve">.  </w:t>
      </w:r>
      <w:proofErr w:type="spellStart"/>
      <w:r w:rsidR="00552FAD" w:rsidRPr="005536DA">
        <w:rPr>
          <w:szCs w:val="26"/>
        </w:rPr>
        <w:t>Stahlman</w:t>
      </w:r>
      <w:proofErr w:type="spellEnd"/>
      <w:r w:rsidR="00552FAD" w:rsidRPr="005536DA">
        <w:rPr>
          <w:szCs w:val="26"/>
        </w:rPr>
        <w:t xml:space="preserve"> was granted a Certificate of Public Convenience at docket number A-230046, entered on November 13, 1995 for the right to offer, r</w:t>
      </w:r>
      <w:r w:rsidR="00B32A3E" w:rsidRPr="005536DA">
        <w:rPr>
          <w:szCs w:val="26"/>
        </w:rPr>
        <w:t xml:space="preserve">ender and </w:t>
      </w:r>
      <w:r w:rsidR="00E12304" w:rsidRPr="005536DA">
        <w:rPr>
          <w:szCs w:val="26"/>
        </w:rPr>
        <w:t>furnish sanitary wastewater</w:t>
      </w:r>
      <w:r w:rsidR="00552FAD" w:rsidRPr="005536DA">
        <w:rPr>
          <w:szCs w:val="26"/>
        </w:rPr>
        <w:t xml:space="preserve"> collection and disposal service to the public in</w:t>
      </w:r>
      <w:r w:rsidR="00746BBB" w:rsidRPr="005536DA">
        <w:rPr>
          <w:szCs w:val="26"/>
        </w:rPr>
        <w:t xml:space="preserve"> East Manchester Township, York County (the Asbury Pointe residential subdivision).  </w:t>
      </w:r>
      <w:r w:rsidR="00E12304" w:rsidRPr="005536DA">
        <w:rPr>
          <w:szCs w:val="26"/>
        </w:rPr>
        <w:t xml:space="preserve">A map representing the franchised territory can be found at Docket No. </w:t>
      </w:r>
      <w:proofErr w:type="gramStart"/>
      <w:r w:rsidR="00E12304" w:rsidRPr="005536DA">
        <w:rPr>
          <w:szCs w:val="26"/>
        </w:rPr>
        <w:t>A-230046.</w:t>
      </w:r>
      <w:proofErr w:type="gramEnd"/>
      <w:r w:rsidR="00E12304" w:rsidRPr="005536DA">
        <w:rPr>
          <w:szCs w:val="26"/>
        </w:rPr>
        <w:t xml:space="preserve">  Service has been provided to the entire franchised area and currently</w:t>
      </w:r>
      <w:r w:rsidR="00AE7F23" w:rsidRPr="005536DA">
        <w:rPr>
          <w:szCs w:val="26"/>
        </w:rPr>
        <w:t xml:space="preserve"> the area is </w:t>
      </w:r>
      <w:r w:rsidR="00864DAA" w:rsidRPr="005536DA">
        <w:rPr>
          <w:szCs w:val="26"/>
        </w:rPr>
        <w:t>completely built-out serving 237</w:t>
      </w:r>
      <w:r w:rsidR="00E12304" w:rsidRPr="005536DA">
        <w:rPr>
          <w:szCs w:val="26"/>
        </w:rPr>
        <w:t xml:space="preserve"> residential customers.</w:t>
      </w:r>
      <w:r w:rsidR="00E731A4" w:rsidRPr="005536DA">
        <w:rPr>
          <w:szCs w:val="26"/>
        </w:rPr>
        <w:t xml:space="preserve"> </w:t>
      </w:r>
    </w:p>
    <w:p w:rsidR="007D2D26" w:rsidRPr="005536DA" w:rsidRDefault="007D2D26" w:rsidP="00262A9A">
      <w:pPr>
        <w:spacing w:line="360" w:lineRule="auto"/>
        <w:rPr>
          <w:szCs w:val="26"/>
        </w:rPr>
      </w:pPr>
    </w:p>
    <w:p w:rsidR="001E6D39" w:rsidRPr="005536DA" w:rsidRDefault="00AE7F23" w:rsidP="00262A9A">
      <w:pPr>
        <w:spacing w:line="360" w:lineRule="auto"/>
        <w:rPr>
          <w:szCs w:val="26"/>
        </w:rPr>
      </w:pPr>
      <w:r w:rsidRPr="005536DA">
        <w:rPr>
          <w:szCs w:val="26"/>
        </w:rPr>
        <w:lastRenderedPageBreak/>
        <w:t xml:space="preserve">                   </w:t>
      </w:r>
      <w:r w:rsidR="00CB5F9C" w:rsidRPr="005536DA">
        <w:rPr>
          <w:szCs w:val="26"/>
        </w:rPr>
        <w:t xml:space="preserve">  </w:t>
      </w:r>
      <w:r w:rsidR="00BA0548" w:rsidRPr="005536DA">
        <w:rPr>
          <w:szCs w:val="26"/>
        </w:rPr>
        <w:t xml:space="preserve">  </w:t>
      </w:r>
      <w:r w:rsidR="00C36505" w:rsidRPr="005536DA">
        <w:rPr>
          <w:szCs w:val="26"/>
        </w:rPr>
        <w:t>York</w:t>
      </w:r>
      <w:r w:rsidR="00B32A3E" w:rsidRPr="005536DA">
        <w:rPr>
          <w:szCs w:val="26"/>
        </w:rPr>
        <w:t xml:space="preserve"> </w:t>
      </w:r>
      <w:r w:rsidR="00694DBE" w:rsidRPr="005536DA">
        <w:rPr>
          <w:szCs w:val="26"/>
        </w:rPr>
        <w:t>entered into an Agreement</w:t>
      </w:r>
      <w:r w:rsidR="00E731A4" w:rsidRPr="005536DA">
        <w:rPr>
          <w:szCs w:val="26"/>
        </w:rPr>
        <w:t xml:space="preserve"> of Sale (Agreement)</w:t>
      </w:r>
      <w:r w:rsidR="00694DBE" w:rsidRPr="005536DA">
        <w:rPr>
          <w:szCs w:val="26"/>
        </w:rPr>
        <w:t xml:space="preserve"> with </w:t>
      </w:r>
      <w:proofErr w:type="spellStart"/>
      <w:r w:rsidR="00694DBE" w:rsidRPr="005536DA">
        <w:rPr>
          <w:szCs w:val="26"/>
        </w:rPr>
        <w:t>Stahlman</w:t>
      </w:r>
      <w:proofErr w:type="spellEnd"/>
      <w:r w:rsidR="00694DBE" w:rsidRPr="005536DA">
        <w:rPr>
          <w:szCs w:val="26"/>
        </w:rPr>
        <w:t xml:space="preserve"> dated December 28, 2011, to purchase the Asbury Pointe wastewater collection and treatment system</w:t>
      </w:r>
      <w:r w:rsidR="00E731A4" w:rsidRPr="005536DA">
        <w:rPr>
          <w:szCs w:val="26"/>
        </w:rPr>
        <w:t xml:space="preserve">, and </w:t>
      </w:r>
      <w:proofErr w:type="spellStart"/>
      <w:r w:rsidR="00E731A4" w:rsidRPr="005536DA">
        <w:rPr>
          <w:szCs w:val="26"/>
        </w:rPr>
        <w:t>stormwater</w:t>
      </w:r>
      <w:proofErr w:type="spellEnd"/>
      <w:r w:rsidR="00E731A4" w:rsidRPr="005536DA">
        <w:rPr>
          <w:szCs w:val="26"/>
        </w:rPr>
        <w:t xml:space="preserve"> collection system</w:t>
      </w:r>
      <w:r w:rsidR="00694DBE" w:rsidRPr="005536DA">
        <w:rPr>
          <w:szCs w:val="26"/>
        </w:rPr>
        <w:t>.  A copy of this Agreement i</w:t>
      </w:r>
      <w:r w:rsidR="00FB6511" w:rsidRPr="005536DA">
        <w:rPr>
          <w:szCs w:val="26"/>
        </w:rPr>
        <w:t>s found at</w:t>
      </w:r>
      <w:r w:rsidR="00E3395C" w:rsidRPr="005536DA">
        <w:rPr>
          <w:szCs w:val="26"/>
        </w:rPr>
        <w:t xml:space="preserve"> Exhibit K</w:t>
      </w:r>
      <w:r w:rsidR="00B32A3E" w:rsidRPr="005536DA">
        <w:rPr>
          <w:szCs w:val="26"/>
        </w:rPr>
        <w:t xml:space="preserve"> in</w:t>
      </w:r>
      <w:r w:rsidR="00FB6511" w:rsidRPr="005536DA">
        <w:rPr>
          <w:szCs w:val="26"/>
        </w:rPr>
        <w:t xml:space="preserve"> the application</w:t>
      </w:r>
      <w:r w:rsidR="002139DE" w:rsidRPr="005536DA">
        <w:rPr>
          <w:szCs w:val="26"/>
        </w:rPr>
        <w:t xml:space="preserve">.  </w:t>
      </w:r>
      <w:r w:rsidR="00BC05C5" w:rsidRPr="005536DA">
        <w:rPr>
          <w:szCs w:val="26"/>
        </w:rPr>
        <w:t>The Agreement describes the assets that will be acquired.</w:t>
      </w:r>
    </w:p>
    <w:p w:rsidR="001E6D39" w:rsidRPr="005536DA" w:rsidRDefault="006B31C0" w:rsidP="00262A9A">
      <w:pPr>
        <w:spacing w:line="360" w:lineRule="auto"/>
        <w:rPr>
          <w:szCs w:val="26"/>
        </w:rPr>
      </w:pPr>
      <w:r w:rsidRPr="005536DA">
        <w:rPr>
          <w:szCs w:val="26"/>
        </w:rPr>
        <w:t xml:space="preserve">    </w:t>
      </w:r>
    </w:p>
    <w:p w:rsidR="00BC05C5" w:rsidRPr="005536DA" w:rsidRDefault="001E6D39" w:rsidP="00262A9A">
      <w:pPr>
        <w:spacing w:line="360" w:lineRule="auto"/>
        <w:rPr>
          <w:szCs w:val="26"/>
        </w:rPr>
      </w:pPr>
      <w:r w:rsidRPr="005536DA">
        <w:rPr>
          <w:szCs w:val="26"/>
        </w:rPr>
        <w:t xml:space="preserve">                       The certificated territory of </w:t>
      </w:r>
      <w:proofErr w:type="spellStart"/>
      <w:r w:rsidRPr="005536DA">
        <w:rPr>
          <w:szCs w:val="26"/>
        </w:rPr>
        <w:t>Stahlman</w:t>
      </w:r>
      <w:proofErr w:type="spellEnd"/>
      <w:r w:rsidRPr="005536DA">
        <w:rPr>
          <w:szCs w:val="26"/>
        </w:rPr>
        <w:t xml:space="preserve"> covers only the residential</w:t>
      </w:r>
      <w:r w:rsidR="007C6508" w:rsidRPr="005536DA">
        <w:rPr>
          <w:szCs w:val="26"/>
        </w:rPr>
        <w:t xml:space="preserve"> subdivision known as Asbury Pointe.</w:t>
      </w:r>
      <w:r w:rsidRPr="005536DA">
        <w:rPr>
          <w:szCs w:val="26"/>
        </w:rPr>
        <w:t xml:space="preserve"> </w:t>
      </w:r>
      <w:r w:rsidR="007C6508" w:rsidRPr="005536DA">
        <w:rPr>
          <w:szCs w:val="26"/>
        </w:rPr>
        <w:t xml:space="preserve">  In addition to Asbury Pointe</w:t>
      </w:r>
      <w:r w:rsidR="00BC05C5" w:rsidRPr="005536DA">
        <w:rPr>
          <w:szCs w:val="26"/>
        </w:rPr>
        <w:t>, York</w:t>
      </w:r>
      <w:r w:rsidR="007C6508" w:rsidRPr="005536DA">
        <w:rPr>
          <w:szCs w:val="26"/>
        </w:rPr>
        <w:t xml:space="preserve"> seeks to serve </w:t>
      </w:r>
      <w:r w:rsidR="00864DAA" w:rsidRPr="005536DA">
        <w:rPr>
          <w:szCs w:val="26"/>
        </w:rPr>
        <w:t>Asbury Pines,</w:t>
      </w:r>
      <w:r w:rsidR="007C6508" w:rsidRPr="005536DA">
        <w:rPr>
          <w:szCs w:val="26"/>
        </w:rPr>
        <w:t xml:space="preserve"> which abuts the Asbury Pointe development.</w:t>
      </w:r>
      <w:r w:rsidR="007D2D26" w:rsidRPr="005536DA">
        <w:rPr>
          <w:szCs w:val="26"/>
        </w:rPr>
        <w:t xml:space="preserve">  Both developments </w:t>
      </w:r>
      <w:r w:rsidR="00BA0548" w:rsidRPr="005536DA">
        <w:rPr>
          <w:szCs w:val="26"/>
        </w:rPr>
        <w:t>are located within York’s franchise territory and York is presently providing water service to Asbury Pointe</w:t>
      </w:r>
      <w:r w:rsidR="00565F52" w:rsidRPr="005536DA">
        <w:rPr>
          <w:szCs w:val="26"/>
        </w:rPr>
        <w:t xml:space="preserve"> and a portion of Asbury Pines</w:t>
      </w:r>
      <w:r w:rsidR="00BA0548" w:rsidRPr="005536DA">
        <w:rPr>
          <w:szCs w:val="26"/>
        </w:rPr>
        <w:t>.</w:t>
      </w:r>
      <w:r w:rsidR="007C6508" w:rsidRPr="005536DA">
        <w:rPr>
          <w:szCs w:val="26"/>
        </w:rPr>
        <w:t xml:space="preserve"> </w:t>
      </w:r>
      <w:r w:rsidR="006B31C0" w:rsidRPr="005536DA">
        <w:rPr>
          <w:szCs w:val="26"/>
        </w:rPr>
        <w:t xml:space="preserve"> The developer will be</w:t>
      </w:r>
      <w:r w:rsidR="007D2D26" w:rsidRPr="005536DA">
        <w:rPr>
          <w:szCs w:val="26"/>
        </w:rPr>
        <w:t xml:space="preserve"> installing the </w:t>
      </w:r>
      <w:r w:rsidR="00BA0548" w:rsidRPr="005536DA">
        <w:rPr>
          <w:szCs w:val="26"/>
        </w:rPr>
        <w:t>utilities</w:t>
      </w:r>
      <w:r w:rsidR="006B31C0" w:rsidRPr="005536DA">
        <w:rPr>
          <w:szCs w:val="26"/>
        </w:rPr>
        <w:t>, and</w:t>
      </w:r>
      <w:r w:rsidR="00BA0548" w:rsidRPr="005536DA">
        <w:rPr>
          <w:szCs w:val="26"/>
        </w:rPr>
        <w:t xml:space="preserve"> any expansion of the current system will be done </w:t>
      </w:r>
      <w:r w:rsidR="006B31C0" w:rsidRPr="005536DA">
        <w:rPr>
          <w:szCs w:val="26"/>
        </w:rPr>
        <w:t xml:space="preserve">subject to the line extension rules as found in </w:t>
      </w:r>
      <w:proofErr w:type="spellStart"/>
      <w:r w:rsidR="006B31C0" w:rsidRPr="005536DA">
        <w:rPr>
          <w:szCs w:val="26"/>
        </w:rPr>
        <w:t>Stahlman’s</w:t>
      </w:r>
      <w:proofErr w:type="spellEnd"/>
      <w:r w:rsidR="006B31C0" w:rsidRPr="005536DA">
        <w:rPr>
          <w:szCs w:val="26"/>
        </w:rPr>
        <w:t xml:space="preserve"> existing tariff, which is to be adopted by York upon consummation of the transaction. </w:t>
      </w:r>
      <w:r w:rsidR="007D2D26" w:rsidRPr="005536DA">
        <w:rPr>
          <w:szCs w:val="26"/>
        </w:rPr>
        <w:t xml:space="preserve"> The present system has</w:t>
      </w:r>
      <w:r w:rsidR="007C6508" w:rsidRPr="005536DA">
        <w:rPr>
          <w:szCs w:val="26"/>
        </w:rPr>
        <w:t xml:space="preserve"> adequate capacity to accommodate Asbury Pines.  </w:t>
      </w:r>
      <w:r w:rsidR="00BC05C5" w:rsidRPr="005536DA">
        <w:rPr>
          <w:szCs w:val="26"/>
        </w:rPr>
        <w:t>A map of the proposed</w:t>
      </w:r>
      <w:r w:rsidR="004D53F5" w:rsidRPr="005536DA">
        <w:rPr>
          <w:szCs w:val="26"/>
        </w:rPr>
        <w:t xml:space="preserve"> Asbury Pines</w:t>
      </w:r>
      <w:r w:rsidR="00D426CA" w:rsidRPr="005536DA">
        <w:rPr>
          <w:szCs w:val="26"/>
        </w:rPr>
        <w:t xml:space="preserve"> territory</w:t>
      </w:r>
      <w:r w:rsidR="00BC05C5" w:rsidRPr="005536DA">
        <w:rPr>
          <w:szCs w:val="26"/>
        </w:rPr>
        <w:t xml:space="preserve"> is found </w:t>
      </w:r>
      <w:r w:rsidR="007C6508" w:rsidRPr="005536DA">
        <w:rPr>
          <w:szCs w:val="26"/>
        </w:rPr>
        <w:t>at Exhibit G in the application.</w:t>
      </w:r>
      <w:r w:rsidR="00BC05C5" w:rsidRPr="005536DA">
        <w:rPr>
          <w:szCs w:val="26"/>
        </w:rPr>
        <w:t xml:space="preserve">  </w:t>
      </w:r>
    </w:p>
    <w:p w:rsidR="009D35A5" w:rsidRPr="005536DA" w:rsidRDefault="00133791" w:rsidP="00262A9A">
      <w:pPr>
        <w:spacing w:line="360" w:lineRule="auto"/>
        <w:rPr>
          <w:szCs w:val="26"/>
        </w:rPr>
      </w:pPr>
      <w:r w:rsidRPr="005536DA">
        <w:rPr>
          <w:szCs w:val="26"/>
        </w:rPr>
        <w:t xml:space="preserve">  </w:t>
      </w:r>
      <w:r w:rsidR="00FB6511" w:rsidRPr="005536DA">
        <w:rPr>
          <w:szCs w:val="26"/>
        </w:rPr>
        <w:t xml:space="preserve">  </w:t>
      </w:r>
      <w:r w:rsidR="00864DAA" w:rsidRPr="005536DA">
        <w:rPr>
          <w:szCs w:val="26"/>
        </w:rPr>
        <w:t xml:space="preserve"> </w:t>
      </w:r>
    </w:p>
    <w:p w:rsidR="00F824DA" w:rsidRPr="005536DA" w:rsidRDefault="009D35A5" w:rsidP="00262A9A">
      <w:pPr>
        <w:spacing w:line="360" w:lineRule="auto"/>
        <w:rPr>
          <w:szCs w:val="26"/>
        </w:rPr>
      </w:pPr>
      <w:r w:rsidRPr="005536DA">
        <w:rPr>
          <w:szCs w:val="26"/>
        </w:rPr>
        <w:t xml:space="preserve">                         </w:t>
      </w:r>
      <w:proofErr w:type="spellStart"/>
      <w:r w:rsidRPr="005536DA">
        <w:rPr>
          <w:szCs w:val="26"/>
        </w:rPr>
        <w:t>Stahlman</w:t>
      </w:r>
      <w:proofErr w:type="spellEnd"/>
      <w:r w:rsidRPr="005536DA">
        <w:rPr>
          <w:szCs w:val="26"/>
        </w:rPr>
        <w:t xml:space="preserve"> on Ma</w:t>
      </w:r>
      <w:r w:rsidR="00B32A3E" w:rsidRPr="005536DA">
        <w:rPr>
          <w:szCs w:val="26"/>
        </w:rPr>
        <w:t>rch 24, 2011, received from the Department of Environmental Protection</w:t>
      </w:r>
      <w:r w:rsidR="00CC0977" w:rsidRPr="005536DA">
        <w:rPr>
          <w:szCs w:val="26"/>
        </w:rPr>
        <w:t xml:space="preserve"> (DEP)</w:t>
      </w:r>
      <w:r w:rsidR="00B32A3E" w:rsidRPr="005536DA">
        <w:rPr>
          <w:szCs w:val="26"/>
        </w:rPr>
        <w:t xml:space="preserve"> </w:t>
      </w:r>
      <w:r w:rsidRPr="005536DA">
        <w:rPr>
          <w:szCs w:val="26"/>
        </w:rPr>
        <w:t xml:space="preserve">a Notice of Violation for having </w:t>
      </w:r>
      <w:proofErr w:type="gramStart"/>
      <w:r w:rsidRPr="005536DA">
        <w:rPr>
          <w:szCs w:val="26"/>
        </w:rPr>
        <w:t>reporting,</w:t>
      </w:r>
      <w:proofErr w:type="gramEnd"/>
      <w:r w:rsidRPr="005536DA">
        <w:rPr>
          <w:szCs w:val="26"/>
        </w:rPr>
        <w:t xml:space="preserve"> and improper operation and maintenance violations.  To address the noncompliance issues, </w:t>
      </w:r>
      <w:proofErr w:type="spellStart"/>
      <w:r w:rsidRPr="005536DA">
        <w:rPr>
          <w:szCs w:val="26"/>
        </w:rPr>
        <w:t>Stahlman</w:t>
      </w:r>
      <w:proofErr w:type="spellEnd"/>
      <w:r w:rsidRPr="005536DA">
        <w:rPr>
          <w:szCs w:val="26"/>
        </w:rPr>
        <w:t xml:space="preserve"> entered into a Consent Order and Agreement (COA) with DEP on August 22, 2011.</w:t>
      </w:r>
      <w:r w:rsidR="00565F52" w:rsidRPr="005536DA">
        <w:rPr>
          <w:szCs w:val="26"/>
        </w:rPr>
        <w:t xml:space="preserve">  </w:t>
      </w:r>
      <w:r w:rsidR="00990794" w:rsidRPr="005536DA">
        <w:rPr>
          <w:szCs w:val="26"/>
        </w:rPr>
        <w:t xml:space="preserve">York will bring significant </w:t>
      </w:r>
      <w:r w:rsidR="00BA0548" w:rsidRPr="005536DA">
        <w:rPr>
          <w:szCs w:val="26"/>
        </w:rPr>
        <w:t>resources to the Asbury Pointe s</w:t>
      </w:r>
      <w:r w:rsidR="00990794" w:rsidRPr="005536DA">
        <w:rPr>
          <w:szCs w:val="26"/>
        </w:rPr>
        <w:t>ystem in order to bring it into compliance with existing regulatory requirements.  The acquisition will cure the outstanding issues identi</w:t>
      </w:r>
      <w:r w:rsidR="00EB123F">
        <w:rPr>
          <w:szCs w:val="26"/>
        </w:rPr>
        <w:t>fied by DEP in the COA</w:t>
      </w:r>
      <w:r w:rsidR="00990794" w:rsidRPr="005536DA">
        <w:rPr>
          <w:szCs w:val="26"/>
        </w:rPr>
        <w:t>.</w:t>
      </w:r>
      <w:r w:rsidR="00F824DA" w:rsidRPr="005536DA">
        <w:rPr>
          <w:szCs w:val="26"/>
        </w:rPr>
        <w:t xml:space="preserve"> </w:t>
      </w:r>
    </w:p>
    <w:p w:rsidR="00F824DA" w:rsidRPr="005536DA" w:rsidRDefault="00F824DA" w:rsidP="00262A9A">
      <w:pPr>
        <w:spacing w:line="360" w:lineRule="auto"/>
        <w:rPr>
          <w:bCs/>
          <w:color w:val="auto"/>
          <w:szCs w:val="26"/>
        </w:rPr>
      </w:pPr>
    </w:p>
    <w:p w:rsidR="00F824DA" w:rsidRPr="005536DA" w:rsidRDefault="00F824DA" w:rsidP="00262A9A">
      <w:pPr>
        <w:spacing w:line="360" w:lineRule="auto"/>
        <w:rPr>
          <w:bCs/>
          <w:color w:val="auto"/>
          <w:szCs w:val="26"/>
        </w:rPr>
      </w:pPr>
      <w:r w:rsidRPr="005536DA">
        <w:rPr>
          <w:bCs/>
          <w:color w:val="auto"/>
          <w:szCs w:val="26"/>
        </w:rPr>
        <w:tab/>
      </w:r>
      <w:r w:rsidR="005C055E" w:rsidRPr="005536DA">
        <w:rPr>
          <w:bCs/>
          <w:color w:val="auto"/>
          <w:szCs w:val="26"/>
        </w:rPr>
        <w:t xml:space="preserve">            </w:t>
      </w:r>
      <w:r w:rsidR="00694DBE" w:rsidRPr="005536DA">
        <w:rPr>
          <w:bCs/>
          <w:color w:val="auto"/>
          <w:szCs w:val="26"/>
        </w:rPr>
        <w:t xml:space="preserve"> </w:t>
      </w:r>
      <w:r w:rsidR="005C055E" w:rsidRPr="005536DA">
        <w:rPr>
          <w:bCs/>
          <w:color w:val="auto"/>
          <w:szCs w:val="26"/>
        </w:rPr>
        <w:t>The</w:t>
      </w:r>
      <w:r w:rsidR="003D54CC" w:rsidRPr="005536DA">
        <w:rPr>
          <w:bCs/>
          <w:color w:val="auto"/>
          <w:szCs w:val="26"/>
        </w:rPr>
        <w:t xml:space="preserve"> estimated </w:t>
      </w:r>
      <w:r w:rsidR="00017566" w:rsidRPr="005536DA">
        <w:rPr>
          <w:bCs/>
          <w:color w:val="auto"/>
          <w:szCs w:val="26"/>
        </w:rPr>
        <w:t>total cost is $367,000,</w:t>
      </w:r>
      <w:r w:rsidR="006F64B7" w:rsidRPr="005536DA">
        <w:rPr>
          <w:bCs/>
          <w:color w:val="auto"/>
          <w:szCs w:val="26"/>
        </w:rPr>
        <w:t xml:space="preserve"> which consists of the purchase price of $305,000</w:t>
      </w:r>
      <w:r w:rsidR="00D426CA" w:rsidRPr="005536DA">
        <w:rPr>
          <w:bCs/>
          <w:color w:val="auto"/>
          <w:szCs w:val="26"/>
        </w:rPr>
        <w:t xml:space="preserve"> for the wastewater and collection system</w:t>
      </w:r>
      <w:r w:rsidR="006F64B7" w:rsidRPr="005536DA">
        <w:rPr>
          <w:bCs/>
          <w:color w:val="auto"/>
          <w:szCs w:val="26"/>
        </w:rPr>
        <w:t>,</w:t>
      </w:r>
      <w:r w:rsidR="00BA0548" w:rsidRPr="005536DA">
        <w:rPr>
          <w:bCs/>
          <w:color w:val="auto"/>
          <w:szCs w:val="26"/>
        </w:rPr>
        <w:t xml:space="preserve"> and $12</w:t>
      </w:r>
      <w:r w:rsidR="00E25EE7">
        <w:rPr>
          <w:bCs/>
          <w:color w:val="auto"/>
          <w:szCs w:val="26"/>
        </w:rPr>
        <w:t>,000 to remedy a storm damaged d</w:t>
      </w:r>
      <w:r w:rsidR="00BA0548" w:rsidRPr="005536DA">
        <w:rPr>
          <w:bCs/>
          <w:color w:val="auto"/>
          <w:szCs w:val="26"/>
        </w:rPr>
        <w:t>etention pond.  The amount of</w:t>
      </w:r>
      <w:r w:rsidR="006F64B7" w:rsidRPr="005536DA">
        <w:rPr>
          <w:bCs/>
          <w:color w:val="auto"/>
          <w:szCs w:val="26"/>
        </w:rPr>
        <w:t xml:space="preserve"> $50,000</w:t>
      </w:r>
      <w:r w:rsidR="00BA0548" w:rsidRPr="005536DA">
        <w:rPr>
          <w:bCs/>
          <w:color w:val="auto"/>
          <w:szCs w:val="26"/>
        </w:rPr>
        <w:t xml:space="preserve"> has also been allocated</w:t>
      </w:r>
      <w:r w:rsidR="006F64B7" w:rsidRPr="005536DA">
        <w:rPr>
          <w:bCs/>
          <w:color w:val="auto"/>
          <w:szCs w:val="26"/>
        </w:rPr>
        <w:t xml:space="preserve"> </w:t>
      </w:r>
      <w:r w:rsidR="007B6C20" w:rsidRPr="005536DA">
        <w:rPr>
          <w:bCs/>
          <w:color w:val="auto"/>
          <w:szCs w:val="26"/>
        </w:rPr>
        <w:t>for the installation of a</w:t>
      </w:r>
      <w:r w:rsidR="00D426CA" w:rsidRPr="005536DA">
        <w:rPr>
          <w:bCs/>
          <w:color w:val="auto"/>
          <w:szCs w:val="26"/>
        </w:rPr>
        <w:t>n effluent flow meter</w:t>
      </w:r>
      <w:r w:rsidR="00DE395F" w:rsidRPr="005536DA">
        <w:rPr>
          <w:bCs/>
          <w:color w:val="auto"/>
          <w:szCs w:val="26"/>
        </w:rPr>
        <w:t xml:space="preserve">, </w:t>
      </w:r>
      <w:r w:rsidR="006F64B7" w:rsidRPr="005536DA">
        <w:rPr>
          <w:bCs/>
          <w:color w:val="auto"/>
          <w:szCs w:val="26"/>
        </w:rPr>
        <w:t>which will bring these facilities into compl</w:t>
      </w:r>
      <w:r w:rsidR="00EB123F">
        <w:rPr>
          <w:bCs/>
          <w:color w:val="auto"/>
          <w:szCs w:val="26"/>
        </w:rPr>
        <w:t>iance with the DEP COA</w:t>
      </w:r>
      <w:r w:rsidR="007B6C20" w:rsidRPr="005536DA">
        <w:rPr>
          <w:bCs/>
          <w:color w:val="auto"/>
          <w:szCs w:val="26"/>
        </w:rPr>
        <w:t xml:space="preserve">.  </w:t>
      </w:r>
      <w:r w:rsidR="005C055E" w:rsidRPr="005536DA">
        <w:rPr>
          <w:bCs/>
          <w:color w:val="auto"/>
          <w:szCs w:val="26"/>
        </w:rPr>
        <w:t xml:space="preserve">Negotiations were conducted at arm’s length. </w:t>
      </w:r>
      <w:r w:rsidR="00E3395C" w:rsidRPr="005536DA">
        <w:rPr>
          <w:bCs/>
          <w:color w:val="auto"/>
          <w:szCs w:val="26"/>
        </w:rPr>
        <w:t>The assets</w:t>
      </w:r>
      <w:r w:rsidRPr="005536DA">
        <w:rPr>
          <w:bCs/>
          <w:color w:val="auto"/>
          <w:szCs w:val="26"/>
        </w:rPr>
        <w:t xml:space="preserve"> to be </w:t>
      </w:r>
      <w:r w:rsidRPr="005536DA">
        <w:rPr>
          <w:bCs/>
          <w:color w:val="auto"/>
          <w:szCs w:val="26"/>
        </w:rPr>
        <w:lastRenderedPageBreak/>
        <w:t>transferred include all real property</w:t>
      </w:r>
      <w:r w:rsidR="00E3395C" w:rsidRPr="005536DA">
        <w:rPr>
          <w:bCs/>
          <w:color w:val="auto"/>
          <w:szCs w:val="26"/>
        </w:rPr>
        <w:t>,</w:t>
      </w:r>
      <w:r w:rsidRPr="005536DA">
        <w:rPr>
          <w:bCs/>
          <w:color w:val="auto"/>
          <w:szCs w:val="26"/>
        </w:rPr>
        <w:t xml:space="preserve"> easement rights, all fixtures, structures and improveme</w:t>
      </w:r>
      <w:r w:rsidR="00E3395C" w:rsidRPr="005536DA">
        <w:rPr>
          <w:bCs/>
          <w:color w:val="auto"/>
          <w:szCs w:val="26"/>
        </w:rPr>
        <w:t>nts, rights of ways,</w:t>
      </w:r>
      <w:r w:rsidRPr="005536DA">
        <w:rPr>
          <w:bCs/>
          <w:color w:val="auto"/>
          <w:szCs w:val="26"/>
        </w:rPr>
        <w:t xml:space="preserve"> rights of use, licenses, privileges and other appurtenances related to the</w:t>
      </w:r>
      <w:r w:rsidR="00E3395C" w:rsidRPr="005536DA">
        <w:rPr>
          <w:bCs/>
          <w:color w:val="auto"/>
          <w:szCs w:val="26"/>
        </w:rPr>
        <w:t xml:space="preserve"> </w:t>
      </w:r>
      <w:proofErr w:type="spellStart"/>
      <w:r w:rsidR="00E3395C" w:rsidRPr="005536DA">
        <w:rPr>
          <w:bCs/>
          <w:color w:val="auto"/>
          <w:szCs w:val="26"/>
        </w:rPr>
        <w:t>stormwater</w:t>
      </w:r>
      <w:proofErr w:type="spellEnd"/>
      <w:r w:rsidR="00E3395C" w:rsidRPr="005536DA">
        <w:rPr>
          <w:bCs/>
          <w:color w:val="auto"/>
          <w:szCs w:val="26"/>
        </w:rPr>
        <w:t xml:space="preserve"> and</w:t>
      </w:r>
      <w:r w:rsidRPr="005536DA">
        <w:rPr>
          <w:bCs/>
          <w:color w:val="auto"/>
          <w:szCs w:val="26"/>
        </w:rPr>
        <w:t xml:space="preserve"> </w:t>
      </w:r>
      <w:r w:rsidR="00FB2D24" w:rsidRPr="005536DA">
        <w:rPr>
          <w:bCs/>
          <w:color w:val="auto"/>
          <w:szCs w:val="26"/>
        </w:rPr>
        <w:t>waste</w:t>
      </w:r>
      <w:r w:rsidRPr="005536DA">
        <w:rPr>
          <w:bCs/>
          <w:color w:val="auto"/>
          <w:szCs w:val="26"/>
        </w:rPr>
        <w:t>water</w:t>
      </w:r>
      <w:r w:rsidR="00E3395C" w:rsidRPr="005536DA">
        <w:rPr>
          <w:bCs/>
          <w:color w:val="auto"/>
          <w:szCs w:val="26"/>
        </w:rPr>
        <w:t xml:space="preserve"> facilities as described in Append</w:t>
      </w:r>
      <w:r w:rsidR="00B32A3E" w:rsidRPr="005536DA">
        <w:rPr>
          <w:bCs/>
          <w:color w:val="auto"/>
          <w:szCs w:val="26"/>
        </w:rPr>
        <w:t>ix A in</w:t>
      </w:r>
      <w:r w:rsidR="00FB6511" w:rsidRPr="005536DA">
        <w:rPr>
          <w:bCs/>
          <w:color w:val="auto"/>
          <w:szCs w:val="26"/>
        </w:rPr>
        <w:t xml:space="preserve"> the application</w:t>
      </w:r>
      <w:r w:rsidRPr="005536DA">
        <w:rPr>
          <w:bCs/>
          <w:color w:val="auto"/>
          <w:szCs w:val="26"/>
        </w:rPr>
        <w:t xml:space="preserve">.  Assets excluded from the sale are cash and accounts receivable. </w:t>
      </w:r>
      <w:r w:rsidR="005C055E" w:rsidRPr="005536DA">
        <w:rPr>
          <w:bCs/>
          <w:color w:val="auto"/>
          <w:szCs w:val="26"/>
        </w:rPr>
        <w:t xml:space="preserve">        </w:t>
      </w:r>
    </w:p>
    <w:p w:rsidR="00F824DA" w:rsidRPr="005536DA" w:rsidRDefault="00F824DA" w:rsidP="00262A9A">
      <w:pPr>
        <w:spacing w:line="360" w:lineRule="auto"/>
        <w:rPr>
          <w:bCs/>
          <w:color w:val="auto"/>
          <w:szCs w:val="26"/>
        </w:rPr>
      </w:pPr>
    </w:p>
    <w:p w:rsidR="00824A05" w:rsidRDefault="00A05421" w:rsidP="00262A9A">
      <w:pPr>
        <w:spacing w:line="360" w:lineRule="auto"/>
        <w:rPr>
          <w:bCs/>
          <w:color w:val="auto"/>
          <w:szCs w:val="26"/>
        </w:rPr>
      </w:pPr>
      <w:r w:rsidRPr="005536DA">
        <w:rPr>
          <w:bCs/>
          <w:color w:val="auto"/>
          <w:szCs w:val="26"/>
        </w:rPr>
        <w:tab/>
      </w:r>
      <w:r w:rsidR="005C055E" w:rsidRPr="005536DA">
        <w:rPr>
          <w:bCs/>
          <w:color w:val="auto"/>
          <w:szCs w:val="26"/>
        </w:rPr>
        <w:t xml:space="preserve">           </w:t>
      </w:r>
      <w:r w:rsidRPr="005536DA">
        <w:rPr>
          <w:bCs/>
          <w:color w:val="auto"/>
          <w:szCs w:val="26"/>
        </w:rPr>
        <w:t>York</w:t>
      </w:r>
      <w:r w:rsidR="00C36505" w:rsidRPr="005536DA">
        <w:rPr>
          <w:bCs/>
          <w:color w:val="auto"/>
          <w:szCs w:val="26"/>
        </w:rPr>
        <w:t xml:space="preserve"> </w:t>
      </w:r>
      <w:r w:rsidR="00F824DA" w:rsidRPr="005536DA">
        <w:rPr>
          <w:bCs/>
          <w:color w:val="auto"/>
          <w:szCs w:val="26"/>
        </w:rPr>
        <w:t>stated that no corporation, partnership or i</w:t>
      </w:r>
      <w:r w:rsidRPr="005536DA">
        <w:rPr>
          <w:bCs/>
          <w:color w:val="auto"/>
          <w:szCs w:val="26"/>
        </w:rPr>
        <w:t xml:space="preserve">ndividual, other than </w:t>
      </w:r>
      <w:proofErr w:type="spellStart"/>
      <w:r w:rsidRPr="005536DA">
        <w:rPr>
          <w:bCs/>
          <w:color w:val="auto"/>
          <w:szCs w:val="26"/>
        </w:rPr>
        <w:t>Stahlman</w:t>
      </w:r>
      <w:proofErr w:type="spellEnd"/>
      <w:r w:rsidR="00F824DA" w:rsidRPr="005536DA">
        <w:rPr>
          <w:bCs/>
          <w:color w:val="auto"/>
          <w:szCs w:val="26"/>
        </w:rPr>
        <w:t xml:space="preserve">, is now furnishing or has corporate or franchise rights to furnish service similar to that to be rendered by </w:t>
      </w:r>
      <w:r w:rsidRPr="005536DA">
        <w:rPr>
          <w:bCs/>
          <w:color w:val="auto"/>
          <w:szCs w:val="26"/>
        </w:rPr>
        <w:t>York</w:t>
      </w:r>
      <w:r w:rsidR="00C36505" w:rsidRPr="005536DA">
        <w:rPr>
          <w:bCs/>
          <w:color w:val="auto"/>
          <w:szCs w:val="26"/>
        </w:rPr>
        <w:t xml:space="preserve"> </w:t>
      </w:r>
      <w:r w:rsidR="00F824DA" w:rsidRPr="005536DA">
        <w:rPr>
          <w:bCs/>
          <w:color w:val="auto"/>
          <w:szCs w:val="26"/>
        </w:rPr>
        <w:t>in the territory covered by this</w:t>
      </w:r>
      <w:r w:rsidR="00206E62" w:rsidRPr="005536DA">
        <w:rPr>
          <w:bCs/>
          <w:color w:val="auto"/>
          <w:szCs w:val="26"/>
        </w:rPr>
        <w:t xml:space="preserve"> Joint</w:t>
      </w:r>
      <w:r w:rsidR="00F824DA" w:rsidRPr="005536DA">
        <w:rPr>
          <w:bCs/>
          <w:color w:val="auto"/>
          <w:szCs w:val="26"/>
        </w:rPr>
        <w:t xml:space="preserve"> Application, and no competitive condition will be created.  </w:t>
      </w:r>
      <w:r w:rsidRPr="005536DA">
        <w:rPr>
          <w:bCs/>
          <w:color w:val="auto"/>
          <w:szCs w:val="26"/>
        </w:rPr>
        <w:t>York</w:t>
      </w:r>
      <w:r w:rsidR="00C36505" w:rsidRPr="005536DA">
        <w:rPr>
          <w:bCs/>
          <w:color w:val="auto"/>
          <w:szCs w:val="26"/>
        </w:rPr>
        <w:t xml:space="preserve"> </w:t>
      </w:r>
      <w:r w:rsidR="00F824DA" w:rsidRPr="005536DA">
        <w:rPr>
          <w:bCs/>
          <w:color w:val="auto"/>
          <w:szCs w:val="26"/>
        </w:rPr>
        <w:t>also stated that the proposed transaction will have no effect on its existing customers.</w:t>
      </w:r>
      <w:r w:rsidR="00A52E75" w:rsidRPr="005536DA">
        <w:rPr>
          <w:bCs/>
          <w:color w:val="auto"/>
          <w:szCs w:val="26"/>
        </w:rPr>
        <w:t xml:space="preserve">  </w:t>
      </w:r>
      <w:r w:rsidR="004E5E9E" w:rsidRPr="005536DA">
        <w:rPr>
          <w:bCs/>
          <w:color w:val="auto"/>
          <w:szCs w:val="26"/>
        </w:rPr>
        <w:t xml:space="preserve">York will adopt the </w:t>
      </w:r>
      <w:r w:rsidR="00BA0548" w:rsidRPr="005536DA">
        <w:rPr>
          <w:bCs/>
          <w:color w:val="auto"/>
          <w:szCs w:val="26"/>
        </w:rPr>
        <w:t xml:space="preserve">existing tariff of </w:t>
      </w:r>
      <w:proofErr w:type="spellStart"/>
      <w:r w:rsidR="00BA0548" w:rsidRPr="005536DA">
        <w:rPr>
          <w:bCs/>
          <w:color w:val="auto"/>
          <w:szCs w:val="26"/>
        </w:rPr>
        <w:t>Stahlman</w:t>
      </w:r>
      <w:proofErr w:type="spellEnd"/>
      <w:r w:rsidR="004E5E9E" w:rsidRPr="005536DA">
        <w:rPr>
          <w:bCs/>
          <w:color w:val="auto"/>
          <w:szCs w:val="26"/>
        </w:rPr>
        <w:t xml:space="preserve">.  </w:t>
      </w:r>
      <w:r w:rsidR="00A52E75" w:rsidRPr="005536DA">
        <w:rPr>
          <w:bCs/>
          <w:color w:val="auto"/>
          <w:szCs w:val="26"/>
        </w:rPr>
        <w:t>The rat</w:t>
      </w:r>
      <w:r w:rsidR="00C36505" w:rsidRPr="005536DA">
        <w:rPr>
          <w:bCs/>
          <w:color w:val="auto"/>
          <w:szCs w:val="26"/>
        </w:rPr>
        <w:t>e of $40</w:t>
      </w:r>
      <w:r w:rsidR="00A52E75" w:rsidRPr="005536DA">
        <w:rPr>
          <w:bCs/>
          <w:color w:val="auto"/>
          <w:szCs w:val="26"/>
        </w:rPr>
        <w:t xml:space="preserve"> per mon</w:t>
      </w:r>
      <w:r w:rsidR="00BA0548" w:rsidRPr="005536DA">
        <w:rPr>
          <w:bCs/>
          <w:color w:val="auto"/>
          <w:szCs w:val="26"/>
        </w:rPr>
        <w:t>th currently charged to Asbury Pointe</w:t>
      </w:r>
      <w:r w:rsidR="00A52E75" w:rsidRPr="005536DA">
        <w:rPr>
          <w:bCs/>
          <w:color w:val="auto"/>
          <w:szCs w:val="26"/>
        </w:rPr>
        <w:t xml:space="preserve"> customers will remain the same.</w:t>
      </w:r>
    </w:p>
    <w:p w:rsidR="00824A05" w:rsidRDefault="00824A05" w:rsidP="00262A9A">
      <w:pPr>
        <w:spacing w:line="360" w:lineRule="auto"/>
        <w:rPr>
          <w:bCs/>
          <w:color w:val="auto"/>
          <w:szCs w:val="26"/>
        </w:rPr>
      </w:pPr>
    </w:p>
    <w:p w:rsidR="00824A05" w:rsidRDefault="00A05421" w:rsidP="00262A9A">
      <w:pPr>
        <w:spacing w:line="360" w:lineRule="auto"/>
        <w:rPr>
          <w:bCs/>
          <w:color w:val="auto"/>
          <w:szCs w:val="26"/>
        </w:rPr>
      </w:pPr>
      <w:r w:rsidRPr="005536DA">
        <w:rPr>
          <w:bCs/>
          <w:color w:val="auto"/>
          <w:szCs w:val="26"/>
        </w:rPr>
        <w:tab/>
      </w:r>
      <w:r w:rsidR="0069663C" w:rsidRPr="005536DA">
        <w:rPr>
          <w:bCs/>
          <w:color w:val="auto"/>
          <w:szCs w:val="26"/>
        </w:rPr>
        <w:t xml:space="preserve">          </w:t>
      </w:r>
      <w:r w:rsidR="007B2726" w:rsidRPr="005536DA">
        <w:rPr>
          <w:bCs/>
          <w:color w:val="auto"/>
          <w:szCs w:val="26"/>
        </w:rPr>
        <w:t xml:space="preserve"> </w:t>
      </w:r>
      <w:r w:rsidRPr="005536DA">
        <w:rPr>
          <w:bCs/>
          <w:color w:val="auto"/>
          <w:szCs w:val="26"/>
        </w:rPr>
        <w:t>York</w:t>
      </w:r>
      <w:r w:rsidR="00C36505" w:rsidRPr="005536DA">
        <w:rPr>
          <w:bCs/>
          <w:color w:val="auto"/>
          <w:szCs w:val="26"/>
        </w:rPr>
        <w:t xml:space="preserve"> </w:t>
      </w:r>
      <w:r w:rsidR="00F824DA" w:rsidRPr="005536DA">
        <w:rPr>
          <w:bCs/>
          <w:color w:val="auto"/>
          <w:szCs w:val="26"/>
        </w:rPr>
        <w:t>submits that the proposed transfer will have a beneficial eff</w:t>
      </w:r>
      <w:r w:rsidRPr="005536DA">
        <w:rPr>
          <w:bCs/>
          <w:color w:val="auto"/>
          <w:szCs w:val="26"/>
        </w:rPr>
        <w:t>e</w:t>
      </w:r>
      <w:r w:rsidR="00BA0548" w:rsidRPr="005536DA">
        <w:rPr>
          <w:bCs/>
          <w:color w:val="auto"/>
          <w:szCs w:val="26"/>
        </w:rPr>
        <w:t>ct on the customers of Asbury Pointe</w:t>
      </w:r>
      <w:r w:rsidR="004E5E9E" w:rsidRPr="005536DA">
        <w:rPr>
          <w:bCs/>
          <w:color w:val="auto"/>
          <w:szCs w:val="26"/>
        </w:rPr>
        <w:t>.</w:t>
      </w:r>
      <w:r w:rsidRPr="005536DA">
        <w:rPr>
          <w:bCs/>
          <w:color w:val="auto"/>
          <w:szCs w:val="26"/>
        </w:rPr>
        <w:t xml:space="preserve"> York</w:t>
      </w:r>
      <w:r w:rsidR="004E5E9E" w:rsidRPr="005536DA">
        <w:rPr>
          <w:bCs/>
          <w:color w:val="auto"/>
          <w:szCs w:val="26"/>
        </w:rPr>
        <w:t xml:space="preserve"> states that it</w:t>
      </w:r>
      <w:r w:rsidR="00F824DA" w:rsidRPr="005536DA">
        <w:rPr>
          <w:bCs/>
          <w:color w:val="auto"/>
          <w:szCs w:val="26"/>
        </w:rPr>
        <w:t xml:space="preserve"> has the managerial, technical and financial capabilities to operate the system within the regulatory guidelines, make improvements as needed, and improve centralized management including customer and administrative services.</w:t>
      </w:r>
    </w:p>
    <w:p w:rsidR="00824A05" w:rsidRDefault="00824A05" w:rsidP="00262A9A">
      <w:pPr>
        <w:spacing w:line="360" w:lineRule="auto"/>
        <w:rPr>
          <w:bCs/>
          <w:color w:val="auto"/>
          <w:szCs w:val="26"/>
        </w:rPr>
      </w:pPr>
    </w:p>
    <w:p w:rsidR="00824A05" w:rsidRDefault="00A05421" w:rsidP="00262A9A">
      <w:pPr>
        <w:spacing w:line="360" w:lineRule="auto"/>
        <w:rPr>
          <w:bCs/>
          <w:color w:val="auto"/>
          <w:szCs w:val="26"/>
        </w:rPr>
      </w:pPr>
      <w:r w:rsidRPr="005536DA">
        <w:rPr>
          <w:bCs/>
          <w:color w:val="auto"/>
          <w:szCs w:val="26"/>
        </w:rPr>
        <w:tab/>
      </w:r>
      <w:r w:rsidR="0069663C" w:rsidRPr="005536DA">
        <w:rPr>
          <w:bCs/>
          <w:color w:val="auto"/>
          <w:szCs w:val="26"/>
        </w:rPr>
        <w:t xml:space="preserve">           </w:t>
      </w:r>
      <w:r w:rsidRPr="005536DA">
        <w:rPr>
          <w:bCs/>
          <w:color w:val="auto"/>
          <w:szCs w:val="26"/>
        </w:rPr>
        <w:t xml:space="preserve">York </w:t>
      </w:r>
      <w:r w:rsidR="00F824DA" w:rsidRPr="005536DA">
        <w:rPr>
          <w:bCs/>
          <w:color w:val="auto"/>
          <w:szCs w:val="26"/>
        </w:rPr>
        <w:t>is current with its annual, quarterly earnings and the Security Planning and Readiness report filing requirements and there are no outstanding fines or assessments due to t</w:t>
      </w:r>
      <w:r w:rsidRPr="005536DA">
        <w:rPr>
          <w:bCs/>
          <w:color w:val="auto"/>
          <w:szCs w:val="26"/>
        </w:rPr>
        <w:t xml:space="preserve">he Commission.  Although </w:t>
      </w:r>
      <w:proofErr w:type="spellStart"/>
      <w:r w:rsidRPr="005536DA">
        <w:rPr>
          <w:bCs/>
          <w:color w:val="auto"/>
          <w:szCs w:val="26"/>
        </w:rPr>
        <w:t>Stahlman</w:t>
      </w:r>
      <w:proofErr w:type="spellEnd"/>
      <w:r w:rsidR="00F824DA" w:rsidRPr="005536DA">
        <w:rPr>
          <w:bCs/>
          <w:color w:val="auto"/>
          <w:szCs w:val="26"/>
        </w:rPr>
        <w:t xml:space="preserve"> does not currently have a Security Planning and Readiness report on file with the Commission, </w:t>
      </w:r>
      <w:r w:rsidRPr="005536DA">
        <w:rPr>
          <w:bCs/>
          <w:color w:val="auto"/>
          <w:szCs w:val="26"/>
        </w:rPr>
        <w:t>York</w:t>
      </w:r>
      <w:r w:rsidR="00F824DA" w:rsidRPr="005536DA">
        <w:rPr>
          <w:bCs/>
          <w:color w:val="auto"/>
          <w:szCs w:val="26"/>
        </w:rPr>
        <w:t xml:space="preserve"> stated</w:t>
      </w:r>
      <w:r w:rsidRPr="005536DA">
        <w:rPr>
          <w:bCs/>
          <w:color w:val="auto"/>
          <w:szCs w:val="26"/>
        </w:rPr>
        <w:t xml:space="preserve"> that after closing, the </w:t>
      </w:r>
      <w:proofErr w:type="spellStart"/>
      <w:r w:rsidRPr="005536DA">
        <w:rPr>
          <w:bCs/>
          <w:color w:val="auto"/>
          <w:szCs w:val="26"/>
        </w:rPr>
        <w:t>Stahlman</w:t>
      </w:r>
      <w:proofErr w:type="spellEnd"/>
      <w:r w:rsidR="00F824DA" w:rsidRPr="005536DA">
        <w:rPr>
          <w:bCs/>
          <w:color w:val="auto"/>
          <w:szCs w:val="26"/>
        </w:rPr>
        <w:t xml:space="preserve"> system will be </w:t>
      </w:r>
      <w:r w:rsidRPr="005536DA">
        <w:rPr>
          <w:bCs/>
          <w:color w:val="auto"/>
          <w:szCs w:val="26"/>
        </w:rPr>
        <w:t>covered by York</w:t>
      </w:r>
      <w:r w:rsidR="00F824DA" w:rsidRPr="005536DA">
        <w:rPr>
          <w:bCs/>
          <w:color w:val="auto"/>
          <w:szCs w:val="26"/>
        </w:rPr>
        <w:t>’s existing Corporate Security Policy.</w:t>
      </w:r>
    </w:p>
    <w:p w:rsidR="00F824DA" w:rsidRPr="005536DA" w:rsidRDefault="00DD2DE7" w:rsidP="00262A9A">
      <w:pPr>
        <w:spacing w:line="360" w:lineRule="auto"/>
        <w:rPr>
          <w:bCs/>
          <w:color w:val="auto"/>
          <w:szCs w:val="26"/>
        </w:rPr>
      </w:pPr>
      <w:r w:rsidRPr="005536DA">
        <w:rPr>
          <w:bCs/>
          <w:color w:val="auto"/>
          <w:szCs w:val="26"/>
        </w:rPr>
        <w:t xml:space="preserve">          </w:t>
      </w:r>
    </w:p>
    <w:p w:rsidR="00F824DA" w:rsidRPr="005536DA" w:rsidRDefault="00F824DA" w:rsidP="00262A9A">
      <w:pPr>
        <w:spacing w:line="360" w:lineRule="auto"/>
        <w:ind w:firstLine="1440"/>
        <w:rPr>
          <w:szCs w:val="26"/>
        </w:rPr>
      </w:pPr>
      <w:r w:rsidRPr="005536DA">
        <w:rPr>
          <w:szCs w:val="26"/>
        </w:rPr>
        <w:t>Based upon the f</w:t>
      </w:r>
      <w:r w:rsidR="00A85F46" w:rsidRPr="005536DA">
        <w:rPr>
          <w:szCs w:val="26"/>
        </w:rPr>
        <w:t>acts that York</w:t>
      </w:r>
      <w:r w:rsidR="00A05421" w:rsidRPr="005536DA">
        <w:rPr>
          <w:szCs w:val="26"/>
        </w:rPr>
        <w:t xml:space="preserve"> </w:t>
      </w:r>
      <w:r w:rsidRPr="005536DA">
        <w:rPr>
          <w:szCs w:val="26"/>
        </w:rPr>
        <w:t xml:space="preserve">will expand its service territory to customers in compliance with our regulations, that the economies of scale of an expanded customer base has a beneficial effect on existing </w:t>
      </w:r>
      <w:r w:rsidR="00A85F46" w:rsidRPr="005536DA">
        <w:rPr>
          <w:szCs w:val="26"/>
        </w:rPr>
        <w:t xml:space="preserve">customers, and that York </w:t>
      </w:r>
      <w:r w:rsidRPr="005536DA">
        <w:rPr>
          <w:szCs w:val="26"/>
        </w:rPr>
        <w:t xml:space="preserve">will be meeting the </w:t>
      </w:r>
      <w:r w:rsidRPr="005536DA">
        <w:rPr>
          <w:szCs w:val="26"/>
        </w:rPr>
        <w:lastRenderedPageBreak/>
        <w:t>needs of new customers without any detriment to its existing customers, the Commission finds tha</w:t>
      </w:r>
      <w:r w:rsidR="00A85F46" w:rsidRPr="005536DA">
        <w:rPr>
          <w:szCs w:val="26"/>
        </w:rPr>
        <w:t>t granting York</w:t>
      </w:r>
      <w:r w:rsidR="00A05421" w:rsidRPr="005536DA">
        <w:rPr>
          <w:szCs w:val="26"/>
        </w:rPr>
        <w:t xml:space="preserve">’s and </w:t>
      </w:r>
      <w:proofErr w:type="spellStart"/>
      <w:r w:rsidR="00A05421" w:rsidRPr="005536DA">
        <w:rPr>
          <w:szCs w:val="26"/>
        </w:rPr>
        <w:t>Stahlman’</w:t>
      </w:r>
      <w:r w:rsidRPr="005536DA">
        <w:rPr>
          <w:szCs w:val="26"/>
        </w:rPr>
        <w:t>s</w:t>
      </w:r>
      <w:proofErr w:type="spellEnd"/>
      <w:r w:rsidRPr="005536DA">
        <w:rPr>
          <w:szCs w:val="26"/>
        </w:rPr>
        <w:t xml:space="preserve"> Joint Application for approval of the transfer and abandonment is necessary or proper for the service, accommodation, convenience, or safety of the public; </w:t>
      </w:r>
      <w:r w:rsidRPr="005536DA">
        <w:rPr>
          <w:b/>
          <w:szCs w:val="26"/>
        </w:rPr>
        <w:t>THEREFORE,</w:t>
      </w:r>
    </w:p>
    <w:p w:rsidR="00F824DA" w:rsidRPr="005536DA" w:rsidRDefault="00F824DA" w:rsidP="00262A9A">
      <w:pPr>
        <w:spacing w:line="360" w:lineRule="auto"/>
        <w:rPr>
          <w:szCs w:val="26"/>
        </w:rPr>
      </w:pPr>
    </w:p>
    <w:p w:rsidR="00F824DA" w:rsidRPr="005536DA" w:rsidRDefault="00F824DA" w:rsidP="00262A9A">
      <w:pPr>
        <w:spacing w:line="360" w:lineRule="auto"/>
        <w:rPr>
          <w:b/>
          <w:szCs w:val="26"/>
        </w:rPr>
      </w:pPr>
      <w:r w:rsidRPr="005536DA">
        <w:rPr>
          <w:szCs w:val="26"/>
        </w:rPr>
        <w:tab/>
      </w:r>
      <w:r w:rsidRPr="005536DA">
        <w:rPr>
          <w:b/>
          <w:szCs w:val="26"/>
        </w:rPr>
        <w:t>IT IS ORDERED:</w:t>
      </w:r>
    </w:p>
    <w:p w:rsidR="00F824DA" w:rsidRPr="005536DA" w:rsidRDefault="00F824DA" w:rsidP="00262A9A">
      <w:pPr>
        <w:spacing w:line="360" w:lineRule="auto"/>
        <w:rPr>
          <w:b/>
          <w:szCs w:val="26"/>
        </w:rPr>
      </w:pPr>
    </w:p>
    <w:p w:rsidR="004854F6" w:rsidRPr="005536DA" w:rsidRDefault="004854F6" w:rsidP="00262A9A">
      <w:pPr>
        <w:numPr>
          <w:ilvl w:val="0"/>
          <w:numId w:val="1"/>
        </w:numPr>
        <w:tabs>
          <w:tab w:val="left" w:pos="1440"/>
          <w:tab w:val="left" w:pos="2160"/>
        </w:tabs>
        <w:spacing w:line="360" w:lineRule="auto"/>
        <w:ind w:left="2340"/>
        <w:rPr>
          <w:szCs w:val="26"/>
        </w:rPr>
      </w:pPr>
      <w:r w:rsidRPr="005536DA">
        <w:rPr>
          <w:szCs w:val="26"/>
        </w:rPr>
        <w:t xml:space="preserve">That the Joint Application of The York Water Company and </w:t>
      </w:r>
    </w:p>
    <w:p w:rsidR="004854F6" w:rsidRPr="005536DA" w:rsidRDefault="004854F6" w:rsidP="00262A9A">
      <w:pPr>
        <w:tabs>
          <w:tab w:val="left" w:pos="1440"/>
          <w:tab w:val="left" w:pos="2160"/>
        </w:tabs>
        <w:spacing w:line="360" w:lineRule="auto"/>
        <w:rPr>
          <w:szCs w:val="26"/>
        </w:rPr>
      </w:pPr>
      <w:proofErr w:type="spellStart"/>
      <w:proofErr w:type="gramStart"/>
      <w:r w:rsidRPr="005536DA">
        <w:rPr>
          <w:szCs w:val="26"/>
        </w:rPr>
        <w:t>Stahlman</w:t>
      </w:r>
      <w:proofErr w:type="spellEnd"/>
      <w:r w:rsidRPr="005536DA">
        <w:rPr>
          <w:szCs w:val="26"/>
        </w:rPr>
        <w:t xml:space="preserve"> Enterprises, LLC at Docket Nos.</w:t>
      </w:r>
      <w:proofErr w:type="gramEnd"/>
      <w:r w:rsidRPr="005536DA">
        <w:rPr>
          <w:szCs w:val="26"/>
        </w:rPr>
        <w:t xml:space="preserve"> A-2012-2291572 and A-2012-2291575, is hereby approved.</w:t>
      </w:r>
    </w:p>
    <w:p w:rsidR="004854F6" w:rsidRPr="005536DA" w:rsidRDefault="004854F6" w:rsidP="00262A9A">
      <w:pPr>
        <w:tabs>
          <w:tab w:val="left" w:pos="1440"/>
          <w:tab w:val="left" w:pos="2160"/>
        </w:tabs>
        <w:spacing w:line="360" w:lineRule="auto"/>
        <w:rPr>
          <w:szCs w:val="26"/>
        </w:rPr>
      </w:pPr>
    </w:p>
    <w:p w:rsidR="004854F6" w:rsidRPr="005536DA" w:rsidRDefault="004854F6" w:rsidP="00262A9A">
      <w:pPr>
        <w:numPr>
          <w:ilvl w:val="0"/>
          <w:numId w:val="1"/>
        </w:numPr>
        <w:tabs>
          <w:tab w:val="left" w:pos="1440"/>
          <w:tab w:val="left" w:pos="2160"/>
        </w:tabs>
        <w:spacing w:line="360" w:lineRule="auto"/>
        <w:ind w:left="2340"/>
        <w:rPr>
          <w:szCs w:val="26"/>
        </w:rPr>
      </w:pPr>
      <w:r w:rsidRPr="005536DA">
        <w:rPr>
          <w:szCs w:val="26"/>
        </w:rPr>
        <w:t>That a Certificate of Public Convenience be issued pursuant to</w:t>
      </w:r>
    </w:p>
    <w:p w:rsidR="004854F6" w:rsidRPr="005536DA" w:rsidRDefault="004854F6" w:rsidP="00262A9A">
      <w:pPr>
        <w:tabs>
          <w:tab w:val="left" w:pos="1440"/>
          <w:tab w:val="left" w:pos="2160"/>
        </w:tabs>
        <w:spacing w:line="360" w:lineRule="auto"/>
        <w:rPr>
          <w:szCs w:val="26"/>
        </w:rPr>
      </w:pPr>
      <w:r w:rsidRPr="005536DA">
        <w:rPr>
          <w:szCs w:val="26"/>
        </w:rPr>
        <w:t xml:space="preserve"> Section 1102(a) (1) (</w:t>
      </w:r>
      <w:proofErr w:type="spellStart"/>
      <w:r w:rsidRPr="005536DA">
        <w:rPr>
          <w:szCs w:val="26"/>
        </w:rPr>
        <w:t>i</w:t>
      </w:r>
      <w:proofErr w:type="spellEnd"/>
      <w:r w:rsidRPr="005536DA">
        <w:rPr>
          <w:szCs w:val="26"/>
        </w:rPr>
        <w:t>), (2) and (3) of the Public Utility Code, 66 Pa. C.S. §1102 (a) (1) (</w:t>
      </w:r>
      <w:proofErr w:type="spellStart"/>
      <w:r w:rsidRPr="005536DA">
        <w:rPr>
          <w:szCs w:val="26"/>
        </w:rPr>
        <w:t>i</w:t>
      </w:r>
      <w:proofErr w:type="spellEnd"/>
      <w:r w:rsidRPr="005536DA">
        <w:rPr>
          <w:szCs w:val="26"/>
        </w:rPr>
        <w:t xml:space="preserve">), (2) and (3), evidencing Commission approval of the acquisition by The York Water Company of the wastewater system assets of </w:t>
      </w:r>
      <w:proofErr w:type="spellStart"/>
      <w:r w:rsidRPr="005536DA">
        <w:rPr>
          <w:szCs w:val="26"/>
        </w:rPr>
        <w:t>Stahlman</w:t>
      </w:r>
      <w:proofErr w:type="spellEnd"/>
      <w:r w:rsidRPr="005536DA">
        <w:rPr>
          <w:szCs w:val="26"/>
        </w:rPr>
        <w:t xml:space="preserve"> Enterprises, LLC situated in East Manchester Township, York County, as described in the Joint Application.</w:t>
      </w:r>
    </w:p>
    <w:p w:rsidR="004854F6" w:rsidRPr="005536DA" w:rsidRDefault="004854F6" w:rsidP="00262A9A">
      <w:pPr>
        <w:tabs>
          <w:tab w:val="left" w:pos="1440"/>
          <w:tab w:val="left" w:pos="2160"/>
        </w:tabs>
        <w:spacing w:line="360" w:lineRule="auto"/>
        <w:rPr>
          <w:szCs w:val="26"/>
        </w:rPr>
      </w:pPr>
      <w:r w:rsidRPr="005536DA">
        <w:rPr>
          <w:szCs w:val="26"/>
        </w:rPr>
        <w:t xml:space="preserve">                            </w:t>
      </w:r>
    </w:p>
    <w:p w:rsidR="004854F6" w:rsidRPr="005536DA" w:rsidRDefault="004854F6" w:rsidP="00262A9A">
      <w:pPr>
        <w:tabs>
          <w:tab w:val="left" w:pos="1440"/>
          <w:tab w:val="left" w:pos="2160"/>
        </w:tabs>
        <w:spacing w:line="360" w:lineRule="auto"/>
        <w:ind w:firstLine="1620"/>
        <w:rPr>
          <w:szCs w:val="26"/>
        </w:rPr>
      </w:pPr>
      <w:r w:rsidRPr="005536DA">
        <w:rPr>
          <w:szCs w:val="26"/>
        </w:rPr>
        <w:t>3.   That upon receipt of notice of closing, a Certificate of Public Convenience be issued pursuant to Section 1102(a) (1) (</w:t>
      </w:r>
      <w:proofErr w:type="spellStart"/>
      <w:r w:rsidRPr="005536DA">
        <w:rPr>
          <w:szCs w:val="26"/>
        </w:rPr>
        <w:t>i</w:t>
      </w:r>
      <w:proofErr w:type="spellEnd"/>
      <w:r w:rsidRPr="005536DA">
        <w:rPr>
          <w:szCs w:val="26"/>
        </w:rPr>
        <w:t>), (2) and (3) of the Public Utility Code, 66 Pa. C.S. §1102(a) (1(</w:t>
      </w:r>
      <w:proofErr w:type="spellStart"/>
      <w:r w:rsidRPr="005536DA">
        <w:rPr>
          <w:szCs w:val="26"/>
        </w:rPr>
        <w:t>i</w:t>
      </w:r>
      <w:proofErr w:type="spellEnd"/>
      <w:r w:rsidRPr="005536DA">
        <w:rPr>
          <w:szCs w:val="26"/>
        </w:rPr>
        <w:t>), (2) and (3), evidencing Commission approval for The York Water Company to begin to offer, render, furnish and supply wastewater treatment service to the public in East Manchester Township, York County.</w:t>
      </w:r>
    </w:p>
    <w:p w:rsidR="004854F6" w:rsidRPr="005536DA" w:rsidRDefault="004854F6" w:rsidP="00262A9A">
      <w:pPr>
        <w:pStyle w:val="ListParagraph"/>
        <w:rPr>
          <w:szCs w:val="26"/>
        </w:rPr>
      </w:pPr>
    </w:p>
    <w:p w:rsidR="004854F6" w:rsidRPr="005536DA" w:rsidRDefault="004854F6" w:rsidP="00262A9A">
      <w:pPr>
        <w:tabs>
          <w:tab w:val="left" w:pos="1440"/>
          <w:tab w:val="left" w:pos="2160"/>
        </w:tabs>
        <w:spacing w:line="360" w:lineRule="auto"/>
        <w:rPr>
          <w:szCs w:val="26"/>
        </w:rPr>
      </w:pPr>
      <w:r w:rsidRPr="005536DA">
        <w:rPr>
          <w:szCs w:val="26"/>
        </w:rPr>
        <w:t xml:space="preserve">                          4.       That upon receipt of notice of closing, a Certificate of Public</w:t>
      </w:r>
    </w:p>
    <w:p w:rsidR="004854F6" w:rsidRDefault="004854F6" w:rsidP="00262A9A">
      <w:pPr>
        <w:tabs>
          <w:tab w:val="left" w:pos="1440"/>
          <w:tab w:val="left" w:pos="2160"/>
        </w:tabs>
        <w:spacing w:line="360" w:lineRule="auto"/>
        <w:rPr>
          <w:szCs w:val="26"/>
        </w:rPr>
      </w:pPr>
      <w:r w:rsidRPr="005536DA">
        <w:rPr>
          <w:szCs w:val="26"/>
        </w:rPr>
        <w:t xml:space="preserve"> Convenience be issued pursuant to Section 1102(a</w:t>
      </w:r>
      <w:proofErr w:type="gramStart"/>
      <w:r w:rsidRPr="005536DA">
        <w:rPr>
          <w:szCs w:val="26"/>
        </w:rPr>
        <w:t>)(</w:t>
      </w:r>
      <w:proofErr w:type="gramEnd"/>
      <w:r w:rsidRPr="005536DA">
        <w:rPr>
          <w:szCs w:val="26"/>
        </w:rPr>
        <w:t>1)(</w:t>
      </w:r>
      <w:proofErr w:type="spellStart"/>
      <w:r w:rsidRPr="005536DA">
        <w:rPr>
          <w:szCs w:val="26"/>
        </w:rPr>
        <w:t>i</w:t>
      </w:r>
      <w:proofErr w:type="spellEnd"/>
      <w:r w:rsidRPr="005536DA">
        <w:rPr>
          <w:szCs w:val="26"/>
        </w:rPr>
        <w:t>), (2) and (3) of the Public Utility Code, 66 Pa. C.S. §1102(a)(1)(</w:t>
      </w:r>
      <w:proofErr w:type="spellStart"/>
      <w:r w:rsidRPr="005536DA">
        <w:rPr>
          <w:szCs w:val="26"/>
        </w:rPr>
        <w:t>i</w:t>
      </w:r>
      <w:proofErr w:type="spellEnd"/>
      <w:r w:rsidRPr="005536DA">
        <w:rPr>
          <w:szCs w:val="26"/>
        </w:rPr>
        <w:t xml:space="preserve">), (2) and (3), evidencing Commission approval for the abandonment by </w:t>
      </w:r>
      <w:proofErr w:type="spellStart"/>
      <w:r w:rsidRPr="005536DA">
        <w:rPr>
          <w:szCs w:val="26"/>
        </w:rPr>
        <w:t>Stahlman</w:t>
      </w:r>
      <w:proofErr w:type="spellEnd"/>
      <w:r w:rsidRPr="005536DA">
        <w:rPr>
          <w:szCs w:val="26"/>
        </w:rPr>
        <w:t xml:space="preserve"> Enterprises, LLC of all public wastewater service.</w:t>
      </w:r>
    </w:p>
    <w:p w:rsidR="004854F6" w:rsidRPr="005536DA" w:rsidRDefault="004854F6" w:rsidP="00262A9A">
      <w:pPr>
        <w:tabs>
          <w:tab w:val="left" w:pos="1440"/>
          <w:tab w:val="left" w:pos="2160"/>
        </w:tabs>
        <w:spacing w:line="360" w:lineRule="auto"/>
        <w:rPr>
          <w:szCs w:val="26"/>
        </w:rPr>
      </w:pPr>
    </w:p>
    <w:p w:rsidR="004854F6" w:rsidRPr="005536DA" w:rsidRDefault="004854F6" w:rsidP="00262A9A">
      <w:pPr>
        <w:pStyle w:val="ListParagraph"/>
        <w:rPr>
          <w:szCs w:val="26"/>
        </w:rPr>
      </w:pPr>
    </w:p>
    <w:p w:rsidR="004854F6" w:rsidRPr="005536DA" w:rsidRDefault="004854F6" w:rsidP="00262A9A">
      <w:pPr>
        <w:tabs>
          <w:tab w:val="left" w:pos="1440"/>
          <w:tab w:val="left" w:pos="2160"/>
        </w:tabs>
        <w:spacing w:line="360" w:lineRule="auto"/>
        <w:rPr>
          <w:szCs w:val="26"/>
        </w:rPr>
      </w:pPr>
      <w:r w:rsidRPr="005536DA">
        <w:rPr>
          <w:szCs w:val="26"/>
        </w:rPr>
        <w:lastRenderedPageBreak/>
        <w:t xml:space="preserve">                          5.       That following closing, The York Water Company shall file a tariff</w:t>
      </w:r>
    </w:p>
    <w:p w:rsidR="004854F6" w:rsidRPr="005536DA" w:rsidRDefault="004854F6" w:rsidP="00262A9A">
      <w:pPr>
        <w:tabs>
          <w:tab w:val="left" w:pos="1440"/>
          <w:tab w:val="left" w:pos="2160"/>
        </w:tabs>
        <w:spacing w:line="360" w:lineRule="auto"/>
        <w:rPr>
          <w:szCs w:val="26"/>
        </w:rPr>
      </w:pPr>
      <w:proofErr w:type="gramStart"/>
      <w:r w:rsidRPr="005536DA">
        <w:rPr>
          <w:szCs w:val="26"/>
        </w:rPr>
        <w:t>supplement</w:t>
      </w:r>
      <w:proofErr w:type="gramEnd"/>
      <w:r w:rsidRPr="005536DA">
        <w:rPr>
          <w:szCs w:val="26"/>
        </w:rPr>
        <w:t xml:space="preserve"> for the subject franchise territory within 10 days after the date of closing.</w:t>
      </w:r>
    </w:p>
    <w:p w:rsidR="004854F6" w:rsidRPr="005536DA" w:rsidRDefault="004854F6" w:rsidP="00262A9A">
      <w:pPr>
        <w:tabs>
          <w:tab w:val="left" w:pos="1440"/>
          <w:tab w:val="left" w:pos="2160"/>
        </w:tabs>
        <w:spacing w:line="360" w:lineRule="auto"/>
        <w:rPr>
          <w:szCs w:val="26"/>
        </w:rPr>
      </w:pPr>
    </w:p>
    <w:p w:rsidR="004854F6" w:rsidRPr="005536DA" w:rsidRDefault="004854F6" w:rsidP="00262A9A">
      <w:pPr>
        <w:tabs>
          <w:tab w:val="left" w:pos="1440"/>
          <w:tab w:val="left" w:pos="2160"/>
        </w:tabs>
        <w:spacing w:line="360" w:lineRule="auto"/>
        <w:rPr>
          <w:color w:val="auto"/>
          <w:szCs w:val="26"/>
        </w:rPr>
      </w:pPr>
      <w:r w:rsidRPr="005536DA">
        <w:rPr>
          <w:color w:val="auto"/>
          <w:szCs w:val="26"/>
        </w:rPr>
        <w:t xml:space="preserve">                          6.       That nothing herein shall be construed to exempt The </w:t>
      </w:r>
      <w:r w:rsidRPr="005536DA">
        <w:rPr>
          <w:szCs w:val="26"/>
        </w:rPr>
        <w:t xml:space="preserve">York Water </w:t>
      </w:r>
    </w:p>
    <w:p w:rsidR="004854F6" w:rsidRPr="005536DA" w:rsidRDefault="004854F6" w:rsidP="00262A9A">
      <w:pPr>
        <w:tabs>
          <w:tab w:val="left" w:pos="1440"/>
          <w:tab w:val="left" w:pos="2160"/>
        </w:tabs>
        <w:spacing w:line="360" w:lineRule="auto"/>
        <w:rPr>
          <w:color w:val="auto"/>
          <w:szCs w:val="26"/>
        </w:rPr>
      </w:pPr>
      <w:r w:rsidRPr="005536DA">
        <w:rPr>
          <w:color w:val="auto"/>
          <w:szCs w:val="26"/>
        </w:rPr>
        <w:t xml:space="preserve">Company from obtaining all necessary permits, licenses, and approvals from other local, </w:t>
      </w:r>
      <w:r>
        <w:rPr>
          <w:color w:val="auto"/>
          <w:szCs w:val="26"/>
        </w:rPr>
        <w:t>state, and federal</w:t>
      </w:r>
      <w:r w:rsidRPr="005536DA">
        <w:rPr>
          <w:color w:val="auto"/>
          <w:szCs w:val="26"/>
        </w:rPr>
        <w:t xml:space="preserve"> government agencies </w:t>
      </w:r>
      <w:proofErr w:type="gramStart"/>
      <w:r w:rsidRPr="005536DA">
        <w:rPr>
          <w:color w:val="auto"/>
          <w:szCs w:val="26"/>
        </w:rPr>
        <w:t>having</w:t>
      </w:r>
      <w:r w:rsidR="00876A3F">
        <w:rPr>
          <w:color w:val="auto"/>
          <w:szCs w:val="26"/>
        </w:rPr>
        <w:t xml:space="preserve"> </w:t>
      </w:r>
      <w:r w:rsidRPr="005536DA">
        <w:rPr>
          <w:color w:val="auto"/>
          <w:szCs w:val="26"/>
        </w:rPr>
        <w:t xml:space="preserve"> jurisdiction</w:t>
      </w:r>
      <w:proofErr w:type="gramEnd"/>
      <w:r w:rsidRPr="005536DA">
        <w:rPr>
          <w:color w:val="auto"/>
          <w:szCs w:val="26"/>
        </w:rPr>
        <w:t>.</w:t>
      </w:r>
    </w:p>
    <w:p w:rsidR="004854F6" w:rsidRPr="005536DA" w:rsidRDefault="004854F6" w:rsidP="00262A9A">
      <w:pPr>
        <w:tabs>
          <w:tab w:val="left" w:pos="1440"/>
          <w:tab w:val="left" w:pos="2160"/>
        </w:tabs>
        <w:spacing w:line="360" w:lineRule="auto"/>
        <w:rPr>
          <w:szCs w:val="26"/>
        </w:rPr>
      </w:pPr>
    </w:p>
    <w:p w:rsidR="004854F6" w:rsidRPr="005536DA" w:rsidRDefault="004854F6" w:rsidP="00262A9A">
      <w:pPr>
        <w:tabs>
          <w:tab w:val="left" w:pos="1440"/>
          <w:tab w:val="left" w:pos="2160"/>
        </w:tabs>
        <w:spacing w:line="360" w:lineRule="auto"/>
        <w:ind w:left="1620"/>
        <w:rPr>
          <w:szCs w:val="26"/>
        </w:rPr>
      </w:pPr>
      <w:r w:rsidRPr="005536DA">
        <w:rPr>
          <w:szCs w:val="26"/>
        </w:rPr>
        <w:t>7.    That a copy of this Order be served upon The York Water</w:t>
      </w:r>
    </w:p>
    <w:p w:rsidR="004854F6" w:rsidRPr="005536DA" w:rsidRDefault="004854F6" w:rsidP="00262A9A">
      <w:pPr>
        <w:tabs>
          <w:tab w:val="left" w:pos="1440"/>
          <w:tab w:val="left" w:pos="2160"/>
        </w:tabs>
        <w:spacing w:line="360" w:lineRule="auto"/>
        <w:rPr>
          <w:szCs w:val="26"/>
        </w:rPr>
      </w:pPr>
      <w:r w:rsidRPr="005536DA">
        <w:rPr>
          <w:szCs w:val="26"/>
        </w:rPr>
        <w:t xml:space="preserve"> Company, </w:t>
      </w:r>
      <w:proofErr w:type="spellStart"/>
      <w:r w:rsidRPr="005536DA">
        <w:rPr>
          <w:szCs w:val="26"/>
        </w:rPr>
        <w:t>Stahlman</w:t>
      </w:r>
      <w:proofErr w:type="spellEnd"/>
      <w:r w:rsidRPr="005536DA">
        <w:rPr>
          <w:szCs w:val="26"/>
        </w:rPr>
        <w:t xml:space="preserve"> Enterprises, LLC, the Bureau of Investigation and Enforcement, the Office of Consumer Advocate, the Office of Small Business Advocate, the Department of Revenue, Bureau of Corporate Taxes, and the Department of Environmental Protection,  </w:t>
      </w:r>
      <w:proofErr w:type="spellStart"/>
      <w:r w:rsidRPr="005536DA">
        <w:rPr>
          <w:szCs w:val="26"/>
        </w:rPr>
        <w:t>Southcentral</w:t>
      </w:r>
      <w:proofErr w:type="spellEnd"/>
      <w:r w:rsidRPr="005536DA">
        <w:rPr>
          <w:szCs w:val="26"/>
        </w:rPr>
        <w:t xml:space="preserve"> Field Operations and Central Office-Bureau of Regulatory Counsel.</w:t>
      </w:r>
    </w:p>
    <w:p w:rsidR="00CC0977" w:rsidRPr="005536DA" w:rsidRDefault="00CC0977" w:rsidP="00262A9A">
      <w:pPr>
        <w:pStyle w:val="ListParagraph"/>
        <w:rPr>
          <w:szCs w:val="26"/>
        </w:rPr>
      </w:pPr>
    </w:p>
    <w:p w:rsidR="00CC0977" w:rsidRPr="005536DA" w:rsidRDefault="00CC0977" w:rsidP="00E25EE7">
      <w:pPr>
        <w:tabs>
          <w:tab w:val="left" w:pos="4320"/>
        </w:tabs>
        <w:jc w:val="both"/>
        <w:rPr>
          <w:szCs w:val="26"/>
        </w:rPr>
      </w:pPr>
    </w:p>
    <w:p w:rsidR="00CC0977" w:rsidRPr="005536DA" w:rsidRDefault="00367625" w:rsidP="00E25EE7">
      <w:pPr>
        <w:tabs>
          <w:tab w:val="left" w:pos="4320"/>
        </w:tabs>
        <w:jc w:val="both"/>
        <w:rPr>
          <w:szCs w:val="26"/>
        </w:rPr>
      </w:pPr>
      <w:r>
        <w:rPr>
          <w:noProof/>
        </w:rPr>
        <w:drawing>
          <wp:anchor distT="0" distB="0" distL="114300" distR="114300" simplePos="0" relativeHeight="251658240" behindDoc="1" locked="0" layoutInCell="1" allowOverlap="1" wp14:anchorId="7916C280" wp14:editId="7930A241">
            <wp:simplePos x="0" y="0"/>
            <wp:positionH relativeFrom="column">
              <wp:posOffset>2514600</wp:posOffset>
            </wp:positionH>
            <wp:positionV relativeFrom="paragraph">
              <wp:posOffset>45085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C0977" w:rsidRPr="005536DA">
        <w:rPr>
          <w:szCs w:val="26"/>
        </w:rPr>
        <w:tab/>
      </w:r>
      <w:r w:rsidR="00CC0977" w:rsidRPr="005536DA">
        <w:rPr>
          <w:b/>
          <w:szCs w:val="26"/>
        </w:rPr>
        <w:t>BY THE COMMISSION,</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ab/>
        <w:t>Rosemary Chiavetta</w:t>
      </w:r>
    </w:p>
    <w:p w:rsidR="00CC0977" w:rsidRPr="005536DA" w:rsidRDefault="00CC0977" w:rsidP="00E25EE7">
      <w:pPr>
        <w:tabs>
          <w:tab w:val="left" w:pos="4320"/>
        </w:tabs>
        <w:jc w:val="both"/>
        <w:rPr>
          <w:szCs w:val="26"/>
        </w:rPr>
      </w:pPr>
      <w:r w:rsidRPr="005536DA">
        <w:rPr>
          <w:szCs w:val="26"/>
        </w:rPr>
        <w:tab/>
        <w:t>Secretary</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(SEAL)</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p>
    <w:p w:rsidR="00CC0977" w:rsidRPr="005536DA" w:rsidRDefault="007D31C3" w:rsidP="00E25EE7">
      <w:pPr>
        <w:tabs>
          <w:tab w:val="left" w:pos="4320"/>
        </w:tabs>
        <w:jc w:val="both"/>
        <w:rPr>
          <w:szCs w:val="26"/>
        </w:rPr>
      </w:pPr>
      <w:r w:rsidRPr="005536DA">
        <w:rPr>
          <w:szCs w:val="26"/>
        </w:rPr>
        <w:t>ORDER ADOPTED:  May 10</w:t>
      </w:r>
      <w:r w:rsidR="00CC0977" w:rsidRPr="005536DA">
        <w:rPr>
          <w:szCs w:val="26"/>
        </w:rPr>
        <w:t>, 2012</w:t>
      </w:r>
    </w:p>
    <w:p w:rsidR="00CC0977" w:rsidRPr="005536DA" w:rsidRDefault="00CC0977" w:rsidP="00E25EE7">
      <w:pPr>
        <w:tabs>
          <w:tab w:val="left" w:pos="4320"/>
        </w:tabs>
        <w:jc w:val="both"/>
        <w:rPr>
          <w:szCs w:val="26"/>
        </w:rPr>
      </w:pPr>
    </w:p>
    <w:p w:rsidR="00CC0977" w:rsidRPr="005536DA" w:rsidRDefault="00CC0977" w:rsidP="00E25EE7">
      <w:pPr>
        <w:tabs>
          <w:tab w:val="left" w:pos="4320"/>
        </w:tabs>
        <w:jc w:val="both"/>
        <w:rPr>
          <w:szCs w:val="26"/>
        </w:rPr>
      </w:pPr>
      <w:r w:rsidRPr="005536DA">
        <w:rPr>
          <w:szCs w:val="26"/>
        </w:rPr>
        <w:t xml:space="preserve">ORDER ENTERED:  </w:t>
      </w:r>
      <w:r w:rsidR="00367625">
        <w:rPr>
          <w:szCs w:val="26"/>
        </w:rPr>
        <w:t>May 10, 2012</w:t>
      </w:r>
      <w:bookmarkStart w:id="2" w:name="_GoBack"/>
      <w:bookmarkEnd w:id="2"/>
    </w:p>
    <w:p w:rsidR="008673FC" w:rsidRDefault="007F715C"/>
    <w:sectPr w:rsidR="008673FC" w:rsidSect="00800F7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5C" w:rsidRDefault="007F715C">
      <w:r>
        <w:separator/>
      </w:r>
    </w:p>
  </w:endnote>
  <w:endnote w:type="continuationSeparator" w:id="0">
    <w:p w:rsidR="007F715C" w:rsidRDefault="007F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80B" w:rsidRDefault="00F824DA" w:rsidP="00360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9180B" w:rsidRDefault="007F7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80B" w:rsidRDefault="00F824DA" w:rsidP="00360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625">
      <w:rPr>
        <w:rStyle w:val="PageNumber"/>
        <w:noProof/>
      </w:rPr>
      <w:t>6</w:t>
    </w:r>
    <w:r>
      <w:rPr>
        <w:rStyle w:val="PageNumber"/>
      </w:rPr>
      <w:fldChar w:fldCharType="end"/>
    </w:r>
  </w:p>
  <w:p w:rsidR="0069180B" w:rsidRPr="00A55048" w:rsidRDefault="007F715C" w:rsidP="00A55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C3" w:rsidRDefault="007D3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5C" w:rsidRDefault="007F715C">
      <w:r>
        <w:separator/>
      </w:r>
    </w:p>
  </w:footnote>
  <w:footnote w:type="continuationSeparator" w:id="0">
    <w:p w:rsidR="007F715C" w:rsidRDefault="007F7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C3" w:rsidRDefault="007D3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C3" w:rsidRDefault="007D3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C3" w:rsidRDefault="007D3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B94"/>
    <w:multiLevelType w:val="hybridMultilevel"/>
    <w:tmpl w:val="0D609620"/>
    <w:lvl w:ilvl="0" w:tplc="EF9003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671C54"/>
    <w:multiLevelType w:val="hybridMultilevel"/>
    <w:tmpl w:val="ED8EE340"/>
    <w:lvl w:ilvl="0" w:tplc="65FE438E">
      <w:start w:val="1"/>
      <w:numFmt w:val="decimal"/>
      <w:lvlText w:val="%1."/>
      <w:lvlJc w:val="left"/>
      <w:pPr>
        <w:ind w:left="8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A16369"/>
    <w:multiLevelType w:val="hybridMultilevel"/>
    <w:tmpl w:val="A80E9E38"/>
    <w:lvl w:ilvl="0" w:tplc="4288C8F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C570E"/>
    <w:multiLevelType w:val="hybridMultilevel"/>
    <w:tmpl w:val="ACE413C4"/>
    <w:lvl w:ilvl="0" w:tplc="718C945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DA"/>
    <w:rsid w:val="00010162"/>
    <w:rsid w:val="000146DD"/>
    <w:rsid w:val="00017566"/>
    <w:rsid w:val="00070D34"/>
    <w:rsid w:val="000A7872"/>
    <w:rsid w:val="000C0368"/>
    <w:rsid w:val="000C6850"/>
    <w:rsid w:val="000E3D56"/>
    <w:rsid w:val="000E7E5D"/>
    <w:rsid w:val="000F60A4"/>
    <w:rsid w:val="00133791"/>
    <w:rsid w:val="00145B9B"/>
    <w:rsid w:val="00155C7F"/>
    <w:rsid w:val="001909FA"/>
    <w:rsid w:val="0019656D"/>
    <w:rsid w:val="001A4CF4"/>
    <w:rsid w:val="001E6D39"/>
    <w:rsid w:val="00206E62"/>
    <w:rsid w:val="002113C8"/>
    <w:rsid w:val="002139DE"/>
    <w:rsid w:val="00244E1A"/>
    <w:rsid w:val="00254C8E"/>
    <w:rsid w:val="00262A9A"/>
    <w:rsid w:val="002A355D"/>
    <w:rsid w:val="002A5EAA"/>
    <w:rsid w:val="00333A70"/>
    <w:rsid w:val="00341937"/>
    <w:rsid w:val="00345D9B"/>
    <w:rsid w:val="00367625"/>
    <w:rsid w:val="003A181E"/>
    <w:rsid w:val="003A5577"/>
    <w:rsid w:val="003D54CC"/>
    <w:rsid w:val="003F4918"/>
    <w:rsid w:val="00451E35"/>
    <w:rsid w:val="004854F6"/>
    <w:rsid w:val="004A1C00"/>
    <w:rsid w:val="004B35AA"/>
    <w:rsid w:val="004D53F5"/>
    <w:rsid w:val="004E5E9E"/>
    <w:rsid w:val="004F37D9"/>
    <w:rsid w:val="00543901"/>
    <w:rsid w:val="0055015B"/>
    <w:rsid w:val="00552FAD"/>
    <w:rsid w:val="005536DA"/>
    <w:rsid w:val="00565F52"/>
    <w:rsid w:val="00591FB3"/>
    <w:rsid w:val="005960C0"/>
    <w:rsid w:val="00596B0C"/>
    <w:rsid w:val="005C055E"/>
    <w:rsid w:val="005C5105"/>
    <w:rsid w:val="005E533B"/>
    <w:rsid w:val="006412EF"/>
    <w:rsid w:val="00647C77"/>
    <w:rsid w:val="00660EC1"/>
    <w:rsid w:val="00663D8D"/>
    <w:rsid w:val="00674A8F"/>
    <w:rsid w:val="006924A3"/>
    <w:rsid w:val="00694DBE"/>
    <w:rsid w:val="0069663C"/>
    <w:rsid w:val="006B31C0"/>
    <w:rsid w:val="006C2E87"/>
    <w:rsid w:val="006C3F3D"/>
    <w:rsid w:val="006F1530"/>
    <w:rsid w:val="006F4465"/>
    <w:rsid w:val="006F64B7"/>
    <w:rsid w:val="00727194"/>
    <w:rsid w:val="00746BBB"/>
    <w:rsid w:val="007802FC"/>
    <w:rsid w:val="007870AA"/>
    <w:rsid w:val="007A17BC"/>
    <w:rsid w:val="007A78AA"/>
    <w:rsid w:val="007B2726"/>
    <w:rsid w:val="007B6C20"/>
    <w:rsid w:val="007C6508"/>
    <w:rsid w:val="007D2D26"/>
    <w:rsid w:val="007D31C3"/>
    <w:rsid w:val="007F715C"/>
    <w:rsid w:val="007F79D8"/>
    <w:rsid w:val="00800F7C"/>
    <w:rsid w:val="00822F80"/>
    <w:rsid w:val="00824A05"/>
    <w:rsid w:val="00847EDC"/>
    <w:rsid w:val="00864DAA"/>
    <w:rsid w:val="00875ED1"/>
    <w:rsid w:val="00876A3F"/>
    <w:rsid w:val="008C3F3B"/>
    <w:rsid w:val="008D1E06"/>
    <w:rsid w:val="008D53D2"/>
    <w:rsid w:val="008D6313"/>
    <w:rsid w:val="008F7D5C"/>
    <w:rsid w:val="00923D82"/>
    <w:rsid w:val="00943EE0"/>
    <w:rsid w:val="00947EA8"/>
    <w:rsid w:val="00990794"/>
    <w:rsid w:val="009D35A5"/>
    <w:rsid w:val="00A05421"/>
    <w:rsid w:val="00A42F54"/>
    <w:rsid w:val="00A473F3"/>
    <w:rsid w:val="00A51970"/>
    <w:rsid w:val="00A52E75"/>
    <w:rsid w:val="00A615DD"/>
    <w:rsid w:val="00A85F46"/>
    <w:rsid w:val="00AA011D"/>
    <w:rsid w:val="00AA58B4"/>
    <w:rsid w:val="00AE7F23"/>
    <w:rsid w:val="00B04779"/>
    <w:rsid w:val="00B04C6E"/>
    <w:rsid w:val="00B32A3E"/>
    <w:rsid w:val="00B60AE7"/>
    <w:rsid w:val="00B84891"/>
    <w:rsid w:val="00B84E07"/>
    <w:rsid w:val="00B85FBB"/>
    <w:rsid w:val="00B91667"/>
    <w:rsid w:val="00BA0548"/>
    <w:rsid w:val="00BB1C98"/>
    <w:rsid w:val="00BB6C6A"/>
    <w:rsid w:val="00BC05C5"/>
    <w:rsid w:val="00BC09EE"/>
    <w:rsid w:val="00BE764A"/>
    <w:rsid w:val="00BE7AB5"/>
    <w:rsid w:val="00BF6B18"/>
    <w:rsid w:val="00C35DA3"/>
    <w:rsid w:val="00C36505"/>
    <w:rsid w:val="00C456CE"/>
    <w:rsid w:val="00C561D0"/>
    <w:rsid w:val="00CB5F9C"/>
    <w:rsid w:val="00CC0977"/>
    <w:rsid w:val="00CC33EB"/>
    <w:rsid w:val="00CD6683"/>
    <w:rsid w:val="00CF6197"/>
    <w:rsid w:val="00D426CA"/>
    <w:rsid w:val="00D521D0"/>
    <w:rsid w:val="00DD2DE7"/>
    <w:rsid w:val="00DD4972"/>
    <w:rsid w:val="00DE395F"/>
    <w:rsid w:val="00E03E0A"/>
    <w:rsid w:val="00E0772F"/>
    <w:rsid w:val="00E12304"/>
    <w:rsid w:val="00E25EE7"/>
    <w:rsid w:val="00E3395C"/>
    <w:rsid w:val="00E36611"/>
    <w:rsid w:val="00E6197A"/>
    <w:rsid w:val="00E66706"/>
    <w:rsid w:val="00E731A4"/>
    <w:rsid w:val="00E92AAD"/>
    <w:rsid w:val="00EA2DA7"/>
    <w:rsid w:val="00EB123F"/>
    <w:rsid w:val="00EE5AB1"/>
    <w:rsid w:val="00F23F48"/>
    <w:rsid w:val="00F37ACF"/>
    <w:rsid w:val="00F56233"/>
    <w:rsid w:val="00F611FD"/>
    <w:rsid w:val="00F824DA"/>
    <w:rsid w:val="00F92FB5"/>
    <w:rsid w:val="00FA1C60"/>
    <w:rsid w:val="00FB0FCB"/>
    <w:rsid w:val="00FB2D24"/>
    <w:rsid w:val="00FB6511"/>
    <w:rsid w:val="00FC4D0A"/>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DA"/>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4DA"/>
    <w:pPr>
      <w:tabs>
        <w:tab w:val="center" w:pos="4320"/>
        <w:tab w:val="right" w:pos="8640"/>
      </w:tabs>
    </w:pPr>
  </w:style>
  <w:style w:type="character" w:customStyle="1" w:styleId="FooterChar">
    <w:name w:val="Footer Char"/>
    <w:basedOn w:val="DefaultParagraphFont"/>
    <w:link w:val="Footer"/>
    <w:rsid w:val="00F824DA"/>
    <w:rPr>
      <w:rFonts w:ascii="Times New Roman" w:eastAsia="Times New Roman" w:hAnsi="Times New Roman" w:cs="Times New Roman"/>
      <w:color w:val="000000"/>
      <w:sz w:val="26"/>
      <w:szCs w:val="20"/>
    </w:rPr>
  </w:style>
  <w:style w:type="character" w:styleId="PageNumber">
    <w:name w:val="page number"/>
    <w:basedOn w:val="DefaultParagraphFont"/>
    <w:rsid w:val="00F824DA"/>
  </w:style>
  <w:style w:type="paragraph" w:styleId="ListParagraph">
    <w:name w:val="List Paragraph"/>
    <w:basedOn w:val="Normal"/>
    <w:uiPriority w:val="34"/>
    <w:qFormat/>
    <w:rsid w:val="00F824DA"/>
    <w:pPr>
      <w:ind w:left="720"/>
    </w:pPr>
  </w:style>
  <w:style w:type="paragraph" w:styleId="BalloonText">
    <w:name w:val="Balloon Text"/>
    <w:basedOn w:val="Normal"/>
    <w:link w:val="BalloonTextChar"/>
    <w:uiPriority w:val="99"/>
    <w:semiHidden/>
    <w:unhideWhenUsed/>
    <w:rsid w:val="00552FAD"/>
    <w:rPr>
      <w:rFonts w:ascii="Tahoma" w:hAnsi="Tahoma" w:cs="Tahoma"/>
      <w:sz w:val="16"/>
      <w:szCs w:val="16"/>
    </w:rPr>
  </w:style>
  <w:style w:type="character" w:customStyle="1" w:styleId="BalloonTextChar">
    <w:name w:val="Balloon Text Char"/>
    <w:basedOn w:val="DefaultParagraphFont"/>
    <w:link w:val="BalloonText"/>
    <w:uiPriority w:val="99"/>
    <w:semiHidden/>
    <w:rsid w:val="00552FAD"/>
    <w:rPr>
      <w:rFonts w:ascii="Tahoma" w:eastAsia="Times New Roman" w:hAnsi="Tahoma" w:cs="Tahoma"/>
      <w:color w:val="000000"/>
      <w:sz w:val="16"/>
      <w:szCs w:val="16"/>
    </w:rPr>
  </w:style>
  <w:style w:type="paragraph" w:styleId="Header">
    <w:name w:val="header"/>
    <w:basedOn w:val="Normal"/>
    <w:link w:val="HeaderChar"/>
    <w:uiPriority w:val="99"/>
    <w:unhideWhenUsed/>
    <w:rsid w:val="007D31C3"/>
    <w:pPr>
      <w:tabs>
        <w:tab w:val="center" w:pos="4680"/>
        <w:tab w:val="right" w:pos="9360"/>
      </w:tabs>
    </w:pPr>
  </w:style>
  <w:style w:type="character" w:customStyle="1" w:styleId="HeaderChar">
    <w:name w:val="Header Char"/>
    <w:basedOn w:val="DefaultParagraphFont"/>
    <w:link w:val="Header"/>
    <w:uiPriority w:val="99"/>
    <w:rsid w:val="007D31C3"/>
    <w:rPr>
      <w:rFonts w:ascii="Times New Roman" w:eastAsia="Times New Roman" w:hAnsi="Times New Roman" w:cs="Times New Roman"/>
      <w:color w:val="00000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DA"/>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4DA"/>
    <w:pPr>
      <w:tabs>
        <w:tab w:val="center" w:pos="4320"/>
        <w:tab w:val="right" w:pos="8640"/>
      </w:tabs>
    </w:pPr>
  </w:style>
  <w:style w:type="character" w:customStyle="1" w:styleId="FooterChar">
    <w:name w:val="Footer Char"/>
    <w:basedOn w:val="DefaultParagraphFont"/>
    <w:link w:val="Footer"/>
    <w:rsid w:val="00F824DA"/>
    <w:rPr>
      <w:rFonts w:ascii="Times New Roman" w:eastAsia="Times New Roman" w:hAnsi="Times New Roman" w:cs="Times New Roman"/>
      <w:color w:val="000000"/>
      <w:sz w:val="26"/>
      <w:szCs w:val="20"/>
    </w:rPr>
  </w:style>
  <w:style w:type="character" w:styleId="PageNumber">
    <w:name w:val="page number"/>
    <w:basedOn w:val="DefaultParagraphFont"/>
    <w:rsid w:val="00F824DA"/>
  </w:style>
  <w:style w:type="paragraph" w:styleId="ListParagraph">
    <w:name w:val="List Paragraph"/>
    <w:basedOn w:val="Normal"/>
    <w:uiPriority w:val="34"/>
    <w:qFormat/>
    <w:rsid w:val="00F824DA"/>
    <w:pPr>
      <w:ind w:left="720"/>
    </w:pPr>
  </w:style>
  <w:style w:type="paragraph" w:styleId="BalloonText">
    <w:name w:val="Balloon Text"/>
    <w:basedOn w:val="Normal"/>
    <w:link w:val="BalloonTextChar"/>
    <w:uiPriority w:val="99"/>
    <w:semiHidden/>
    <w:unhideWhenUsed/>
    <w:rsid w:val="00552FAD"/>
    <w:rPr>
      <w:rFonts w:ascii="Tahoma" w:hAnsi="Tahoma" w:cs="Tahoma"/>
      <w:sz w:val="16"/>
      <w:szCs w:val="16"/>
    </w:rPr>
  </w:style>
  <w:style w:type="character" w:customStyle="1" w:styleId="BalloonTextChar">
    <w:name w:val="Balloon Text Char"/>
    <w:basedOn w:val="DefaultParagraphFont"/>
    <w:link w:val="BalloonText"/>
    <w:uiPriority w:val="99"/>
    <w:semiHidden/>
    <w:rsid w:val="00552FAD"/>
    <w:rPr>
      <w:rFonts w:ascii="Tahoma" w:eastAsia="Times New Roman" w:hAnsi="Tahoma" w:cs="Tahoma"/>
      <w:color w:val="000000"/>
      <w:sz w:val="16"/>
      <w:szCs w:val="16"/>
    </w:rPr>
  </w:style>
  <w:style w:type="paragraph" w:styleId="Header">
    <w:name w:val="header"/>
    <w:basedOn w:val="Normal"/>
    <w:link w:val="HeaderChar"/>
    <w:uiPriority w:val="99"/>
    <w:unhideWhenUsed/>
    <w:rsid w:val="007D31C3"/>
    <w:pPr>
      <w:tabs>
        <w:tab w:val="center" w:pos="4680"/>
        <w:tab w:val="right" w:pos="9360"/>
      </w:tabs>
    </w:pPr>
  </w:style>
  <w:style w:type="character" w:customStyle="1" w:styleId="HeaderChar">
    <w:name w:val="Header Char"/>
    <w:basedOn w:val="DefaultParagraphFont"/>
    <w:link w:val="Header"/>
    <w:uiPriority w:val="99"/>
    <w:rsid w:val="007D31C3"/>
    <w:rPr>
      <w:rFonts w:ascii="Times New Roman" w:eastAsia="Times New Roman" w:hAnsi="Times New Roman" w:cs="Times New Roman"/>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17</cp:revision>
  <cp:lastPrinted>2012-05-10T15:46:00Z</cp:lastPrinted>
  <dcterms:created xsi:type="dcterms:W3CDTF">2012-04-13T17:27:00Z</dcterms:created>
  <dcterms:modified xsi:type="dcterms:W3CDTF">2012-05-10T15:46:00Z</dcterms:modified>
</cp:coreProperties>
</file>