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BCB" w:rsidRDefault="00EE0BCB" w:rsidP="00AE10D1">
      <w:pPr>
        <w:tabs>
          <w:tab w:val="center" w:pos="4680"/>
        </w:tabs>
        <w:spacing w:after="0" w:line="240" w:lineRule="auto"/>
        <w:jc w:val="center"/>
        <w:rPr>
          <w:b/>
          <w:szCs w:val="24"/>
        </w:rPr>
      </w:pPr>
      <w:r>
        <w:rPr>
          <w:b/>
          <w:szCs w:val="24"/>
        </w:rPr>
        <w:t>BEFORE THE</w:t>
      </w:r>
    </w:p>
    <w:p w:rsidR="00EE0BCB" w:rsidRDefault="00EE0BCB" w:rsidP="00AE10D1">
      <w:pPr>
        <w:tabs>
          <w:tab w:val="center" w:pos="4680"/>
        </w:tabs>
        <w:spacing w:after="0" w:line="240" w:lineRule="auto"/>
        <w:jc w:val="center"/>
        <w:rPr>
          <w:szCs w:val="24"/>
        </w:rPr>
      </w:pPr>
      <w:r>
        <w:rPr>
          <w:b/>
          <w:szCs w:val="24"/>
        </w:rPr>
        <w:t>PENNSYLVANIA PUBLIC UTILITY COMMISSION</w:t>
      </w:r>
    </w:p>
    <w:p w:rsidR="00EE0BCB" w:rsidRDefault="00EE0BCB" w:rsidP="00AE10D1">
      <w:pPr>
        <w:spacing w:after="0" w:line="240" w:lineRule="auto"/>
        <w:jc w:val="both"/>
        <w:rPr>
          <w:szCs w:val="24"/>
        </w:rPr>
      </w:pPr>
    </w:p>
    <w:p w:rsidR="00EE0BCB" w:rsidRDefault="00EE0BCB" w:rsidP="00AE10D1">
      <w:pPr>
        <w:spacing w:after="0" w:line="240" w:lineRule="auto"/>
        <w:jc w:val="both"/>
        <w:rPr>
          <w:szCs w:val="24"/>
        </w:rPr>
      </w:pPr>
    </w:p>
    <w:p w:rsidR="00EE0BCB" w:rsidRDefault="00EE0BCB" w:rsidP="00AE10D1">
      <w:pPr>
        <w:spacing w:after="0" w:line="240" w:lineRule="auto"/>
        <w:jc w:val="both"/>
        <w:rPr>
          <w:szCs w:val="24"/>
        </w:rPr>
      </w:pPr>
    </w:p>
    <w:p w:rsidR="00EE0BCB" w:rsidRDefault="00EE0BCB" w:rsidP="00AE10D1">
      <w:pPr>
        <w:tabs>
          <w:tab w:val="left" w:pos="-720"/>
        </w:tabs>
        <w:suppressAutoHyphens/>
        <w:spacing w:after="0" w:line="240" w:lineRule="auto"/>
        <w:rPr>
          <w:spacing w:val="-3"/>
        </w:rPr>
      </w:pPr>
      <w:r>
        <w:rPr>
          <w:spacing w:val="-3"/>
        </w:rPr>
        <w:t xml:space="preserve">Pennsylvania Public Utility Commission, </w:t>
      </w:r>
      <w:r>
        <w:rPr>
          <w:i/>
          <w:spacing w:val="-3"/>
        </w:rPr>
        <w:t>et al</w:t>
      </w:r>
      <w:r>
        <w:rPr>
          <w:spacing w:val="-3"/>
        </w:rPr>
        <w:t>.</w:t>
      </w:r>
      <w:r>
        <w:rPr>
          <w:spacing w:val="-3"/>
        </w:rPr>
        <w:tab/>
        <w:t>:</w:t>
      </w:r>
      <w:r>
        <w:rPr>
          <w:spacing w:val="-3"/>
        </w:rPr>
        <w:tab/>
      </w:r>
      <w:r>
        <w:rPr>
          <w:spacing w:val="-3"/>
        </w:rPr>
        <w:tab/>
      </w:r>
    </w:p>
    <w:p w:rsidR="00EE0BCB" w:rsidRDefault="00EE0BCB" w:rsidP="00EE0BCB">
      <w:pPr>
        <w:tabs>
          <w:tab w:val="left" w:pos="-720"/>
        </w:tabs>
        <w:suppressAutoHyphens/>
        <w:spacing w:after="0" w:line="240" w:lineRule="auto"/>
        <w:rPr>
          <w:spacing w:val="-3"/>
          <w:szCs w:val="20"/>
        </w:rPr>
      </w:pPr>
      <w:r>
        <w:rPr>
          <w:spacing w:val="-3"/>
        </w:rPr>
        <w:tab/>
      </w:r>
      <w:r>
        <w:rPr>
          <w:spacing w:val="-3"/>
        </w:rPr>
        <w:tab/>
      </w:r>
      <w:r>
        <w:rPr>
          <w:spacing w:val="-3"/>
        </w:rPr>
        <w:tab/>
      </w:r>
      <w:r>
        <w:rPr>
          <w:spacing w:val="-3"/>
        </w:rPr>
        <w:tab/>
      </w:r>
      <w:r>
        <w:rPr>
          <w:spacing w:val="-3"/>
        </w:rPr>
        <w:tab/>
      </w:r>
      <w:r>
        <w:rPr>
          <w:spacing w:val="-3"/>
        </w:rPr>
        <w:tab/>
      </w:r>
      <w:r>
        <w:rPr>
          <w:spacing w:val="-3"/>
        </w:rPr>
        <w:tab/>
        <w:t>:</w:t>
      </w:r>
    </w:p>
    <w:p w:rsidR="00FB505C" w:rsidRDefault="00EE0BCB" w:rsidP="00FB505C">
      <w:pPr>
        <w:tabs>
          <w:tab w:val="left" w:pos="-720"/>
        </w:tabs>
        <w:suppressAutoHyphens/>
        <w:spacing w:after="0" w:line="240" w:lineRule="auto"/>
        <w:rPr>
          <w:spacing w:val="-3"/>
        </w:rPr>
      </w:pPr>
      <w:r>
        <w:rPr>
          <w:spacing w:val="-3"/>
        </w:rPr>
        <w:tab/>
      </w:r>
      <w:r>
        <w:rPr>
          <w:spacing w:val="-3"/>
        </w:rPr>
        <w:tab/>
        <w:t>v.</w:t>
      </w:r>
      <w:r>
        <w:rPr>
          <w:spacing w:val="-3"/>
        </w:rPr>
        <w:tab/>
      </w:r>
      <w:r>
        <w:rPr>
          <w:spacing w:val="-3"/>
        </w:rPr>
        <w:tab/>
      </w:r>
      <w:r>
        <w:rPr>
          <w:spacing w:val="-3"/>
        </w:rPr>
        <w:tab/>
      </w:r>
      <w:r>
        <w:rPr>
          <w:spacing w:val="-3"/>
        </w:rPr>
        <w:tab/>
      </w:r>
      <w:r>
        <w:rPr>
          <w:spacing w:val="-3"/>
        </w:rPr>
        <w:tab/>
        <w:t>:</w:t>
      </w:r>
      <w:r w:rsidR="00FB505C">
        <w:rPr>
          <w:spacing w:val="-3"/>
        </w:rPr>
        <w:tab/>
      </w:r>
      <w:r w:rsidR="00FB505C">
        <w:rPr>
          <w:spacing w:val="-3"/>
        </w:rPr>
        <w:tab/>
      </w:r>
      <w:r w:rsidR="00FB505C">
        <w:rPr>
          <w:spacing w:val="-3"/>
        </w:rPr>
        <w:t xml:space="preserve">R-2012-2285985, </w:t>
      </w:r>
      <w:r w:rsidR="00FB505C" w:rsidRPr="008A181B">
        <w:rPr>
          <w:i/>
          <w:spacing w:val="-3"/>
        </w:rPr>
        <w:t>et al.</w:t>
      </w:r>
    </w:p>
    <w:p w:rsidR="00EE0BCB" w:rsidRDefault="00EE0BCB" w:rsidP="00EE0BCB">
      <w:pPr>
        <w:tabs>
          <w:tab w:val="left" w:pos="-720"/>
        </w:tabs>
        <w:suppressAutoHyphens/>
        <w:spacing w:after="0" w:line="240" w:lineRule="auto"/>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t>:</w:t>
      </w:r>
      <w:r>
        <w:rPr>
          <w:spacing w:val="-3"/>
        </w:rPr>
        <w:tab/>
      </w:r>
      <w:r>
        <w:rPr>
          <w:spacing w:val="-3"/>
        </w:rPr>
        <w:tab/>
      </w:r>
    </w:p>
    <w:p w:rsidR="00EE0BCB" w:rsidRDefault="00EE0BCB" w:rsidP="00EE0BCB">
      <w:pPr>
        <w:tabs>
          <w:tab w:val="left" w:pos="-720"/>
        </w:tabs>
        <w:suppressAutoHyphens/>
        <w:spacing w:after="0" w:line="240" w:lineRule="auto"/>
        <w:rPr>
          <w:spacing w:val="-3"/>
        </w:rPr>
      </w:pPr>
      <w:r>
        <w:rPr>
          <w:spacing w:val="-3"/>
        </w:rPr>
        <w:t>Peoples Natural Gas Company LLC</w:t>
      </w:r>
      <w:r>
        <w:rPr>
          <w:spacing w:val="-3"/>
        </w:rPr>
        <w:tab/>
      </w:r>
      <w:r>
        <w:rPr>
          <w:spacing w:val="-3"/>
        </w:rPr>
        <w:tab/>
      </w:r>
      <w:r>
        <w:rPr>
          <w:spacing w:val="-3"/>
        </w:rPr>
        <w:tab/>
        <w:t>:</w:t>
      </w:r>
      <w:r>
        <w:rPr>
          <w:spacing w:val="-3"/>
        </w:rPr>
        <w:tab/>
      </w:r>
      <w:r>
        <w:rPr>
          <w:spacing w:val="-3"/>
        </w:rPr>
        <w:tab/>
      </w:r>
    </w:p>
    <w:p w:rsidR="00792796" w:rsidRDefault="00792796" w:rsidP="00EE0BCB">
      <w:pPr>
        <w:spacing w:after="0" w:line="240" w:lineRule="auto"/>
      </w:pPr>
    </w:p>
    <w:p w:rsidR="00B13142" w:rsidRDefault="00B13142" w:rsidP="00EE0BCB">
      <w:pPr>
        <w:spacing w:after="0" w:line="240" w:lineRule="auto"/>
      </w:pPr>
    </w:p>
    <w:p w:rsidR="00B13142" w:rsidRDefault="00B13142" w:rsidP="00EE0BCB">
      <w:pPr>
        <w:spacing w:after="0" w:line="240" w:lineRule="auto"/>
      </w:pPr>
    </w:p>
    <w:p w:rsidR="00B13142" w:rsidRPr="00436F0B" w:rsidRDefault="00B13142" w:rsidP="00EE0BCB">
      <w:pPr>
        <w:spacing w:after="0" w:line="240" w:lineRule="auto"/>
        <w:jc w:val="center"/>
        <w:rPr>
          <w:b/>
        </w:rPr>
      </w:pPr>
      <w:r w:rsidRPr="00436F0B">
        <w:rPr>
          <w:b/>
        </w:rPr>
        <w:t>INTERIM ORDER</w:t>
      </w:r>
    </w:p>
    <w:p w:rsidR="0046309C" w:rsidRPr="0046309C" w:rsidRDefault="00B13142" w:rsidP="00EE0BCB">
      <w:pPr>
        <w:spacing w:after="0" w:line="240" w:lineRule="auto"/>
        <w:jc w:val="center"/>
        <w:rPr>
          <w:b/>
        </w:rPr>
      </w:pPr>
      <w:r w:rsidRPr="0046309C">
        <w:rPr>
          <w:b/>
        </w:rPr>
        <w:t xml:space="preserve">ON PETITION TO INTERVENE OF THE </w:t>
      </w:r>
    </w:p>
    <w:p w:rsidR="00B13142" w:rsidRDefault="00B13142" w:rsidP="00EE0BCB">
      <w:pPr>
        <w:spacing w:after="0" w:line="240" w:lineRule="auto"/>
        <w:jc w:val="center"/>
        <w:rPr>
          <w:b/>
          <w:u w:val="single"/>
        </w:rPr>
      </w:pPr>
      <w:r w:rsidRPr="00436F0B">
        <w:rPr>
          <w:b/>
          <w:u w:val="single"/>
        </w:rPr>
        <w:t>COMMUNITY ACTION ASSOCIATION</w:t>
      </w:r>
      <w:r w:rsidR="0046309C">
        <w:rPr>
          <w:b/>
          <w:u w:val="single"/>
        </w:rPr>
        <w:t xml:space="preserve"> </w:t>
      </w:r>
      <w:r w:rsidR="008A181B">
        <w:rPr>
          <w:b/>
          <w:u w:val="single"/>
        </w:rPr>
        <w:t>OF</w:t>
      </w:r>
      <w:r w:rsidR="0046309C">
        <w:rPr>
          <w:b/>
          <w:u w:val="single"/>
        </w:rPr>
        <w:t xml:space="preserve"> PENNSYLVANIA</w:t>
      </w:r>
    </w:p>
    <w:p w:rsidR="0059141D" w:rsidRPr="00436F0B" w:rsidRDefault="0059141D" w:rsidP="00EE0BCB">
      <w:pPr>
        <w:spacing w:after="0" w:line="240" w:lineRule="auto"/>
        <w:jc w:val="center"/>
        <w:rPr>
          <w:b/>
          <w:u w:val="single"/>
        </w:rPr>
      </w:pPr>
    </w:p>
    <w:p w:rsidR="00B13142" w:rsidRDefault="00B13142" w:rsidP="00EE0BCB">
      <w:pPr>
        <w:spacing w:after="0" w:line="240" w:lineRule="auto"/>
      </w:pPr>
    </w:p>
    <w:p w:rsidR="00B13142" w:rsidRDefault="00B13142" w:rsidP="00AE10D1">
      <w:pPr>
        <w:spacing w:after="0"/>
      </w:pPr>
      <w:r>
        <w:tab/>
      </w:r>
      <w:r w:rsidR="0059141D">
        <w:tab/>
      </w:r>
      <w:r>
        <w:t>On February 27, 2012, Peoples Natural Gas Company</w:t>
      </w:r>
      <w:r w:rsidR="00830185">
        <w:t xml:space="preserve"> (Peoples)</w:t>
      </w:r>
      <w:r>
        <w:t xml:space="preserve"> filed a request for a general rate increase pursuant to Section 1308(d) of the Public Utility Code.</w:t>
      </w:r>
      <w:r w:rsidR="00500777">
        <w:rPr>
          <w:rStyle w:val="FootnoteReference"/>
        </w:rPr>
        <w:footnoteReference w:id="1"/>
      </w:r>
      <w:r w:rsidR="003E6F56">
        <w:t xml:space="preserve">  By order entered April 26, 2012, the Commission suspended the April 28, 2012 effective date of the increased rates until November 28, 2012 and directed the Office of Administrative Law Judge to hold hearings and consider whether the request was just, reasonable and in the public interest. </w:t>
      </w:r>
      <w:r w:rsidR="008A181B">
        <w:t xml:space="preserve"> </w:t>
      </w:r>
      <w:r w:rsidR="003E6F56">
        <w:t>The matter was assigned to me and a prehearing conference was scheduled for Tuesday</w:t>
      </w:r>
      <w:r w:rsidR="008A181B">
        <w:t>,</w:t>
      </w:r>
      <w:r w:rsidR="003E6F56">
        <w:t xml:space="preserve"> May 8, 2012.  On April 30, 2012, I issued a prehearing conference order which, among other things, directed the filing of prehearing memoranda.</w:t>
      </w:r>
    </w:p>
    <w:p w:rsidR="0059141D" w:rsidRDefault="0059141D" w:rsidP="00AE10D1">
      <w:pPr>
        <w:spacing w:after="0"/>
      </w:pPr>
    </w:p>
    <w:p w:rsidR="00830185" w:rsidRDefault="003E6F56" w:rsidP="00AE10D1">
      <w:pPr>
        <w:spacing w:after="0"/>
      </w:pPr>
      <w:r>
        <w:tab/>
      </w:r>
      <w:r w:rsidR="0059141D">
        <w:tab/>
      </w:r>
      <w:r>
        <w:t>Several part</w:t>
      </w:r>
      <w:r w:rsidR="00830185">
        <w:t>ies filed formal complaints, including the Office of Consumer Advocate (OCA), and the Office of Small Business Advocate (OSBA).  Others filed petitions to intervene including several gas suppliers and special interest groups including PIOGA and RESA.</w:t>
      </w:r>
      <w:r w:rsidR="00830185">
        <w:rPr>
          <w:rStyle w:val="FootnoteReference"/>
        </w:rPr>
        <w:footnoteReference w:id="2"/>
      </w:r>
      <w:r w:rsidR="00830185">
        <w:t xml:space="preserve">  </w:t>
      </w:r>
    </w:p>
    <w:p w:rsidR="008A181B" w:rsidRDefault="008A181B" w:rsidP="00AE10D1">
      <w:pPr>
        <w:spacing w:after="0"/>
      </w:pPr>
    </w:p>
    <w:p w:rsidR="003E6F56" w:rsidRDefault="00830185" w:rsidP="00AE10D1">
      <w:pPr>
        <w:spacing w:after="0"/>
        <w:ind w:firstLine="1440"/>
      </w:pPr>
      <w:r>
        <w:t xml:space="preserve">On May 3, 2012, the Community Action Association of Pennsylvania (CAAP) filed a petition to intervene. </w:t>
      </w:r>
      <w:r w:rsidR="008A181B">
        <w:t xml:space="preserve"> </w:t>
      </w:r>
      <w:r>
        <w:t xml:space="preserve">On May 7, 2012, Peoples filed an answer opposing the petition to </w:t>
      </w:r>
      <w:r>
        <w:lastRenderedPageBreak/>
        <w:t>intervene of CAAP on the grounds that the petition was untimely; that CAAP had failed to identify its members who have a direct interest in the proceedings; and that the interests of low income consumers identified by CAAP were already adequately represented by the OCA.  Also on May 7, 2012, CAAP filed an informal response to Peoples’ answer.</w:t>
      </w:r>
    </w:p>
    <w:p w:rsidR="0059141D" w:rsidRDefault="0059141D" w:rsidP="00AE10D1">
      <w:pPr>
        <w:spacing w:after="0"/>
        <w:ind w:firstLine="1440"/>
      </w:pPr>
    </w:p>
    <w:p w:rsidR="00830185" w:rsidRDefault="00830185" w:rsidP="00AE10D1">
      <w:pPr>
        <w:spacing w:after="0"/>
        <w:ind w:firstLine="1440"/>
      </w:pPr>
      <w:r>
        <w:t>A prehearing conference was held on May 8, 2012, wherein I heard oral argument on CAAP’s petition from Peoples, CAAP and the OCA.</w:t>
      </w:r>
      <w:r w:rsidR="00575928">
        <w:t xml:space="preserve">  I held my ruling on the petition to intervene in abeyance pending CAAP’s identification of its members who had an interest in the outcome of the proceedings. </w:t>
      </w:r>
      <w:r w:rsidR="008A181B">
        <w:t xml:space="preserve"> </w:t>
      </w:r>
      <w:r w:rsidR="00575928">
        <w:t xml:space="preserve">That list was emailed to me and to the other parties on May 8, 2012. </w:t>
      </w:r>
      <w:r w:rsidR="00FB505C">
        <w:t xml:space="preserve"> </w:t>
      </w:r>
      <w:r w:rsidR="00A07721">
        <w:t>Upon consideration of the petition to intervene as supplemented by the May 8, 2012 list of members in Peoples</w:t>
      </w:r>
      <w:r w:rsidR="008A181B">
        <w:t>’</w:t>
      </w:r>
      <w:r w:rsidR="00A07721">
        <w:t xml:space="preserve"> service territory, Peoples’ answer to the petition and the oral arguments made at the prehearing conference, I will grant CAAP’s petition to intervene.</w:t>
      </w:r>
      <w:r w:rsidR="00575928">
        <w:t xml:space="preserve"> </w:t>
      </w:r>
    </w:p>
    <w:p w:rsidR="0059141D" w:rsidRDefault="0059141D" w:rsidP="00AE10D1">
      <w:pPr>
        <w:spacing w:after="0"/>
        <w:ind w:firstLine="1440"/>
      </w:pPr>
    </w:p>
    <w:p w:rsidR="00976298" w:rsidRDefault="00976298" w:rsidP="00AE10D1">
      <w:pPr>
        <w:spacing w:after="0"/>
        <w:ind w:firstLine="1440"/>
      </w:pPr>
      <w:r>
        <w:t>The standard for granting a petition to intervene is provided by Section 5.72 of the Commission’s regulations</w:t>
      </w:r>
      <w:r w:rsidR="008A181B">
        <w:t>:</w:t>
      </w:r>
      <w:r w:rsidR="003F5922">
        <w:rPr>
          <w:rStyle w:val="FootnoteReference"/>
        </w:rPr>
        <w:footnoteReference w:id="3"/>
      </w:r>
    </w:p>
    <w:p w:rsidR="00976298" w:rsidRDefault="00976298" w:rsidP="00976298">
      <w:pPr>
        <w:pStyle w:val="IndentedQuote"/>
        <w:rPr>
          <w:b w:val="0"/>
        </w:rPr>
      </w:pPr>
      <w:bookmarkStart w:id="0" w:name="5.72."/>
      <w:r w:rsidRPr="00976298">
        <w:rPr>
          <w:b w:val="0"/>
        </w:rPr>
        <w:t> (a)  </w:t>
      </w:r>
      <w:r w:rsidRPr="00976298">
        <w:rPr>
          <w:b w:val="0"/>
          <w:i/>
          <w:iCs/>
        </w:rPr>
        <w:t xml:space="preserve">Persons. </w:t>
      </w:r>
      <w:r w:rsidRPr="00976298">
        <w:rPr>
          <w:b w:val="0"/>
        </w:rPr>
        <w:t xml:space="preserve">A petition to intervene may be filed by a person claiming a right to intervene or an interest of such nature that intervention is necessary or appropriate to the administration of the statute under which the proceeding is brought. The right or interest may be one of the following: </w:t>
      </w:r>
    </w:p>
    <w:p w:rsidR="00976298" w:rsidRPr="00976298" w:rsidRDefault="00976298" w:rsidP="00976298">
      <w:pPr>
        <w:pStyle w:val="IndentedQuote"/>
        <w:rPr>
          <w:b w:val="0"/>
        </w:rPr>
      </w:pPr>
    </w:p>
    <w:p w:rsidR="00976298" w:rsidRDefault="00976298" w:rsidP="00976298">
      <w:pPr>
        <w:pStyle w:val="IndentedQuote"/>
        <w:rPr>
          <w:b w:val="0"/>
        </w:rPr>
      </w:pPr>
      <w:r w:rsidRPr="00976298">
        <w:rPr>
          <w:b w:val="0"/>
        </w:rPr>
        <w:t xml:space="preserve">   (1)  A right conferred by statute of the United States or of the Commonwealth. </w:t>
      </w:r>
    </w:p>
    <w:p w:rsidR="00976298" w:rsidRPr="00976298" w:rsidRDefault="00976298" w:rsidP="00976298">
      <w:pPr>
        <w:pStyle w:val="IndentedQuote"/>
        <w:rPr>
          <w:b w:val="0"/>
        </w:rPr>
      </w:pPr>
    </w:p>
    <w:p w:rsidR="00976298" w:rsidRDefault="00976298" w:rsidP="00976298">
      <w:pPr>
        <w:pStyle w:val="IndentedQuote"/>
        <w:rPr>
          <w:b w:val="0"/>
        </w:rPr>
      </w:pPr>
      <w:r w:rsidRPr="00976298">
        <w:rPr>
          <w:b w:val="0"/>
        </w:rPr>
        <w:t xml:space="preserve">   (2)  An interest which may be directly affected and which is not adequately represented by existing participants, and as to which the petitioner may be bound by the action of the Commission in the proceeding. </w:t>
      </w:r>
    </w:p>
    <w:p w:rsidR="00976298" w:rsidRPr="00976298" w:rsidRDefault="00976298" w:rsidP="00976298">
      <w:pPr>
        <w:pStyle w:val="IndentedQuote"/>
        <w:rPr>
          <w:b w:val="0"/>
        </w:rPr>
      </w:pPr>
    </w:p>
    <w:p w:rsidR="00976298" w:rsidRDefault="00976298" w:rsidP="00976298">
      <w:pPr>
        <w:pStyle w:val="IndentedQuote"/>
        <w:rPr>
          <w:b w:val="0"/>
        </w:rPr>
      </w:pPr>
      <w:r w:rsidRPr="00976298">
        <w:rPr>
          <w:b w:val="0"/>
        </w:rPr>
        <w:t xml:space="preserve">   (3)  Another interest of such nature that participation of the petitioner may be in the public interest. </w:t>
      </w:r>
    </w:p>
    <w:p w:rsidR="00976298" w:rsidRPr="00976298" w:rsidRDefault="00976298" w:rsidP="00976298">
      <w:pPr>
        <w:pStyle w:val="IndentedQuote"/>
        <w:rPr>
          <w:b w:val="0"/>
        </w:rPr>
      </w:pPr>
    </w:p>
    <w:p w:rsidR="00976298" w:rsidRPr="00976298" w:rsidRDefault="00976298" w:rsidP="00976298">
      <w:pPr>
        <w:pStyle w:val="IndentedQuote"/>
        <w:rPr>
          <w:b w:val="0"/>
        </w:rPr>
      </w:pPr>
      <w:r w:rsidRPr="00976298">
        <w:rPr>
          <w:b w:val="0"/>
        </w:rPr>
        <w:t> (b)  </w:t>
      </w:r>
      <w:r w:rsidRPr="00976298">
        <w:rPr>
          <w:b w:val="0"/>
          <w:i/>
          <w:iCs/>
        </w:rPr>
        <w:t xml:space="preserve">Commonwealth. </w:t>
      </w:r>
      <w:r w:rsidRPr="00976298">
        <w:rPr>
          <w:b w:val="0"/>
        </w:rPr>
        <w:t xml:space="preserve">The Commonwealth or an officer or agency thereof may intervene as of right in a proceeding subject to paragraphs (1)—(3). </w:t>
      </w:r>
    </w:p>
    <w:bookmarkEnd w:id="0"/>
    <w:p w:rsidR="00976298" w:rsidRDefault="00976298" w:rsidP="00AE10D1"/>
    <w:p w:rsidR="000775EA" w:rsidRDefault="000775EA" w:rsidP="00AE10D1">
      <w:pPr>
        <w:spacing w:after="0"/>
      </w:pPr>
      <w:r>
        <w:lastRenderedPageBreak/>
        <w:tab/>
      </w:r>
      <w:r w:rsidR="0059141D">
        <w:tab/>
      </w:r>
      <w:r>
        <w:t>Peoples argues that CAAP’s petition to intervene should be denied because it fails to articulate a direct interest in the proceeding that is not represented by others, specifically, the OCA.</w:t>
      </w:r>
    </w:p>
    <w:p w:rsidR="0059141D" w:rsidRDefault="0059141D" w:rsidP="00AE10D1">
      <w:pPr>
        <w:spacing w:after="0"/>
      </w:pPr>
    </w:p>
    <w:p w:rsidR="0066612B" w:rsidRDefault="000775EA" w:rsidP="00AE10D1">
      <w:pPr>
        <w:spacing w:after="0"/>
      </w:pPr>
      <w:r>
        <w:tab/>
      </w:r>
      <w:r w:rsidR="0059141D">
        <w:tab/>
      </w:r>
      <w:r>
        <w:t>CAAP states that it is a statewide association representing community action agencies that provide anti-poverty planning and community development activities and services for low-income communities.</w:t>
      </w:r>
      <w:r>
        <w:rPr>
          <w:rStyle w:val="FootnoteReference"/>
        </w:rPr>
        <w:footnoteReference w:id="4"/>
      </w:r>
      <w:r>
        <w:t xml:space="preserve">  At the prehearing conference, CAAP stated that it was representing the interests of its member agencies in Peoples</w:t>
      </w:r>
      <w:r w:rsidR="008A181B">
        <w:t>’</w:t>
      </w:r>
      <w:r>
        <w:t xml:space="preserve"> service territory, but not specific individuals.</w:t>
      </w:r>
      <w:r w:rsidR="00CE0BFB">
        <w:t xml:space="preserve">  </w:t>
      </w:r>
      <w:r w:rsidR="005F5FC6">
        <w:t>CAAP is particularly interested in the manner in which Peoples</w:t>
      </w:r>
      <w:r w:rsidR="008A181B">
        <w:t>’</w:t>
      </w:r>
      <w:r w:rsidR="005F5FC6">
        <w:t xml:space="preserve"> request for a rate increase may affect low income customers and is also interested in ensuring that Peoples’ universal service programs are appropriately funded and available.</w:t>
      </w:r>
      <w:r w:rsidR="005F5FC6">
        <w:rPr>
          <w:rStyle w:val="FootnoteReference"/>
        </w:rPr>
        <w:footnoteReference w:id="5"/>
      </w:r>
      <w:r w:rsidR="005F5FC6">
        <w:t xml:space="preserve">  </w:t>
      </w:r>
      <w:r w:rsidR="00CE0BFB">
        <w:t>Although it did not do so in its petition, it did provide a list of its members in Peoples’ service territory when directed to do so.</w:t>
      </w:r>
      <w:r w:rsidR="00CE0BFB">
        <w:rPr>
          <w:rStyle w:val="FootnoteReference"/>
        </w:rPr>
        <w:footnoteReference w:id="6"/>
      </w:r>
    </w:p>
    <w:p w:rsidR="0059141D" w:rsidRDefault="0059141D" w:rsidP="00AE10D1">
      <w:pPr>
        <w:spacing w:after="0"/>
      </w:pPr>
    </w:p>
    <w:p w:rsidR="00804DFF" w:rsidRDefault="00E8647A" w:rsidP="00AE10D1">
      <w:pPr>
        <w:spacing w:after="0"/>
        <w:ind w:firstLine="1440"/>
      </w:pPr>
      <w:r>
        <w:t>T</w:t>
      </w:r>
      <w:r w:rsidR="00804DFF">
        <w:t xml:space="preserve">he status of an </w:t>
      </w:r>
      <w:r w:rsidR="00B24DAF">
        <w:t>intervener</w:t>
      </w:r>
      <w:r w:rsidR="00804DFF">
        <w:t xml:space="preserve"> is different from that of a person or a group filing a formal complaint.  A complainant must demonstrate that it has standing to oppose an application or other filing by identifying a direct, immediate and substantial interest that is likely to be impacted by approval of the filing.</w:t>
      </w:r>
      <w:r w:rsidR="00D5529F">
        <w:rPr>
          <w:rStyle w:val="FootnoteReference"/>
        </w:rPr>
        <w:footnoteReference w:id="7"/>
      </w:r>
      <w:r w:rsidR="00804DFF">
        <w:t xml:space="preserve">  Accordingly, a complainant has full rights as a party in an action.  In contrast, an </w:t>
      </w:r>
      <w:r w:rsidR="00B24DAF">
        <w:t>intervener</w:t>
      </w:r>
      <w:r w:rsidR="00804DFF">
        <w:t xml:space="preserve"> need only demonstrate an “interest,” but need not demonstrate the same level of immediacy or causation that is required to maintain a complaint.</w:t>
      </w:r>
      <w:r w:rsidR="00804DFF">
        <w:rPr>
          <w:rStyle w:val="FootnoteReference"/>
        </w:rPr>
        <w:footnoteReference w:id="8"/>
      </w:r>
      <w:r w:rsidR="00804DFF">
        <w:t xml:space="preserve"> </w:t>
      </w:r>
      <w:r w:rsidR="008A181B">
        <w:t xml:space="preserve"> </w:t>
      </w:r>
      <w:r w:rsidR="00804DFF">
        <w:lastRenderedPageBreak/>
        <w:t>Nevertheless, Section 5.73 directs that petitions to intervene on behalf of more than one person “may be required to list those persons and entities comprising the represented group.”</w:t>
      </w:r>
      <w:r w:rsidR="00804DFF">
        <w:rPr>
          <w:rStyle w:val="FootnoteReference"/>
        </w:rPr>
        <w:footnoteReference w:id="9"/>
      </w:r>
    </w:p>
    <w:p w:rsidR="0059141D" w:rsidRDefault="0059141D" w:rsidP="00AE10D1">
      <w:pPr>
        <w:spacing w:after="0"/>
        <w:ind w:firstLine="1440"/>
      </w:pPr>
    </w:p>
    <w:p w:rsidR="005F5FC6" w:rsidRDefault="005F5FC6" w:rsidP="00AE10D1">
      <w:pPr>
        <w:spacing w:after="0"/>
        <w:ind w:firstLine="1440"/>
      </w:pPr>
      <w:r>
        <w:t>CAAP has articulated a sufficiently specific interest to merit intervention in this matter.  While it is certainly a better practice for a public interest group or any other association to name its affected members in a petition to</w:t>
      </w:r>
      <w:r w:rsidR="00621433">
        <w:t xml:space="preserve"> inter</w:t>
      </w:r>
      <w:r>
        <w:t>vene, CAAP’s failure to do so at the outset is not fatal to its petition</w:t>
      </w:r>
      <w:r w:rsidR="00C265B1">
        <w:t>, particularly in view of the fact that it identified its members promptly</w:t>
      </w:r>
      <w:r>
        <w:t>.</w:t>
      </w:r>
    </w:p>
    <w:p w:rsidR="0059141D" w:rsidRDefault="0059141D" w:rsidP="00AE10D1">
      <w:pPr>
        <w:spacing w:after="0"/>
        <w:ind w:firstLine="1440"/>
      </w:pPr>
    </w:p>
    <w:p w:rsidR="000E73F8" w:rsidRDefault="000E73F8" w:rsidP="00AE10D1">
      <w:pPr>
        <w:spacing w:after="0"/>
        <w:ind w:firstLine="1440"/>
      </w:pPr>
      <w:r>
        <w:t>Peoples also objected to CAAP’s petition to intervene on the grounds that the OCA already adequately represents the interests of low income consumers.  At the prehearing conference the OCA strenuously opposed the basis for this argument and cited both statutory and case law which supports the notion that the presence of the OCA in litigation does not preclude the intervention of others.</w:t>
      </w:r>
      <w:r w:rsidR="00CE0D2B">
        <w:t xml:space="preserve"> </w:t>
      </w:r>
      <w:r w:rsidR="000F0169">
        <w:t xml:space="preserve"> </w:t>
      </w:r>
      <w:r w:rsidR="002A26C7">
        <w:t>In the OCA’s view, dismissing a community action group solely on the basis of the representation of consumer interests by the OCA would be inappropriate.</w:t>
      </w:r>
    </w:p>
    <w:p w:rsidR="0059141D" w:rsidRDefault="0059141D" w:rsidP="00AE10D1">
      <w:pPr>
        <w:spacing w:after="0"/>
        <w:ind w:firstLine="1440"/>
      </w:pPr>
    </w:p>
    <w:p w:rsidR="00CE0D2B" w:rsidRDefault="00CE0D2B" w:rsidP="00AE10D1">
      <w:pPr>
        <w:spacing w:after="0"/>
        <w:ind w:firstLine="1440"/>
      </w:pPr>
      <w:r>
        <w:t>The OCA’s mission is</w:t>
      </w:r>
      <w:r w:rsidR="009A3406">
        <w:t>, in part,</w:t>
      </w:r>
      <w:r>
        <w:t xml:space="preserve"> </w:t>
      </w:r>
      <w:r w:rsidR="009B1B5C">
        <w:t>“to represent the interest of consumers as a party, or otherwise participate for the purpose of representing consumers, before [the Public Utility Commission] in any matter properly before the commission . . . .”</w:t>
      </w:r>
      <w:r w:rsidR="009B1B5C">
        <w:rPr>
          <w:rStyle w:val="FootnoteReference"/>
        </w:rPr>
        <w:footnoteReference w:id="10"/>
      </w:r>
      <w:r w:rsidR="009B1B5C">
        <w:t xml:space="preserve">  </w:t>
      </w:r>
      <w:bookmarkStart w:id="1" w:name="_GoBack"/>
      <w:bookmarkEnd w:id="1"/>
      <w:r w:rsidR="0046764F">
        <w:t xml:space="preserve">This mandate to represent consumers is much broader than the </w:t>
      </w:r>
      <w:r w:rsidR="0029633C">
        <w:t xml:space="preserve">specific </w:t>
      </w:r>
      <w:r w:rsidR="0046764F">
        <w:t>interest</w:t>
      </w:r>
      <w:r w:rsidR="0029633C">
        <w:t>s</w:t>
      </w:r>
      <w:r w:rsidR="0046764F">
        <w:t xml:space="preserve"> of the low-income constituency served by the members of CAAP.</w:t>
      </w:r>
      <w:r w:rsidR="002A26C7">
        <w:t xml:space="preserve">  In oral argument the OCA pointed out that the broad interest of the OCA in advocating the interests of consumers </w:t>
      </w:r>
      <w:r w:rsidR="00B24DAF">
        <w:t>generally</w:t>
      </w:r>
      <w:r w:rsidR="002A26C7">
        <w:t xml:space="preserve"> may not be identical to those advocated by community action groups.</w:t>
      </w:r>
      <w:r w:rsidR="004B7108">
        <w:t xml:space="preserve">  Indeed to the extent that the burden of funding universal service programs may fall upon residential consumers, the OCA and CAAP could well take opposite positions on that issue.</w:t>
      </w:r>
    </w:p>
    <w:p w:rsidR="0059141D" w:rsidRDefault="0059141D" w:rsidP="00AE10D1">
      <w:pPr>
        <w:spacing w:after="0"/>
        <w:ind w:firstLine="1440"/>
      </w:pPr>
    </w:p>
    <w:p w:rsidR="004B7108" w:rsidRDefault="004B7108" w:rsidP="00AE10D1">
      <w:pPr>
        <w:spacing w:after="0"/>
        <w:ind w:firstLine="1440"/>
      </w:pPr>
      <w:r>
        <w:t>I agree with the OCA and CAAP that OCA’s presence in a case does not bar the intervention of CAAP.  As discussed above, the interests of CAAP are much narrower than those of the OCA.  Second, Section 906-A of the Administrative Code explicitly provides th</w:t>
      </w:r>
      <w:r w:rsidR="000F0169">
        <w:t>at</w:t>
      </w:r>
      <w:r>
        <w:t xml:space="preserve"> </w:t>
      </w:r>
      <w:r>
        <w:lastRenderedPageBreak/>
        <w:t>participation of the OCA in a proceeding shall not “limit the right of any consumer to bring a proceeding before either the commission or a court.”</w:t>
      </w:r>
      <w:r>
        <w:rPr>
          <w:rStyle w:val="FootnoteReference"/>
        </w:rPr>
        <w:footnoteReference w:id="11"/>
      </w:r>
      <w:r w:rsidR="00A17B37">
        <w:t xml:space="preserve">  Finally, even if there is </w:t>
      </w:r>
      <w:r w:rsidR="00F950DD">
        <w:t xml:space="preserve">some duplication of </w:t>
      </w:r>
      <w:r w:rsidR="00A17B37">
        <w:t xml:space="preserve"> the interests advocated by OCA and those advocated by CAAP, Section 5.72 of the regulations permits intervention based on “[a]</w:t>
      </w:r>
      <w:r w:rsidR="00A17B37" w:rsidRPr="00A17B37">
        <w:t>nother interest of such nature that participation of the petitioner may be in the public interest</w:t>
      </w:r>
      <w:r w:rsidR="00A17B37">
        <w:t>.”</w:t>
      </w:r>
      <w:r w:rsidR="00097A9F">
        <w:rPr>
          <w:rStyle w:val="FootnoteReference"/>
        </w:rPr>
        <w:footnoteReference w:id="12"/>
      </w:r>
    </w:p>
    <w:p w:rsidR="0059141D" w:rsidRDefault="0059141D" w:rsidP="00AE10D1">
      <w:pPr>
        <w:spacing w:after="0"/>
        <w:ind w:firstLine="1440"/>
      </w:pPr>
    </w:p>
    <w:p w:rsidR="0021073F" w:rsidRDefault="0021073F" w:rsidP="00AE10D1">
      <w:pPr>
        <w:spacing w:after="0"/>
        <w:ind w:firstLine="1440"/>
      </w:pPr>
      <w:r>
        <w:t xml:space="preserve">Finally, Peoples argues that CAAP’s petition to intervene should be barred because it was filed more than 60 days after the initial filing of the rate increase request, without good cause shown.  At oral argument Peoples contended that it was prejudiced by the late-filed intervention because substantial discovery had already taken place and that the intervention of CAAP at this juncture of the proceedings may impede settlement discussions. </w:t>
      </w:r>
    </w:p>
    <w:p w:rsidR="0059141D" w:rsidRDefault="0059141D" w:rsidP="00AE10D1">
      <w:pPr>
        <w:spacing w:after="0"/>
        <w:ind w:firstLine="1440"/>
      </w:pPr>
    </w:p>
    <w:p w:rsidR="00FF7598" w:rsidRDefault="00FF7598" w:rsidP="00AE10D1">
      <w:pPr>
        <w:spacing w:after="0"/>
        <w:ind w:firstLine="1440"/>
      </w:pPr>
      <w:r>
        <w:t>The Commission’s rules do provide that where no specific time for the filing of petitions to intervene has been fixed, petitions should be filed within 60 days of an initial filing.</w:t>
      </w:r>
      <w:r>
        <w:rPr>
          <w:rStyle w:val="FootnoteReference"/>
        </w:rPr>
        <w:footnoteReference w:id="13"/>
      </w:r>
      <w:r>
        <w:t xml:space="preserve"> In this case, 60 days after the initial filing of Peoples</w:t>
      </w:r>
      <w:r w:rsidR="000F0169">
        <w:t>’</w:t>
      </w:r>
      <w:r>
        <w:t xml:space="preserve"> request for a rate increase on February 27, 2012 would mean that all petitions to intervene should have been filed by April 30, 2012.  CAAP filed its petition to intervene three days later, on May 3, 2012.</w:t>
      </w:r>
      <w:r w:rsidR="00791A38">
        <w:t xml:space="preserve">  I find that Peoples was not significantly prejudiced by three days.  Further the petition was filed in advance of the prehearing conference scheduled for May 8, 2012, and CAAP did file a prehearing memorandum which outlined the issues that it wished to pursue.</w:t>
      </w:r>
      <w:r w:rsidR="00AD2300">
        <w:t xml:space="preserve">  Therefore, no real interest would be served by a strict application of Section 5.74(b).</w:t>
      </w:r>
      <w:r w:rsidR="00AD2300">
        <w:rPr>
          <w:rStyle w:val="FootnoteReference"/>
        </w:rPr>
        <w:footnoteReference w:id="14"/>
      </w:r>
    </w:p>
    <w:p w:rsidR="0059141D" w:rsidRDefault="0059141D" w:rsidP="00AE10D1">
      <w:pPr>
        <w:spacing w:after="0"/>
        <w:ind w:firstLine="1440"/>
      </w:pPr>
    </w:p>
    <w:p w:rsidR="00C37A2F" w:rsidRDefault="00C37A2F" w:rsidP="00AE10D1">
      <w:pPr>
        <w:spacing w:after="0"/>
        <w:ind w:firstLine="1440"/>
      </w:pPr>
      <w:r>
        <w:t>In sum, the petition to intervene of CAAP will be granted.</w:t>
      </w:r>
    </w:p>
    <w:p w:rsidR="0059141D" w:rsidRDefault="0059141D" w:rsidP="00AE10D1">
      <w:pPr>
        <w:spacing w:after="0"/>
        <w:ind w:firstLine="1440"/>
      </w:pPr>
    </w:p>
    <w:p w:rsidR="001210C7" w:rsidRDefault="001210C7">
      <w:pPr>
        <w:spacing w:line="276" w:lineRule="auto"/>
      </w:pPr>
      <w:r>
        <w:br w:type="page"/>
      </w:r>
    </w:p>
    <w:p w:rsidR="00C37A2F" w:rsidRDefault="00C37A2F" w:rsidP="00AE10D1">
      <w:pPr>
        <w:spacing w:after="0"/>
        <w:ind w:firstLine="1440"/>
      </w:pPr>
      <w:r>
        <w:lastRenderedPageBreak/>
        <w:t>THEREFORE,</w:t>
      </w:r>
    </w:p>
    <w:p w:rsidR="0059141D" w:rsidRDefault="0059141D" w:rsidP="00AE10D1">
      <w:pPr>
        <w:spacing w:after="0"/>
        <w:ind w:firstLine="1440"/>
      </w:pPr>
    </w:p>
    <w:p w:rsidR="00C37A2F" w:rsidRDefault="00C37A2F" w:rsidP="00AE10D1">
      <w:pPr>
        <w:spacing w:after="0"/>
        <w:ind w:firstLine="1440"/>
      </w:pPr>
      <w:r>
        <w:t>IT IS ORDERED:</w:t>
      </w:r>
    </w:p>
    <w:p w:rsidR="0059141D" w:rsidRDefault="0059141D" w:rsidP="00AE10D1">
      <w:pPr>
        <w:spacing w:after="0"/>
        <w:ind w:firstLine="1440"/>
      </w:pPr>
    </w:p>
    <w:p w:rsidR="00C37A2F" w:rsidRDefault="00F24608" w:rsidP="00AE10D1">
      <w:pPr>
        <w:pStyle w:val="ListParagraph"/>
        <w:numPr>
          <w:ilvl w:val="0"/>
          <w:numId w:val="3"/>
        </w:numPr>
        <w:spacing w:after="0"/>
        <w:ind w:left="0" w:firstLine="1440"/>
      </w:pPr>
      <w:r>
        <w:t>Th</w:t>
      </w:r>
      <w:r w:rsidR="000F0169">
        <w:t>at the</w:t>
      </w:r>
      <w:r>
        <w:t xml:space="preserve"> petition to intervene of the Community Action Association of Pennsylvania in</w:t>
      </w:r>
      <w:r w:rsidR="003C43E1">
        <w:t xml:space="preserve"> the above-captioned matter is granted</w:t>
      </w:r>
      <w:r>
        <w:t>.</w:t>
      </w:r>
    </w:p>
    <w:p w:rsidR="0059141D" w:rsidRDefault="0059141D" w:rsidP="00AE10D1">
      <w:pPr>
        <w:spacing w:after="0"/>
        <w:ind w:left="1440"/>
      </w:pPr>
    </w:p>
    <w:p w:rsidR="00F24608" w:rsidRDefault="00F24608" w:rsidP="00AE10D1">
      <w:pPr>
        <w:spacing w:after="0"/>
        <w:ind w:firstLine="1440"/>
      </w:pPr>
      <w:r>
        <w:t>2.</w:t>
      </w:r>
      <w:r>
        <w:tab/>
        <w:t>That if not already done, the Community Action Association of Pennsylvania shall file its list of member agencies in the service territory of Peoples Natural Gas</w:t>
      </w:r>
      <w:r w:rsidR="000F0169">
        <w:t xml:space="preserve"> Company</w:t>
      </w:r>
      <w:r>
        <w:t xml:space="preserve"> LLP dated May 8, 2012 with the Commission</w:t>
      </w:r>
      <w:r w:rsidR="000F0169">
        <w:t>’s</w:t>
      </w:r>
      <w:r>
        <w:t xml:space="preserve"> Secretary’s Bureau within five days of issuance of this order.</w:t>
      </w:r>
    </w:p>
    <w:p w:rsidR="0059141D" w:rsidRDefault="0059141D" w:rsidP="0059141D">
      <w:pPr>
        <w:spacing w:after="0"/>
        <w:ind w:firstLine="1440"/>
      </w:pPr>
    </w:p>
    <w:p w:rsidR="0059141D" w:rsidRDefault="0059141D" w:rsidP="0059141D">
      <w:pPr>
        <w:spacing w:after="0"/>
        <w:ind w:firstLine="1440"/>
      </w:pPr>
    </w:p>
    <w:p w:rsidR="0059141D" w:rsidRDefault="0059141D" w:rsidP="0059141D">
      <w:pPr>
        <w:pStyle w:val="ParaTab1"/>
        <w:ind w:firstLine="0"/>
        <w:rPr>
          <w:rFonts w:ascii="Times New Roman" w:hAnsi="Times New Roman" w:cs="Times New Roman"/>
          <w:spacing w:val="-3"/>
        </w:rPr>
      </w:pPr>
      <w:r w:rsidRPr="00795433">
        <w:rPr>
          <w:rFonts w:ascii="Times New Roman" w:hAnsi="Times New Roman" w:cs="Times New Roman"/>
          <w:spacing w:val="-3"/>
        </w:rPr>
        <w:t>Date:</w:t>
      </w:r>
      <w:r>
        <w:rPr>
          <w:rFonts w:ascii="Times New Roman" w:hAnsi="Times New Roman" w:cs="Times New Roman"/>
          <w:spacing w:val="-3"/>
        </w:rPr>
        <w:tab/>
      </w:r>
      <w:r>
        <w:rPr>
          <w:rFonts w:ascii="Times New Roman" w:hAnsi="Times New Roman" w:cs="Times New Roman"/>
          <w:spacing w:val="-3"/>
          <w:u w:val="single"/>
        </w:rPr>
        <w:t>May 10, 2012</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_______________________________</w:t>
      </w:r>
    </w:p>
    <w:p w:rsidR="0059141D" w:rsidRDefault="0059141D" w:rsidP="0059141D">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Mary D. Long</w:t>
      </w:r>
    </w:p>
    <w:p w:rsidR="0059141D" w:rsidRDefault="0059141D" w:rsidP="0059141D">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962306" w:rsidRDefault="00962306" w:rsidP="0059141D">
      <w:pPr>
        <w:pStyle w:val="ParaTab1"/>
        <w:ind w:firstLine="0"/>
        <w:rPr>
          <w:rFonts w:ascii="Times New Roman" w:hAnsi="Times New Roman" w:cs="Times New Roman"/>
          <w:spacing w:val="-3"/>
        </w:rPr>
      </w:pPr>
    </w:p>
    <w:p w:rsidR="00962306" w:rsidRDefault="00962306" w:rsidP="0059141D">
      <w:pPr>
        <w:pStyle w:val="ParaTab1"/>
        <w:ind w:firstLine="0"/>
        <w:sectPr w:rsidR="00962306" w:rsidSect="00EA382D">
          <w:footerReference w:type="default" r:id="rId9"/>
          <w:pgSz w:w="12240" w:h="15840"/>
          <w:pgMar w:top="1440" w:right="1440" w:bottom="1440" w:left="1440" w:header="720" w:footer="720" w:gutter="0"/>
          <w:cols w:space="720"/>
          <w:titlePg/>
          <w:docGrid w:linePitch="360"/>
        </w:sectPr>
      </w:pPr>
    </w:p>
    <w:p w:rsidR="00F03D8C" w:rsidRPr="00F03D8C" w:rsidRDefault="00F03D8C" w:rsidP="00F03D8C">
      <w:pPr>
        <w:spacing w:after="0" w:line="240" w:lineRule="auto"/>
        <w:contextualSpacing/>
        <w:rPr>
          <w:rFonts w:ascii="Microsoft Sans Serif" w:eastAsiaTheme="minorEastAsia" w:hAnsiTheme="minorHAnsi"/>
          <w:b/>
          <w:szCs w:val="24"/>
          <w:u w:val="single"/>
        </w:rPr>
      </w:pPr>
      <w:r w:rsidRPr="00F03D8C">
        <w:rPr>
          <w:rFonts w:ascii="Microsoft Sans Serif" w:eastAsiaTheme="minorEastAsia" w:hAnsiTheme="minorHAnsi"/>
          <w:b/>
          <w:szCs w:val="24"/>
          <w:u w:val="single"/>
        </w:rPr>
        <w:lastRenderedPageBreak/>
        <w:t xml:space="preserve">R-2012-2285985, ET AL. </w:t>
      </w:r>
      <w:r w:rsidRPr="00F03D8C">
        <w:rPr>
          <w:rFonts w:ascii="Microsoft Sans Serif" w:eastAsiaTheme="minorEastAsia" w:hAnsiTheme="minorHAnsi"/>
          <w:b/>
          <w:szCs w:val="24"/>
          <w:u w:val="single"/>
        </w:rPr>
        <w:t>–</w:t>
      </w:r>
      <w:r w:rsidRPr="00F03D8C">
        <w:rPr>
          <w:rFonts w:ascii="Microsoft Sans Serif" w:eastAsiaTheme="minorEastAsia" w:hAnsiTheme="minorHAnsi"/>
          <w:b/>
          <w:szCs w:val="24"/>
          <w:u w:val="single"/>
        </w:rPr>
        <w:t xml:space="preserve"> PENNSYLVANIA PUBLIC UTILITY COMMISSION, ET AL. v.  PEOPLES NATURAL GAS COMPANY LLC</w:t>
      </w:r>
    </w:p>
    <w:p w:rsidR="00F03D8C" w:rsidRPr="00F03D8C" w:rsidRDefault="00F03D8C" w:rsidP="00F03D8C">
      <w:pPr>
        <w:spacing w:after="0" w:line="240" w:lineRule="auto"/>
        <w:contextualSpacing/>
        <w:rPr>
          <w:rFonts w:ascii="Microsoft Sans Serif" w:eastAsiaTheme="minorEastAsia" w:hAnsiTheme="minorHAnsi"/>
          <w:i/>
          <w:szCs w:val="24"/>
        </w:rPr>
      </w:pPr>
    </w:p>
    <w:p w:rsidR="00F03D8C" w:rsidRDefault="00F03D8C" w:rsidP="00F03D8C">
      <w:pPr>
        <w:spacing w:after="0" w:line="240" w:lineRule="auto"/>
        <w:contextualSpacing/>
        <w:rPr>
          <w:rFonts w:ascii="Microsoft Sans Serif" w:eastAsiaTheme="minorEastAsia" w:hAnsiTheme="minorHAnsi"/>
          <w:i/>
          <w:szCs w:val="24"/>
        </w:rPr>
      </w:pPr>
      <w:r w:rsidRPr="00F03D8C">
        <w:rPr>
          <w:rFonts w:ascii="Microsoft Sans Serif" w:eastAsiaTheme="minorEastAsia" w:hAnsiTheme="minorHAnsi"/>
          <w:i/>
          <w:szCs w:val="24"/>
        </w:rPr>
        <w:t>Updated 5/9/12</w:t>
      </w:r>
    </w:p>
    <w:p w:rsidR="00F03D8C" w:rsidRDefault="00F03D8C" w:rsidP="00F03D8C">
      <w:pPr>
        <w:spacing w:after="0" w:line="240" w:lineRule="auto"/>
        <w:contextualSpacing/>
        <w:rPr>
          <w:rFonts w:ascii="Microsoft Sans Serif" w:eastAsiaTheme="minorEastAsia" w:hAnsiTheme="minorHAnsi"/>
          <w:i/>
          <w:szCs w:val="24"/>
        </w:rPr>
      </w:pPr>
    </w:p>
    <w:p w:rsidR="00F03D8C" w:rsidRDefault="00F03D8C" w:rsidP="00F03D8C">
      <w:pPr>
        <w:spacing w:after="0" w:line="240" w:lineRule="auto"/>
        <w:contextualSpacing/>
        <w:rPr>
          <w:rFonts w:ascii="Microsoft Sans Serif" w:eastAsiaTheme="minorEastAsia" w:hAnsiTheme="minorHAnsi"/>
          <w:szCs w:val="24"/>
        </w:rPr>
        <w:sectPr w:rsidR="00F03D8C" w:rsidSect="000519E1">
          <w:footerReference w:type="default" r:id="rId10"/>
          <w:footerReference w:type="first" r:id="rId11"/>
          <w:pgSz w:w="12240" w:h="15840"/>
          <w:pgMar w:top="1440" w:right="864" w:bottom="1440" w:left="864" w:header="720" w:footer="720" w:gutter="0"/>
          <w:pgNumType w:fmt="lowerRoman" w:start="1"/>
          <w:cols w:space="720"/>
          <w:titlePg/>
          <w:docGrid w:linePitch="360"/>
        </w:sectPr>
      </w:pP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lastRenderedPageBreak/>
        <w:t>WILLIAM H ROBERTS II ESQUIRE</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PEOPLES NATURAL GAS COMPANY LLC</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375 NORTH SHORE DRIVE</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SUITE 600</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PITTSBURGH PA  15212</w:t>
      </w:r>
    </w:p>
    <w:p w:rsidR="00F03D8C" w:rsidRPr="00F03D8C" w:rsidRDefault="00F03D8C" w:rsidP="00F03D8C">
      <w:pPr>
        <w:spacing w:after="0" w:line="240" w:lineRule="auto"/>
        <w:contextualSpacing/>
        <w:rPr>
          <w:rFonts w:ascii="Microsoft Sans Serif" w:eastAsiaTheme="minorEastAsia" w:hAnsiTheme="minorHAnsi"/>
          <w:szCs w:val="24"/>
        </w:rPr>
      </w:pP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DAVID P ZAMBITO ESQUIRE</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 xml:space="preserve">ANDREW S TUBBS ESQUIRE </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MICHAEL W GANG ESQUIRE</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JOHN H ISOM ESQUIRE</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POST &amp; SCHELL PC</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17 NORTH SECOND STREET 12TH FLOOR</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HARRISBURG PA  17101-1601</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717-612-6052</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i/>
          <w:szCs w:val="24"/>
        </w:rPr>
        <w:t>Counsel for Peoples Natural Gas Company</w:t>
      </w:r>
    </w:p>
    <w:p w:rsidR="00F03D8C" w:rsidRPr="00F03D8C" w:rsidRDefault="00F03D8C" w:rsidP="00F03D8C">
      <w:pPr>
        <w:spacing w:after="0" w:line="240" w:lineRule="auto"/>
        <w:contextualSpacing/>
        <w:rPr>
          <w:rFonts w:ascii="Microsoft Sans Serif" w:eastAsiaTheme="minorEastAsia" w:hAnsiTheme="minorHAnsi"/>
          <w:szCs w:val="24"/>
        </w:rPr>
      </w:pP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ALLISON C KASTER ESQUIRE</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PA PUC BIE LEGAL TECHNICAL</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PO BOX 3265</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HARRISBURG PA  17105-3265</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717-783-7998</w:t>
      </w:r>
    </w:p>
    <w:p w:rsidR="00F03D8C" w:rsidRPr="00F03D8C" w:rsidRDefault="00F03D8C" w:rsidP="00F03D8C">
      <w:pPr>
        <w:spacing w:after="0" w:line="240" w:lineRule="auto"/>
        <w:contextualSpacing/>
        <w:rPr>
          <w:rFonts w:ascii="Microsoft Sans Serif" w:eastAsiaTheme="minorEastAsia" w:hAnsiTheme="minorHAnsi"/>
          <w:szCs w:val="24"/>
        </w:rPr>
      </w:pP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JAMES A MULLINS ESQUIRE</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CHRISTY M APPLEBY ESQUIRE</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SHAUN SPARKS ESQUIRE</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Microsoft Sans Serif"/>
          <w:caps/>
          <w:szCs w:val="24"/>
        </w:rPr>
        <w:t>Tanya McClosky</w:t>
      </w:r>
      <w:r w:rsidRPr="00F03D8C">
        <w:rPr>
          <w:rFonts w:ascii="Microsoft Sans Serif" w:eastAsiaTheme="minorEastAsia" w:hAnsiTheme="minorHAnsi"/>
          <w:szCs w:val="24"/>
        </w:rPr>
        <w:t xml:space="preserve"> ESQUIRE</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OFFICE OF CONSUMER ADVOCATE</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555 WALNUT STREET</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5TH FLOOR FORUM PLACE</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HARRISBURG PA  17101-1923</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717-783-5048</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b/>
          <w:szCs w:val="24"/>
        </w:rPr>
        <w:t>C-2012-2292047</w:t>
      </w:r>
    </w:p>
    <w:p w:rsidR="00F03D8C" w:rsidRPr="00F03D8C" w:rsidRDefault="00F03D8C" w:rsidP="00F03D8C">
      <w:pPr>
        <w:spacing w:after="0" w:line="240" w:lineRule="auto"/>
        <w:contextualSpacing/>
        <w:rPr>
          <w:rFonts w:ascii="Microsoft Sans Serif" w:eastAsiaTheme="minorEastAsia" w:hAnsiTheme="minorHAnsi"/>
          <w:szCs w:val="24"/>
        </w:rPr>
      </w:pP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ELIZABETH ROSE TRISCARI ESQUIRE</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OFFICE OF SMALL BUSINESS ADVOCATE</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300 NORTH SECOND STREET</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SUITE 1102</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HARRISBURG PA  17101</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717-783-2525</w:t>
      </w:r>
    </w:p>
    <w:p w:rsidR="00F03D8C" w:rsidRPr="00F03D8C" w:rsidRDefault="00F03D8C" w:rsidP="00F03D8C">
      <w:pPr>
        <w:spacing w:after="0" w:line="240" w:lineRule="auto"/>
        <w:contextualSpacing/>
        <w:rPr>
          <w:rFonts w:ascii="Microsoft Sans Serif" w:eastAsiaTheme="minorEastAsia" w:hAnsiTheme="minorHAnsi"/>
          <w:b/>
          <w:szCs w:val="24"/>
        </w:rPr>
      </w:pPr>
      <w:r w:rsidRPr="00F03D8C">
        <w:rPr>
          <w:rFonts w:ascii="Microsoft Sans Serif" w:eastAsiaTheme="minorEastAsia" w:hAnsiTheme="minorHAnsi"/>
          <w:b/>
          <w:szCs w:val="24"/>
        </w:rPr>
        <w:t>C-2012-2295218</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 xml:space="preserve"> </w:t>
      </w:r>
    </w:p>
    <w:p w:rsidR="00F03D8C" w:rsidRPr="00F03D8C" w:rsidRDefault="00F03D8C" w:rsidP="00F03D8C">
      <w:pPr>
        <w:spacing w:after="0" w:line="240" w:lineRule="auto"/>
        <w:contextualSpacing/>
        <w:rPr>
          <w:rFonts w:ascii="Microsoft Sans Serif" w:eastAsiaTheme="minorEastAsia" w:hAnsiTheme="minorHAnsi"/>
          <w:szCs w:val="24"/>
        </w:rPr>
      </w:pPr>
      <w:r>
        <w:rPr>
          <w:rFonts w:ascii="Microsoft Sans Serif" w:eastAsiaTheme="minorEastAsia" w:hAnsiTheme="minorHAnsi"/>
          <w:szCs w:val="24"/>
        </w:rPr>
        <w:br w:type="column"/>
      </w:r>
      <w:r w:rsidRPr="00F03D8C">
        <w:rPr>
          <w:rFonts w:ascii="Microsoft Sans Serif" w:eastAsiaTheme="minorEastAsia" w:hAnsiTheme="minorHAnsi"/>
          <w:szCs w:val="24"/>
        </w:rPr>
        <w:lastRenderedPageBreak/>
        <w:t>ROBERT E COOPER</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PENN STATE UNIVERSITY</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ROOM 208 PHYSICAL PLANT BUILDING</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UNIVERSITY PARK PA  16802</w:t>
      </w:r>
    </w:p>
    <w:p w:rsidR="00F03D8C" w:rsidRPr="00F03D8C" w:rsidRDefault="00F03D8C" w:rsidP="00F03D8C">
      <w:pPr>
        <w:spacing w:after="0" w:line="240" w:lineRule="auto"/>
        <w:contextualSpacing/>
        <w:rPr>
          <w:rFonts w:ascii="Microsoft Sans Serif" w:eastAsiaTheme="minorEastAsia" w:hAnsiTheme="minorHAnsi"/>
          <w:b/>
          <w:szCs w:val="24"/>
        </w:rPr>
      </w:pPr>
      <w:r w:rsidRPr="00F03D8C">
        <w:rPr>
          <w:rFonts w:ascii="Microsoft Sans Serif" w:eastAsiaTheme="minorEastAsia" w:hAnsiTheme="minorHAnsi"/>
          <w:b/>
          <w:szCs w:val="24"/>
        </w:rPr>
        <w:t>C-2012-2298317</w:t>
      </w:r>
    </w:p>
    <w:p w:rsidR="00F03D8C" w:rsidRPr="00F03D8C" w:rsidRDefault="00F03D8C" w:rsidP="00F03D8C">
      <w:pPr>
        <w:spacing w:after="0" w:line="240" w:lineRule="auto"/>
        <w:contextualSpacing/>
        <w:rPr>
          <w:rFonts w:ascii="Microsoft Sans Serif" w:eastAsiaTheme="minorEastAsia" w:hAnsiTheme="minorHAnsi"/>
          <w:szCs w:val="24"/>
        </w:rPr>
      </w:pP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TODD S STEWART ESQUIRE</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HAWKE MCKEON &amp; SNISCAK LLP</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100 NORTH TENTH STREET</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PO BOX 1778</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HARRISBURG PA  17105-1778</w:t>
      </w:r>
      <w:r w:rsidRPr="00F03D8C">
        <w:rPr>
          <w:rFonts w:ascii="Microsoft Sans Serif" w:eastAsiaTheme="minorEastAsia" w:hAnsiTheme="minorHAnsi"/>
          <w:szCs w:val="24"/>
        </w:rPr>
        <w:br/>
        <w:t>717-236-1300</w:t>
      </w:r>
    </w:p>
    <w:p w:rsidR="00F03D8C" w:rsidRPr="00F03D8C" w:rsidRDefault="00F03D8C" w:rsidP="00F03D8C">
      <w:pPr>
        <w:spacing w:after="0" w:line="240" w:lineRule="auto"/>
        <w:contextualSpacing/>
        <w:rPr>
          <w:rFonts w:ascii="Microsoft Sans Serif" w:eastAsiaTheme="minorEastAsia" w:hAnsiTheme="minorHAnsi"/>
          <w:i/>
          <w:szCs w:val="24"/>
        </w:rPr>
      </w:pPr>
      <w:r w:rsidRPr="00F03D8C">
        <w:rPr>
          <w:rFonts w:ascii="Microsoft Sans Serif" w:eastAsiaTheme="minorEastAsia" w:hAnsiTheme="minorHAnsi"/>
          <w:i/>
          <w:szCs w:val="24"/>
        </w:rPr>
        <w:t>Representing Interstate Gas Supply, Inc. and Dominion Retail, Inc.</w:t>
      </w:r>
    </w:p>
    <w:p w:rsidR="00F03D8C" w:rsidRPr="00F03D8C" w:rsidRDefault="00F03D8C" w:rsidP="00F03D8C">
      <w:pPr>
        <w:spacing w:after="0" w:line="240" w:lineRule="auto"/>
        <w:contextualSpacing/>
        <w:rPr>
          <w:rFonts w:ascii="Microsoft Sans Serif" w:eastAsiaTheme="minorEastAsia" w:hAnsiTheme="minorHAnsi"/>
          <w:i/>
          <w:szCs w:val="24"/>
        </w:rPr>
      </w:pP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THOMAS J SNISCAK ESQUIRE</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WILLIAM E LEHMAN ESQUIRE</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HAWKE MCKEON &amp; SNISCAK LLP</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100 NORTH TENTH STREET</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PO BOX 1778</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HARRISBURG PA  17105-1778</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717-236-1300</w:t>
      </w:r>
    </w:p>
    <w:p w:rsidR="00F03D8C" w:rsidRPr="00F03D8C" w:rsidRDefault="00F03D8C" w:rsidP="00F03D8C">
      <w:pPr>
        <w:spacing w:after="0" w:line="240" w:lineRule="auto"/>
        <w:contextualSpacing/>
        <w:rPr>
          <w:rFonts w:ascii="Microsoft Sans Serif" w:eastAsiaTheme="minorEastAsia" w:hAnsiTheme="minorHAnsi"/>
          <w:i/>
          <w:szCs w:val="24"/>
        </w:rPr>
      </w:pPr>
      <w:r w:rsidRPr="00F03D8C">
        <w:rPr>
          <w:rFonts w:ascii="Microsoft Sans Serif" w:eastAsiaTheme="minorEastAsia" w:hAnsiTheme="minorHAnsi"/>
          <w:i/>
          <w:szCs w:val="24"/>
        </w:rPr>
        <w:t>Representing Penn State University</w:t>
      </w:r>
    </w:p>
    <w:p w:rsidR="00F03D8C" w:rsidRPr="00F03D8C" w:rsidRDefault="00F03D8C" w:rsidP="00F03D8C">
      <w:pPr>
        <w:spacing w:after="0" w:line="240" w:lineRule="auto"/>
        <w:contextualSpacing/>
        <w:rPr>
          <w:rFonts w:ascii="Microsoft Sans Serif" w:eastAsiaTheme="minorEastAsia" w:hAnsiTheme="minorHAnsi"/>
          <w:i/>
          <w:szCs w:val="24"/>
        </w:rPr>
      </w:pP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Microsoft Sans Serif" w:cs="Microsoft Sans Serif"/>
          <w:caps/>
          <w:szCs w:val="24"/>
        </w:rPr>
        <w:t>Craig r BurgrafF</w:t>
      </w:r>
      <w:r w:rsidRPr="00F03D8C">
        <w:rPr>
          <w:rFonts w:ascii="Microsoft Sans Serif" w:eastAsiaTheme="minorEastAsia" w:hAnsiTheme="minorHAnsi"/>
          <w:szCs w:val="24"/>
        </w:rPr>
        <w:t xml:space="preserve"> ESQUIRE</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HAWKE MCKEON &amp; SNISCAK LLP</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100 NORTH TENTH STREET</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PO BOX 1778</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HARRISBURG PA  17105-1778</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717-236-1300</w:t>
      </w:r>
    </w:p>
    <w:p w:rsidR="00F03D8C" w:rsidRPr="00F03D8C" w:rsidRDefault="00F03D8C" w:rsidP="00F03D8C">
      <w:pPr>
        <w:spacing w:after="0" w:line="240" w:lineRule="auto"/>
        <w:contextualSpacing/>
        <w:rPr>
          <w:rFonts w:ascii="Microsoft Sans Serif" w:eastAsiaTheme="minorEastAsia" w:hAnsiTheme="minorHAnsi"/>
          <w:i/>
          <w:szCs w:val="24"/>
        </w:rPr>
      </w:pPr>
      <w:r w:rsidRPr="00F03D8C">
        <w:rPr>
          <w:rFonts w:ascii="Microsoft Sans Serif" w:eastAsiaTheme="minorEastAsia" w:hAnsiTheme="minorHAnsi"/>
          <w:i/>
          <w:szCs w:val="24"/>
        </w:rPr>
        <w:t>Representing RESA</w:t>
      </w:r>
    </w:p>
    <w:p w:rsidR="00F03D8C" w:rsidRPr="00F03D8C" w:rsidRDefault="00F03D8C" w:rsidP="00F03D8C">
      <w:pPr>
        <w:spacing w:after="0" w:line="240" w:lineRule="auto"/>
        <w:contextualSpacing/>
        <w:rPr>
          <w:rFonts w:ascii="Microsoft Sans Serif" w:eastAsiaTheme="minorEastAsia" w:hAnsiTheme="minorHAnsi"/>
          <w:szCs w:val="24"/>
        </w:rPr>
      </w:pP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DANIEL P DELANEY ESQUIRE</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K&amp;L GATES LLP</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17 NORTH SECOND STREET</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18TH FLOOR</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HARRISBURG PA  17101-1507</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717-231-4500</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i/>
          <w:szCs w:val="24"/>
        </w:rPr>
        <w:t>Representing Equitable Energy</w:t>
      </w:r>
    </w:p>
    <w:p w:rsidR="00F03D8C" w:rsidRPr="00F03D8C" w:rsidRDefault="00F03D8C" w:rsidP="00F03D8C">
      <w:pPr>
        <w:spacing w:after="0" w:line="240" w:lineRule="auto"/>
        <w:contextualSpacing/>
        <w:rPr>
          <w:rFonts w:ascii="Microsoft Sans Serif" w:eastAsiaTheme="minorEastAsia" w:hAnsiTheme="minorHAnsi"/>
          <w:szCs w:val="24"/>
        </w:rPr>
      </w:pPr>
    </w:p>
    <w:p w:rsidR="00F03D8C" w:rsidRPr="00F03D8C" w:rsidRDefault="00F03D8C" w:rsidP="00F03D8C">
      <w:pPr>
        <w:spacing w:line="276" w:lineRule="auto"/>
        <w:rPr>
          <w:rFonts w:ascii="Microsoft Sans Serif" w:eastAsiaTheme="minorEastAsia" w:hAnsiTheme="minorHAnsi"/>
          <w:szCs w:val="24"/>
        </w:rPr>
      </w:pPr>
      <w:r w:rsidRPr="00F03D8C">
        <w:rPr>
          <w:rFonts w:ascii="Microsoft Sans Serif" w:eastAsiaTheme="minorEastAsia" w:hAnsiTheme="minorHAnsi"/>
          <w:szCs w:val="24"/>
        </w:rPr>
        <w:br w:type="page"/>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lastRenderedPageBreak/>
        <w:t>KEVIN J MOODY ESQUIRE</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PENNSYLVANIA INDEPENDENT OIL &amp; GAS ASSOCIATION</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212 LOCUST STREET SUITE 600</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HARRISBURG PA  17101</w:t>
      </w:r>
    </w:p>
    <w:p w:rsidR="00F03D8C" w:rsidRPr="00F03D8C" w:rsidRDefault="00F03D8C" w:rsidP="00F03D8C">
      <w:pPr>
        <w:spacing w:after="0" w:line="240" w:lineRule="auto"/>
        <w:contextualSpacing/>
        <w:rPr>
          <w:rFonts w:ascii="Microsoft Sans Serif" w:eastAsiaTheme="minorEastAsia" w:hAnsiTheme="minorHAnsi"/>
          <w:szCs w:val="24"/>
        </w:rPr>
      </w:pPr>
      <w:r w:rsidRPr="00F03D8C">
        <w:rPr>
          <w:rFonts w:ascii="Microsoft Sans Serif" w:eastAsiaTheme="minorEastAsia" w:hAnsiTheme="minorHAnsi"/>
          <w:szCs w:val="24"/>
        </w:rPr>
        <w:t>717-234-8525</w:t>
      </w:r>
    </w:p>
    <w:p w:rsidR="00F03D8C" w:rsidRPr="00F03D8C" w:rsidRDefault="00F03D8C" w:rsidP="00F03D8C">
      <w:pPr>
        <w:spacing w:after="0" w:line="240" w:lineRule="auto"/>
        <w:contextualSpacing/>
        <w:rPr>
          <w:rFonts w:ascii="Microsoft Sans Serif" w:eastAsiaTheme="minorEastAsia" w:hAnsiTheme="minorHAnsi"/>
          <w:i/>
          <w:szCs w:val="24"/>
        </w:rPr>
      </w:pPr>
      <w:r w:rsidRPr="00F03D8C">
        <w:rPr>
          <w:rFonts w:ascii="Microsoft Sans Serif" w:eastAsiaTheme="minorEastAsia" w:hAnsiTheme="minorHAnsi"/>
          <w:i/>
          <w:szCs w:val="24"/>
        </w:rPr>
        <w:t>Representing PA Independent Oil &amp; Gas Association</w:t>
      </w:r>
    </w:p>
    <w:p w:rsidR="00F03D8C" w:rsidRPr="00F03D8C" w:rsidRDefault="00F03D8C" w:rsidP="00F03D8C">
      <w:pPr>
        <w:spacing w:after="0" w:line="240" w:lineRule="auto"/>
        <w:rPr>
          <w:rFonts w:ascii="Microsoft Sans Serif" w:eastAsiaTheme="minorEastAsia" w:hAnsiTheme="minorHAnsi"/>
          <w:szCs w:val="24"/>
        </w:rPr>
      </w:pP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DANIEL KILLMEYER</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184 MCKAY ROAD</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SAXONBURG PA  16056</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724-352-5029</w:t>
      </w:r>
    </w:p>
    <w:p w:rsidR="00F03D8C" w:rsidRPr="00F03D8C" w:rsidRDefault="00F03D8C" w:rsidP="00F03D8C">
      <w:pPr>
        <w:spacing w:after="0" w:line="240" w:lineRule="auto"/>
        <w:rPr>
          <w:rFonts w:ascii="Microsoft Sans Serif" w:eastAsiaTheme="minorEastAsia" w:hAnsiTheme="minorHAnsi"/>
          <w:b/>
          <w:szCs w:val="24"/>
        </w:rPr>
      </w:pPr>
      <w:r w:rsidRPr="00F03D8C">
        <w:rPr>
          <w:rFonts w:ascii="Microsoft Sans Serif" w:eastAsiaTheme="minorEastAsia" w:hAnsiTheme="minorHAnsi"/>
          <w:b/>
          <w:szCs w:val="24"/>
        </w:rPr>
        <w:t>C-2012-2295700</w:t>
      </w:r>
    </w:p>
    <w:p w:rsidR="00F03D8C" w:rsidRPr="00F03D8C" w:rsidRDefault="00F03D8C" w:rsidP="00F03D8C">
      <w:pPr>
        <w:spacing w:after="0" w:line="240" w:lineRule="auto"/>
        <w:rPr>
          <w:rFonts w:ascii="Microsoft Sans Serif" w:eastAsiaTheme="minorEastAsia" w:hAnsiTheme="minorHAnsi"/>
          <w:szCs w:val="24"/>
        </w:rPr>
      </w:pP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RAYMOND ANDERSON</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2423 RIHN STRASSE</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GIBSONIA PA  15044</w:t>
      </w:r>
    </w:p>
    <w:p w:rsidR="00F03D8C" w:rsidRPr="00F03D8C" w:rsidRDefault="00F03D8C" w:rsidP="00F03D8C">
      <w:pPr>
        <w:spacing w:after="0" w:line="240" w:lineRule="auto"/>
        <w:rPr>
          <w:rFonts w:ascii="Microsoft Sans Serif" w:eastAsiaTheme="minorEastAsia" w:hAnsiTheme="minorHAnsi"/>
          <w:b/>
          <w:szCs w:val="24"/>
        </w:rPr>
      </w:pPr>
      <w:r w:rsidRPr="00F03D8C">
        <w:rPr>
          <w:rFonts w:ascii="Microsoft Sans Serif" w:eastAsiaTheme="minorEastAsia" w:hAnsiTheme="minorHAnsi"/>
          <w:b/>
          <w:szCs w:val="24"/>
        </w:rPr>
        <w:t>C-2012-2298575</w:t>
      </w:r>
    </w:p>
    <w:p w:rsidR="00F03D8C" w:rsidRPr="00F03D8C" w:rsidRDefault="00F03D8C" w:rsidP="00F03D8C">
      <w:pPr>
        <w:spacing w:after="0" w:line="240" w:lineRule="auto"/>
        <w:rPr>
          <w:rFonts w:ascii="Microsoft Sans Serif" w:eastAsiaTheme="minorEastAsia" w:hAnsiTheme="minorHAnsi"/>
          <w:szCs w:val="24"/>
        </w:rPr>
      </w:pP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STEVEN SWENCKI</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8 GLENCOVE ROAD</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GREENSBURG PA  15601-8715</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724-836-3257</w:t>
      </w:r>
    </w:p>
    <w:p w:rsidR="00F03D8C" w:rsidRPr="00F03D8C" w:rsidRDefault="00F03D8C" w:rsidP="00F03D8C">
      <w:pPr>
        <w:spacing w:after="0" w:line="240" w:lineRule="auto"/>
        <w:rPr>
          <w:rFonts w:ascii="Microsoft Sans Serif" w:eastAsiaTheme="minorEastAsia" w:hAnsiTheme="minorHAnsi"/>
          <w:b/>
          <w:szCs w:val="24"/>
        </w:rPr>
      </w:pPr>
      <w:r w:rsidRPr="00F03D8C">
        <w:rPr>
          <w:rFonts w:ascii="Microsoft Sans Serif" w:eastAsiaTheme="minorEastAsia" w:hAnsiTheme="minorHAnsi"/>
          <w:b/>
          <w:szCs w:val="24"/>
        </w:rPr>
        <w:t>C-2012-2299156</w:t>
      </w:r>
    </w:p>
    <w:p w:rsidR="00F03D8C" w:rsidRPr="00F03D8C" w:rsidRDefault="00F03D8C" w:rsidP="00F03D8C">
      <w:pPr>
        <w:spacing w:after="0" w:line="240" w:lineRule="auto"/>
        <w:rPr>
          <w:rFonts w:ascii="Microsoft Sans Serif" w:eastAsiaTheme="minorEastAsia" w:hAnsiTheme="minorHAnsi"/>
          <w:szCs w:val="24"/>
        </w:rPr>
      </w:pP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JAMES WEBER</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424 SEMINOLE STREET</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EAST MCKEESPORT PA  15035</w:t>
      </w:r>
    </w:p>
    <w:p w:rsidR="00F03D8C" w:rsidRPr="00F03D8C" w:rsidRDefault="00F03D8C" w:rsidP="00F03D8C">
      <w:pPr>
        <w:spacing w:after="0" w:line="240" w:lineRule="auto"/>
        <w:rPr>
          <w:rFonts w:ascii="Microsoft Sans Serif" w:eastAsiaTheme="minorEastAsia" w:hAnsiTheme="minorHAnsi"/>
          <w:b/>
          <w:szCs w:val="24"/>
        </w:rPr>
      </w:pPr>
      <w:r w:rsidRPr="00F03D8C">
        <w:rPr>
          <w:rFonts w:ascii="Microsoft Sans Serif" w:eastAsiaTheme="minorEastAsia" w:hAnsiTheme="minorHAnsi"/>
          <w:b/>
          <w:szCs w:val="24"/>
        </w:rPr>
        <w:t>C-2012-2300419</w:t>
      </w:r>
    </w:p>
    <w:p w:rsidR="00F03D8C" w:rsidRPr="00F03D8C" w:rsidRDefault="00F03D8C" w:rsidP="00F03D8C">
      <w:pPr>
        <w:spacing w:after="0" w:line="240" w:lineRule="auto"/>
        <w:rPr>
          <w:rFonts w:ascii="Microsoft Sans Serif" w:eastAsiaTheme="minorEastAsia" w:hAnsiTheme="minorHAnsi"/>
          <w:szCs w:val="24"/>
        </w:rPr>
      </w:pP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SEVERO C MIGLIORETTI</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115 SHEARER ROAD</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NEW KENSINGTON PA  15068</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412-302-4489</w:t>
      </w:r>
    </w:p>
    <w:p w:rsidR="00F03D8C" w:rsidRPr="00F03D8C" w:rsidRDefault="00F03D8C" w:rsidP="00F03D8C">
      <w:pPr>
        <w:spacing w:after="0" w:line="240" w:lineRule="auto"/>
        <w:rPr>
          <w:rFonts w:ascii="Microsoft Sans Serif" w:eastAsiaTheme="minorEastAsia" w:hAnsiTheme="minorHAnsi"/>
          <w:b/>
          <w:szCs w:val="24"/>
        </w:rPr>
      </w:pPr>
      <w:r w:rsidRPr="00F03D8C">
        <w:rPr>
          <w:rFonts w:ascii="Microsoft Sans Serif" w:eastAsiaTheme="minorEastAsia" w:hAnsiTheme="minorHAnsi"/>
          <w:b/>
          <w:szCs w:val="24"/>
        </w:rPr>
        <w:t>C-2012-2302827</w:t>
      </w:r>
    </w:p>
    <w:p w:rsidR="00F03D8C" w:rsidRPr="00F03D8C" w:rsidRDefault="00F03D8C" w:rsidP="00F03D8C">
      <w:pPr>
        <w:spacing w:after="0" w:line="240" w:lineRule="auto"/>
        <w:rPr>
          <w:rFonts w:ascii="Microsoft Sans Serif" w:eastAsiaTheme="minorEastAsia" w:hAnsiTheme="minorHAnsi"/>
          <w:szCs w:val="24"/>
        </w:rPr>
      </w:pP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HARRY S GELLER ESQUIRE</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PATRICK M CICERO ESQUIRE</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PENNSYLVANIA UTILITY LAW PROJECT</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118 LOCUST STREET</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HARRISBURG PA  17101-1414</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717-236-9486</w:t>
      </w:r>
    </w:p>
    <w:p w:rsidR="00F03D8C" w:rsidRPr="00F03D8C" w:rsidRDefault="00F03D8C" w:rsidP="00F03D8C">
      <w:pPr>
        <w:spacing w:after="0" w:line="240" w:lineRule="auto"/>
        <w:rPr>
          <w:rFonts w:ascii="Microsoft Sans Serif" w:eastAsiaTheme="minorEastAsia" w:hAnsiTheme="minorHAnsi"/>
          <w:b/>
          <w:szCs w:val="24"/>
        </w:rPr>
      </w:pPr>
      <w:r w:rsidRPr="00F03D8C">
        <w:rPr>
          <w:rFonts w:ascii="Microsoft Sans Serif" w:eastAsiaTheme="minorEastAsia" w:hAnsiTheme="minorHAnsi"/>
          <w:b/>
          <w:szCs w:val="24"/>
        </w:rPr>
        <w:t>C-2012-2302843</w:t>
      </w:r>
    </w:p>
    <w:p w:rsidR="00F03D8C" w:rsidRPr="00F03D8C" w:rsidRDefault="00F03D8C" w:rsidP="00F03D8C">
      <w:pPr>
        <w:spacing w:after="0" w:line="240" w:lineRule="auto"/>
        <w:rPr>
          <w:rFonts w:ascii="Microsoft Sans Serif" w:eastAsiaTheme="minorEastAsia" w:hAnsiTheme="minorHAnsi"/>
          <w:i/>
          <w:szCs w:val="24"/>
        </w:rPr>
      </w:pPr>
      <w:r w:rsidRPr="00F03D8C">
        <w:rPr>
          <w:rFonts w:ascii="Microsoft Sans Serif" w:eastAsiaTheme="minorEastAsia" w:hAnsiTheme="minorHAnsi"/>
          <w:i/>
          <w:szCs w:val="24"/>
        </w:rPr>
        <w:t>Representing CAUSE-PA</w:t>
      </w:r>
    </w:p>
    <w:p w:rsidR="00F03D8C" w:rsidRPr="00F03D8C" w:rsidRDefault="00F03D8C" w:rsidP="00F03D8C">
      <w:pPr>
        <w:spacing w:after="0" w:line="240" w:lineRule="auto"/>
        <w:rPr>
          <w:rFonts w:ascii="Microsoft Sans Serif" w:eastAsiaTheme="minorEastAsia" w:hAnsiTheme="minorHAnsi"/>
          <w:i/>
          <w:szCs w:val="24"/>
        </w:rPr>
      </w:pP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br w:type="column"/>
      </w:r>
      <w:r w:rsidRPr="00F03D8C">
        <w:rPr>
          <w:rFonts w:ascii="Microsoft Sans Serif" w:eastAsiaTheme="minorEastAsia" w:hAnsiTheme="minorHAnsi"/>
          <w:szCs w:val="24"/>
        </w:rPr>
        <w:lastRenderedPageBreak/>
        <w:t>VASILIKI KARANDRIKAS ESQUIRE</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PAMELA C POLACEK ESQUIRE</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TERESA K SCHMITTBERGER ESQUIRE</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MCNEES WALLACE &amp; NURICK LLC</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100 PINE STREET</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PO BOX 1166</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HARRISBURG PA  17108-1166</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717-232-8000</w:t>
      </w:r>
    </w:p>
    <w:p w:rsidR="00F03D8C" w:rsidRPr="00F03D8C" w:rsidRDefault="00F03D8C" w:rsidP="00F03D8C">
      <w:pPr>
        <w:spacing w:after="0" w:line="240" w:lineRule="auto"/>
        <w:rPr>
          <w:rFonts w:ascii="Microsoft Sans Serif" w:eastAsiaTheme="minorEastAsia" w:hAnsiTheme="minorHAnsi"/>
          <w:b/>
          <w:szCs w:val="24"/>
        </w:rPr>
      </w:pPr>
      <w:r w:rsidRPr="00F03D8C">
        <w:rPr>
          <w:rFonts w:ascii="Microsoft Sans Serif" w:eastAsiaTheme="minorEastAsia" w:hAnsiTheme="minorHAnsi"/>
          <w:b/>
          <w:szCs w:val="24"/>
        </w:rPr>
        <w:t>C-2012-2302859</w:t>
      </w:r>
    </w:p>
    <w:p w:rsidR="00F03D8C" w:rsidRPr="00F03D8C" w:rsidRDefault="00F03D8C" w:rsidP="00F03D8C">
      <w:pPr>
        <w:spacing w:after="0" w:line="240" w:lineRule="auto"/>
        <w:rPr>
          <w:rFonts w:ascii="Microsoft Sans Serif" w:eastAsiaTheme="minorEastAsia" w:hAnsiTheme="minorHAnsi"/>
          <w:i/>
          <w:szCs w:val="24"/>
        </w:rPr>
      </w:pPr>
      <w:r w:rsidRPr="00F03D8C">
        <w:rPr>
          <w:rFonts w:ascii="Microsoft Sans Serif" w:eastAsiaTheme="minorEastAsia" w:hAnsiTheme="minorHAnsi"/>
          <w:i/>
          <w:szCs w:val="24"/>
        </w:rPr>
        <w:t>Representing Snyder Brothers, Inc., Buffalo Valley Ltd., Snyder Armclar Gas Company LP and S&amp;D Energy</w:t>
      </w:r>
    </w:p>
    <w:p w:rsidR="00F03D8C" w:rsidRPr="00F03D8C" w:rsidRDefault="00F03D8C" w:rsidP="00F03D8C">
      <w:pPr>
        <w:spacing w:after="0" w:line="240" w:lineRule="auto"/>
        <w:rPr>
          <w:rFonts w:ascii="Microsoft Sans Serif" w:eastAsiaTheme="minorEastAsia" w:hAnsiTheme="minorHAnsi"/>
          <w:szCs w:val="24"/>
        </w:rPr>
      </w:pP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JOSEPH L VULLO ESQUIRE</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BURKE VULLO REILLY ROBERTS</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1460 WYOMING AVENUE</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FORTY FORT PA  18704</w:t>
      </w:r>
    </w:p>
    <w:p w:rsidR="00F03D8C" w:rsidRPr="00F03D8C" w:rsidRDefault="00F03D8C" w:rsidP="00F03D8C">
      <w:pPr>
        <w:spacing w:after="0" w:line="240" w:lineRule="auto"/>
        <w:rPr>
          <w:rFonts w:ascii="Microsoft Sans Serif" w:eastAsiaTheme="minorEastAsia" w:hAnsiTheme="minorHAnsi"/>
          <w:szCs w:val="24"/>
        </w:rPr>
      </w:pPr>
      <w:r w:rsidRPr="00F03D8C">
        <w:rPr>
          <w:rFonts w:ascii="Microsoft Sans Serif" w:eastAsiaTheme="minorEastAsia" w:hAnsiTheme="minorHAnsi"/>
          <w:szCs w:val="24"/>
        </w:rPr>
        <w:t>570-288-6441</w:t>
      </w:r>
    </w:p>
    <w:p w:rsidR="00F03D8C" w:rsidRPr="00F03D8C" w:rsidRDefault="00F03D8C" w:rsidP="00F03D8C">
      <w:pPr>
        <w:spacing w:after="0" w:line="240" w:lineRule="auto"/>
        <w:rPr>
          <w:rFonts w:ascii="Microsoft Sans Serif" w:eastAsiaTheme="minorEastAsia" w:hAnsiTheme="minorHAnsi"/>
          <w:i/>
          <w:szCs w:val="24"/>
        </w:rPr>
      </w:pPr>
      <w:r w:rsidRPr="00F03D8C">
        <w:rPr>
          <w:rFonts w:ascii="Microsoft Sans Serif" w:eastAsiaTheme="minorEastAsia" w:hAnsiTheme="minorHAnsi"/>
          <w:i/>
          <w:szCs w:val="24"/>
        </w:rPr>
        <w:t>Representing Community Action Association of Pennsylvania</w:t>
      </w:r>
    </w:p>
    <w:p w:rsidR="00F03D8C" w:rsidRPr="00F03D8C" w:rsidRDefault="00F03D8C" w:rsidP="00F03D8C">
      <w:pPr>
        <w:spacing w:after="0" w:line="240" w:lineRule="auto"/>
        <w:rPr>
          <w:rFonts w:ascii="Microsoft Sans Serif" w:eastAsiaTheme="minorEastAsia" w:hAnsiTheme="minorHAnsi"/>
          <w:i/>
          <w:szCs w:val="24"/>
        </w:rPr>
      </w:pPr>
    </w:p>
    <w:p w:rsidR="00F03D8C" w:rsidRPr="00F03D8C" w:rsidRDefault="00F03D8C" w:rsidP="00F03D8C">
      <w:pPr>
        <w:spacing w:after="0" w:line="240" w:lineRule="auto"/>
        <w:rPr>
          <w:rFonts w:ascii="Microsoft Sans Serif" w:eastAsiaTheme="minorEastAsia" w:hAnsiTheme="minorHAnsi"/>
          <w:i/>
          <w:szCs w:val="24"/>
        </w:rPr>
      </w:pPr>
    </w:p>
    <w:p w:rsidR="00962306" w:rsidRPr="000E6DAB" w:rsidRDefault="00962306" w:rsidP="0059141D">
      <w:pPr>
        <w:pStyle w:val="ParaTab1"/>
        <w:ind w:firstLine="0"/>
      </w:pPr>
    </w:p>
    <w:p w:rsidR="0059141D" w:rsidRPr="000E6DAB" w:rsidRDefault="0059141D" w:rsidP="0059141D">
      <w:pPr>
        <w:pStyle w:val="Footer"/>
        <w:jc w:val="center"/>
        <w:rPr>
          <w:szCs w:val="24"/>
        </w:rPr>
      </w:pPr>
    </w:p>
    <w:p w:rsidR="0059141D" w:rsidRDefault="0059141D" w:rsidP="0059141D">
      <w:pPr>
        <w:spacing w:after="0"/>
      </w:pPr>
    </w:p>
    <w:p w:rsidR="0059141D" w:rsidRDefault="0059141D" w:rsidP="0059141D">
      <w:pPr>
        <w:spacing w:after="0"/>
      </w:pPr>
    </w:p>
    <w:p w:rsidR="000519E1" w:rsidRDefault="000519E1">
      <w:pPr>
        <w:spacing w:after="0"/>
      </w:pPr>
    </w:p>
    <w:sectPr w:rsidR="000519E1" w:rsidSect="000519E1">
      <w:type w:val="continuous"/>
      <w:pgSz w:w="12240" w:h="15840"/>
      <w:pgMar w:top="1440" w:right="864" w:bottom="1440" w:left="864" w:header="720" w:footer="720" w:gutter="0"/>
      <w:pgNumType w:fmt="lowerRoman" w:start="1"/>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568" w:rsidRDefault="00384568" w:rsidP="00830185">
      <w:pPr>
        <w:spacing w:after="0" w:line="240" w:lineRule="auto"/>
      </w:pPr>
      <w:r>
        <w:separator/>
      </w:r>
    </w:p>
  </w:endnote>
  <w:endnote w:type="continuationSeparator" w:id="0">
    <w:p w:rsidR="00384568" w:rsidRDefault="00384568" w:rsidP="00830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011169"/>
      <w:docPartObj>
        <w:docPartGallery w:val="Page Numbers (Bottom of Page)"/>
        <w:docPartUnique/>
      </w:docPartObj>
    </w:sdtPr>
    <w:sdtEndPr>
      <w:rPr>
        <w:noProof/>
        <w:sz w:val="22"/>
      </w:rPr>
    </w:sdtEndPr>
    <w:sdtContent>
      <w:p w:rsidR="00EA382D" w:rsidRPr="0059141D" w:rsidRDefault="00EA382D">
        <w:pPr>
          <w:pStyle w:val="Footer"/>
          <w:jc w:val="center"/>
          <w:rPr>
            <w:sz w:val="22"/>
          </w:rPr>
        </w:pPr>
        <w:r w:rsidRPr="0059141D">
          <w:rPr>
            <w:sz w:val="22"/>
          </w:rPr>
          <w:fldChar w:fldCharType="begin"/>
        </w:r>
        <w:r w:rsidRPr="0059141D">
          <w:rPr>
            <w:sz w:val="22"/>
          </w:rPr>
          <w:instrText xml:space="preserve"> PAGE   \* MERGEFORMAT </w:instrText>
        </w:r>
        <w:r w:rsidRPr="0059141D">
          <w:rPr>
            <w:sz w:val="22"/>
          </w:rPr>
          <w:fldChar w:fldCharType="separate"/>
        </w:r>
        <w:r w:rsidR="00C3667D">
          <w:rPr>
            <w:noProof/>
            <w:sz w:val="22"/>
          </w:rPr>
          <w:t>3</w:t>
        </w:r>
        <w:r w:rsidRPr="0059141D">
          <w:rPr>
            <w:noProof/>
            <w:sz w:val="22"/>
          </w:rPr>
          <w:fldChar w:fldCharType="end"/>
        </w:r>
      </w:p>
    </w:sdtContent>
  </w:sdt>
  <w:p w:rsidR="00EA382D" w:rsidRDefault="00EA38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137257"/>
      <w:docPartObj>
        <w:docPartGallery w:val="Page Numbers (Bottom of Page)"/>
        <w:docPartUnique/>
      </w:docPartObj>
    </w:sdtPr>
    <w:sdtEndPr>
      <w:rPr>
        <w:noProof/>
      </w:rPr>
    </w:sdtEndPr>
    <w:sdtContent>
      <w:p w:rsidR="00F03D8C" w:rsidRDefault="00F03D8C">
        <w:pPr>
          <w:pStyle w:val="Footer"/>
          <w:jc w:val="center"/>
        </w:pPr>
        <w:r>
          <w:fldChar w:fldCharType="begin"/>
        </w:r>
        <w:r>
          <w:instrText xml:space="preserve"> PAGE   \* MERGEFORMAT </w:instrText>
        </w:r>
        <w:r>
          <w:fldChar w:fldCharType="separate"/>
        </w:r>
        <w:r w:rsidR="00C3667D">
          <w:rPr>
            <w:noProof/>
          </w:rPr>
          <w:t>ii</w:t>
        </w:r>
        <w:r>
          <w:rPr>
            <w:noProof/>
          </w:rPr>
          <w:fldChar w:fldCharType="end"/>
        </w:r>
      </w:p>
    </w:sdtContent>
  </w:sdt>
  <w:p w:rsidR="00F03D8C" w:rsidRDefault="00F03D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D8C" w:rsidRDefault="00F03D8C">
    <w:pPr>
      <w:pStyle w:val="Footer"/>
    </w:pP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568" w:rsidRDefault="00384568" w:rsidP="00830185">
      <w:pPr>
        <w:spacing w:after="0" w:line="240" w:lineRule="auto"/>
      </w:pPr>
      <w:r>
        <w:separator/>
      </w:r>
    </w:p>
  </w:footnote>
  <w:footnote w:type="continuationSeparator" w:id="0">
    <w:p w:rsidR="00384568" w:rsidRDefault="00384568" w:rsidP="00830185">
      <w:pPr>
        <w:spacing w:after="0" w:line="240" w:lineRule="auto"/>
      </w:pPr>
      <w:r>
        <w:continuationSeparator/>
      </w:r>
    </w:p>
  </w:footnote>
  <w:footnote w:id="1">
    <w:p w:rsidR="00500777" w:rsidRDefault="00500777" w:rsidP="0059141D">
      <w:pPr>
        <w:pStyle w:val="FootnoteText"/>
        <w:spacing w:after="0"/>
        <w:ind w:firstLine="720"/>
      </w:pPr>
      <w:r>
        <w:rPr>
          <w:rStyle w:val="FootnoteReference"/>
        </w:rPr>
        <w:footnoteRef/>
      </w:r>
      <w:r>
        <w:t xml:space="preserve"> </w:t>
      </w:r>
      <w:r w:rsidR="004F0AF7">
        <w:t xml:space="preserve"> </w:t>
      </w:r>
      <w:r w:rsidR="004F0AF7">
        <w:tab/>
      </w:r>
      <w:r>
        <w:t>66 Pa. C.S. § 1308(d).</w:t>
      </w:r>
    </w:p>
    <w:p w:rsidR="0059141D" w:rsidRDefault="0059141D" w:rsidP="0059141D">
      <w:pPr>
        <w:pStyle w:val="FootnoteText"/>
        <w:spacing w:after="0"/>
        <w:ind w:firstLine="720"/>
      </w:pPr>
    </w:p>
  </w:footnote>
  <w:footnote w:id="2">
    <w:p w:rsidR="00830185" w:rsidRDefault="00830185" w:rsidP="0059141D">
      <w:pPr>
        <w:pStyle w:val="FootnoteText"/>
        <w:spacing w:after="0"/>
        <w:ind w:firstLine="720"/>
      </w:pPr>
      <w:r>
        <w:rPr>
          <w:rStyle w:val="FootnoteReference"/>
        </w:rPr>
        <w:footnoteRef/>
      </w:r>
      <w:r>
        <w:t xml:space="preserve"> </w:t>
      </w:r>
      <w:r w:rsidR="004F0AF7">
        <w:t xml:space="preserve"> </w:t>
      </w:r>
      <w:r w:rsidR="004F0AF7">
        <w:tab/>
      </w:r>
      <w:r>
        <w:t>The reader is directed to the Prehearing Order dated May 9, 2012 for a more detailed recitation of the procedural history of this case.</w:t>
      </w:r>
    </w:p>
  </w:footnote>
  <w:footnote w:id="3">
    <w:p w:rsidR="003F5922" w:rsidRDefault="003F5922" w:rsidP="0059141D">
      <w:pPr>
        <w:pStyle w:val="FootnoteText"/>
        <w:spacing w:after="0"/>
        <w:ind w:firstLine="720"/>
      </w:pPr>
      <w:r>
        <w:rPr>
          <w:rStyle w:val="FootnoteReference"/>
        </w:rPr>
        <w:footnoteRef/>
      </w:r>
      <w:r>
        <w:t xml:space="preserve"> </w:t>
      </w:r>
      <w:r w:rsidR="004F0AF7">
        <w:t xml:space="preserve"> </w:t>
      </w:r>
      <w:r w:rsidR="004F0AF7">
        <w:tab/>
      </w:r>
      <w:r>
        <w:t>52 Pa. Code § 5.72.</w:t>
      </w:r>
    </w:p>
  </w:footnote>
  <w:footnote w:id="4">
    <w:p w:rsidR="000775EA" w:rsidRDefault="000775EA" w:rsidP="0059141D">
      <w:pPr>
        <w:pStyle w:val="FootnoteText"/>
        <w:spacing w:after="0"/>
        <w:ind w:firstLine="720"/>
      </w:pPr>
      <w:r>
        <w:rPr>
          <w:rStyle w:val="FootnoteReference"/>
        </w:rPr>
        <w:footnoteRef/>
      </w:r>
      <w:r>
        <w:t xml:space="preserve"> </w:t>
      </w:r>
      <w:r w:rsidR="004F0AF7">
        <w:t xml:space="preserve"> </w:t>
      </w:r>
      <w:r w:rsidR="004F0AF7">
        <w:tab/>
      </w:r>
      <w:r>
        <w:t xml:space="preserve">Petition to Intervene </w:t>
      </w:r>
      <w:r w:rsidR="007505E0">
        <w:t>¶</w:t>
      </w:r>
      <w:r>
        <w:t xml:space="preserve"> 1.</w:t>
      </w:r>
    </w:p>
    <w:p w:rsidR="0059141D" w:rsidRDefault="0059141D" w:rsidP="0059141D">
      <w:pPr>
        <w:pStyle w:val="FootnoteText"/>
        <w:spacing w:after="0"/>
        <w:ind w:firstLine="720"/>
      </w:pPr>
    </w:p>
  </w:footnote>
  <w:footnote w:id="5">
    <w:p w:rsidR="005F5FC6" w:rsidRDefault="005F5FC6" w:rsidP="0059141D">
      <w:pPr>
        <w:pStyle w:val="FootnoteText"/>
        <w:spacing w:after="0"/>
        <w:ind w:firstLine="720"/>
      </w:pPr>
      <w:r>
        <w:rPr>
          <w:rStyle w:val="FootnoteReference"/>
        </w:rPr>
        <w:footnoteRef/>
      </w:r>
      <w:r>
        <w:t xml:space="preserve"> </w:t>
      </w:r>
      <w:r w:rsidR="004F0AF7">
        <w:t xml:space="preserve"> </w:t>
      </w:r>
      <w:r w:rsidR="004F0AF7">
        <w:tab/>
      </w:r>
      <w:r>
        <w:t>Petition to Intervene ¶¶ 6</w:t>
      </w:r>
      <w:r w:rsidR="001210C7">
        <w:t>, 7</w:t>
      </w:r>
      <w:r>
        <w:t>.</w:t>
      </w:r>
    </w:p>
    <w:p w:rsidR="0059141D" w:rsidRDefault="0059141D" w:rsidP="0059141D">
      <w:pPr>
        <w:pStyle w:val="FootnoteText"/>
        <w:spacing w:after="0"/>
        <w:ind w:firstLine="720"/>
      </w:pPr>
    </w:p>
  </w:footnote>
  <w:footnote w:id="6">
    <w:p w:rsidR="00CE0BFB" w:rsidRDefault="00CE0BFB" w:rsidP="0059141D">
      <w:pPr>
        <w:pStyle w:val="FootnoteText"/>
        <w:spacing w:after="0"/>
        <w:ind w:firstLine="720"/>
      </w:pPr>
      <w:r>
        <w:rPr>
          <w:rStyle w:val="FootnoteReference"/>
        </w:rPr>
        <w:footnoteRef/>
      </w:r>
      <w:r>
        <w:t xml:space="preserve"> </w:t>
      </w:r>
      <w:r w:rsidR="004F0AF7">
        <w:t xml:space="preserve"> </w:t>
      </w:r>
      <w:r w:rsidR="004F0AF7">
        <w:tab/>
      </w:r>
      <w:r>
        <w:t xml:space="preserve">Those </w:t>
      </w:r>
      <w:r w:rsidRPr="0059141D">
        <w:t>members are</w:t>
      </w:r>
      <w:r>
        <w:t>:</w:t>
      </w:r>
      <w:r w:rsidR="0059141D">
        <w:t xml:space="preserve">  Blair Co. Community Action Agency; Community Action Partnership of Cambria Co.; Community Action Partnership for Somerset County – Tableland Services, Inc.; Indiana Co. Community Action Program, Inc.; Westmoreland Community Action; Fayette Co. Community Action Agency, Inc.; Community Action, Inc.; Armstrong Co. Community Action Agency; Venango Co. Office of Economic Opportunity; Butler Co. Community Action &amp; Development; Allegheny Co. Department of Human Services; Community Action Southwest; Community Services Program of Beaver County; Lawrence County Community Action Partnership; and Community Action Partnership of Mercer Co., Inc.</w:t>
      </w:r>
      <w:r w:rsidR="00CF0010">
        <w:t xml:space="preserve"> </w:t>
      </w:r>
    </w:p>
    <w:p w:rsidR="0059141D" w:rsidRDefault="0059141D" w:rsidP="0059141D">
      <w:pPr>
        <w:pStyle w:val="FootnoteText"/>
        <w:spacing w:after="0"/>
        <w:ind w:firstLine="720"/>
      </w:pPr>
    </w:p>
  </w:footnote>
  <w:footnote w:id="7">
    <w:p w:rsidR="00D5529F" w:rsidRDefault="00D5529F" w:rsidP="0059141D">
      <w:pPr>
        <w:pStyle w:val="FootnoteText"/>
        <w:spacing w:after="0"/>
        <w:ind w:firstLine="720"/>
      </w:pPr>
      <w:r>
        <w:rPr>
          <w:rStyle w:val="FootnoteReference"/>
        </w:rPr>
        <w:footnoteRef/>
      </w:r>
      <w:r w:rsidR="004F0AF7">
        <w:t xml:space="preserve"> </w:t>
      </w:r>
      <w:r w:rsidR="004F0AF7">
        <w:tab/>
      </w:r>
      <w:r>
        <w:t xml:space="preserve"> </w:t>
      </w:r>
      <w:r>
        <w:rPr>
          <w:i/>
        </w:rPr>
        <w:t>In Home Oxygen and Medical Equipment v. Verizon Pennsylvania, Inc.</w:t>
      </w:r>
      <w:r>
        <w:t>, PUC Docket No. C</w:t>
      </w:r>
      <w:r w:rsidR="000F0169">
        <w:noBreakHyphen/>
      </w:r>
      <w:r>
        <w:t>2011-2267086 (Initial Decision dated December 15, 2011).</w:t>
      </w:r>
    </w:p>
    <w:p w:rsidR="0059141D" w:rsidRPr="00D5529F" w:rsidRDefault="0059141D" w:rsidP="0059141D">
      <w:pPr>
        <w:pStyle w:val="FootnoteText"/>
        <w:spacing w:after="0"/>
        <w:ind w:firstLine="720"/>
      </w:pPr>
    </w:p>
  </w:footnote>
  <w:footnote w:id="8">
    <w:p w:rsidR="00804DFF" w:rsidRDefault="00804DFF" w:rsidP="0059141D">
      <w:pPr>
        <w:pStyle w:val="FootnoteText"/>
        <w:spacing w:after="0"/>
        <w:ind w:firstLine="720"/>
      </w:pPr>
      <w:r>
        <w:rPr>
          <w:rStyle w:val="FootnoteReference"/>
        </w:rPr>
        <w:footnoteRef/>
      </w:r>
      <w:r>
        <w:t xml:space="preserve"> </w:t>
      </w:r>
      <w:r w:rsidR="004F0AF7">
        <w:t xml:space="preserve"> </w:t>
      </w:r>
      <w:r w:rsidR="004F0AF7">
        <w:tab/>
      </w:r>
      <w:r>
        <w:t>52 Pa. Code § 5.72.</w:t>
      </w:r>
    </w:p>
    <w:p w:rsidR="0059141D" w:rsidRDefault="0059141D" w:rsidP="0059141D">
      <w:pPr>
        <w:pStyle w:val="FootnoteText"/>
        <w:spacing w:after="0"/>
        <w:ind w:firstLine="720"/>
      </w:pPr>
    </w:p>
  </w:footnote>
  <w:footnote w:id="9">
    <w:p w:rsidR="00804DFF" w:rsidRDefault="00804DFF" w:rsidP="0059141D">
      <w:pPr>
        <w:pStyle w:val="FootnoteText"/>
        <w:spacing w:after="0"/>
        <w:ind w:firstLine="720"/>
      </w:pPr>
      <w:r>
        <w:rPr>
          <w:rStyle w:val="FootnoteReference"/>
        </w:rPr>
        <w:footnoteRef/>
      </w:r>
      <w:r>
        <w:t xml:space="preserve"> </w:t>
      </w:r>
      <w:r w:rsidR="004F0AF7">
        <w:t xml:space="preserve"> </w:t>
      </w:r>
      <w:r w:rsidR="004F0AF7">
        <w:tab/>
      </w:r>
      <w:r w:rsidR="00CC5AA2">
        <w:t>52 Pa. Code § 5.73(b).</w:t>
      </w:r>
    </w:p>
    <w:p w:rsidR="0059141D" w:rsidRDefault="0059141D" w:rsidP="0059141D">
      <w:pPr>
        <w:pStyle w:val="FootnoteText"/>
        <w:spacing w:after="0"/>
        <w:ind w:firstLine="720"/>
      </w:pPr>
    </w:p>
  </w:footnote>
  <w:footnote w:id="10">
    <w:p w:rsidR="009B1B5C" w:rsidRDefault="009B1B5C" w:rsidP="0059141D">
      <w:pPr>
        <w:pStyle w:val="FootnoteText"/>
        <w:spacing w:after="0"/>
        <w:ind w:firstLine="720"/>
      </w:pPr>
      <w:r>
        <w:rPr>
          <w:rStyle w:val="FootnoteReference"/>
        </w:rPr>
        <w:footnoteRef/>
      </w:r>
      <w:r w:rsidR="004F0AF7">
        <w:t xml:space="preserve"> </w:t>
      </w:r>
      <w:r w:rsidR="004F0AF7">
        <w:tab/>
      </w:r>
      <w:r>
        <w:t xml:space="preserve"> Section 904-A(a) of the Administrative Code of 1929, Act of April 9, 1929, P.L. 177</w:t>
      </w:r>
      <w:r w:rsidR="008F1FCC">
        <w:t>,</w:t>
      </w:r>
      <w:r>
        <w:t xml:space="preserve"> </w:t>
      </w:r>
      <w:r>
        <w:rPr>
          <w:i/>
        </w:rPr>
        <w:t>as amended</w:t>
      </w:r>
      <w:r>
        <w:t>, 71 P.S. § 309-4(a).</w:t>
      </w:r>
    </w:p>
    <w:p w:rsidR="0059141D" w:rsidRPr="009B1B5C" w:rsidRDefault="0059141D" w:rsidP="0059141D">
      <w:pPr>
        <w:pStyle w:val="FootnoteText"/>
        <w:spacing w:after="0"/>
        <w:ind w:firstLine="720"/>
      </w:pPr>
    </w:p>
  </w:footnote>
  <w:footnote w:id="11">
    <w:p w:rsidR="0059141D" w:rsidRDefault="004B7108" w:rsidP="0059141D">
      <w:pPr>
        <w:pStyle w:val="FootnoteText"/>
        <w:spacing w:after="0"/>
        <w:ind w:firstLine="720"/>
      </w:pPr>
      <w:r>
        <w:rPr>
          <w:rStyle w:val="FootnoteReference"/>
        </w:rPr>
        <w:footnoteRef/>
      </w:r>
      <w:r>
        <w:t xml:space="preserve"> </w:t>
      </w:r>
      <w:r w:rsidR="004F0AF7">
        <w:t xml:space="preserve"> </w:t>
      </w:r>
      <w:r w:rsidR="004F0AF7">
        <w:tab/>
      </w:r>
      <w:r>
        <w:t>71 P.S. § 309-6.</w:t>
      </w:r>
      <w:r w:rsidR="00051C90">
        <w:t xml:space="preserve">  </w:t>
      </w:r>
      <w:r w:rsidR="00051C90">
        <w:rPr>
          <w:i/>
        </w:rPr>
        <w:t>See also South River Power Partners, L.P. v. Public Util. Comm’n</w:t>
      </w:r>
      <w:r w:rsidR="00051C90">
        <w:t>, 673 A.2d 422, 426 (Pa. Cmwlth. 1996)(holding that the participation of the OCA does not presume that the interests of all of a utilit</w:t>
      </w:r>
      <w:r w:rsidR="0029633C">
        <w:t>y’s</w:t>
      </w:r>
      <w:r w:rsidR="00051C90">
        <w:t xml:space="preserve"> consumers are adequately represented in a hearing before the Public Utility Commission).</w:t>
      </w:r>
    </w:p>
    <w:p w:rsidR="0029633C" w:rsidRPr="00051C90" w:rsidRDefault="0029633C" w:rsidP="0059141D">
      <w:pPr>
        <w:pStyle w:val="FootnoteText"/>
        <w:spacing w:after="0"/>
        <w:ind w:firstLine="720"/>
      </w:pPr>
    </w:p>
  </w:footnote>
  <w:footnote w:id="12">
    <w:p w:rsidR="00097A9F" w:rsidRDefault="00097A9F" w:rsidP="0059141D">
      <w:pPr>
        <w:pStyle w:val="FootnoteText"/>
        <w:spacing w:after="0"/>
        <w:ind w:firstLine="720"/>
      </w:pPr>
      <w:r>
        <w:rPr>
          <w:rStyle w:val="FootnoteReference"/>
        </w:rPr>
        <w:footnoteRef/>
      </w:r>
      <w:r>
        <w:t xml:space="preserve"> </w:t>
      </w:r>
      <w:r w:rsidR="004F0AF7">
        <w:t xml:space="preserve"> </w:t>
      </w:r>
      <w:r w:rsidR="004F0AF7">
        <w:tab/>
      </w:r>
      <w:r>
        <w:t>52 Pa. Code § 5.72(a)(3).</w:t>
      </w:r>
    </w:p>
    <w:p w:rsidR="0059141D" w:rsidRDefault="0059141D" w:rsidP="0059141D">
      <w:pPr>
        <w:pStyle w:val="FootnoteText"/>
        <w:spacing w:after="0"/>
        <w:ind w:firstLine="720"/>
      </w:pPr>
    </w:p>
  </w:footnote>
  <w:footnote w:id="13">
    <w:p w:rsidR="00FF7598" w:rsidRDefault="00FF7598" w:rsidP="0059141D">
      <w:pPr>
        <w:pStyle w:val="FootnoteText"/>
        <w:spacing w:after="0"/>
        <w:ind w:firstLine="720"/>
      </w:pPr>
      <w:r>
        <w:rPr>
          <w:rStyle w:val="FootnoteReference"/>
        </w:rPr>
        <w:footnoteRef/>
      </w:r>
      <w:r>
        <w:t xml:space="preserve"> </w:t>
      </w:r>
      <w:r w:rsidR="004F0AF7">
        <w:t xml:space="preserve"> </w:t>
      </w:r>
      <w:r w:rsidR="004F0AF7">
        <w:tab/>
      </w:r>
      <w:r>
        <w:t>52 Pa. Code § 5.74(b).</w:t>
      </w:r>
    </w:p>
    <w:p w:rsidR="0059141D" w:rsidRDefault="0059141D" w:rsidP="0059141D">
      <w:pPr>
        <w:pStyle w:val="FootnoteText"/>
        <w:spacing w:after="0"/>
        <w:ind w:firstLine="720"/>
      </w:pPr>
    </w:p>
  </w:footnote>
  <w:footnote w:id="14">
    <w:p w:rsidR="00AD2300" w:rsidRDefault="00AD2300" w:rsidP="0059141D">
      <w:pPr>
        <w:pStyle w:val="FootnoteText"/>
        <w:spacing w:after="0"/>
        <w:ind w:firstLine="720"/>
      </w:pPr>
      <w:r>
        <w:rPr>
          <w:rStyle w:val="FootnoteReference"/>
        </w:rPr>
        <w:footnoteRef/>
      </w:r>
      <w:r>
        <w:t xml:space="preserve"> </w:t>
      </w:r>
      <w:r w:rsidR="004F0AF7">
        <w:t xml:space="preserve"> </w:t>
      </w:r>
      <w:r w:rsidR="004F0AF7">
        <w:tab/>
      </w:r>
      <w:r>
        <w:t>52 Pa. Code § 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B0267AC"/>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02CEDA24"/>
    <w:lvl w:ilvl="0">
      <w:start w:val="1"/>
      <w:numFmt w:val="bullet"/>
      <w:lvlText w:val=""/>
      <w:lvlJc w:val="left"/>
      <w:pPr>
        <w:tabs>
          <w:tab w:val="num" w:pos="360"/>
        </w:tabs>
        <w:ind w:left="360" w:hanging="360"/>
      </w:pPr>
      <w:rPr>
        <w:rFonts w:ascii="Symbol" w:hAnsi="Symbol" w:hint="default"/>
      </w:rPr>
    </w:lvl>
  </w:abstractNum>
  <w:abstractNum w:abstractNumId="2">
    <w:nsid w:val="04B53E9C"/>
    <w:multiLevelType w:val="hybridMultilevel"/>
    <w:tmpl w:val="9BA20692"/>
    <w:lvl w:ilvl="0" w:tplc="7194ABC2">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DFF"/>
    <w:rsid w:val="00004C37"/>
    <w:rsid w:val="000519E1"/>
    <w:rsid w:val="00051C90"/>
    <w:rsid w:val="000775EA"/>
    <w:rsid w:val="00097A9F"/>
    <w:rsid w:val="000E73F8"/>
    <w:rsid w:val="000F0169"/>
    <w:rsid w:val="000F5DFF"/>
    <w:rsid w:val="001210C7"/>
    <w:rsid w:val="0021073F"/>
    <w:rsid w:val="00245013"/>
    <w:rsid w:val="0025740D"/>
    <w:rsid w:val="0029633C"/>
    <w:rsid w:val="002A26C7"/>
    <w:rsid w:val="00365E40"/>
    <w:rsid w:val="00384568"/>
    <w:rsid w:val="003C43E1"/>
    <w:rsid w:val="003E6F56"/>
    <w:rsid w:val="003F5922"/>
    <w:rsid w:val="0043642E"/>
    <w:rsid w:val="00436F0B"/>
    <w:rsid w:val="0046309C"/>
    <w:rsid w:val="004634EA"/>
    <w:rsid w:val="0046764F"/>
    <w:rsid w:val="0048283D"/>
    <w:rsid w:val="004B7108"/>
    <w:rsid w:val="004F0AF7"/>
    <w:rsid w:val="00500777"/>
    <w:rsid w:val="00575928"/>
    <w:rsid w:val="0059141D"/>
    <w:rsid w:val="005F5FC6"/>
    <w:rsid w:val="00621433"/>
    <w:rsid w:val="0066612B"/>
    <w:rsid w:val="006D37FE"/>
    <w:rsid w:val="006E7172"/>
    <w:rsid w:val="00740686"/>
    <w:rsid w:val="007505E0"/>
    <w:rsid w:val="0075509A"/>
    <w:rsid w:val="00791A38"/>
    <w:rsid w:val="00792796"/>
    <w:rsid w:val="00804DFF"/>
    <w:rsid w:val="00830185"/>
    <w:rsid w:val="008A181B"/>
    <w:rsid w:val="008F1FCC"/>
    <w:rsid w:val="00962306"/>
    <w:rsid w:val="00976298"/>
    <w:rsid w:val="009A3406"/>
    <w:rsid w:val="009B1B5C"/>
    <w:rsid w:val="00A07721"/>
    <w:rsid w:val="00A17B37"/>
    <w:rsid w:val="00A36CA8"/>
    <w:rsid w:val="00AD2300"/>
    <w:rsid w:val="00AE10D1"/>
    <w:rsid w:val="00B13142"/>
    <w:rsid w:val="00B24DAF"/>
    <w:rsid w:val="00BC5F2E"/>
    <w:rsid w:val="00C265B1"/>
    <w:rsid w:val="00C3667D"/>
    <w:rsid w:val="00C37A2F"/>
    <w:rsid w:val="00CC5AA2"/>
    <w:rsid w:val="00CE0BFB"/>
    <w:rsid w:val="00CE0D2B"/>
    <w:rsid w:val="00CF0010"/>
    <w:rsid w:val="00D5529F"/>
    <w:rsid w:val="00DE3527"/>
    <w:rsid w:val="00E8647A"/>
    <w:rsid w:val="00EA382D"/>
    <w:rsid w:val="00EE0BCB"/>
    <w:rsid w:val="00F03D8C"/>
    <w:rsid w:val="00F24608"/>
    <w:rsid w:val="00F950DD"/>
    <w:rsid w:val="00FB505C"/>
    <w:rsid w:val="00FF7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298"/>
    <w:pPr>
      <w:spacing w:line="360" w:lineRule="auto"/>
    </w:pPr>
    <w:rPr>
      <w:rFonts w:ascii="Times New Roman" w:hAnsi="Times New Roman"/>
      <w:sz w:val="24"/>
    </w:rPr>
  </w:style>
  <w:style w:type="paragraph" w:styleId="Heading4">
    <w:name w:val="heading 4"/>
    <w:basedOn w:val="Normal"/>
    <w:link w:val="Heading4Char"/>
    <w:uiPriority w:val="9"/>
    <w:qFormat/>
    <w:rsid w:val="00976298"/>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F0AF7"/>
    <w:pPr>
      <w:spacing w:after="120" w:line="240" w:lineRule="auto"/>
    </w:pPr>
    <w:rPr>
      <w:sz w:val="20"/>
      <w:szCs w:val="20"/>
    </w:rPr>
  </w:style>
  <w:style w:type="character" w:customStyle="1" w:styleId="FootnoteTextChar">
    <w:name w:val="Footnote Text Char"/>
    <w:basedOn w:val="DefaultParagraphFont"/>
    <w:link w:val="FootnoteText"/>
    <w:uiPriority w:val="99"/>
    <w:semiHidden/>
    <w:rsid w:val="004F0AF7"/>
    <w:rPr>
      <w:rFonts w:ascii="Times New Roman" w:hAnsi="Times New Roman"/>
      <w:sz w:val="20"/>
      <w:szCs w:val="20"/>
    </w:rPr>
  </w:style>
  <w:style w:type="character" w:styleId="FootnoteReference">
    <w:name w:val="footnote reference"/>
    <w:basedOn w:val="DefaultParagraphFont"/>
    <w:uiPriority w:val="99"/>
    <w:semiHidden/>
    <w:unhideWhenUsed/>
    <w:rsid w:val="00830185"/>
    <w:rPr>
      <w:vertAlign w:val="superscript"/>
    </w:rPr>
  </w:style>
  <w:style w:type="character" w:customStyle="1" w:styleId="Heading4Char">
    <w:name w:val="Heading 4 Char"/>
    <w:basedOn w:val="DefaultParagraphFont"/>
    <w:link w:val="Heading4"/>
    <w:uiPriority w:val="9"/>
    <w:rsid w:val="0097629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76298"/>
    <w:pPr>
      <w:spacing w:before="100" w:beforeAutospacing="1" w:after="100" w:afterAutospacing="1" w:line="240" w:lineRule="auto"/>
    </w:pPr>
    <w:rPr>
      <w:rFonts w:eastAsia="Times New Roman" w:cs="Times New Roman"/>
      <w:szCs w:val="24"/>
    </w:rPr>
  </w:style>
  <w:style w:type="paragraph" w:customStyle="1" w:styleId="IndentedQuote">
    <w:name w:val="Indented Quote"/>
    <w:basedOn w:val="Normal"/>
    <w:qFormat/>
    <w:rsid w:val="00976298"/>
    <w:pPr>
      <w:spacing w:before="100" w:beforeAutospacing="1" w:after="120" w:line="240" w:lineRule="auto"/>
      <w:ind w:left="720" w:right="720"/>
      <w:contextualSpacing/>
    </w:pPr>
    <w:rPr>
      <w:rFonts w:eastAsia="Times New Roman" w:cs="Times New Roman"/>
      <w:b/>
      <w:bCs/>
      <w:szCs w:val="27"/>
    </w:rPr>
  </w:style>
  <w:style w:type="paragraph" w:styleId="Header">
    <w:name w:val="header"/>
    <w:basedOn w:val="Normal"/>
    <w:link w:val="HeaderChar"/>
    <w:uiPriority w:val="99"/>
    <w:unhideWhenUsed/>
    <w:rsid w:val="00EA38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2D"/>
    <w:rPr>
      <w:rFonts w:ascii="Times New Roman" w:hAnsi="Times New Roman"/>
      <w:sz w:val="24"/>
    </w:rPr>
  </w:style>
  <w:style w:type="paragraph" w:styleId="Footer">
    <w:name w:val="footer"/>
    <w:basedOn w:val="Normal"/>
    <w:link w:val="FooterChar"/>
    <w:uiPriority w:val="99"/>
    <w:unhideWhenUsed/>
    <w:rsid w:val="00EA3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2D"/>
    <w:rPr>
      <w:rFonts w:ascii="Times New Roman" w:hAnsi="Times New Roman"/>
      <w:sz w:val="24"/>
    </w:rPr>
  </w:style>
  <w:style w:type="paragraph" w:styleId="ListParagraph">
    <w:name w:val="List Paragraph"/>
    <w:basedOn w:val="Normal"/>
    <w:uiPriority w:val="34"/>
    <w:qFormat/>
    <w:rsid w:val="0059141D"/>
    <w:pPr>
      <w:ind w:left="720"/>
      <w:contextualSpacing/>
    </w:pPr>
  </w:style>
  <w:style w:type="paragraph" w:customStyle="1" w:styleId="ParaTab1">
    <w:name w:val="ParaTab 1"/>
    <w:uiPriority w:val="99"/>
    <w:rsid w:val="0059141D"/>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FB50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0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298"/>
    <w:pPr>
      <w:spacing w:line="360" w:lineRule="auto"/>
    </w:pPr>
    <w:rPr>
      <w:rFonts w:ascii="Times New Roman" w:hAnsi="Times New Roman"/>
      <w:sz w:val="24"/>
    </w:rPr>
  </w:style>
  <w:style w:type="paragraph" w:styleId="Heading4">
    <w:name w:val="heading 4"/>
    <w:basedOn w:val="Normal"/>
    <w:link w:val="Heading4Char"/>
    <w:uiPriority w:val="9"/>
    <w:qFormat/>
    <w:rsid w:val="00976298"/>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F0AF7"/>
    <w:pPr>
      <w:spacing w:after="120" w:line="240" w:lineRule="auto"/>
    </w:pPr>
    <w:rPr>
      <w:sz w:val="20"/>
      <w:szCs w:val="20"/>
    </w:rPr>
  </w:style>
  <w:style w:type="character" w:customStyle="1" w:styleId="FootnoteTextChar">
    <w:name w:val="Footnote Text Char"/>
    <w:basedOn w:val="DefaultParagraphFont"/>
    <w:link w:val="FootnoteText"/>
    <w:uiPriority w:val="99"/>
    <w:semiHidden/>
    <w:rsid w:val="004F0AF7"/>
    <w:rPr>
      <w:rFonts w:ascii="Times New Roman" w:hAnsi="Times New Roman"/>
      <w:sz w:val="20"/>
      <w:szCs w:val="20"/>
    </w:rPr>
  </w:style>
  <w:style w:type="character" w:styleId="FootnoteReference">
    <w:name w:val="footnote reference"/>
    <w:basedOn w:val="DefaultParagraphFont"/>
    <w:uiPriority w:val="99"/>
    <w:semiHidden/>
    <w:unhideWhenUsed/>
    <w:rsid w:val="00830185"/>
    <w:rPr>
      <w:vertAlign w:val="superscript"/>
    </w:rPr>
  </w:style>
  <w:style w:type="character" w:customStyle="1" w:styleId="Heading4Char">
    <w:name w:val="Heading 4 Char"/>
    <w:basedOn w:val="DefaultParagraphFont"/>
    <w:link w:val="Heading4"/>
    <w:uiPriority w:val="9"/>
    <w:rsid w:val="0097629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76298"/>
    <w:pPr>
      <w:spacing w:before="100" w:beforeAutospacing="1" w:after="100" w:afterAutospacing="1" w:line="240" w:lineRule="auto"/>
    </w:pPr>
    <w:rPr>
      <w:rFonts w:eastAsia="Times New Roman" w:cs="Times New Roman"/>
      <w:szCs w:val="24"/>
    </w:rPr>
  </w:style>
  <w:style w:type="paragraph" w:customStyle="1" w:styleId="IndentedQuote">
    <w:name w:val="Indented Quote"/>
    <w:basedOn w:val="Normal"/>
    <w:qFormat/>
    <w:rsid w:val="00976298"/>
    <w:pPr>
      <w:spacing w:before="100" w:beforeAutospacing="1" w:after="120" w:line="240" w:lineRule="auto"/>
      <w:ind w:left="720" w:right="720"/>
      <w:contextualSpacing/>
    </w:pPr>
    <w:rPr>
      <w:rFonts w:eastAsia="Times New Roman" w:cs="Times New Roman"/>
      <w:b/>
      <w:bCs/>
      <w:szCs w:val="27"/>
    </w:rPr>
  </w:style>
  <w:style w:type="paragraph" w:styleId="Header">
    <w:name w:val="header"/>
    <w:basedOn w:val="Normal"/>
    <w:link w:val="HeaderChar"/>
    <w:uiPriority w:val="99"/>
    <w:unhideWhenUsed/>
    <w:rsid w:val="00EA38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2D"/>
    <w:rPr>
      <w:rFonts w:ascii="Times New Roman" w:hAnsi="Times New Roman"/>
      <w:sz w:val="24"/>
    </w:rPr>
  </w:style>
  <w:style w:type="paragraph" w:styleId="Footer">
    <w:name w:val="footer"/>
    <w:basedOn w:val="Normal"/>
    <w:link w:val="FooterChar"/>
    <w:uiPriority w:val="99"/>
    <w:unhideWhenUsed/>
    <w:rsid w:val="00EA38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2D"/>
    <w:rPr>
      <w:rFonts w:ascii="Times New Roman" w:hAnsi="Times New Roman"/>
      <w:sz w:val="24"/>
    </w:rPr>
  </w:style>
  <w:style w:type="paragraph" w:styleId="ListParagraph">
    <w:name w:val="List Paragraph"/>
    <w:basedOn w:val="Normal"/>
    <w:uiPriority w:val="34"/>
    <w:qFormat/>
    <w:rsid w:val="0059141D"/>
    <w:pPr>
      <w:ind w:left="720"/>
      <w:contextualSpacing/>
    </w:pPr>
  </w:style>
  <w:style w:type="paragraph" w:customStyle="1" w:styleId="ParaTab1">
    <w:name w:val="ParaTab 1"/>
    <w:uiPriority w:val="99"/>
    <w:rsid w:val="0059141D"/>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FB50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0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209884">
      <w:bodyDiv w:val="1"/>
      <w:marLeft w:val="0"/>
      <w:marRight w:val="0"/>
      <w:marTop w:val="0"/>
      <w:marBottom w:val="0"/>
      <w:divBdr>
        <w:top w:val="none" w:sz="0" w:space="0" w:color="auto"/>
        <w:left w:val="none" w:sz="0" w:space="0" w:color="auto"/>
        <w:bottom w:val="none" w:sz="0" w:space="0" w:color="auto"/>
        <w:right w:val="none" w:sz="0" w:space="0" w:color="auto"/>
      </w:divBdr>
      <w:divsChild>
        <w:div w:id="1656449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065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C9D8D-93F1-440E-A963-D78CF6C05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1822</Words>
  <Characters>10391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bfaccenda</cp:lastModifiedBy>
  <cp:revision>12</cp:revision>
  <cp:lastPrinted>2012-05-10T12:59:00Z</cp:lastPrinted>
  <dcterms:created xsi:type="dcterms:W3CDTF">2012-05-09T18:59:00Z</dcterms:created>
  <dcterms:modified xsi:type="dcterms:W3CDTF">2012-05-10T13:15:00Z</dcterms:modified>
</cp:coreProperties>
</file>