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66" w:rsidRPr="00183666" w:rsidRDefault="00183666">
      <w:pPr>
        <w:pStyle w:val="Title"/>
        <w:rPr>
          <w:sz w:val="24"/>
          <w:szCs w:val="24"/>
        </w:rPr>
      </w:pPr>
      <w:r w:rsidRPr="00183666">
        <w:rPr>
          <w:sz w:val="24"/>
          <w:szCs w:val="24"/>
        </w:rPr>
        <w:t>BEFORE THE</w:t>
      </w:r>
    </w:p>
    <w:p w:rsidR="00183666" w:rsidRPr="00183666" w:rsidRDefault="00183666">
      <w:pPr>
        <w:pStyle w:val="Subtitle"/>
        <w:rPr>
          <w:sz w:val="24"/>
          <w:szCs w:val="24"/>
        </w:rPr>
      </w:pPr>
      <w:smartTag w:uri="urn:schemas-microsoft-com:office:smarttags" w:element="place">
        <w:smartTag w:uri="urn:schemas-microsoft-com:office:smarttags" w:element="State">
          <w:r w:rsidRPr="00183666">
            <w:rPr>
              <w:sz w:val="24"/>
              <w:szCs w:val="24"/>
            </w:rPr>
            <w:t>PENNSYLVANIA</w:t>
          </w:r>
        </w:smartTag>
      </w:smartTag>
      <w:r w:rsidRPr="00183666">
        <w:rPr>
          <w:sz w:val="24"/>
          <w:szCs w:val="24"/>
        </w:rPr>
        <w:t xml:space="preserve"> PUBLIC UTILITY COMMISSION</w:t>
      </w:r>
    </w:p>
    <w:p w:rsidR="00183666" w:rsidRPr="00183666" w:rsidRDefault="00183666">
      <w:pPr>
        <w:jc w:val="both"/>
        <w:rPr>
          <w:sz w:val="24"/>
          <w:szCs w:val="24"/>
        </w:rPr>
      </w:pPr>
    </w:p>
    <w:p w:rsidR="00183666" w:rsidRPr="00183666" w:rsidRDefault="00183666">
      <w:pPr>
        <w:jc w:val="both"/>
        <w:rPr>
          <w:sz w:val="24"/>
          <w:szCs w:val="24"/>
        </w:rPr>
      </w:pPr>
    </w:p>
    <w:p w:rsidR="00183666" w:rsidRDefault="00183666">
      <w:pPr>
        <w:jc w:val="both"/>
        <w:rPr>
          <w:sz w:val="24"/>
          <w:szCs w:val="24"/>
        </w:rPr>
      </w:pPr>
    </w:p>
    <w:p w:rsidR="00183666" w:rsidRPr="00183666" w:rsidRDefault="00C765D6">
      <w:pPr>
        <w:jc w:val="both"/>
        <w:rPr>
          <w:sz w:val="24"/>
          <w:szCs w:val="24"/>
        </w:rPr>
      </w:pPr>
      <w:r>
        <w:rPr>
          <w:sz w:val="24"/>
          <w:szCs w:val="24"/>
        </w:rPr>
        <w:t xml:space="preserve">Nehemiah Thomas </w:t>
      </w:r>
      <w:r w:rsidR="00183666" w:rsidRPr="00183666">
        <w:rPr>
          <w:sz w:val="24"/>
          <w:szCs w:val="24"/>
        </w:rPr>
        <w:tab/>
      </w:r>
      <w:r w:rsidR="00183666" w:rsidRPr="00183666">
        <w:rPr>
          <w:sz w:val="24"/>
          <w:szCs w:val="24"/>
        </w:rPr>
        <w:tab/>
      </w:r>
      <w:r w:rsidR="00183666" w:rsidRPr="00183666">
        <w:rPr>
          <w:sz w:val="24"/>
          <w:szCs w:val="24"/>
        </w:rPr>
        <w:tab/>
      </w:r>
      <w:r w:rsidR="00183666" w:rsidRPr="00183666">
        <w:rPr>
          <w:sz w:val="24"/>
          <w:szCs w:val="24"/>
        </w:rPr>
        <w:tab/>
      </w:r>
      <w:r w:rsidR="00183666">
        <w:rPr>
          <w:sz w:val="24"/>
          <w:szCs w:val="24"/>
        </w:rPr>
        <w:tab/>
      </w:r>
      <w:r w:rsidR="00183666" w:rsidRPr="00183666">
        <w:rPr>
          <w:sz w:val="24"/>
          <w:szCs w:val="24"/>
        </w:rPr>
        <w:t>:</w:t>
      </w:r>
    </w:p>
    <w:p w:rsidR="00183666" w:rsidRPr="00183666" w:rsidRDefault="0018366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183666" w:rsidRPr="00183666" w:rsidRDefault="00183666">
      <w:pPr>
        <w:jc w:val="both"/>
        <w:rPr>
          <w:sz w:val="24"/>
          <w:szCs w:val="24"/>
        </w:rPr>
      </w:pPr>
      <w:r w:rsidRPr="00183666">
        <w:rPr>
          <w:sz w:val="24"/>
          <w:szCs w:val="24"/>
        </w:rPr>
        <w:tab/>
        <w:t>v.</w:t>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r w:rsidR="00C765D6">
        <w:rPr>
          <w:sz w:val="24"/>
          <w:szCs w:val="24"/>
        </w:rPr>
        <w:tab/>
      </w:r>
      <w:r w:rsidR="00C765D6">
        <w:rPr>
          <w:sz w:val="24"/>
          <w:szCs w:val="24"/>
        </w:rPr>
        <w:tab/>
        <w:t>F-2012-2294555</w:t>
      </w:r>
    </w:p>
    <w:p w:rsidR="00183666" w:rsidRPr="00183666" w:rsidRDefault="0018366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r w:rsidR="00315CE8" w:rsidRPr="00315CE8">
        <w:rPr>
          <w:sz w:val="24"/>
          <w:szCs w:val="24"/>
        </w:rPr>
        <w:t xml:space="preserve"> </w:t>
      </w:r>
    </w:p>
    <w:p w:rsidR="00183666" w:rsidRDefault="00C765D6">
      <w:pPr>
        <w:jc w:val="both"/>
        <w:rPr>
          <w:sz w:val="24"/>
          <w:szCs w:val="24"/>
        </w:rPr>
      </w:pPr>
      <w:r>
        <w:rPr>
          <w:sz w:val="24"/>
          <w:szCs w:val="24"/>
        </w:rPr>
        <w:t>PECO Energy</w:t>
      </w:r>
      <w:r w:rsidR="00315CE8">
        <w:rPr>
          <w:sz w:val="24"/>
          <w:szCs w:val="24"/>
        </w:rPr>
        <w:t xml:space="preserve"> Company</w:t>
      </w:r>
      <w:r>
        <w:rPr>
          <w:sz w:val="24"/>
          <w:szCs w:val="24"/>
        </w:rPr>
        <w:tab/>
      </w:r>
      <w:r>
        <w:rPr>
          <w:sz w:val="24"/>
          <w:szCs w:val="24"/>
        </w:rPr>
        <w:tab/>
      </w:r>
      <w:r w:rsidR="00183666" w:rsidRPr="00183666">
        <w:rPr>
          <w:sz w:val="24"/>
          <w:szCs w:val="24"/>
        </w:rPr>
        <w:tab/>
      </w:r>
      <w:r w:rsidR="00183666">
        <w:rPr>
          <w:sz w:val="24"/>
          <w:szCs w:val="24"/>
        </w:rPr>
        <w:tab/>
      </w:r>
      <w:r w:rsidR="00183666" w:rsidRPr="00183666">
        <w:rPr>
          <w:sz w:val="24"/>
          <w:szCs w:val="24"/>
        </w:rPr>
        <w:t>:</w:t>
      </w:r>
    </w:p>
    <w:p w:rsidR="00C03057" w:rsidRPr="00183666" w:rsidRDefault="00C03057">
      <w:pPr>
        <w:jc w:val="both"/>
        <w:rPr>
          <w:sz w:val="24"/>
          <w:szCs w:val="24"/>
        </w:rPr>
      </w:pPr>
    </w:p>
    <w:p w:rsidR="00183666" w:rsidRPr="00183666" w:rsidRDefault="00183666">
      <w:pPr>
        <w:jc w:val="both"/>
        <w:rPr>
          <w:sz w:val="24"/>
          <w:szCs w:val="24"/>
        </w:rPr>
      </w:pPr>
    </w:p>
    <w:p w:rsidR="00183666" w:rsidRPr="00183666" w:rsidRDefault="00183666">
      <w:pPr>
        <w:jc w:val="both"/>
        <w:rPr>
          <w:sz w:val="24"/>
          <w:szCs w:val="24"/>
        </w:rPr>
      </w:pPr>
    </w:p>
    <w:p w:rsidR="00C765D6" w:rsidRPr="00E828A8" w:rsidRDefault="00183666" w:rsidP="00C466B5">
      <w:pPr>
        <w:pStyle w:val="Heading1"/>
        <w:rPr>
          <w:sz w:val="24"/>
          <w:szCs w:val="24"/>
          <w:u w:val="none"/>
        </w:rPr>
      </w:pPr>
      <w:r w:rsidRPr="00E828A8">
        <w:rPr>
          <w:sz w:val="24"/>
          <w:szCs w:val="24"/>
          <w:u w:val="none"/>
        </w:rPr>
        <w:t>INITIAL DECISION</w:t>
      </w:r>
      <w:r w:rsidR="00C765D6" w:rsidRPr="00E828A8">
        <w:rPr>
          <w:sz w:val="24"/>
          <w:szCs w:val="24"/>
          <w:u w:val="none"/>
        </w:rPr>
        <w:t xml:space="preserve"> </w:t>
      </w:r>
    </w:p>
    <w:p w:rsidR="00885A86" w:rsidRPr="00C466B5" w:rsidRDefault="00C765D6" w:rsidP="00C466B5">
      <w:pPr>
        <w:pStyle w:val="Heading1"/>
        <w:rPr>
          <w:b w:val="0"/>
          <w:sz w:val="24"/>
          <w:szCs w:val="24"/>
        </w:rPr>
      </w:pPr>
      <w:r>
        <w:rPr>
          <w:sz w:val="24"/>
          <w:szCs w:val="24"/>
        </w:rPr>
        <w:t>ON PRELIMINARY OBJECTION</w:t>
      </w:r>
    </w:p>
    <w:p w:rsidR="00183666" w:rsidRPr="00183666" w:rsidRDefault="00183666">
      <w:pPr>
        <w:jc w:val="center"/>
        <w:rPr>
          <w:sz w:val="24"/>
          <w:szCs w:val="24"/>
        </w:rPr>
      </w:pPr>
    </w:p>
    <w:p w:rsidR="00183666" w:rsidRPr="00183666" w:rsidRDefault="00183666">
      <w:pPr>
        <w:jc w:val="center"/>
        <w:rPr>
          <w:sz w:val="24"/>
          <w:szCs w:val="24"/>
        </w:rPr>
      </w:pPr>
    </w:p>
    <w:p w:rsidR="00183666" w:rsidRPr="00183666" w:rsidRDefault="00183666">
      <w:pPr>
        <w:jc w:val="center"/>
        <w:rPr>
          <w:sz w:val="24"/>
          <w:szCs w:val="24"/>
        </w:rPr>
      </w:pPr>
      <w:r w:rsidRPr="00183666">
        <w:rPr>
          <w:sz w:val="24"/>
          <w:szCs w:val="24"/>
        </w:rPr>
        <w:t>Before</w:t>
      </w:r>
    </w:p>
    <w:p w:rsidR="00183666" w:rsidRPr="00183666" w:rsidRDefault="005C5AB6">
      <w:pPr>
        <w:jc w:val="center"/>
        <w:rPr>
          <w:sz w:val="24"/>
          <w:szCs w:val="24"/>
        </w:rPr>
      </w:pPr>
      <w:r w:rsidRPr="005C5AB6">
        <w:rPr>
          <w:sz w:val="24"/>
          <w:szCs w:val="24"/>
        </w:rPr>
        <w:t>Katrina L. Dunderdale</w:t>
      </w:r>
    </w:p>
    <w:p w:rsidR="00183666" w:rsidRPr="00183666" w:rsidRDefault="00183666">
      <w:pPr>
        <w:jc w:val="center"/>
        <w:rPr>
          <w:sz w:val="24"/>
          <w:szCs w:val="24"/>
        </w:rPr>
      </w:pPr>
      <w:r w:rsidRPr="00183666">
        <w:rPr>
          <w:sz w:val="24"/>
          <w:szCs w:val="24"/>
        </w:rPr>
        <w:t>Administrative Law Judge</w:t>
      </w:r>
    </w:p>
    <w:p w:rsidR="00183666" w:rsidRPr="00183666" w:rsidRDefault="00183666">
      <w:pPr>
        <w:jc w:val="both"/>
        <w:rPr>
          <w:sz w:val="24"/>
          <w:szCs w:val="24"/>
        </w:rPr>
      </w:pPr>
    </w:p>
    <w:p w:rsidR="00183666" w:rsidRPr="00183666" w:rsidRDefault="00183666">
      <w:pPr>
        <w:jc w:val="both"/>
        <w:rPr>
          <w:sz w:val="24"/>
          <w:szCs w:val="24"/>
        </w:rPr>
      </w:pPr>
    </w:p>
    <w:p w:rsidR="00183666" w:rsidRDefault="00183666">
      <w:pPr>
        <w:pStyle w:val="Heading1"/>
        <w:rPr>
          <w:b w:val="0"/>
          <w:sz w:val="24"/>
          <w:szCs w:val="24"/>
        </w:rPr>
      </w:pPr>
      <w:r>
        <w:rPr>
          <w:b w:val="0"/>
          <w:sz w:val="24"/>
          <w:szCs w:val="24"/>
        </w:rPr>
        <w:t>HISTORY OF THE PROCEEDING</w:t>
      </w:r>
    </w:p>
    <w:p w:rsidR="00604AA8" w:rsidRPr="00604AA8" w:rsidRDefault="00604AA8" w:rsidP="00604AA8"/>
    <w:p w:rsidR="00183666" w:rsidRPr="00183666" w:rsidRDefault="00183666" w:rsidP="00183666">
      <w:pPr>
        <w:rPr>
          <w:sz w:val="24"/>
          <w:szCs w:val="24"/>
        </w:rPr>
      </w:pPr>
    </w:p>
    <w:p w:rsidR="00DF2DB1" w:rsidRDefault="00885A86" w:rsidP="00885A86">
      <w:pPr>
        <w:spacing w:line="360" w:lineRule="auto"/>
        <w:rPr>
          <w:sz w:val="24"/>
          <w:szCs w:val="24"/>
        </w:rPr>
      </w:pPr>
      <w:r>
        <w:rPr>
          <w:sz w:val="24"/>
          <w:szCs w:val="24"/>
        </w:rPr>
        <w:tab/>
      </w:r>
      <w:r>
        <w:rPr>
          <w:sz w:val="24"/>
          <w:szCs w:val="24"/>
        </w:rPr>
        <w:tab/>
        <w:t xml:space="preserve">On </w:t>
      </w:r>
      <w:r w:rsidR="00C765D6">
        <w:rPr>
          <w:sz w:val="24"/>
          <w:szCs w:val="24"/>
        </w:rPr>
        <w:t>March 19, 2012</w:t>
      </w:r>
      <w:r>
        <w:rPr>
          <w:sz w:val="24"/>
          <w:szCs w:val="24"/>
        </w:rPr>
        <w:t xml:space="preserve">, </w:t>
      </w:r>
      <w:r w:rsidR="00C765D6">
        <w:rPr>
          <w:sz w:val="24"/>
          <w:szCs w:val="24"/>
        </w:rPr>
        <w:t>Nehemiah Thomas</w:t>
      </w:r>
      <w:r>
        <w:rPr>
          <w:sz w:val="24"/>
          <w:szCs w:val="24"/>
        </w:rPr>
        <w:t xml:space="preserve"> (“Complainant”</w:t>
      </w:r>
      <w:r w:rsidR="00315CE8">
        <w:rPr>
          <w:sz w:val="24"/>
          <w:szCs w:val="24"/>
        </w:rPr>
        <w:t xml:space="preserve"> or “</w:t>
      </w:r>
      <w:r w:rsidR="00C765D6">
        <w:rPr>
          <w:sz w:val="24"/>
          <w:szCs w:val="24"/>
        </w:rPr>
        <w:t>Thomas</w:t>
      </w:r>
      <w:r w:rsidR="00473E67">
        <w:rPr>
          <w:sz w:val="24"/>
          <w:szCs w:val="24"/>
        </w:rPr>
        <w:t>”</w:t>
      </w:r>
      <w:r>
        <w:rPr>
          <w:sz w:val="24"/>
          <w:szCs w:val="24"/>
        </w:rPr>
        <w:t xml:space="preserve">) filed a </w:t>
      </w:r>
      <w:r w:rsidR="00742B33">
        <w:rPr>
          <w:sz w:val="24"/>
          <w:szCs w:val="24"/>
        </w:rPr>
        <w:t>f</w:t>
      </w:r>
      <w:r>
        <w:rPr>
          <w:sz w:val="24"/>
          <w:szCs w:val="24"/>
        </w:rPr>
        <w:t xml:space="preserve">ormal </w:t>
      </w:r>
      <w:r w:rsidR="00742B33">
        <w:rPr>
          <w:sz w:val="24"/>
          <w:szCs w:val="24"/>
        </w:rPr>
        <w:t>c</w:t>
      </w:r>
      <w:r>
        <w:rPr>
          <w:sz w:val="24"/>
          <w:szCs w:val="24"/>
        </w:rPr>
        <w:t xml:space="preserve">omplaint </w:t>
      </w:r>
      <w:r w:rsidR="00DF2DB1">
        <w:rPr>
          <w:sz w:val="24"/>
          <w:szCs w:val="24"/>
        </w:rPr>
        <w:t xml:space="preserve">with the </w:t>
      </w:r>
      <w:r w:rsidR="00746838">
        <w:rPr>
          <w:sz w:val="24"/>
          <w:szCs w:val="24"/>
        </w:rPr>
        <w:t xml:space="preserve">Pennsylvania </w:t>
      </w:r>
      <w:r w:rsidR="00DF2DB1">
        <w:rPr>
          <w:sz w:val="24"/>
          <w:szCs w:val="24"/>
        </w:rPr>
        <w:t xml:space="preserve">Public Utility Commission (“Commission”) </w:t>
      </w:r>
      <w:r>
        <w:rPr>
          <w:sz w:val="24"/>
          <w:szCs w:val="24"/>
        </w:rPr>
        <w:t xml:space="preserve">against </w:t>
      </w:r>
      <w:r w:rsidR="00C765D6">
        <w:rPr>
          <w:sz w:val="24"/>
          <w:szCs w:val="24"/>
        </w:rPr>
        <w:t>PECO Energy</w:t>
      </w:r>
      <w:r w:rsidR="00315CE8">
        <w:rPr>
          <w:sz w:val="24"/>
          <w:szCs w:val="24"/>
        </w:rPr>
        <w:t xml:space="preserve"> Company </w:t>
      </w:r>
      <w:r>
        <w:rPr>
          <w:sz w:val="24"/>
          <w:szCs w:val="24"/>
        </w:rPr>
        <w:t>(“Respondent” or “</w:t>
      </w:r>
      <w:r w:rsidR="00C765D6">
        <w:rPr>
          <w:sz w:val="24"/>
          <w:szCs w:val="24"/>
        </w:rPr>
        <w:t>PECO</w:t>
      </w:r>
      <w:r>
        <w:rPr>
          <w:sz w:val="24"/>
          <w:szCs w:val="24"/>
        </w:rPr>
        <w:t>”)</w:t>
      </w:r>
      <w:r w:rsidR="00315CE8">
        <w:rPr>
          <w:sz w:val="24"/>
          <w:szCs w:val="24"/>
        </w:rPr>
        <w:t xml:space="preserve">.  The formal complaint </w:t>
      </w:r>
      <w:r w:rsidR="00C765D6">
        <w:rPr>
          <w:sz w:val="24"/>
          <w:szCs w:val="24"/>
        </w:rPr>
        <w:t>claims there were incorrect charges on PECO’s billing statements</w:t>
      </w:r>
      <w:r w:rsidR="00DF2DB1">
        <w:rPr>
          <w:sz w:val="24"/>
          <w:szCs w:val="24"/>
        </w:rPr>
        <w:t>.</w:t>
      </w:r>
      <w:r w:rsidR="00C765D6">
        <w:rPr>
          <w:sz w:val="24"/>
          <w:szCs w:val="24"/>
        </w:rPr>
        <w:t xml:space="preserve">  In addition, Complainant alleged a PECO employee was trying to kill him, unnamed PECO employees were terrorists, PECO employees were following him around, PECO stole his bicycle</w:t>
      </w:r>
      <w:r w:rsidR="00264A8B">
        <w:rPr>
          <w:sz w:val="24"/>
          <w:szCs w:val="24"/>
        </w:rPr>
        <w:t>s in November 2011 and February 2012</w:t>
      </w:r>
      <w:r w:rsidR="00C765D6">
        <w:rPr>
          <w:sz w:val="24"/>
          <w:szCs w:val="24"/>
        </w:rPr>
        <w:t xml:space="preserve">, and PECO improperly terminated his electric service by illegally cutting his wires.  Complainant </w:t>
      </w:r>
      <w:r w:rsidR="00074C5A">
        <w:rPr>
          <w:sz w:val="24"/>
          <w:szCs w:val="24"/>
        </w:rPr>
        <w:t xml:space="preserve">specifically refers to a prior Commission proceeding (C-2010-2187197) where </w:t>
      </w:r>
      <w:r w:rsidR="00C765D6">
        <w:rPr>
          <w:sz w:val="24"/>
          <w:szCs w:val="24"/>
        </w:rPr>
        <w:t xml:space="preserve">the evidence in support of his allegations </w:t>
      </w:r>
      <w:r w:rsidR="00CF697C">
        <w:rPr>
          <w:sz w:val="24"/>
          <w:szCs w:val="24"/>
        </w:rPr>
        <w:t xml:space="preserve">in this proceeding </w:t>
      </w:r>
      <w:r w:rsidR="00974145">
        <w:rPr>
          <w:sz w:val="24"/>
          <w:szCs w:val="24"/>
        </w:rPr>
        <w:t>is</w:t>
      </w:r>
      <w:r w:rsidR="00C765D6">
        <w:rPr>
          <w:sz w:val="24"/>
          <w:szCs w:val="24"/>
        </w:rPr>
        <w:t xml:space="preserve"> in evidence already</w:t>
      </w:r>
      <w:r w:rsidR="00CF697C">
        <w:rPr>
          <w:sz w:val="24"/>
          <w:szCs w:val="24"/>
        </w:rPr>
        <w:t>.</w:t>
      </w:r>
      <w:r w:rsidR="00DF2DB1">
        <w:rPr>
          <w:sz w:val="24"/>
          <w:szCs w:val="24"/>
        </w:rPr>
        <w:t xml:space="preserve">  </w:t>
      </w:r>
    </w:p>
    <w:p w:rsidR="00647BBB" w:rsidRDefault="00647BBB" w:rsidP="00647BBB">
      <w:pPr>
        <w:spacing w:line="360" w:lineRule="auto"/>
        <w:ind w:firstLine="720"/>
        <w:rPr>
          <w:sz w:val="24"/>
          <w:szCs w:val="24"/>
        </w:rPr>
      </w:pPr>
    </w:p>
    <w:p w:rsidR="00F90A70" w:rsidRDefault="00647BBB" w:rsidP="00647BBB">
      <w:pPr>
        <w:spacing w:line="360" w:lineRule="auto"/>
        <w:ind w:firstLine="720"/>
        <w:rPr>
          <w:sz w:val="24"/>
          <w:szCs w:val="24"/>
        </w:rPr>
      </w:pPr>
      <w:r>
        <w:rPr>
          <w:sz w:val="24"/>
          <w:szCs w:val="24"/>
        </w:rPr>
        <w:tab/>
      </w:r>
      <w:r w:rsidR="00C765D6">
        <w:rPr>
          <w:sz w:val="24"/>
          <w:szCs w:val="24"/>
        </w:rPr>
        <w:t>PECO</w:t>
      </w:r>
      <w:r w:rsidR="00CC7235">
        <w:rPr>
          <w:sz w:val="24"/>
          <w:szCs w:val="24"/>
        </w:rPr>
        <w:t xml:space="preserve"> filed an </w:t>
      </w:r>
      <w:r w:rsidR="00C765D6">
        <w:rPr>
          <w:sz w:val="24"/>
          <w:szCs w:val="24"/>
        </w:rPr>
        <w:t>A</w:t>
      </w:r>
      <w:r w:rsidR="00CC7235">
        <w:rPr>
          <w:sz w:val="24"/>
          <w:szCs w:val="24"/>
        </w:rPr>
        <w:t xml:space="preserve">nswer </w:t>
      </w:r>
      <w:r w:rsidR="00C765D6">
        <w:rPr>
          <w:sz w:val="24"/>
          <w:szCs w:val="24"/>
        </w:rPr>
        <w:t xml:space="preserve">and Preliminary Objection </w:t>
      </w:r>
      <w:r w:rsidR="006D6DC7">
        <w:rPr>
          <w:sz w:val="24"/>
          <w:szCs w:val="24"/>
        </w:rPr>
        <w:t xml:space="preserve">on </w:t>
      </w:r>
      <w:r w:rsidR="00C765D6">
        <w:rPr>
          <w:sz w:val="24"/>
          <w:szCs w:val="24"/>
        </w:rPr>
        <w:t>April 11, 2012</w:t>
      </w:r>
      <w:r w:rsidR="00BE5CEA">
        <w:rPr>
          <w:sz w:val="24"/>
          <w:szCs w:val="24"/>
        </w:rPr>
        <w:t>.</w:t>
      </w:r>
      <w:r w:rsidR="006D6DC7">
        <w:rPr>
          <w:sz w:val="24"/>
          <w:szCs w:val="24"/>
        </w:rPr>
        <w:t xml:space="preserve">  The </w:t>
      </w:r>
      <w:r w:rsidR="00C765D6">
        <w:rPr>
          <w:sz w:val="24"/>
          <w:szCs w:val="24"/>
        </w:rPr>
        <w:t>A</w:t>
      </w:r>
      <w:r w:rsidR="006D6DC7">
        <w:rPr>
          <w:sz w:val="24"/>
          <w:szCs w:val="24"/>
        </w:rPr>
        <w:t xml:space="preserve">nswer </w:t>
      </w:r>
      <w:r w:rsidR="00C765D6">
        <w:rPr>
          <w:sz w:val="24"/>
          <w:szCs w:val="24"/>
        </w:rPr>
        <w:t xml:space="preserve">denied the allegations of fact and conclusions of law as stated in the formal complaint.  The Preliminary Objection contended the Public Utility Commission lacks subject matter jurisdiction over any criminal matters, and the legal theory of </w:t>
      </w:r>
      <w:r w:rsidR="00C765D6" w:rsidRPr="00D15629">
        <w:rPr>
          <w:i/>
          <w:sz w:val="24"/>
          <w:szCs w:val="24"/>
        </w:rPr>
        <w:t>res judicata</w:t>
      </w:r>
      <w:r w:rsidR="00C765D6">
        <w:rPr>
          <w:sz w:val="24"/>
          <w:szCs w:val="24"/>
        </w:rPr>
        <w:t xml:space="preserve"> precludes Complainant from </w:t>
      </w:r>
      <w:r w:rsidR="00C765D6">
        <w:rPr>
          <w:sz w:val="24"/>
          <w:szCs w:val="24"/>
        </w:rPr>
        <w:lastRenderedPageBreak/>
        <w:t>re</w:t>
      </w:r>
      <w:r w:rsidR="008653EF">
        <w:rPr>
          <w:sz w:val="24"/>
          <w:szCs w:val="24"/>
        </w:rPr>
        <w:noBreakHyphen/>
      </w:r>
      <w:r w:rsidR="00C765D6">
        <w:rPr>
          <w:sz w:val="24"/>
          <w:szCs w:val="24"/>
        </w:rPr>
        <w:t xml:space="preserve">litigating the same matter already litigated fully in the prior proceeding docketed at No. </w:t>
      </w:r>
      <w:proofErr w:type="gramStart"/>
      <w:r w:rsidR="00C765D6">
        <w:rPr>
          <w:sz w:val="24"/>
          <w:szCs w:val="24"/>
        </w:rPr>
        <w:t>C-2010-21871</w:t>
      </w:r>
      <w:r w:rsidR="00391221">
        <w:rPr>
          <w:sz w:val="24"/>
          <w:szCs w:val="24"/>
        </w:rPr>
        <w:t>97</w:t>
      </w:r>
      <w:r w:rsidR="006D6DC7">
        <w:rPr>
          <w:sz w:val="24"/>
          <w:szCs w:val="24"/>
        </w:rPr>
        <w:t>.</w:t>
      </w:r>
      <w:proofErr w:type="gramEnd"/>
      <w:r w:rsidR="006D6DC7">
        <w:rPr>
          <w:sz w:val="24"/>
          <w:szCs w:val="24"/>
        </w:rPr>
        <w:t xml:space="preserve">  </w:t>
      </w:r>
      <w:r w:rsidR="00BE5CEA">
        <w:rPr>
          <w:sz w:val="24"/>
          <w:szCs w:val="24"/>
        </w:rPr>
        <w:t xml:space="preserve">  </w:t>
      </w:r>
    </w:p>
    <w:p w:rsidR="0016462D" w:rsidRDefault="0016462D" w:rsidP="00647BBB">
      <w:pPr>
        <w:spacing w:line="360" w:lineRule="auto"/>
        <w:ind w:firstLine="720"/>
        <w:rPr>
          <w:sz w:val="24"/>
          <w:szCs w:val="24"/>
        </w:rPr>
      </w:pPr>
    </w:p>
    <w:p w:rsidR="006B0C8B" w:rsidRDefault="006B0C8B" w:rsidP="00E83B04">
      <w:pPr>
        <w:tabs>
          <w:tab w:val="left" w:pos="3330"/>
        </w:tabs>
        <w:spacing w:line="360" w:lineRule="auto"/>
        <w:ind w:firstLine="1440"/>
        <w:rPr>
          <w:sz w:val="24"/>
          <w:szCs w:val="24"/>
        </w:rPr>
      </w:pPr>
      <w:r>
        <w:rPr>
          <w:sz w:val="24"/>
          <w:szCs w:val="24"/>
        </w:rPr>
        <w:t xml:space="preserve">The Preliminary Objection contained a ten-day Notice to Plead advising Complainant that he must file a written response to the Preliminary Objection within ten days or a ruling may be entered against him.  Complainant responded to PECO’s Preliminary Objection </w:t>
      </w:r>
      <w:r w:rsidR="00974145">
        <w:rPr>
          <w:sz w:val="24"/>
          <w:szCs w:val="24"/>
        </w:rPr>
        <w:t>on April 20, 2012, in which he disagreed with the Preliminary Objection</w:t>
      </w:r>
      <w:r>
        <w:rPr>
          <w:sz w:val="24"/>
          <w:szCs w:val="24"/>
        </w:rPr>
        <w:t>.</w:t>
      </w:r>
      <w:r w:rsidR="00974145">
        <w:rPr>
          <w:sz w:val="24"/>
          <w:szCs w:val="24"/>
        </w:rPr>
        <w:t xml:space="preserve">  Thomas noted his evidence was the same evidence disallowed in the previous proceeding and he wanted to clarify it.</w:t>
      </w:r>
      <w:r>
        <w:rPr>
          <w:sz w:val="24"/>
          <w:szCs w:val="24"/>
        </w:rPr>
        <w:t xml:space="preserve">   </w:t>
      </w:r>
    </w:p>
    <w:p w:rsidR="006B0C8B" w:rsidRDefault="006B0C8B" w:rsidP="00647BBB">
      <w:pPr>
        <w:spacing w:line="360" w:lineRule="auto"/>
        <w:ind w:firstLine="720"/>
        <w:rPr>
          <w:sz w:val="24"/>
          <w:szCs w:val="24"/>
        </w:rPr>
      </w:pPr>
    </w:p>
    <w:p w:rsidR="00F90A70" w:rsidRPr="00AD34F0" w:rsidRDefault="00BE5CEA" w:rsidP="00AD34F0">
      <w:pPr>
        <w:spacing w:line="360" w:lineRule="auto"/>
        <w:rPr>
          <w:sz w:val="24"/>
          <w:szCs w:val="24"/>
        </w:rPr>
      </w:pPr>
      <w:r>
        <w:rPr>
          <w:sz w:val="24"/>
          <w:szCs w:val="24"/>
        </w:rPr>
        <w:tab/>
      </w:r>
      <w:r>
        <w:rPr>
          <w:sz w:val="24"/>
          <w:szCs w:val="24"/>
        </w:rPr>
        <w:tab/>
        <w:t xml:space="preserve">On </w:t>
      </w:r>
      <w:r w:rsidR="006B0C8B">
        <w:rPr>
          <w:sz w:val="24"/>
          <w:szCs w:val="24"/>
        </w:rPr>
        <w:t>May 2, 2012</w:t>
      </w:r>
      <w:r>
        <w:rPr>
          <w:sz w:val="24"/>
          <w:szCs w:val="24"/>
        </w:rPr>
        <w:t xml:space="preserve">, the Office of Administrative Law Judge (“OALJ”) issued a </w:t>
      </w:r>
      <w:r w:rsidR="006B0C8B" w:rsidRPr="00AD34F0">
        <w:rPr>
          <w:sz w:val="24"/>
          <w:szCs w:val="24"/>
        </w:rPr>
        <w:t>Motion Judge Assignment Notice, which advised Complainant and PECO the undersigned Administrative Law Judge was assigned to resolve issues arising in the preliminary phase of this proceeding</w:t>
      </w:r>
      <w:r w:rsidR="00540ECF" w:rsidRPr="00AD34F0">
        <w:rPr>
          <w:sz w:val="24"/>
          <w:szCs w:val="24"/>
        </w:rPr>
        <w:t xml:space="preserve">.  The </w:t>
      </w:r>
      <w:r w:rsidR="006B0C8B" w:rsidRPr="00AD34F0">
        <w:rPr>
          <w:sz w:val="24"/>
          <w:szCs w:val="24"/>
        </w:rPr>
        <w:t>Notice</w:t>
      </w:r>
      <w:r w:rsidR="00540ECF" w:rsidRPr="00AD34F0">
        <w:rPr>
          <w:sz w:val="24"/>
          <w:szCs w:val="24"/>
        </w:rPr>
        <w:t xml:space="preserve"> was mailed to Complainant and </w:t>
      </w:r>
      <w:r w:rsidR="006B0C8B" w:rsidRPr="00AD34F0">
        <w:rPr>
          <w:sz w:val="24"/>
          <w:szCs w:val="24"/>
        </w:rPr>
        <w:t>PECO</w:t>
      </w:r>
      <w:r w:rsidR="00540ECF" w:rsidRPr="00AD34F0">
        <w:rPr>
          <w:sz w:val="24"/>
          <w:szCs w:val="24"/>
        </w:rPr>
        <w:t>.</w:t>
      </w:r>
    </w:p>
    <w:p w:rsidR="00A75C6C" w:rsidRPr="00AD34F0" w:rsidRDefault="00A75C6C" w:rsidP="00AD34F0">
      <w:pPr>
        <w:spacing w:line="360" w:lineRule="auto"/>
        <w:rPr>
          <w:sz w:val="24"/>
          <w:szCs w:val="24"/>
          <w:u w:val="single"/>
        </w:rPr>
      </w:pPr>
    </w:p>
    <w:p w:rsidR="002A08F6" w:rsidRPr="00AD34F0" w:rsidRDefault="002A08F6" w:rsidP="00AD34F0">
      <w:pPr>
        <w:spacing w:line="360" w:lineRule="auto"/>
        <w:jc w:val="center"/>
        <w:rPr>
          <w:sz w:val="24"/>
          <w:szCs w:val="24"/>
        </w:rPr>
      </w:pPr>
      <w:r w:rsidRPr="00AD34F0">
        <w:rPr>
          <w:sz w:val="24"/>
          <w:szCs w:val="24"/>
          <w:u w:val="single"/>
        </w:rPr>
        <w:t>DISCUSSION</w:t>
      </w:r>
    </w:p>
    <w:p w:rsidR="00AD34F0" w:rsidRPr="00AD34F0" w:rsidRDefault="00AD34F0" w:rsidP="00AD34F0">
      <w:pPr>
        <w:spacing w:line="360" w:lineRule="auto"/>
        <w:jc w:val="center"/>
        <w:rPr>
          <w:sz w:val="24"/>
          <w:szCs w:val="24"/>
          <w:u w:val="single"/>
        </w:rPr>
      </w:pPr>
    </w:p>
    <w:p w:rsidR="00AD34F0" w:rsidRPr="00AD34F0" w:rsidRDefault="00AD34F0" w:rsidP="00AD34F0">
      <w:pPr>
        <w:spacing w:line="360" w:lineRule="auto"/>
        <w:rPr>
          <w:sz w:val="24"/>
          <w:szCs w:val="24"/>
        </w:rPr>
      </w:pPr>
      <w:r w:rsidRPr="00AD34F0">
        <w:rPr>
          <w:sz w:val="24"/>
          <w:szCs w:val="24"/>
        </w:rPr>
        <w:tab/>
      </w:r>
      <w:r w:rsidRPr="00AD34F0">
        <w:rPr>
          <w:sz w:val="24"/>
          <w:szCs w:val="24"/>
        </w:rPr>
        <w:tab/>
        <w:t>The Commission’s Rules of Administrative Practice and Procedure permit the filing of Preliminary Motions.</w:t>
      </w:r>
      <w:r>
        <w:rPr>
          <w:rStyle w:val="FootnoteReference"/>
          <w:sz w:val="24"/>
          <w:szCs w:val="24"/>
        </w:rPr>
        <w:footnoteReference w:id="1"/>
      </w:r>
      <w:r w:rsidRPr="00AD34F0">
        <w:rPr>
          <w:sz w:val="24"/>
          <w:szCs w:val="24"/>
        </w:rPr>
        <w:t xml:space="preserve">  Commission preliminary motion practice is similar to Pennsylvania civil practice respecting the filing of preliminary objections.</w:t>
      </w:r>
      <w:r>
        <w:rPr>
          <w:rStyle w:val="FootnoteReference"/>
          <w:sz w:val="24"/>
          <w:szCs w:val="24"/>
        </w:rPr>
        <w:footnoteReference w:id="2"/>
      </w:r>
      <w:r w:rsidRPr="00AD34F0">
        <w:rPr>
          <w:sz w:val="24"/>
          <w:szCs w:val="24"/>
        </w:rPr>
        <w:t xml:space="preserve">  Commission regulations permit the filing of a preliminary motion questioning the jurisdiction of the Commission.</w:t>
      </w:r>
      <w:r>
        <w:rPr>
          <w:rStyle w:val="FootnoteReference"/>
          <w:sz w:val="24"/>
          <w:szCs w:val="24"/>
        </w:rPr>
        <w:footnoteReference w:id="3"/>
      </w:r>
      <w:r w:rsidRPr="00AD34F0">
        <w:rPr>
          <w:sz w:val="24"/>
          <w:szCs w:val="24"/>
        </w:rPr>
        <w:t xml:space="preserve">  </w:t>
      </w:r>
    </w:p>
    <w:p w:rsidR="00AD34F0" w:rsidRPr="00AD34F0" w:rsidRDefault="00AD34F0" w:rsidP="00AD34F0">
      <w:pPr>
        <w:spacing w:line="360" w:lineRule="auto"/>
        <w:rPr>
          <w:sz w:val="24"/>
          <w:szCs w:val="24"/>
        </w:rPr>
      </w:pPr>
    </w:p>
    <w:p w:rsidR="00AD34F0" w:rsidRPr="00AD34F0" w:rsidRDefault="00AD34F0" w:rsidP="00AD34F0">
      <w:pPr>
        <w:spacing w:line="360" w:lineRule="auto"/>
        <w:rPr>
          <w:sz w:val="24"/>
          <w:szCs w:val="24"/>
        </w:rPr>
      </w:pPr>
      <w:r w:rsidRPr="00AD34F0">
        <w:rPr>
          <w:sz w:val="24"/>
          <w:szCs w:val="24"/>
        </w:rPr>
        <w:tab/>
      </w:r>
      <w:r w:rsidRPr="00AD34F0">
        <w:rPr>
          <w:sz w:val="24"/>
          <w:szCs w:val="24"/>
        </w:rPr>
        <w:tab/>
        <w:t>In ruling on a motion to dismiss, the Commission must assume, for decisional purposes only, that the factual allegations of the Complaint are true.</w:t>
      </w:r>
      <w:r>
        <w:rPr>
          <w:rStyle w:val="FootnoteReference"/>
          <w:sz w:val="24"/>
          <w:szCs w:val="24"/>
        </w:rPr>
        <w:footnoteReference w:id="4"/>
      </w:r>
      <w:r w:rsidRPr="00AD34F0">
        <w:rPr>
          <w:sz w:val="24"/>
          <w:szCs w:val="24"/>
        </w:rPr>
        <w:t xml:space="preserve">  The motion may be granted only if the moving party prevails as a matter of law.</w:t>
      </w:r>
      <w:r>
        <w:rPr>
          <w:rStyle w:val="FootnoteReference"/>
          <w:sz w:val="24"/>
          <w:szCs w:val="24"/>
        </w:rPr>
        <w:footnoteReference w:id="5"/>
      </w:r>
      <w:r w:rsidRPr="00AD34F0">
        <w:rPr>
          <w:sz w:val="24"/>
          <w:szCs w:val="24"/>
        </w:rPr>
        <w:t xml:space="preserve">  </w:t>
      </w:r>
    </w:p>
    <w:p w:rsidR="00957E9E" w:rsidRDefault="00957E9E" w:rsidP="00957E9E">
      <w:pPr>
        <w:spacing w:line="360" w:lineRule="auto"/>
        <w:ind w:firstLine="1440"/>
        <w:rPr>
          <w:sz w:val="24"/>
          <w:szCs w:val="24"/>
        </w:rPr>
      </w:pPr>
      <w:r>
        <w:rPr>
          <w:sz w:val="24"/>
          <w:szCs w:val="24"/>
        </w:rPr>
        <w:lastRenderedPageBreak/>
        <w:t>PECO contends the Commission should dismiss the formal complaint against it because the formal complaint is legally insufficient, the Commission does not have subject matter jurisdiction o</w:t>
      </w:r>
      <w:r w:rsidR="00AA6C4D">
        <w:rPr>
          <w:sz w:val="24"/>
          <w:szCs w:val="24"/>
        </w:rPr>
        <w:t>ver</w:t>
      </w:r>
      <w:r>
        <w:rPr>
          <w:sz w:val="24"/>
          <w:szCs w:val="24"/>
        </w:rPr>
        <w:t xml:space="preserve"> the allegations and the proceeding is barred by the theory of </w:t>
      </w:r>
      <w:r w:rsidRPr="001C5B31">
        <w:rPr>
          <w:i/>
          <w:sz w:val="24"/>
          <w:szCs w:val="24"/>
        </w:rPr>
        <w:t>res judicata</w:t>
      </w:r>
      <w:r>
        <w:rPr>
          <w:sz w:val="24"/>
          <w:szCs w:val="24"/>
        </w:rPr>
        <w:t xml:space="preserve">.  PECO avers the statements of Thomas are argumentative allegations or expressions of Complainant’s opinion.  However, PECO argues that, even if all the facts as alleged by Complainant are correct, the Commission must dismiss the formal complaint because the matters were previously litigated.  To the extent Thomas cites to new issues, PECO contends those issues involve criminal law and are beyond the Commission’s subject matter jurisdiction.  </w:t>
      </w:r>
    </w:p>
    <w:p w:rsidR="00957E9E" w:rsidRPr="00AD34F0" w:rsidRDefault="00957E9E" w:rsidP="00AD34F0">
      <w:pPr>
        <w:spacing w:line="360" w:lineRule="auto"/>
        <w:rPr>
          <w:sz w:val="24"/>
          <w:szCs w:val="24"/>
        </w:rPr>
      </w:pPr>
    </w:p>
    <w:p w:rsidR="00765D3E" w:rsidRPr="00765D3E" w:rsidRDefault="006B0C8B" w:rsidP="00765D3E">
      <w:pPr>
        <w:spacing w:line="360" w:lineRule="auto"/>
        <w:rPr>
          <w:sz w:val="24"/>
          <w:szCs w:val="24"/>
          <w:u w:val="single"/>
        </w:rPr>
      </w:pPr>
      <w:r>
        <w:rPr>
          <w:sz w:val="24"/>
          <w:szCs w:val="24"/>
          <w:u w:val="single"/>
        </w:rPr>
        <w:t>Docket Number C-2010-21871</w:t>
      </w:r>
      <w:r w:rsidR="0039739B">
        <w:rPr>
          <w:sz w:val="24"/>
          <w:szCs w:val="24"/>
          <w:u w:val="single"/>
        </w:rPr>
        <w:t>97</w:t>
      </w:r>
    </w:p>
    <w:p w:rsidR="00765D3E" w:rsidRDefault="00765D3E" w:rsidP="0058589A">
      <w:pPr>
        <w:spacing w:line="360" w:lineRule="auto"/>
        <w:rPr>
          <w:sz w:val="24"/>
          <w:szCs w:val="24"/>
        </w:rPr>
      </w:pPr>
    </w:p>
    <w:p w:rsidR="00222326" w:rsidRDefault="006B0C8B" w:rsidP="0058589A">
      <w:pPr>
        <w:spacing w:line="360" w:lineRule="auto"/>
        <w:rPr>
          <w:sz w:val="24"/>
          <w:szCs w:val="24"/>
        </w:rPr>
      </w:pPr>
      <w:r>
        <w:rPr>
          <w:sz w:val="24"/>
          <w:szCs w:val="24"/>
        </w:rPr>
        <w:tab/>
      </w:r>
      <w:r>
        <w:rPr>
          <w:sz w:val="24"/>
          <w:szCs w:val="24"/>
        </w:rPr>
        <w:tab/>
        <w:t>Complainant initiated this proceeding by filing a formal complaint against Respondent on July 8, 2010.  In that complaint, Complainant alleged generally there were incorrect charges on his PECO bills</w:t>
      </w:r>
      <w:r w:rsidR="005C39D9">
        <w:rPr>
          <w:sz w:val="24"/>
          <w:szCs w:val="24"/>
        </w:rPr>
        <w:t xml:space="preserve"> from December 2007 to June 2008</w:t>
      </w:r>
      <w:r>
        <w:rPr>
          <w:sz w:val="24"/>
          <w:szCs w:val="24"/>
        </w:rPr>
        <w:t xml:space="preserve"> and there was a reliability, safety or quality problem with his utility service.  Specifically, the formal complaint alleged there were overcharges on his account done with the intention of killing him by leaving him in the cold, and a terrorist group knew his disability forces his body </w:t>
      </w:r>
      <w:r w:rsidR="00E542D6">
        <w:rPr>
          <w:sz w:val="24"/>
          <w:szCs w:val="24"/>
        </w:rPr>
        <w:t xml:space="preserve">temperature </w:t>
      </w:r>
      <w:r>
        <w:rPr>
          <w:sz w:val="24"/>
          <w:szCs w:val="24"/>
        </w:rPr>
        <w:t>to drop extremely low.  Complainant alleged his electric bills should only be $10 to $15 per month and he wanted PECO to install a new service entrance wire.</w:t>
      </w:r>
    </w:p>
    <w:p w:rsidR="00222326" w:rsidRDefault="00222326" w:rsidP="0058589A">
      <w:pPr>
        <w:spacing w:line="360" w:lineRule="auto"/>
        <w:rPr>
          <w:sz w:val="24"/>
          <w:szCs w:val="24"/>
        </w:rPr>
      </w:pPr>
    </w:p>
    <w:p w:rsidR="006B0C8B" w:rsidRDefault="00222326" w:rsidP="0058589A">
      <w:pPr>
        <w:spacing w:line="360" w:lineRule="auto"/>
        <w:rPr>
          <w:sz w:val="24"/>
          <w:szCs w:val="24"/>
        </w:rPr>
      </w:pPr>
      <w:r>
        <w:rPr>
          <w:sz w:val="24"/>
          <w:szCs w:val="24"/>
        </w:rPr>
        <w:tab/>
      </w:r>
      <w:r>
        <w:rPr>
          <w:sz w:val="24"/>
          <w:szCs w:val="24"/>
        </w:rPr>
        <w:tab/>
        <w:t>Telephonic hearings were held with the parties on April 4, 2011 and on July 22, 2011, and the hearing record closed on August 18, 2011.  The Commission issued an Initial Decision on September 14, 2011, which denied the formal complaint due to Thomas’ failure to carry the burden of proof.  The Commission issued a Final Order in this proceeding on November</w:t>
      </w:r>
      <w:r w:rsidR="00D4426E">
        <w:rPr>
          <w:sz w:val="24"/>
          <w:szCs w:val="24"/>
        </w:rPr>
        <w:t> </w:t>
      </w:r>
      <w:r>
        <w:rPr>
          <w:sz w:val="24"/>
          <w:szCs w:val="24"/>
        </w:rPr>
        <w:t>15, 2011, which adopted the Initial Decision, with modification, and dismissed Thomas’ formal complaint against PECO.</w:t>
      </w:r>
    </w:p>
    <w:p w:rsidR="007C59F0" w:rsidRPr="007C59F0" w:rsidRDefault="007C59F0" w:rsidP="0058589A">
      <w:pPr>
        <w:spacing w:line="360" w:lineRule="auto"/>
        <w:rPr>
          <w:sz w:val="24"/>
          <w:szCs w:val="24"/>
        </w:rPr>
      </w:pPr>
    </w:p>
    <w:p w:rsidR="007C59F0" w:rsidRPr="007C59F0" w:rsidRDefault="007C59F0" w:rsidP="0058589A">
      <w:pPr>
        <w:spacing w:line="360" w:lineRule="auto"/>
        <w:rPr>
          <w:sz w:val="24"/>
          <w:szCs w:val="24"/>
        </w:rPr>
      </w:pPr>
      <w:r w:rsidRPr="007C59F0">
        <w:rPr>
          <w:sz w:val="24"/>
          <w:szCs w:val="24"/>
        </w:rPr>
        <w:tab/>
      </w:r>
      <w:r w:rsidRPr="007C59F0">
        <w:rPr>
          <w:sz w:val="24"/>
          <w:szCs w:val="24"/>
        </w:rPr>
        <w:tab/>
        <w:t xml:space="preserve">The Final Order agreed with the ultimate outcome in the case as specified in the Initial Decision dated September 14, 2011 but clarified statements in the Initial Decision concerning the rule, and its progeny, as first established by the Commission in </w:t>
      </w:r>
      <w:r w:rsidRPr="007C59F0">
        <w:rPr>
          <w:sz w:val="24"/>
          <w:szCs w:val="24"/>
          <w:u w:val="single"/>
        </w:rPr>
        <w:t>Waldron v</w:t>
      </w:r>
      <w:r w:rsidR="00702FDE">
        <w:rPr>
          <w:sz w:val="24"/>
          <w:szCs w:val="24"/>
          <w:u w:val="single"/>
        </w:rPr>
        <w:t>.</w:t>
      </w:r>
      <w:r w:rsidRPr="007C59F0">
        <w:rPr>
          <w:sz w:val="24"/>
          <w:szCs w:val="24"/>
          <w:u w:val="single"/>
        </w:rPr>
        <w:t xml:space="preserve"> Philadelphia Electric Company</w:t>
      </w:r>
      <w:r w:rsidRPr="007C59F0">
        <w:rPr>
          <w:sz w:val="24"/>
          <w:szCs w:val="24"/>
        </w:rPr>
        <w:t xml:space="preserve">, 54 Pa. P.U.C. 98 (1980).  This rule, referred to as the Waldron Rule, provides a </w:t>
      </w:r>
      <w:r w:rsidRPr="007C59F0">
        <w:rPr>
          <w:sz w:val="24"/>
          <w:szCs w:val="24"/>
        </w:rPr>
        <w:lastRenderedPageBreak/>
        <w:t xml:space="preserve">complainant in a high bill dispute with </w:t>
      </w:r>
      <w:r>
        <w:rPr>
          <w:sz w:val="24"/>
          <w:szCs w:val="24"/>
        </w:rPr>
        <w:t xml:space="preserve">a list of </w:t>
      </w:r>
      <w:r w:rsidRPr="007C59F0">
        <w:rPr>
          <w:sz w:val="24"/>
          <w:szCs w:val="24"/>
        </w:rPr>
        <w:t xml:space="preserve">factors which, if </w:t>
      </w:r>
      <w:r>
        <w:rPr>
          <w:sz w:val="24"/>
          <w:szCs w:val="24"/>
        </w:rPr>
        <w:t xml:space="preserve">a complainant can present and prove these factors </w:t>
      </w:r>
      <w:r w:rsidRPr="007C59F0">
        <w:rPr>
          <w:sz w:val="24"/>
          <w:szCs w:val="24"/>
        </w:rPr>
        <w:t xml:space="preserve">at </w:t>
      </w:r>
      <w:r>
        <w:rPr>
          <w:sz w:val="24"/>
          <w:szCs w:val="24"/>
        </w:rPr>
        <w:t>a</w:t>
      </w:r>
      <w:r w:rsidRPr="007C59F0">
        <w:rPr>
          <w:sz w:val="24"/>
          <w:szCs w:val="24"/>
        </w:rPr>
        <w:t xml:space="preserve"> hearing,</w:t>
      </w:r>
      <w:r>
        <w:rPr>
          <w:sz w:val="24"/>
          <w:szCs w:val="24"/>
        </w:rPr>
        <w:t xml:space="preserve"> a complainant can</w:t>
      </w:r>
      <w:r w:rsidRPr="007C59F0">
        <w:rPr>
          <w:sz w:val="24"/>
          <w:szCs w:val="24"/>
        </w:rPr>
        <w:t xml:space="preserve"> establish a prima facie case against the utility</w:t>
      </w:r>
      <w:r>
        <w:rPr>
          <w:sz w:val="24"/>
          <w:szCs w:val="24"/>
        </w:rPr>
        <w:t xml:space="preserve">.  The Waldron Rule, </w:t>
      </w:r>
      <w:r w:rsidRPr="007C59F0">
        <w:rPr>
          <w:i/>
          <w:sz w:val="24"/>
          <w:szCs w:val="24"/>
        </w:rPr>
        <w:t>inter alia</w:t>
      </w:r>
      <w:r>
        <w:rPr>
          <w:sz w:val="24"/>
          <w:szCs w:val="24"/>
        </w:rPr>
        <w:t>, is meant to</w:t>
      </w:r>
      <w:r w:rsidRPr="007C59F0">
        <w:rPr>
          <w:sz w:val="24"/>
          <w:szCs w:val="24"/>
        </w:rPr>
        <w:t xml:space="preserve"> avoid requiring a new customer to produce evidence concerning prior usage </w:t>
      </w:r>
      <w:r>
        <w:rPr>
          <w:sz w:val="24"/>
          <w:szCs w:val="24"/>
        </w:rPr>
        <w:t>when the new customer could not be in possession of such</w:t>
      </w:r>
      <w:r w:rsidRPr="007C59F0">
        <w:rPr>
          <w:sz w:val="24"/>
          <w:szCs w:val="24"/>
        </w:rPr>
        <w:t xml:space="preserve"> facts.  The Final Order agreed Complainant had not met his burden of proving he was over-billed and, in all other aspects, the Final Order did not disturb the dismissal of the formal complaint.</w:t>
      </w:r>
    </w:p>
    <w:p w:rsidR="006B0C8B" w:rsidRDefault="006B0C8B" w:rsidP="0058589A">
      <w:pPr>
        <w:spacing w:line="360" w:lineRule="auto"/>
        <w:rPr>
          <w:sz w:val="24"/>
          <w:szCs w:val="24"/>
        </w:rPr>
      </w:pPr>
    </w:p>
    <w:p w:rsidR="007C59F0" w:rsidRPr="007C59F0" w:rsidRDefault="007C59F0" w:rsidP="0058589A">
      <w:pPr>
        <w:spacing w:line="360" w:lineRule="auto"/>
        <w:rPr>
          <w:i/>
          <w:sz w:val="24"/>
          <w:szCs w:val="24"/>
          <w:u w:val="single"/>
        </w:rPr>
      </w:pPr>
      <w:r w:rsidRPr="007C59F0">
        <w:rPr>
          <w:i/>
          <w:sz w:val="24"/>
          <w:szCs w:val="24"/>
          <w:u w:val="single"/>
        </w:rPr>
        <w:t>Res Judicata</w:t>
      </w:r>
    </w:p>
    <w:p w:rsidR="007C59F0" w:rsidRPr="007C59F0" w:rsidRDefault="007C59F0" w:rsidP="0058589A">
      <w:pPr>
        <w:spacing w:line="360" w:lineRule="auto"/>
        <w:rPr>
          <w:sz w:val="24"/>
          <w:szCs w:val="24"/>
        </w:rPr>
      </w:pPr>
    </w:p>
    <w:p w:rsidR="0058589A" w:rsidRDefault="0058589A" w:rsidP="0058589A">
      <w:pPr>
        <w:spacing w:line="360" w:lineRule="auto"/>
        <w:rPr>
          <w:sz w:val="24"/>
          <w:szCs w:val="24"/>
        </w:rPr>
      </w:pPr>
      <w:r w:rsidRPr="007C59F0">
        <w:rPr>
          <w:sz w:val="24"/>
          <w:szCs w:val="24"/>
        </w:rPr>
        <w:tab/>
      </w:r>
      <w:r w:rsidRPr="007C59F0">
        <w:rPr>
          <w:sz w:val="24"/>
          <w:szCs w:val="24"/>
        </w:rPr>
        <w:tab/>
        <w:t xml:space="preserve">The doctrine of </w:t>
      </w:r>
      <w:r w:rsidRPr="007C59F0">
        <w:rPr>
          <w:i/>
          <w:sz w:val="24"/>
          <w:szCs w:val="24"/>
        </w:rPr>
        <w:t>res judicata</w:t>
      </w:r>
      <w:r w:rsidRPr="007C59F0">
        <w:rPr>
          <w:sz w:val="24"/>
          <w:szCs w:val="24"/>
        </w:rPr>
        <w:t xml:space="preserve"> reflects the refusal of the law to tolerate the re</w:t>
      </w:r>
      <w:r w:rsidR="0076544C" w:rsidRPr="007C59F0">
        <w:rPr>
          <w:sz w:val="24"/>
          <w:szCs w:val="24"/>
        </w:rPr>
        <w:noBreakHyphen/>
      </w:r>
      <w:r w:rsidRPr="007C59F0">
        <w:rPr>
          <w:sz w:val="24"/>
          <w:szCs w:val="24"/>
        </w:rPr>
        <w:t xml:space="preserve">litigation of a matter decided by a court of competent jurisdiction.  A final valid judgment on the merits by a court of competent jurisdiction </w:t>
      </w:r>
      <w:r w:rsidRPr="001D4348">
        <w:rPr>
          <w:sz w:val="24"/>
          <w:szCs w:val="24"/>
        </w:rPr>
        <w:t xml:space="preserve">bars any future suit between the same parties on the same cause of action. </w:t>
      </w:r>
      <w:r>
        <w:rPr>
          <w:sz w:val="24"/>
          <w:szCs w:val="24"/>
        </w:rPr>
        <w:t xml:space="preserve"> </w:t>
      </w:r>
      <w:r w:rsidRPr="001D4348">
        <w:rPr>
          <w:sz w:val="24"/>
          <w:szCs w:val="24"/>
        </w:rPr>
        <w:t xml:space="preserve">For the doctrine to prevail, four conditions must be met: </w:t>
      </w:r>
      <w:r w:rsidR="00E57579">
        <w:rPr>
          <w:sz w:val="24"/>
          <w:szCs w:val="24"/>
        </w:rPr>
        <w:t xml:space="preserve"> </w:t>
      </w:r>
      <w:r w:rsidRPr="001D4348">
        <w:rPr>
          <w:sz w:val="24"/>
          <w:szCs w:val="24"/>
        </w:rPr>
        <w:t>(1) identity of issues, (2) identity of causes of action, (3) identity of persons and parties to the action, and (4)</w:t>
      </w:r>
      <w:r w:rsidR="0076544C">
        <w:rPr>
          <w:sz w:val="24"/>
          <w:szCs w:val="24"/>
        </w:rPr>
        <w:t> </w:t>
      </w:r>
      <w:r w:rsidRPr="001D4348">
        <w:rPr>
          <w:sz w:val="24"/>
          <w:szCs w:val="24"/>
        </w:rPr>
        <w:t>identity of the quality and capacity of the parties suing or sued.</w:t>
      </w:r>
      <w:r w:rsidR="001E4958">
        <w:rPr>
          <w:rStyle w:val="FootnoteReference"/>
          <w:sz w:val="24"/>
          <w:szCs w:val="24"/>
        </w:rPr>
        <w:footnoteReference w:id="6"/>
      </w:r>
      <w:r w:rsidR="00E57579">
        <w:rPr>
          <w:sz w:val="24"/>
          <w:szCs w:val="24"/>
        </w:rPr>
        <w:t xml:space="preserve"> </w:t>
      </w:r>
      <w:r w:rsidRPr="001D4348">
        <w:rPr>
          <w:sz w:val="24"/>
          <w:szCs w:val="24"/>
        </w:rPr>
        <w:t xml:space="preserve"> </w:t>
      </w:r>
    </w:p>
    <w:p w:rsidR="00376FEE" w:rsidRDefault="00376FEE" w:rsidP="0058589A">
      <w:pPr>
        <w:spacing w:line="360" w:lineRule="auto"/>
        <w:rPr>
          <w:sz w:val="24"/>
          <w:szCs w:val="24"/>
        </w:rPr>
      </w:pPr>
    </w:p>
    <w:p w:rsidR="0058589A" w:rsidRPr="005A743D" w:rsidRDefault="0058589A" w:rsidP="0058589A">
      <w:pPr>
        <w:spacing w:line="360" w:lineRule="auto"/>
        <w:rPr>
          <w:sz w:val="24"/>
          <w:szCs w:val="24"/>
        </w:rPr>
      </w:pPr>
      <w:r>
        <w:rPr>
          <w:sz w:val="24"/>
          <w:szCs w:val="24"/>
        </w:rPr>
        <w:tab/>
      </w:r>
      <w:r>
        <w:rPr>
          <w:sz w:val="24"/>
          <w:szCs w:val="24"/>
        </w:rPr>
        <w:tab/>
        <w:t xml:space="preserve">There is no question </w:t>
      </w:r>
      <w:r w:rsidR="00765D3E">
        <w:rPr>
          <w:sz w:val="24"/>
          <w:szCs w:val="24"/>
        </w:rPr>
        <w:t xml:space="preserve">the </w:t>
      </w:r>
      <w:r w:rsidR="00A75C6C">
        <w:rPr>
          <w:sz w:val="24"/>
          <w:szCs w:val="24"/>
        </w:rPr>
        <w:t xml:space="preserve">formal complaint filed in the </w:t>
      </w:r>
      <w:r w:rsidR="00765D3E">
        <w:rPr>
          <w:sz w:val="24"/>
          <w:szCs w:val="24"/>
        </w:rPr>
        <w:t>current</w:t>
      </w:r>
      <w:r>
        <w:rPr>
          <w:sz w:val="24"/>
          <w:szCs w:val="24"/>
        </w:rPr>
        <w:t xml:space="preserve"> proceeding </w:t>
      </w:r>
      <w:r w:rsidR="00A75C6C">
        <w:rPr>
          <w:sz w:val="24"/>
          <w:szCs w:val="24"/>
        </w:rPr>
        <w:t>(</w:t>
      </w:r>
      <w:r w:rsidR="00765D3E">
        <w:rPr>
          <w:sz w:val="24"/>
          <w:szCs w:val="24"/>
        </w:rPr>
        <w:t xml:space="preserve">at Docket Number </w:t>
      </w:r>
      <w:r w:rsidR="007C59F0">
        <w:rPr>
          <w:sz w:val="24"/>
          <w:szCs w:val="24"/>
        </w:rPr>
        <w:t>F-2012-2294555</w:t>
      </w:r>
      <w:r w:rsidR="00A75C6C">
        <w:rPr>
          <w:sz w:val="24"/>
          <w:szCs w:val="24"/>
        </w:rPr>
        <w:t>)</w:t>
      </w:r>
      <w:r w:rsidR="00765D3E">
        <w:rPr>
          <w:sz w:val="24"/>
          <w:szCs w:val="24"/>
        </w:rPr>
        <w:t xml:space="preserve"> includes</w:t>
      </w:r>
      <w:r>
        <w:rPr>
          <w:sz w:val="24"/>
          <w:szCs w:val="24"/>
        </w:rPr>
        <w:t xml:space="preserve"> </w:t>
      </w:r>
      <w:r w:rsidR="00A75C6C">
        <w:rPr>
          <w:sz w:val="24"/>
          <w:szCs w:val="24"/>
        </w:rPr>
        <w:t xml:space="preserve">a reference to </w:t>
      </w:r>
      <w:r>
        <w:rPr>
          <w:sz w:val="24"/>
          <w:szCs w:val="24"/>
        </w:rPr>
        <w:t xml:space="preserve">the same </w:t>
      </w:r>
      <w:r w:rsidRPr="001D4348">
        <w:rPr>
          <w:sz w:val="24"/>
          <w:szCs w:val="24"/>
        </w:rPr>
        <w:t xml:space="preserve">issue, </w:t>
      </w:r>
      <w:r w:rsidR="00765D3E">
        <w:rPr>
          <w:sz w:val="24"/>
          <w:szCs w:val="24"/>
        </w:rPr>
        <w:t xml:space="preserve">the same </w:t>
      </w:r>
      <w:r w:rsidRPr="001D4348">
        <w:rPr>
          <w:sz w:val="24"/>
          <w:szCs w:val="24"/>
        </w:rPr>
        <w:t>cause of action,</w:t>
      </w:r>
      <w:r w:rsidR="00765D3E">
        <w:rPr>
          <w:sz w:val="24"/>
          <w:szCs w:val="24"/>
        </w:rPr>
        <w:t xml:space="preserve"> the same</w:t>
      </w:r>
      <w:r w:rsidRPr="001D4348">
        <w:rPr>
          <w:sz w:val="24"/>
          <w:szCs w:val="24"/>
        </w:rPr>
        <w:t xml:space="preserve"> parties, and </w:t>
      </w:r>
      <w:r w:rsidR="00765D3E">
        <w:rPr>
          <w:sz w:val="24"/>
          <w:szCs w:val="24"/>
        </w:rPr>
        <w:t xml:space="preserve">the same </w:t>
      </w:r>
      <w:r w:rsidRPr="001D4348">
        <w:rPr>
          <w:sz w:val="24"/>
          <w:szCs w:val="24"/>
        </w:rPr>
        <w:t>capacit</w:t>
      </w:r>
      <w:r>
        <w:rPr>
          <w:sz w:val="24"/>
          <w:szCs w:val="24"/>
        </w:rPr>
        <w:t>ies</w:t>
      </w:r>
      <w:r w:rsidRPr="001D4348">
        <w:rPr>
          <w:sz w:val="24"/>
          <w:szCs w:val="24"/>
        </w:rPr>
        <w:t xml:space="preserve"> of parties </w:t>
      </w:r>
      <w:r w:rsidR="00A27939">
        <w:rPr>
          <w:sz w:val="24"/>
          <w:szCs w:val="24"/>
        </w:rPr>
        <w:t xml:space="preserve">as </w:t>
      </w:r>
      <w:r>
        <w:rPr>
          <w:sz w:val="24"/>
          <w:szCs w:val="24"/>
        </w:rPr>
        <w:t>existed</w:t>
      </w:r>
      <w:r w:rsidR="00A27939">
        <w:rPr>
          <w:sz w:val="24"/>
          <w:szCs w:val="24"/>
        </w:rPr>
        <w:t xml:space="preserve"> in the proceeding docketed at </w:t>
      </w:r>
      <w:r w:rsidR="00B630E5">
        <w:rPr>
          <w:sz w:val="24"/>
          <w:szCs w:val="24"/>
        </w:rPr>
        <w:t xml:space="preserve">No. </w:t>
      </w:r>
      <w:proofErr w:type="gramStart"/>
      <w:r w:rsidR="00A27939">
        <w:rPr>
          <w:sz w:val="24"/>
          <w:szCs w:val="24"/>
        </w:rPr>
        <w:t>C-2010-</w:t>
      </w:r>
      <w:r w:rsidR="00765D3E">
        <w:rPr>
          <w:sz w:val="24"/>
          <w:szCs w:val="24"/>
        </w:rPr>
        <w:t>2</w:t>
      </w:r>
      <w:r w:rsidR="007C59F0">
        <w:rPr>
          <w:sz w:val="24"/>
          <w:szCs w:val="24"/>
        </w:rPr>
        <w:t>1871</w:t>
      </w:r>
      <w:r w:rsidR="00267A6B">
        <w:rPr>
          <w:sz w:val="24"/>
          <w:szCs w:val="24"/>
        </w:rPr>
        <w:t>97</w:t>
      </w:r>
      <w:r w:rsidR="00A75C6C">
        <w:rPr>
          <w:sz w:val="24"/>
          <w:szCs w:val="24"/>
        </w:rPr>
        <w:t>, concern</w:t>
      </w:r>
      <w:r w:rsidR="00460457">
        <w:rPr>
          <w:sz w:val="24"/>
          <w:szCs w:val="24"/>
        </w:rPr>
        <w:t>ing</w:t>
      </w:r>
      <w:r w:rsidR="00765D3E">
        <w:rPr>
          <w:sz w:val="24"/>
          <w:szCs w:val="24"/>
        </w:rPr>
        <w:t xml:space="preserve"> Complainant’s </w:t>
      </w:r>
      <w:r w:rsidR="007C59F0">
        <w:rPr>
          <w:sz w:val="24"/>
          <w:szCs w:val="24"/>
        </w:rPr>
        <w:t>claim of incorrect charges and the existence of a safety issue</w:t>
      </w:r>
      <w:r>
        <w:rPr>
          <w:sz w:val="24"/>
          <w:szCs w:val="24"/>
        </w:rPr>
        <w:t>.</w:t>
      </w:r>
      <w:proofErr w:type="gramEnd"/>
      <w:r>
        <w:rPr>
          <w:sz w:val="24"/>
          <w:szCs w:val="24"/>
        </w:rPr>
        <w:t xml:space="preserve">  </w:t>
      </w:r>
      <w:r w:rsidR="00BB3325">
        <w:rPr>
          <w:sz w:val="24"/>
          <w:szCs w:val="24"/>
        </w:rPr>
        <w:t>First, t</w:t>
      </w:r>
      <w:r w:rsidR="00A54478">
        <w:rPr>
          <w:sz w:val="24"/>
          <w:szCs w:val="24"/>
        </w:rPr>
        <w:t>he issue</w:t>
      </w:r>
      <w:r>
        <w:rPr>
          <w:sz w:val="24"/>
          <w:szCs w:val="24"/>
        </w:rPr>
        <w:t xml:space="preserve"> </w:t>
      </w:r>
      <w:r w:rsidR="00BB3325">
        <w:rPr>
          <w:sz w:val="24"/>
          <w:szCs w:val="24"/>
        </w:rPr>
        <w:t xml:space="preserve">Complainant states in his formal complaint here (at Docket Number F-2012-2294555) </w:t>
      </w:r>
      <w:r w:rsidR="00EB18AC">
        <w:rPr>
          <w:sz w:val="24"/>
          <w:szCs w:val="24"/>
        </w:rPr>
        <w:t xml:space="preserve">concerning incorrect charges </w:t>
      </w:r>
      <w:r w:rsidR="00A54478">
        <w:rPr>
          <w:sz w:val="24"/>
          <w:szCs w:val="24"/>
        </w:rPr>
        <w:t xml:space="preserve">is identical to </w:t>
      </w:r>
      <w:r w:rsidR="00BB3325">
        <w:rPr>
          <w:sz w:val="24"/>
          <w:szCs w:val="24"/>
        </w:rPr>
        <w:t>the</w:t>
      </w:r>
      <w:r w:rsidR="00A54478">
        <w:rPr>
          <w:sz w:val="24"/>
          <w:szCs w:val="24"/>
        </w:rPr>
        <w:t xml:space="preserve"> issue as specified </w:t>
      </w:r>
      <w:r w:rsidR="00BB3325">
        <w:rPr>
          <w:sz w:val="24"/>
          <w:szCs w:val="24"/>
        </w:rPr>
        <w:t>in the earlier complaint (at Docket Number C-2010-21871</w:t>
      </w:r>
      <w:r w:rsidR="006C5F37">
        <w:rPr>
          <w:sz w:val="24"/>
          <w:szCs w:val="24"/>
        </w:rPr>
        <w:t>97</w:t>
      </w:r>
      <w:r w:rsidR="00BB3325">
        <w:rPr>
          <w:sz w:val="24"/>
          <w:szCs w:val="24"/>
        </w:rPr>
        <w:t xml:space="preserve">).  Second, a </w:t>
      </w:r>
      <w:r>
        <w:rPr>
          <w:sz w:val="24"/>
          <w:szCs w:val="24"/>
        </w:rPr>
        <w:t xml:space="preserve">final judgment on the merits </w:t>
      </w:r>
      <w:r w:rsidR="00A54478">
        <w:rPr>
          <w:sz w:val="24"/>
          <w:szCs w:val="24"/>
        </w:rPr>
        <w:t xml:space="preserve">of that issue </w:t>
      </w:r>
      <w:r w:rsidRPr="00231AA1">
        <w:rPr>
          <w:sz w:val="24"/>
          <w:szCs w:val="24"/>
        </w:rPr>
        <w:t>was</w:t>
      </w:r>
      <w:r>
        <w:rPr>
          <w:sz w:val="24"/>
          <w:szCs w:val="24"/>
        </w:rPr>
        <w:t xml:space="preserve"> entered</w:t>
      </w:r>
      <w:r w:rsidR="00A27939">
        <w:rPr>
          <w:sz w:val="24"/>
          <w:szCs w:val="24"/>
        </w:rPr>
        <w:t xml:space="preserve"> in </w:t>
      </w:r>
      <w:r w:rsidR="00BB3325">
        <w:rPr>
          <w:sz w:val="24"/>
          <w:szCs w:val="24"/>
        </w:rPr>
        <w:t>Docket Number</w:t>
      </w:r>
      <w:r w:rsidR="00A27939">
        <w:rPr>
          <w:sz w:val="24"/>
          <w:szCs w:val="24"/>
        </w:rPr>
        <w:t xml:space="preserve"> C</w:t>
      </w:r>
      <w:r w:rsidR="00B75C9A">
        <w:rPr>
          <w:sz w:val="24"/>
          <w:szCs w:val="24"/>
        </w:rPr>
        <w:noBreakHyphen/>
      </w:r>
      <w:r w:rsidR="00A27939">
        <w:rPr>
          <w:sz w:val="24"/>
          <w:szCs w:val="24"/>
        </w:rPr>
        <w:t>2010-2</w:t>
      </w:r>
      <w:r w:rsidR="00BB3325">
        <w:rPr>
          <w:sz w:val="24"/>
          <w:szCs w:val="24"/>
        </w:rPr>
        <w:t>1871</w:t>
      </w:r>
      <w:r w:rsidR="00267A6B">
        <w:rPr>
          <w:sz w:val="24"/>
          <w:szCs w:val="24"/>
        </w:rPr>
        <w:t>97</w:t>
      </w:r>
      <w:r w:rsidR="00BB3325">
        <w:rPr>
          <w:sz w:val="24"/>
          <w:szCs w:val="24"/>
        </w:rPr>
        <w:t xml:space="preserve">.  Third, </w:t>
      </w:r>
      <w:r>
        <w:rPr>
          <w:sz w:val="24"/>
          <w:szCs w:val="24"/>
        </w:rPr>
        <w:t xml:space="preserve">Complainant was the same person identified </w:t>
      </w:r>
      <w:r w:rsidR="00BB3325">
        <w:rPr>
          <w:sz w:val="24"/>
          <w:szCs w:val="24"/>
        </w:rPr>
        <w:t xml:space="preserve">as a complainant </w:t>
      </w:r>
      <w:r>
        <w:rPr>
          <w:sz w:val="24"/>
          <w:szCs w:val="24"/>
        </w:rPr>
        <w:t>in the previous case</w:t>
      </w:r>
      <w:r w:rsidR="00A27939">
        <w:rPr>
          <w:sz w:val="24"/>
          <w:szCs w:val="24"/>
        </w:rPr>
        <w:t xml:space="preserve">; </w:t>
      </w:r>
      <w:r w:rsidR="00BB3325">
        <w:rPr>
          <w:sz w:val="24"/>
          <w:szCs w:val="24"/>
        </w:rPr>
        <w:t xml:space="preserve">and, fourth, </w:t>
      </w:r>
      <w:r>
        <w:rPr>
          <w:sz w:val="24"/>
          <w:szCs w:val="24"/>
        </w:rPr>
        <w:t xml:space="preserve">he had a full </w:t>
      </w:r>
      <w:r w:rsidRPr="001D4348">
        <w:rPr>
          <w:sz w:val="24"/>
          <w:szCs w:val="24"/>
        </w:rPr>
        <w:t>and fair op</w:t>
      </w:r>
      <w:r w:rsidR="00A54478">
        <w:rPr>
          <w:sz w:val="24"/>
          <w:szCs w:val="24"/>
        </w:rPr>
        <w:t>portunity to litigate the issue</w:t>
      </w:r>
      <w:r w:rsidR="00BB3325">
        <w:rPr>
          <w:sz w:val="24"/>
          <w:szCs w:val="24"/>
        </w:rPr>
        <w:t>s</w:t>
      </w:r>
      <w:r w:rsidRPr="001D4348">
        <w:rPr>
          <w:sz w:val="24"/>
          <w:szCs w:val="24"/>
        </w:rPr>
        <w:t xml:space="preserve"> in question in the prior </w:t>
      </w:r>
      <w:r w:rsidR="00BB3325">
        <w:rPr>
          <w:sz w:val="24"/>
          <w:szCs w:val="24"/>
        </w:rPr>
        <w:t>proceeding</w:t>
      </w:r>
      <w:r w:rsidRPr="001D4348">
        <w:rPr>
          <w:sz w:val="24"/>
          <w:szCs w:val="24"/>
        </w:rPr>
        <w:t>.</w:t>
      </w:r>
      <w:r>
        <w:rPr>
          <w:sz w:val="24"/>
          <w:szCs w:val="24"/>
        </w:rPr>
        <w:t xml:space="preserve">  Therefore, consideration of </w:t>
      </w:r>
      <w:r w:rsidR="00BB3325">
        <w:rPr>
          <w:sz w:val="24"/>
          <w:szCs w:val="24"/>
        </w:rPr>
        <w:t>these</w:t>
      </w:r>
      <w:r>
        <w:rPr>
          <w:sz w:val="24"/>
          <w:szCs w:val="24"/>
        </w:rPr>
        <w:t xml:space="preserve"> i</w:t>
      </w:r>
      <w:r w:rsidR="00A54478">
        <w:rPr>
          <w:sz w:val="24"/>
          <w:szCs w:val="24"/>
        </w:rPr>
        <w:t>ssue</w:t>
      </w:r>
      <w:r w:rsidR="00BB3325">
        <w:rPr>
          <w:sz w:val="24"/>
          <w:szCs w:val="24"/>
        </w:rPr>
        <w:t xml:space="preserve">s </w:t>
      </w:r>
      <w:r w:rsidR="003D2803">
        <w:rPr>
          <w:sz w:val="24"/>
          <w:szCs w:val="24"/>
        </w:rPr>
        <w:t>is</w:t>
      </w:r>
      <w:r w:rsidR="00A27939">
        <w:rPr>
          <w:sz w:val="24"/>
          <w:szCs w:val="24"/>
        </w:rPr>
        <w:t xml:space="preserve"> barred by the doctrine</w:t>
      </w:r>
      <w:r>
        <w:rPr>
          <w:sz w:val="24"/>
          <w:szCs w:val="24"/>
        </w:rPr>
        <w:t xml:space="preserve"> of </w:t>
      </w:r>
      <w:r>
        <w:rPr>
          <w:i/>
          <w:sz w:val="24"/>
          <w:szCs w:val="24"/>
        </w:rPr>
        <w:t>res judicata</w:t>
      </w:r>
      <w:r>
        <w:rPr>
          <w:sz w:val="24"/>
          <w:szCs w:val="24"/>
        </w:rPr>
        <w:t>.</w:t>
      </w:r>
    </w:p>
    <w:p w:rsidR="0058589A" w:rsidRDefault="0058589A" w:rsidP="0058589A">
      <w:pPr>
        <w:spacing w:line="360" w:lineRule="auto"/>
        <w:rPr>
          <w:sz w:val="24"/>
          <w:szCs w:val="24"/>
        </w:rPr>
      </w:pPr>
    </w:p>
    <w:p w:rsidR="0058589A" w:rsidRDefault="0058589A" w:rsidP="0058589A">
      <w:pPr>
        <w:spacing w:line="360" w:lineRule="auto"/>
        <w:rPr>
          <w:sz w:val="24"/>
          <w:szCs w:val="24"/>
        </w:rPr>
      </w:pPr>
      <w:r>
        <w:rPr>
          <w:sz w:val="24"/>
          <w:szCs w:val="24"/>
        </w:rPr>
        <w:lastRenderedPageBreak/>
        <w:tab/>
      </w:r>
      <w:r>
        <w:rPr>
          <w:sz w:val="24"/>
          <w:szCs w:val="24"/>
        </w:rPr>
        <w:tab/>
        <w:t>In addition</w:t>
      </w:r>
      <w:r w:rsidRPr="00CE2FDD">
        <w:rPr>
          <w:sz w:val="24"/>
          <w:szCs w:val="24"/>
        </w:rPr>
        <w:t xml:space="preserve">, </w:t>
      </w:r>
      <w:r w:rsidR="00A27939">
        <w:rPr>
          <w:sz w:val="24"/>
          <w:szCs w:val="24"/>
        </w:rPr>
        <w:t>this proceeding is</w:t>
      </w:r>
      <w:r>
        <w:rPr>
          <w:sz w:val="24"/>
          <w:szCs w:val="24"/>
        </w:rPr>
        <w:t xml:space="preserve"> </w:t>
      </w:r>
      <w:r w:rsidRPr="00CE2FDD">
        <w:rPr>
          <w:sz w:val="24"/>
          <w:szCs w:val="24"/>
        </w:rPr>
        <w:t xml:space="preserve">barred by </w:t>
      </w:r>
      <w:r>
        <w:rPr>
          <w:sz w:val="24"/>
          <w:szCs w:val="24"/>
        </w:rPr>
        <w:t>Section 316 of the Public Utility Code, 66 </w:t>
      </w:r>
      <w:r w:rsidRPr="00CE2FDD">
        <w:rPr>
          <w:sz w:val="24"/>
          <w:szCs w:val="24"/>
        </w:rPr>
        <w:t>Pa. C.S. §316</w:t>
      </w:r>
      <w:r>
        <w:rPr>
          <w:sz w:val="24"/>
          <w:szCs w:val="24"/>
        </w:rPr>
        <w:t>, which states in pertinent part:</w:t>
      </w:r>
    </w:p>
    <w:p w:rsidR="007B0BFB" w:rsidRDefault="007B0BFB" w:rsidP="0058589A">
      <w:pPr>
        <w:ind w:left="1440" w:right="1440"/>
        <w:rPr>
          <w:sz w:val="24"/>
          <w:szCs w:val="24"/>
        </w:rPr>
      </w:pPr>
    </w:p>
    <w:p w:rsidR="0058589A" w:rsidRDefault="0058589A" w:rsidP="0058589A">
      <w:pPr>
        <w:ind w:left="1440" w:right="1440"/>
        <w:rPr>
          <w:sz w:val="24"/>
          <w:szCs w:val="24"/>
        </w:rPr>
      </w:pPr>
      <w:r>
        <w:rPr>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58589A" w:rsidRDefault="0058589A" w:rsidP="0058589A">
      <w:pPr>
        <w:rPr>
          <w:sz w:val="24"/>
          <w:szCs w:val="24"/>
        </w:rPr>
      </w:pPr>
    </w:p>
    <w:p w:rsidR="0058589A" w:rsidRDefault="0058589A" w:rsidP="0058589A">
      <w:pPr>
        <w:rPr>
          <w:sz w:val="24"/>
          <w:szCs w:val="24"/>
        </w:rPr>
      </w:pPr>
    </w:p>
    <w:p w:rsidR="00E908F4" w:rsidRDefault="0058589A" w:rsidP="00A54478">
      <w:pPr>
        <w:spacing w:line="360" w:lineRule="auto"/>
        <w:ind w:firstLine="1440"/>
        <w:rPr>
          <w:sz w:val="24"/>
          <w:szCs w:val="24"/>
        </w:rPr>
      </w:pPr>
      <w:r>
        <w:rPr>
          <w:sz w:val="24"/>
          <w:szCs w:val="24"/>
        </w:rPr>
        <w:t xml:space="preserve">The Commission’s Opinion and Order in </w:t>
      </w:r>
      <w:r w:rsidR="00A27939">
        <w:rPr>
          <w:sz w:val="24"/>
          <w:szCs w:val="24"/>
        </w:rPr>
        <w:t>No. C-2010-2</w:t>
      </w:r>
      <w:r w:rsidR="00BB3325">
        <w:rPr>
          <w:sz w:val="24"/>
          <w:szCs w:val="24"/>
        </w:rPr>
        <w:t>1871</w:t>
      </w:r>
      <w:r w:rsidR="00BD7954">
        <w:rPr>
          <w:sz w:val="24"/>
          <w:szCs w:val="24"/>
        </w:rPr>
        <w:t>97</w:t>
      </w:r>
      <w:r>
        <w:rPr>
          <w:sz w:val="24"/>
          <w:szCs w:val="24"/>
        </w:rPr>
        <w:t xml:space="preserve"> remains conclusive upon the parties to the present action.  For these reasons, </w:t>
      </w:r>
      <w:r w:rsidR="00A27939">
        <w:rPr>
          <w:sz w:val="24"/>
          <w:szCs w:val="24"/>
        </w:rPr>
        <w:t>the issue</w:t>
      </w:r>
      <w:r w:rsidR="00BB3325">
        <w:rPr>
          <w:sz w:val="24"/>
          <w:szCs w:val="24"/>
        </w:rPr>
        <w:t>s</w:t>
      </w:r>
      <w:r w:rsidR="00A27939">
        <w:rPr>
          <w:sz w:val="24"/>
          <w:szCs w:val="24"/>
        </w:rPr>
        <w:t xml:space="preserve"> </w:t>
      </w:r>
      <w:r w:rsidR="00A75C6C">
        <w:rPr>
          <w:sz w:val="24"/>
          <w:szCs w:val="24"/>
        </w:rPr>
        <w:t>referenced</w:t>
      </w:r>
      <w:r w:rsidR="00A27939">
        <w:rPr>
          <w:sz w:val="24"/>
          <w:szCs w:val="24"/>
        </w:rPr>
        <w:t xml:space="preserve"> in the </w:t>
      </w:r>
      <w:r w:rsidR="00BB3325">
        <w:rPr>
          <w:sz w:val="24"/>
          <w:szCs w:val="24"/>
        </w:rPr>
        <w:t xml:space="preserve">formal </w:t>
      </w:r>
      <w:r w:rsidR="00A27939">
        <w:rPr>
          <w:sz w:val="24"/>
          <w:szCs w:val="24"/>
        </w:rPr>
        <w:t>complaint herein</w:t>
      </w:r>
      <w:r>
        <w:rPr>
          <w:sz w:val="24"/>
          <w:szCs w:val="24"/>
        </w:rPr>
        <w:t xml:space="preserve"> will receive no further consideration here</w:t>
      </w:r>
      <w:r w:rsidR="00A54478">
        <w:rPr>
          <w:sz w:val="24"/>
          <w:szCs w:val="24"/>
        </w:rPr>
        <w:t xml:space="preserve"> and</w:t>
      </w:r>
      <w:r w:rsidR="008B0F97">
        <w:rPr>
          <w:sz w:val="24"/>
          <w:szCs w:val="24"/>
        </w:rPr>
        <w:t xml:space="preserve"> </w:t>
      </w:r>
      <w:r w:rsidR="00E908F4">
        <w:rPr>
          <w:sz w:val="24"/>
          <w:szCs w:val="24"/>
        </w:rPr>
        <w:t>must be dismissed</w:t>
      </w:r>
      <w:r w:rsidR="008B0F97">
        <w:rPr>
          <w:sz w:val="24"/>
          <w:szCs w:val="24"/>
        </w:rPr>
        <w:t xml:space="preserve"> as </w:t>
      </w:r>
      <w:r w:rsidR="00E4391B">
        <w:rPr>
          <w:sz w:val="24"/>
          <w:szCs w:val="24"/>
        </w:rPr>
        <w:t>duplicative</w:t>
      </w:r>
      <w:r w:rsidR="00E908F4">
        <w:rPr>
          <w:sz w:val="24"/>
          <w:szCs w:val="24"/>
        </w:rPr>
        <w:t>.</w:t>
      </w:r>
    </w:p>
    <w:p w:rsidR="00E908F4" w:rsidRDefault="00E908F4" w:rsidP="00E908F4">
      <w:pPr>
        <w:spacing w:line="360" w:lineRule="auto"/>
        <w:rPr>
          <w:sz w:val="24"/>
          <w:szCs w:val="24"/>
        </w:rPr>
      </w:pPr>
    </w:p>
    <w:p w:rsidR="00765D3E" w:rsidRPr="00765D3E" w:rsidRDefault="00BB3325" w:rsidP="00765D3E">
      <w:pPr>
        <w:spacing w:line="360" w:lineRule="auto"/>
        <w:rPr>
          <w:sz w:val="24"/>
          <w:szCs w:val="24"/>
          <w:u w:val="single"/>
        </w:rPr>
      </w:pPr>
      <w:r>
        <w:rPr>
          <w:sz w:val="24"/>
          <w:szCs w:val="24"/>
          <w:u w:val="single"/>
        </w:rPr>
        <w:t>Criminal Allegations</w:t>
      </w:r>
    </w:p>
    <w:p w:rsidR="00765D3E" w:rsidRDefault="00765D3E" w:rsidP="00765D3E">
      <w:pPr>
        <w:spacing w:line="360" w:lineRule="auto"/>
        <w:rPr>
          <w:sz w:val="24"/>
          <w:szCs w:val="24"/>
        </w:rPr>
      </w:pPr>
    </w:p>
    <w:p w:rsidR="00765D3E" w:rsidRPr="00FD6E24" w:rsidRDefault="00BB3325" w:rsidP="00FD6E24">
      <w:pPr>
        <w:spacing w:line="360" w:lineRule="auto"/>
        <w:ind w:firstLine="1440"/>
        <w:rPr>
          <w:sz w:val="24"/>
          <w:szCs w:val="24"/>
        </w:rPr>
      </w:pPr>
      <w:r>
        <w:rPr>
          <w:sz w:val="24"/>
          <w:szCs w:val="24"/>
        </w:rPr>
        <w:t xml:space="preserve">While Thomas’ allegation of incorrect charges is barred from consideration here </w:t>
      </w:r>
      <w:r w:rsidRPr="00FD6E24">
        <w:rPr>
          <w:sz w:val="24"/>
          <w:szCs w:val="24"/>
        </w:rPr>
        <w:t xml:space="preserve">by the theory of </w:t>
      </w:r>
      <w:r w:rsidRPr="00FD6E24">
        <w:rPr>
          <w:i/>
          <w:sz w:val="24"/>
          <w:szCs w:val="24"/>
        </w:rPr>
        <w:t>res judicata</w:t>
      </w:r>
      <w:r w:rsidRPr="00FD6E24">
        <w:rPr>
          <w:sz w:val="24"/>
          <w:szCs w:val="24"/>
        </w:rPr>
        <w:t xml:space="preserve">, the new formal complaint at Docket Number F-2012-2294555 does contain two new allegations not considered in the earlier proceeding: </w:t>
      </w:r>
      <w:r w:rsidR="00E828A8">
        <w:rPr>
          <w:sz w:val="24"/>
          <w:szCs w:val="24"/>
        </w:rPr>
        <w:t xml:space="preserve"> </w:t>
      </w:r>
      <w:r w:rsidRPr="00FD6E24">
        <w:rPr>
          <w:sz w:val="24"/>
          <w:szCs w:val="24"/>
        </w:rPr>
        <w:t>(1) that a PECO employee</w:t>
      </w:r>
      <w:r w:rsidR="00FD6E24">
        <w:rPr>
          <w:sz w:val="24"/>
          <w:szCs w:val="24"/>
        </w:rPr>
        <w:t xml:space="preserve"> or employees</w:t>
      </w:r>
      <w:r w:rsidRPr="00FD6E24">
        <w:rPr>
          <w:sz w:val="24"/>
          <w:szCs w:val="24"/>
        </w:rPr>
        <w:t xml:space="preserve"> stole Thomas’ bicycles in November 2011 and February 2012; and (2) PECO employees are </w:t>
      </w:r>
      <w:r w:rsidR="00FD6E24">
        <w:rPr>
          <w:sz w:val="24"/>
          <w:szCs w:val="24"/>
        </w:rPr>
        <w:t xml:space="preserve">following him around and attempting to </w:t>
      </w:r>
      <w:r w:rsidRPr="00FD6E24">
        <w:rPr>
          <w:sz w:val="24"/>
          <w:szCs w:val="24"/>
        </w:rPr>
        <w:t xml:space="preserve">threaten him.  </w:t>
      </w:r>
      <w:r w:rsidR="00765D3E" w:rsidRPr="00FD6E24">
        <w:rPr>
          <w:sz w:val="24"/>
          <w:szCs w:val="24"/>
        </w:rPr>
        <w:t>The</w:t>
      </w:r>
      <w:r w:rsidRPr="00FD6E24">
        <w:rPr>
          <w:sz w:val="24"/>
          <w:szCs w:val="24"/>
        </w:rPr>
        <w:t>refore, what remains at issue in</w:t>
      </w:r>
      <w:r w:rsidR="00765D3E" w:rsidRPr="00FD6E24">
        <w:rPr>
          <w:sz w:val="24"/>
          <w:szCs w:val="24"/>
        </w:rPr>
        <w:t xml:space="preserve"> Complainant’s </w:t>
      </w:r>
      <w:r w:rsidRPr="00FD6E24">
        <w:rPr>
          <w:sz w:val="24"/>
          <w:szCs w:val="24"/>
        </w:rPr>
        <w:t xml:space="preserve">current </w:t>
      </w:r>
      <w:r w:rsidR="00765D3E" w:rsidRPr="00FD6E24">
        <w:rPr>
          <w:sz w:val="24"/>
          <w:szCs w:val="24"/>
        </w:rPr>
        <w:t xml:space="preserve">proceeding docketed at </w:t>
      </w:r>
      <w:r w:rsidRPr="00FD6E24">
        <w:rPr>
          <w:sz w:val="24"/>
          <w:szCs w:val="24"/>
        </w:rPr>
        <w:t xml:space="preserve">F-2012-2294555 concerns whether these allegations are within the Commission’s subject matter </w:t>
      </w:r>
      <w:proofErr w:type="gramStart"/>
      <w:r w:rsidRPr="00FD6E24">
        <w:rPr>
          <w:sz w:val="24"/>
          <w:szCs w:val="24"/>
        </w:rPr>
        <w:t>jurisdiction.</w:t>
      </w:r>
      <w:proofErr w:type="gramEnd"/>
      <w:r w:rsidRPr="00FD6E24">
        <w:rPr>
          <w:sz w:val="24"/>
          <w:szCs w:val="24"/>
        </w:rPr>
        <w:t xml:space="preserve">  </w:t>
      </w:r>
    </w:p>
    <w:p w:rsidR="00FD6E24" w:rsidRPr="00FD6E24" w:rsidRDefault="00FD6E24" w:rsidP="00FD6E24">
      <w:pPr>
        <w:spacing w:line="360" w:lineRule="auto"/>
        <w:rPr>
          <w:sz w:val="24"/>
          <w:szCs w:val="24"/>
        </w:rPr>
      </w:pPr>
    </w:p>
    <w:p w:rsidR="00FD6E24" w:rsidRPr="00FD6E24" w:rsidRDefault="00FD6E24" w:rsidP="00FD6E24">
      <w:pPr>
        <w:spacing w:line="360" w:lineRule="auto"/>
        <w:rPr>
          <w:sz w:val="24"/>
          <w:szCs w:val="24"/>
        </w:rPr>
      </w:pPr>
      <w:r w:rsidRPr="00FD6E24">
        <w:rPr>
          <w:sz w:val="24"/>
          <w:szCs w:val="24"/>
        </w:rPr>
        <w:tab/>
      </w:r>
      <w:r w:rsidRPr="00FD6E24">
        <w:rPr>
          <w:sz w:val="24"/>
          <w:szCs w:val="24"/>
        </w:rPr>
        <w:tab/>
        <w:t>The Commission cannot exceed its jurisdiction and must act within it.</w:t>
      </w:r>
      <w:r>
        <w:rPr>
          <w:rStyle w:val="FootnoteReference"/>
          <w:sz w:val="24"/>
          <w:szCs w:val="24"/>
        </w:rPr>
        <w:footnoteReference w:id="7"/>
      </w:r>
      <w:r>
        <w:rPr>
          <w:sz w:val="24"/>
          <w:szCs w:val="24"/>
        </w:rPr>
        <w:t xml:space="preserve">  </w:t>
      </w:r>
      <w:r w:rsidRPr="00FD6E24">
        <w:rPr>
          <w:sz w:val="24"/>
          <w:szCs w:val="24"/>
        </w:rPr>
        <w:t>Jurisdiction may not be conferred by the parties where none exists.</w:t>
      </w:r>
      <w:r>
        <w:rPr>
          <w:rStyle w:val="FootnoteReference"/>
          <w:sz w:val="24"/>
          <w:szCs w:val="24"/>
        </w:rPr>
        <w:footnoteReference w:id="8"/>
      </w:r>
      <w:r w:rsidRPr="00FD6E24">
        <w:rPr>
          <w:sz w:val="24"/>
          <w:szCs w:val="24"/>
        </w:rPr>
        <w:t xml:space="preserve">  The Commission has initial jurisdiction over “matters involving the reasonableness, adequacy or sufficiency of a public utility’s service, facilities or rates.”</w:t>
      </w:r>
      <w:r>
        <w:rPr>
          <w:rStyle w:val="FootnoteReference"/>
          <w:sz w:val="24"/>
          <w:szCs w:val="24"/>
        </w:rPr>
        <w:footnoteReference w:id="9"/>
      </w:r>
      <w:r w:rsidRPr="00FD6E24">
        <w:rPr>
          <w:sz w:val="24"/>
          <w:szCs w:val="24"/>
        </w:rPr>
        <w:t xml:space="preserve">  Subject matter jurisdiction is a prerequisite to the exercise of the power to decide a controversy.</w:t>
      </w:r>
      <w:r>
        <w:rPr>
          <w:rStyle w:val="FootnoteReference"/>
          <w:sz w:val="24"/>
          <w:szCs w:val="24"/>
        </w:rPr>
        <w:footnoteReference w:id="10"/>
      </w:r>
      <w:r w:rsidRPr="00FD6E24">
        <w:rPr>
          <w:sz w:val="24"/>
          <w:szCs w:val="24"/>
        </w:rPr>
        <w:t xml:space="preserve">    </w:t>
      </w:r>
    </w:p>
    <w:p w:rsidR="00FD6E24" w:rsidRPr="00FD6E24" w:rsidRDefault="00FD6E24" w:rsidP="00FD6E24">
      <w:pPr>
        <w:spacing w:line="360" w:lineRule="auto"/>
        <w:ind w:firstLine="1440"/>
        <w:rPr>
          <w:sz w:val="24"/>
          <w:szCs w:val="24"/>
        </w:rPr>
      </w:pPr>
      <w:bookmarkStart w:id="0" w:name="_GoBack"/>
      <w:bookmarkEnd w:id="0"/>
      <w:r w:rsidRPr="00FD6E24">
        <w:rPr>
          <w:sz w:val="24"/>
          <w:szCs w:val="24"/>
        </w:rPr>
        <w:lastRenderedPageBreak/>
        <w:t xml:space="preserve">In </w:t>
      </w:r>
      <w:r w:rsidRPr="00FD6E24">
        <w:rPr>
          <w:sz w:val="24"/>
          <w:szCs w:val="24"/>
          <w:u w:val="single"/>
        </w:rPr>
        <w:t>Hoch v. Philadelphia Electric Company</w:t>
      </w:r>
      <w:r w:rsidRPr="00FD6E24">
        <w:rPr>
          <w:rStyle w:val="FootnoteReference"/>
          <w:sz w:val="24"/>
          <w:szCs w:val="24"/>
        </w:rPr>
        <w:footnoteReference w:id="11"/>
      </w:r>
      <w:r w:rsidRPr="00FD6E24">
        <w:rPr>
          <w:sz w:val="24"/>
          <w:szCs w:val="24"/>
        </w:rPr>
        <w:t>, the Superior Court of Pennsylvania held the Public Utility Commission is not the proper forum to hear complaints in trespass.  Such matters are within the original jurisdiction of the Courts of Common Pleas.  Without jurisdiction, the</w:t>
      </w:r>
      <w:r>
        <w:rPr>
          <w:sz w:val="24"/>
          <w:szCs w:val="24"/>
        </w:rPr>
        <w:t xml:space="preserve"> Commission cannot sustain Thomas’ formal c</w:t>
      </w:r>
      <w:r w:rsidRPr="00FD6E24">
        <w:rPr>
          <w:sz w:val="24"/>
          <w:szCs w:val="24"/>
        </w:rPr>
        <w:t xml:space="preserve">omplaint and the </w:t>
      </w:r>
      <w:r>
        <w:rPr>
          <w:sz w:val="24"/>
          <w:szCs w:val="24"/>
        </w:rPr>
        <w:t>Preliminary Objection</w:t>
      </w:r>
      <w:r w:rsidRPr="00FD6E24">
        <w:rPr>
          <w:sz w:val="24"/>
          <w:szCs w:val="24"/>
        </w:rPr>
        <w:t xml:space="preserve"> must be granted.  </w:t>
      </w:r>
    </w:p>
    <w:p w:rsidR="00FD6E24" w:rsidRPr="00FD6E24" w:rsidRDefault="00FD6E24" w:rsidP="00FD6E24">
      <w:pPr>
        <w:spacing w:line="360" w:lineRule="auto"/>
        <w:rPr>
          <w:sz w:val="24"/>
          <w:szCs w:val="24"/>
        </w:rPr>
      </w:pPr>
      <w:r w:rsidRPr="00FD6E24">
        <w:rPr>
          <w:sz w:val="24"/>
          <w:szCs w:val="24"/>
        </w:rPr>
        <w:tab/>
      </w:r>
      <w:r w:rsidRPr="00FD6E24">
        <w:rPr>
          <w:sz w:val="24"/>
          <w:szCs w:val="24"/>
        </w:rPr>
        <w:tab/>
      </w:r>
    </w:p>
    <w:p w:rsidR="00FD6E24" w:rsidRPr="00FD6E24" w:rsidRDefault="00FD6E24" w:rsidP="00FD6E24">
      <w:pPr>
        <w:spacing w:line="360" w:lineRule="auto"/>
        <w:rPr>
          <w:sz w:val="24"/>
          <w:szCs w:val="24"/>
        </w:rPr>
      </w:pPr>
      <w:r w:rsidRPr="00FD6E24">
        <w:rPr>
          <w:sz w:val="24"/>
          <w:szCs w:val="24"/>
        </w:rPr>
        <w:tab/>
      </w:r>
      <w:r w:rsidRPr="00FD6E24">
        <w:rPr>
          <w:sz w:val="24"/>
          <w:szCs w:val="24"/>
        </w:rPr>
        <w:tab/>
        <w:t xml:space="preserve">The Commission may “dismiss any complaint without a hearing if, in its opinion, a hearing is not necessary in the public </w:t>
      </w:r>
      <w:r>
        <w:rPr>
          <w:sz w:val="24"/>
          <w:szCs w:val="24"/>
        </w:rPr>
        <w:t>interest.”</w:t>
      </w:r>
      <w:r>
        <w:rPr>
          <w:rStyle w:val="FootnoteReference"/>
          <w:sz w:val="24"/>
          <w:szCs w:val="24"/>
        </w:rPr>
        <w:footnoteReference w:id="12"/>
      </w:r>
      <w:r>
        <w:rPr>
          <w:sz w:val="24"/>
          <w:szCs w:val="24"/>
        </w:rPr>
        <w:t xml:space="preserve">  </w:t>
      </w:r>
      <w:r w:rsidRPr="00FD6E24">
        <w:rPr>
          <w:sz w:val="24"/>
          <w:szCs w:val="24"/>
        </w:rPr>
        <w:t xml:space="preserve">Dismissing a complaint without a hearing is appropriate and in the public interest when there are no genuine questions of material fact and </w:t>
      </w:r>
      <w:r w:rsidR="00D94A2B">
        <w:rPr>
          <w:sz w:val="24"/>
          <w:szCs w:val="24"/>
        </w:rPr>
        <w:t>when</w:t>
      </w:r>
      <w:r w:rsidRPr="00FD6E24">
        <w:rPr>
          <w:sz w:val="24"/>
          <w:szCs w:val="24"/>
        </w:rPr>
        <w:t xml:space="preserve"> Respondent is entitled to judgment as a matter of law.</w:t>
      </w:r>
      <w:r w:rsidR="00D94A2B">
        <w:rPr>
          <w:rStyle w:val="FootnoteReference"/>
          <w:sz w:val="24"/>
          <w:szCs w:val="24"/>
        </w:rPr>
        <w:footnoteReference w:id="13"/>
      </w:r>
      <w:r w:rsidRPr="00FD6E24">
        <w:rPr>
          <w:sz w:val="24"/>
          <w:szCs w:val="24"/>
        </w:rPr>
        <w:t xml:space="preserve">  </w:t>
      </w:r>
    </w:p>
    <w:p w:rsidR="00FE58C9" w:rsidRPr="00FD6E24" w:rsidRDefault="00FE58C9" w:rsidP="00FD6E24">
      <w:pPr>
        <w:spacing w:line="360" w:lineRule="auto"/>
        <w:rPr>
          <w:sz w:val="24"/>
          <w:szCs w:val="24"/>
        </w:rPr>
      </w:pPr>
    </w:p>
    <w:p w:rsidR="00FE58C9" w:rsidRDefault="00FE58C9" w:rsidP="00772DED">
      <w:pPr>
        <w:spacing w:line="360" w:lineRule="auto"/>
        <w:rPr>
          <w:sz w:val="24"/>
          <w:szCs w:val="24"/>
        </w:rPr>
      </w:pPr>
      <w:r w:rsidRPr="00FD6E24">
        <w:rPr>
          <w:sz w:val="24"/>
          <w:szCs w:val="24"/>
        </w:rPr>
        <w:tab/>
      </w:r>
      <w:r w:rsidRPr="00FD6E24">
        <w:rPr>
          <w:sz w:val="24"/>
          <w:szCs w:val="24"/>
        </w:rPr>
        <w:tab/>
      </w:r>
      <w:r w:rsidR="00A85756">
        <w:rPr>
          <w:sz w:val="24"/>
          <w:szCs w:val="24"/>
        </w:rPr>
        <w:t xml:space="preserve">Here, Thomas attempts to bring criminal matters before the Commission, alleging criminal activity and actions by PECO’s employees.  The Commission is not empowered by the Pennsylvania Legislature to adjudicate matters discussed in the Pennsylvania Crimes Code.  That power resides with the Court of Common Pleas.  </w:t>
      </w:r>
      <w:r w:rsidRPr="00FD6E24">
        <w:rPr>
          <w:sz w:val="24"/>
          <w:szCs w:val="24"/>
        </w:rPr>
        <w:t>Therefore, the issue</w:t>
      </w:r>
      <w:r w:rsidR="00CB45FA" w:rsidRPr="00FD6E24">
        <w:rPr>
          <w:sz w:val="24"/>
          <w:szCs w:val="24"/>
        </w:rPr>
        <w:t>s</w:t>
      </w:r>
      <w:r w:rsidRPr="00FD6E24">
        <w:rPr>
          <w:sz w:val="24"/>
          <w:szCs w:val="24"/>
        </w:rPr>
        <w:t xml:space="preserve"> referenced in Docket Number </w:t>
      </w:r>
      <w:r w:rsidR="00CB45FA" w:rsidRPr="00FD6E24">
        <w:rPr>
          <w:sz w:val="24"/>
          <w:szCs w:val="24"/>
        </w:rPr>
        <w:t>F-2012-2294555</w:t>
      </w:r>
      <w:r w:rsidRPr="00FD6E24">
        <w:rPr>
          <w:sz w:val="24"/>
          <w:szCs w:val="24"/>
        </w:rPr>
        <w:t xml:space="preserve"> must be</w:t>
      </w:r>
      <w:r>
        <w:rPr>
          <w:sz w:val="24"/>
          <w:szCs w:val="24"/>
        </w:rPr>
        <w:t xml:space="preserve"> dismissed.  </w:t>
      </w:r>
    </w:p>
    <w:p w:rsidR="00A54478" w:rsidRDefault="00A54478" w:rsidP="00772DED">
      <w:pPr>
        <w:spacing w:line="360" w:lineRule="auto"/>
        <w:rPr>
          <w:sz w:val="24"/>
          <w:szCs w:val="24"/>
        </w:rPr>
      </w:pPr>
    </w:p>
    <w:p w:rsidR="00E908F4" w:rsidRPr="00772DED" w:rsidRDefault="00E908F4" w:rsidP="00772DED">
      <w:pPr>
        <w:spacing w:line="360" w:lineRule="auto"/>
        <w:jc w:val="center"/>
        <w:rPr>
          <w:sz w:val="24"/>
          <w:szCs w:val="24"/>
        </w:rPr>
      </w:pPr>
      <w:r w:rsidRPr="00772DED">
        <w:rPr>
          <w:sz w:val="24"/>
          <w:szCs w:val="24"/>
          <w:u w:val="single"/>
        </w:rPr>
        <w:t>CONCLUSION</w:t>
      </w:r>
      <w:r w:rsidR="009E33C2" w:rsidRPr="00772DED">
        <w:rPr>
          <w:sz w:val="24"/>
          <w:szCs w:val="24"/>
          <w:u w:val="single"/>
        </w:rPr>
        <w:t>S</w:t>
      </w:r>
      <w:r w:rsidRPr="00772DED">
        <w:rPr>
          <w:sz w:val="24"/>
          <w:szCs w:val="24"/>
          <w:u w:val="single"/>
        </w:rPr>
        <w:t xml:space="preserve"> OF LAW</w:t>
      </w:r>
    </w:p>
    <w:p w:rsidR="00772DED" w:rsidRPr="00772DED" w:rsidRDefault="00772DED" w:rsidP="00772DED">
      <w:pPr>
        <w:spacing w:line="360" w:lineRule="auto"/>
        <w:rPr>
          <w:sz w:val="24"/>
          <w:szCs w:val="24"/>
          <w:u w:val="single"/>
        </w:rPr>
      </w:pPr>
    </w:p>
    <w:p w:rsidR="00772DED" w:rsidRPr="00A85756" w:rsidRDefault="00772DED" w:rsidP="00772DED">
      <w:pPr>
        <w:spacing w:line="360" w:lineRule="auto"/>
        <w:rPr>
          <w:sz w:val="24"/>
          <w:szCs w:val="24"/>
        </w:rPr>
      </w:pPr>
      <w:r w:rsidRPr="00772DED">
        <w:rPr>
          <w:sz w:val="24"/>
          <w:szCs w:val="24"/>
        </w:rPr>
        <w:tab/>
      </w:r>
      <w:r w:rsidRPr="00772DED">
        <w:rPr>
          <w:sz w:val="24"/>
          <w:szCs w:val="24"/>
        </w:rPr>
        <w:tab/>
        <w:t>1.</w:t>
      </w:r>
      <w:r w:rsidRPr="00772DED">
        <w:rPr>
          <w:sz w:val="24"/>
          <w:szCs w:val="24"/>
        </w:rPr>
        <w:tab/>
        <w:t>The Commission has jurisdi</w:t>
      </w:r>
      <w:r>
        <w:rPr>
          <w:sz w:val="24"/>
          <w:szCs w:val="24"/>
        </w:rPr>
        <w:t xml:space="preserve">ction over the parties to this </w:t>
      </w:r>
      <w:r w:rsidR="00A20F07">
        <w:rPr>
          <w:sz w:val="24"/>
          <w:szCs w:val="24"/>
        </w:rPr>
        <w:t>f</w:t>
      </w:r>
      <w:r>
        <w:rPr>
          <w:sz w:val="24"/>
          <w:szCs w:val="24"/>
        </w:rPr>
        <w:t xml:space="preserve">ormal </w:t>
      </w:r>
      <w:r w:rsidR="00A20F07">
        <w:rPr>
          <w:sz w:val="24"/>
          <w:szCs w:val="24"/>
        </w:rPr>
        <w:t>c</w:t>
      </w:r>
      <w:r w:rsidRPr="00772DED">
        <w:rPr>
          <w:sz w:val="24"/>
          <w:szCs w:val="24"/>
        </w:rPr>
        <w:t>omplaint</w:t>
      </w:r>
      <w:r w:rsidRPr="00A85756">
        <w:rPr>
          <w:sz w:val="24"/>
          <w:szCs w:val="24"/>
        </w:rPr>
        <w:t>.</w:t>
      </w:r>
      <w:r w:rsidR="00A85756" w:rsidRPr="00A85756">
        <w:rPr>
          <w:sz w:val="24"/>
          <w:szCs w:val="24"/>
        </w:rPr>
        <w:t xml:space="preserve">  </w:t>
      </w:r>
      <w:proofErr w:type="spellStart"/>
      <w:r w:rsidR="00A85756" w:rsidRPr="00A85756">
        <w:rPr>
          <w:sz w:val="24"/>
          <w:szCs w:val="24"/>
          <w:u w:val="single"/>
        </w:rPr>
        <w:t>DeFrancesco</w:t>
      </w:r>
      <w:proofErr w:type="spellEnd"/>
      <w:r w:rsidR="00A85756" w:rsidRPr="00A85756">
        <w:rPr>
          <w:sz w:val="24"/>
          <w:szCs w:val="24"/>
          <w:u w:val="single"/>
        </w:rPr>
        <w:t xml:space="preserve"> et al. v. Western Pennsylvania Water Company</w:t>
      </w:r>
      <w:r w:rsidR="00A85756" w:rsidRPr="00A85756">
        <w:rPr>
          <w:sz w:val="24"/>
          <w:szCs w:val="24"/>
        </w:rPr>
        <w:t>, 435 A.2d 614, 616 (Pa. Super. 1981)</w:t>
      </w:r>
      <w:r w:rsidR="00162252">
        <w:rPr>
          <w:sz w:val="24"/>
          <w:szCs w:val="24"/>
        </w:rPr>
        <w:t>,</w:t>
      </w:r>
      <w:r w:rsidR="00A85756" w:rsidRPr="00A85756">
        <w:rPr>
          <w:sz w:val="24"/>
          <w:szCs w:val="24"/>
        </w:rPr>
        <w:t xml:space="preserve"> vacated and remanded on other grounds, 435 A.2d 595 (1982).</w:t>
      </w:r>
    </w:p>
    <w:p w:rsidR="00772DED" w:rsidRPr="00772DED" w:rsidRDefault="00772DED" w:rsidP="00772DED">
      <w:pPr>
        <w:spacing w:line="360" w:lineRule="auto"/>
        <w:rPr>
          <w:sz w:val="24"/>
          <w:szCs w:val="24"/>
        </w:rPr>
      </w:pPr>
    </w:p>
    <w:p w:rsidR="00772DED" w:rsidRDefault="00772DED" w:rsidP="00772DED">
      <w:pPr>
        <w:spacing w:line="360" w:lineRule="auto"/>
        <w:rPr>
          <w:sz w:val="24"/>
          <w:szCs w:val="24"/>
        </w:rPr>
      </w:pPr>
      <w:r w:rsidRPr="00772DED">
        <w:rPr>
          <w:sz w:val="24"/>
          <w:szCs w:val="24"/>
        </w:rPr>
        <w:tab/>
      </w:r>
      <w:r w:rsidRPr="00772DED">
        <w:rPr>
          <w:sz w:val="24"/>
          <w:szCs w:val="24"/>
        </w:rPr>
        <w:tab/>
        <w:t>2.</w:t>
      </w:r>
      <w:r w:rsidRPr="00772DED">
        <w:rPr>
          <w:sz w:val="24"/>
          <w:szCs w:val="24"/>
        </w:rPr>
        <w:tab/>
        <w:t xml:space="preserve">The Commission </w:t>
      </w:r>
      <w:r w:rsidR="008B5715">
        <w:rPr>
          <w:sz w:val="24"/>
          <w:szCs w:val="24"/>
        </w:rPr>
        <w:t>will not relitigate</w:t>
      </w:r>
      <w:r w:rsidRPr="00772DED">
        <w:rPr>
          <w:sz w:val="24"/>
          <w:szCs w:val="24"/>
        </w:rPr>
        <w:t xml:space="preserve"> Complainant’s </w:t>
      </w:r>
      <w:r>
        <w:rPr>
          <w:sz w:val="24"/>
          <w:szCs w:val="24"/>
        </w:rPr>
        <w:t>allegations</w:t>
      </w:r>
      <w:r w:rsidRPr="00772DED">
        <w:rPr>
          <w:sz w:val="24"/>
          <w:szCs w:val="24"/>
        </w:rPr>
        <w:t xml:space="preserve"> concerning </w:t>
      </w:r>
      <w:r>
        <w:rPr>
          <w:sz w:val="24"/>
          <w:szCs w:val="24"/>
        </w:rPr>
        <w:t>the presence of incorrect charges</w:t>
      </w:r>
      <w:r w:rsidRPr="00772DED">
        <w:rPr>
          <w:sz w:val="24"/>
          <w:szCs w:val="24"/>
        </w:rPr>
        <w:t xml:space="preserve"> because </w:t>
      </w:r>
      <w:r>
        <w:rPr>
          <w:sz w:val="24"/>
          <w:szCs w:val="24"/>
        </w:rPr>
        <w:t xml:space="preserve">that </w:t>
      </w:r>
      <w:r w:rsidRPr="00772DED">
        <w:rPr>
          <w:sz w:val="24"/>
          <w:szCs w:val="24"/>
        </w:rPr>
        <w:t>matter</w:t>
      </w:r>
      <w:r>
        <w:rPr>
          <w:sz w:val="24"/>
          <w:szCs w:val="24"/>
        </w:rPr>
        <w:t xml:space="preserve"> was </w:t>
      </w:r>
      <w:r w:rsidRPr="00772DED">
        <w:rPr>
          <w:sz w:val="24"/>
          <w:szCs w:val="24"/>
        </w:rPr>
        <w:t xml:space="preserve">previously litigated </w:t>
      </w:r>
      <w:r>
        <w:rPr>
          <w:sz w:val="24"/>
          <w:szCs w:val="24"/>
        </w:rPr>
        <w:t>at Docket Number C</w:t>
      </w:r>
      <w:r w:rsidR="00E14DF0">
        <w:rPr>
          <w:sz w:val="24"/>
          <w:szCs w:val="24"/>
        </w:rPr>
        <w:noBreakHyphen/>
      </w:r>
      <w:r>
        <w:rPr>
          <w:sz w:val="24"/>
          <w:szCs w:val="24"/>
        </w:rPr>
        <w:t>2010-21871</w:t>
      </w:r>
      <w:r w:rsidR="00C515B9">
        <w:rPr>
          <w:sz w:val="24"/>
          <w:szCs w:val="24"/>
        </w:rPr>
        <w:t>97</w:t>
      </w:r>
      <w:r>
        <w:rPr>
          <w:sz w:val="24"/>
          <w:szCs w:val="24"/>
        </w:rPr>
        <w:t xml:space="preserve"> </w:t>
      </w:r>
      <w:r w:rsidRPr="00772DED">
        <w:rPr>
          <w:sz w:val="24"/>
          <w:szCs w:val="24"/>
        </w:rPr>
        <w:t xml:space="preserve">and the Commission </w:t>
      </w:r>
      <w:r w:rsidR="00A85756">
        <w:rPr>
          <w:sz w:val="24"/>
          <w:szCs w:val="24"/>
        </w:rPr>
        <w:t xml:space="preserve">previously </w:t>
      </w:r>
      <w:r w:rsidRPr="00772DED">
        <w:rPr>
          <w:sz w:val="24"/>
          <w:szCs w:val="24"/>
        </w:rPr>
        <w:t>issued a final order.</w:t>
      </w:r>
    </w:p>
    <w:p w:rsidR="00772DED" w:rsidRPr="00A85756" w:rsidRDefault="00772DED" w:rsidP="00772DED">
      <w:pPr>
        <w:spacing w:line="360" w:lineRule="auto"/>
        <w:ind w:firstLine="1440"/>
        <w:rPr>
          <w:sz w:val="24"/>
          <w:szCs w:val="24"/>
        </w:rPr>
      </w:pPr>
      <w:r>
        <w:rPr>
          <w:sz w:val="24"/>
          <w:szCs w:val="24"/>
        </w:rPr>
        <w:lastRenderedPageBreak/>
        <w:t>3.</w:t>
      </w:r>
      <w:r>
        <w:rPr>
          <w:sz w:val="24"/>
          <w:szCs w:val="24"/>
        </w:rPr>
        <w:tab/>
      </w:r>
      <w:r w:rsidR="00A85756" w:rsidRPr="00772DED">
        <w:rPr>
          <w:sz w:val="24"/>
          <w:szCs w:val="24"/>
        </w:rPr>
        <w:t xml:space="preserve">The Commission does not have jurisdiction over Complainant’s dispute concerning </w:t>
      </w:r>
      <w:r w:rsidR="00A85756">
        <w:rPr>
          <w:sz w:val="24"/>
          <w:szCs w:val="24"/>
        </w:rPr>
        <w:t>the theft of his bicycles and threatening behavior because the Commission does not have jurisdiction over matters concerning the Crimes Code</w:t>
      </w:r>
      <w:r w:rsidRPr="00A85756">
        <w:rPr>
          <w:sz w:val="24"/>
          <w:szCs w:val="24"/>
        </w:rPr>
        <w:t>.</w:t>
      </w:r>
      <w:r w:rsidR="00A85756" w:rsidRPr="00A85756">
        <w:rPr>
          <w:sz w:val="24"/>
          <w:szCs w:val="24"/>
        </w:rPr>
        <w:t xml:space="preserve">  </w:t>
      </w:r>
      <w:proofErr w:type="gramStart"/>
      <w:r w:rsidR="00A85756" w:rsidRPr="00A85756">
        <w:rPr>
          <w:sz w:val="24"/>
          <w:szCs w:val="24"/>
          <w:u w:val="single"/>
        </w:rPr>
        <w:t>City of Pittsburgh v. Pa. Public Utility Commission</w:t>
      </w:r>
      <w:r w:rsidR="00A85756" w:rsidRPr="00A85756">
        <w:rPr>
          <w:sz w:val="24"/>
          <w:szCs w:val="24"/>
        </w:rPr>
        <w:t>, 43 A.2d 348 (Pa. Super. 1945).</w:t>
      </w:r>
      <w:proofErr w:type="gramEnd"/>
      <w:r w:rsidR="00A85756" w:rsidRPr="00A85756">
        <w:rPr>
          <w:sz w:val="24"/>
          <w:szCs w:val="24"/>
        </w:rPr>
        <w:t xml:space="preserve">  </w:t>
      </w:r>
    </w:p>
    <w:p w:rsidR="00772DED" w:rsidRPr="00772DED" w:rsidRDefault="00772DED" w:rsidP="00772DED">
      <w:pPr>
        <w:spacing w:line="360" w:lineRule="auto"/>
        <w:rPr>
          <w:sz w:val="24"/>
          <w:szCs w:val="24"/>
        </w:rPr>
      </w:pPr>
    </w:p>
    <w:p w:rsidR="00772DED" w:rsidRPr="00772DED" w:rsidRDefault="00A85756" w:rsidP="00772DED">
      <w:pPr>
        <w:spacing w:line="360" w:lineRule="auto"/>
        <w:rPr>
          <w:sz w:val="24"/>
          <w:szCs w:val="24"/>
        </w:rPr>
      </w:pPr>
      <w:r>
        <w:rPr>
          <w:sz w:val="24"/>
          <w:szCs w:val="24"/>
        </w:rPr>
        <w:tab/>
      </w:r>
      <w:r>
        <w:rPr>
          <w:sz w:val="24"/>
          <w:szCs w:val="24"/>
        </w:rPr>
        <w:tab/>
        <w:t>4</w:t>
      </w:r>
      <w:r w:rsidR="00772DED" w:rsidRPr="00772DED">
        <w:rPr>
          <w:sz w:val="24"/>
          <w:szCs w:val="24"/>
        </w:rPr>
        <w:t>.</w:t>
      </w:r>
      <w:r w:rsidR="00772DED" w:rsidRPr="00772DED">
        <w:rPr>
          <w:sz w:val="24"/>
          <w:szCs w:val="24"/>
        </w:rPr>
        <w:tab/>
        <w:t>The Commission may dismiss any complaint without a hearing if, in its opinion, a hearing is not necessary in the public interest</w:t>
      </w:r>
      <w:r w:rsidR="00772DED" w:rsidRPr="00A85756">
        <w:rPr>
          <w:sz w:val="24"/>
          <w:szCs w:val="24"/>
        </w:rPr>
        <w:t>.</w:t>
      </w:r>
      <w:r w:rsidRPr="00A85756">
        <w:rPr>
          <w:sz w:val="24"/>
          <w:szCs w:val="24"/>
        </w:rPr>
        <w:t xml:space="preserve">  </w:t>
      </w:r>
      <w:proofErr w:type="gramStart"/>
      <w:r w:rsidRPr="00A85756">
        <w:rPr>
          <w:sz w:val="24"/>
          <w:szCs w:val="24"/>
        </w:rPr>
        <w:t>66 Pa. C.S. §703(b); also 52 Pa. Code §5.21(d)</w:t>
      </w:r>
      <w:r>
        <w:rPr>
          <w:sz w:val="24"/>
          <w:szCs w:val="24"/>
        </w:rPr>
        <w:t>.</w:t>
      </w:r>
      <w:proofErr w:type="gramEnd"/>
    </w:p>
    <w:p w:rsidR="00772DED" w:rsidRPr="00772DED" w:rsidRDefault="00772DED" w:rsidP="00772DED">
      <w:pPr>
        <w:spacing w:line="360" w:lineRule="auto"/>
        <w:rPr>
          <w:sz w:val="24"/>
          <w:szCs w:val="24"/>
        </w:rPr>
      </w:pPr>
    </w:p>
    <w:p w:rsidR="00772DED" w:rsidRPr="00772DED" w:rsidRDefault="00772DED" w:rsidP="00772DED">
      <w:pPr>
        <w:spacing w:line="360" w:lineRule="auto"/>
        <w:rPr>
          <w:sz w:val="24"/>
          <w:szCs w:val="24"/>
        </w:rPr>
      </w:pPr>
      <w:r w:rsidRPr="00772DED">
        <w:rPr>
          <w:sz w:val="24"/>
          <w:szCs w:val="24"/>
        </w:rPr>
        <w:tab/>
      </w:r>
      <w:r w:rsidRPr="00772DED">
        <w:rPr>
          <w:sz w:val="24"/>
          <w:szCs w:val="24"/>
        </w:rPr>
        <w:tab/>
      </w:r>
      <w:r w:rsidR="00A85756">
        <w:rPr>
          <w:sz w:val="24"/>
          <w:szCs w:val="24"/>
        </w:rPr>
        <w:t>5</w:t>
      </w:r>
      <w:r w:rsidRPr="00772DED">
        <w:rPr>
          <w:sz w:val="24"/>
          <w:szCs w:val="24"/>
        </w:rPr>
        <w:t>.</w:t>
      </w:r>
      <w:r w:rsidRPr="00772DED">
        <w:rPr>
          <w:sz w:val="24"/>
          <w:szCs w:val="24"/>
        </w:rPr>
        <w:tab/>
        <w:t>A hearing is not necessary in the public interest in this case.</w:t>
      </w:r>
    </w:p>
    <w:p w:rsidR="002C24F5" w:rsidRDefault="002C24F5" w:rsidP="00B9446F">
      <w:pPr>
        <w:spacing w:line="360" w:lineRule="auto"/>
        <w:ind w:firstLine="1440"/>
        <w:rPr>
          <w:sz w:val="24"/>
          <w:szCs w:val="24"/>
        </w:rPr>
      </w:pPr>
    </w:p>
    <w:p w:rsidR="00A91769" w:rsidRPr="00FE47F8" w:rsidRDefault="00A91769" w:rsidP="00A91769">
      <w:pPr>
        <w:spacing w:line="360" w:lineRule="auto"/>
        <w:jc w:val="center"/>
        <w:rPr>
          <w:b/>
          <w:sz w:val="24"/>
          <w:szCs w:val="24"/>
          <w:u w:val="single"/>
        </w:rPr>
      </w:pPr>
      <w:r w:rsidRPr="00FE47F8">
        <w:rPr>
          <w:b/>
          <w:sz w:val="24"/>
          <w:szCs w:val="24"/>
          <w:u w:val="single"/>
        </w:rPr>
        <w:t>ORDER</w:t>
      </w:r>
    </w:p>
    <w:p w:rsidR="00FE47F8" w:rsidRDefault="00FE47F8" w:rsidP="00A91769">
      <w:pPr>
        <w:spacing w:line="360" w:lineRule="auto"/>
        <w:jc w:val="center"/>
        <w:rPr>
          <w:sz w:val="24"/>
          <w:szCs w:val="24"/>
          <w:u w:val="single"/>
        </w:rPr>
      </w:pP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THEREFORE</w:t>
      </w:r>
      <w:r w:rsidR="00BC186B">
        <w:rPr>
          <w:sz w:val="24"/>
          <w:szCs w:val="24"/>
        </w:rPr>
        <w:t>,</w:t>
      </w: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IT IS ORDERED:</w:t>
      </w: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That the complaint of</w:t>
      </w:r>
      <w:r w:rsidR="0084601B">
        <w:rPr>
          <w:sz w:val="24"/>
          <w:szCs w:val="24"/>
        </w:rPr>
        <w:t xml:space="preserve"> </w:t>
      </w:r>
      <w:r w:rsidR="00772DED">
        <w:rPr>
          <w:sz w:val="24"/>
          <w:szCs w:val="24"/>
        </w:rPr>
        <w:t>Nehemiah Thomas</w:t>
      </w:r>
      <w:r w:rsidR="002C24F5">
        <w:rPr>
          <w:sz w:val="24"/>
          <w:szCs w:val="24"/>
        </w:rPr>
        <w:t xml:space="preserve"> v</w:t>
      </w:r>
      <w:r w:rsidR="00C03057">
        <w:rPr>
          <w:sz w:val="24"/>
          <w:szCs w:val="24"/>
        </w:rPr>
        <w:t>.</w:t>
      </w:r>
      <w:r w:rsidR="00772DED">
        <w:rPr>
          <w:sz w:val="24"/>
          <w:szCs w:val="24"/>
        </w:rPr>
        <w:t xml:space="preserve"> PECO Energy Company</w:t>
      </w:r>
      <w:r w:rsidR="002C24F5">
        <w:rPr>
          <w:sz w:val="24"/>
          <w:szCs w:val="24"/>
        </w:rPr>
        <w:t xml:space="preserve"> a</w:t>
      </w:r>
      <w:r w:rsidR="00772DED">
        <w:rPr>
          <w:sz w:val="24"/>
          <w:szCs w:val="24"/>
        </w:rPr>
        <w:t>t Docket N</w:t>
      </w:r>
      <w:r w:rsidR="006220FD">
        <w:rPr>
          <w:sz w:val="24"/>
          <w:szCs w:val="24"/>
        </w:rPr>
        <w:t>umber</w:t>
      </w:r>
      <w:r w:rsidR="00772DED">
        <w:rPr>
          <w:sz w:val="24"/>
          <w:szCs w:val="24"/>
        </w:rPr>
        <w:t xml:space="preserve"> F-2012-2294555</w:t>
      </w:r>
      <w:r w:rsidR="0084601B">
        <w:rPr>
          <w:sz w:val="24"/>
          <w:szCs w:val="24"/>
        </w:rPr>
        <w:t xml:space="preserve"> is</w:t>
      </w:r>
      <w:r w:rsidR="00DA0B63">
        <w:rPr>
          <w:sz w:val="24"/>
          <w:szCs w:val="24"/>
        </w:rPr>
        <w:t xml:space="preserve"> hereby </w:t>
      </w:r>
      <w:r w:rsidR="00E4391B">
        <w:rPr>
          <w:sz w:val="24"/>
          <w:szCs w:val="24"/>
        </w:rPr>
        <w:t xml:space="preserve">stricken and </w:t>
      </w:r>
      <w:r w:rsidR="00DA0B63">
        <w:rPr>
          <w:sz w:val="24"/>
          <w:szCs w:val="24"/>
        </w:rPr>
        <w:t>dismissed</w:t>
      </w:r>
      <w:r w:rsidR="00E4391B">
        <w:rPr>
          <w:sz w:val="24"/>
          <w:szCs w:val="24"/>
        </w:rPr>
        <w:t>, and should be marked as closed</w:t>
      </w:r>
      <w:r w:rsidR="00DA0B63">
        <w:rPr>
          <w:sz w:val="24"/>
          <w:szCs w:val="24"/>
        </w:rPr>
        <w:t>.</w:t>
      </w:r>
    </w:p>
    <w:p w:rsidR="00976C06" w:rsidRDefault="00976C06" w:rsidP="00A91769">
      <w:pPr>
        <w:spacing w:line="360" w:lineRule="auto"/>
        <w:rPr>
          <w:sz w:val="24"/>
          <w:szCs w:val="24"/>
        </w:rPr>
      </w:pPr>
    </w:p>
    <w:p w:rsidR="00460457" w:rsidRDefault="00460457" w:rsidP="00A91769">
      <w:pPr>
        <w:spacing w:line="360" w:lineRule="auto"/>
        <w:rPr>
          <w:sz w:val="24"/>
          <w:szCs w:val="24"/>
        </w:rPr>
      </w:pPr>
    </w:p>
    <w:p w:rsidR="00DA0B63" w:rsidRDefault="00DA0B63" w:rsidP="00DA0B63">
      <w:pPr>
        <w:rPr>
          <w:sz w:val="24"/>
          <w:szCs w:val="24"/>
        </w:rPr>
      </w:pPr>
      <w:r>
        <w:rPr>
          <w:sz w:val="24"/>
          <w:szCs w:val="24"/>
        </w:rPr>
        <w:t xml:space="preserve">Date:  </w:t>
      </w:r>
      <w:r w:rsidR="00772DED">
        <w:rPr>
          <w:sz w:val="24"/>
          <w:szCs w:val="24"/>
          <w:u w:val="single"/>
        </w:rPr>
        <w:t>May 4, 2012</w:t>
      </w:r>
      <w:r>
        <w:rPr>
          <w:sz w:val="24"/>
          <w:szCs w:val="24"/>
        </w:rPr>
        <w:tab/>
      </w:r>
      <w:r>
        <w:rPr>
          <w:sz w:val="24"/>
          <w:szCs w:val="24"/>
        </w:rPr>
        <w:tab/>
      </w:r>
      <w:r>
        <w:rPr>
          <w:sz w:val="24"/>
          <w:szCs w:val="24"/>
        </w:rPr>
        <w:tab/>
      </w:r>
      <w:r>
        <w:rPr>
          <w:sz w:val="24"/>
          <w:szCs w:val="24"/>
        </w:rPr>
        <w:tab/>
      </w:r>
      <w:r w:rsidR="00A97D36">
        <w:rPr>
          <w:sz w:val="24"/>
          <w:szCs w:val="24"/>
        </w:rPr>
        <w:tab/>
      </w:r>
      <w:r w:rsidR="00FE47F8">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A0B63" w:rsidRDefault="00DA0B63" w:rsidP="00DA0B6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97D36">
        <w:rPr>
          <w:sz w:val="24"/>
          <w:szCs w:val="24"/>
        </w:rPr>
        <w:tab/>
      </w:r>
      <w:r w:rsidR="00247485" w:rsidRPr="00247485">
        <w:rPr>
          <w:sz w:val="24"/>
          <w:szCs w:val="24"/>
        </w:rPr>
        <w:t>Katrina L. Dunderdale</w:t>
      </w:r>
    </w:p>
    <w:p w:rsidR="00247485" w:rsidRPr="00D7602F" w:rsidRDefault="00DA0B63" w:rsidP="00DA0B63">
      <w:pPr>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97D36">
        <w:rPr>
          <w:sz w:val="24"/>
          <w:szCs w:val="24"/>
        </w:rPr>
        <w:tab/>
      </w:r>
      <w:r>
        <w:rPr>
          <w:sz w:val="24"/>
          <w:szCs w:val="24"/>
        </w:rPr>
        <w:t>Administrative Law Judge</w:t>
      </w:r>
    </w:p>
    <w:sectPr w:rsidR="00247485" w:rsidRPr="00D7602F" w:rsidSect="00B75C9A">
      <w:footerReference w:type="even" r:id="rId9"/>
      <w:footerReference w:type="default" r:id="rId10"/>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F3" w:rsidRDefault="00066FF3">
      <w:r>
        <w:separator/>
      </w:r>
    </w:p>
  </w:endnote>
  <w:endnote w:type="continuationSeparator" w:id="0">
    <w:p w:rsidR="00066FF3" w:rsidRDefault="0006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1D" w:rsidRDefault="001A04C4">
    <w:pPr>
      <w:pStyle w:val="Footer"/>
      <w:framePr w:wrap="around" w:vAnchor="text" w:hAnchor="margin" w:xAlign="center" w:y="1"/>
      <w:rPr>
        <w:rStyle w:val="PageNumber"/>
      </w:rPr>
    </w:pPr>
    <w:r>
      <w:rPr>
        <w:rStyle w:val="PageNumber"/>
      </w:rPr>
      <w:fldChar w:fldCharType="begin"/>
    </w:r>
    <w:r w:rsidR="00C9761D">
      <w:rPr>
        <w:rStyle w:val="PageNumber"/>
      </w:rPr>
      <w:instrText xml:space="preserve">PAGE  </w:instrText>
    </w:r>
    <w:r>
      <w:rPr>
        <w:rStyle w:val="PageNumber"/>
      </w:rPr>
      <w:fldChar w:fldCharType="separate"/>
    </w:r>
    <w:r w:rsidR="00C9761D">
      <w:rPr>
        <w:rStyle w:val="PageNumber"/>
        <w:noProof/>
      </w:rPr>
      <w:t>1</w:t>
    </w:r>
    <w:r>
      <w:rPr>
        <w:rStyle w:val="PageNumber"/>
      </w:rPr>
      <w:fldChar w:fldCharType="end"/>
    </w:r>
  </w:p>
  <w:p w:rsidR="00C9761D" w:rsidRDefault="00C97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1D" w:rsidRPr="00900DB1" w:rsidRDefault="001A04C4">
    <w:pPr>
      <w:pStyle w:val="Footer"/>
      <w:framePr w:wrap="around" w:vAnchor="text" w:hAnchor="margin" w:xAlign="center" w:y="1"/>
      <w:rPr>
        <w:rStyle w:val="PageNumber"/>
        <w:sz w:val="24"/>
        <w:szCs w:val="24"/>
      </w:rPr>
    </w:pPr>
    <w:r w:rsidRPr="00900DB1">
      <w:rPr>
        <w:rStyle w:val="PageNumber"/>
        <w:sz w:val="24"/>
        <w:szCs w:val="24"/>
      </w:rPr>
      <w:fldChar w:fldCharType="begin"/>
    </w:r>
    <w:r w:rsidR="00C9761D" w:rsidRPr="00900DB1">
      <w:rPr>
        <w:rStyle w:val="PageNumber"/>
        <w:sz w:val="24"/>
        <w:szCs w:val="24"/>
      </w:rPr>
      <w:instrText xml:space="preserve">PAGE  </w:instrText>
    </w:r>
    <w:r w:rsidRPr="00900DB1">
      <w:rPr>
        <w:rStyle w:val="PageNumber"/>
        <w:sz w:val="24"/>
        <w:szCs w:val="24"/>
      </w:rPr>
      <w:fldChar w:fldCharType="separate"/>
    </w:r>
    <w:r w:rsidR="00A17E7E">
      <w:rPr>
        <w:rStyle w:val="PageNumber"/>
        <w:noProof/>
        <w:sz w:val="24"/>
        <w:szCs w:val="24"/>
      </w:rPr>
      <w:t>7</w:t>
    </w:r>
    <w:r w:rsidRPr="00900DB1">
      <w:rPr>
        <w:rStyle w:val="PageNumber"/>
        <w:sz w:val="24"/>
        <w:szCs w:val="24"/>
      </w:rPr>
      <w:fldChar w:fldCharType="end"/>
    </w:r>
  </w:p>
  <w:p w:rsidR="00C9761D" w:rsidRDefault="00C97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F3" w:rsidRDefault="00066FF3">
      <w:r>
        <w:separator/>
      </w:r>
    </w:p>
  </w:footnote>
  <w:footnote w:type="continuationSeparator" w:id="0">
    <w:p w:rsidR="00066FF3" w:rsidRDefault="00066FF3">
      <w:r>
        <w:continuationSeparator/>
      </w:r>
    </w:p>
  </w:footnote>
  <w:footnote w:id="1">
    <w:p w:rsidR="00AD34F0" w:rsidRPr="00AD34F0" w:rsidRDefault="00AD34F0" w:rsidP="00AD34F0">
      <w:pPr>
        <w:pStyle w:val="FootnoteText"/>
        <w:ind w:firstLine="720"/>
      </w:pPr>
      <w:r w:rsidRPr="00AD34F0">
        <w:rPr>
          <w:rStyle w:val="FootnoteReference"/>
        </w:rPr>
        <w:footnoteRef/>
      </w:r>
      <w:r w:rsidRPr="00AD34F0">
        <w:t xml:space="preserve"> </w:t>
      </w:r>
      <w:r w:rsidRPr="00AD34F0">
        <w:tab/>
        <w:t xml:space="preserve">See 52 Pa. Code §5.101 and </w:t>
      </w:r>
      <w:r w:rsidR="006064D1" w:rsidRPr="00AD34F0">
        <w:t>§</w:t>
      </w:r>
      <w:r w:rsidRPr="00AD34F0">
        <w:t xml:space="preserve">5.103.  </w:t>
      </w:r>
    </w:p>
  </w:footnote>
  <w:footnote w:id="2">
    <w:p w:rsidR="00AD34F0" w:rsidRPr="00AD34F0" w:rsidRDefault="00AD34F0">
      <w:pPr>
        <w:pStyle w:val="FootnoteText"/>
      </w:pPr>
    </w:p>
    <w:p w:rsidR="00AD34F0" w:rsidRPr="00AD34F0" w:rsidRDefault="00AD34F0" w:rsidP="00AD34F0">
      <w:pPr>
        <w:pStyle w:val="FootnoteText"/>
        <w:ind w:firstLine="720"/>
      </w:pPr>
      <w:r w:rsidRPr="00AD34F0">
        <w:rPr>
          <w:rStyle w:val="FootnoteReference"/>
        </w:rPr>
        <w:footnoteRef/>
      </w:r>
      <w:r w:rsidRPr="00AD34F0">
        <w:t xml:space="preserve"> </w:t>
      </w:r>
      <w:r w:rsidRPr="00AD34F0">
        <w:tab/>
      </w:r>
      <w:r w:rsidRPr="00AD34F0">
        <w:rPr>
          <w:u w:val="single"/>
        </w:rPr>
        <w:t>Equitable Small Transportation Interveners v. Equitable Gas Company</w:t>
      </w:r>
      <w:r w:rsidRPr="00AD34F0">
        <w:t>, 1994 Pa.</w:t>
      </w:r>
      <w:r w:rsidR="002341A8">
        <w:t xml:space="preserve"> </w:t>
      </w:r>
      <w:r w:rsidRPr="00AD34F0">
        <w:t xml:space="preserve">PUC LEXIS 69, Docket No. </w:t>
      </w:r>
      <w:proofErr w:type="gramStart"/>
      <w:r w:rsidRPr="00AD34F0">
        <w:t>C-00935435 (1994).</w:t>
      </w:r>
      <w:proofErr w:type="gramEnd"/>
      <w:r w:rsidRPr="00AD34F0">
        <w:t xml:space="preserve">  </w:t>
      </w:r>
    </w:p>
  </w:footnote>
  <w:footnote w:id="3">
    <w:p w:rsidR="00AD34F0" w:rsidRPr="00AD34F0" w:rsidRDefault="00AD34F0">
      <w:pPr>
        <w:pStyle w:val="FootnoteText"/>
      </w:pPr>
    </w:p>
    <w:p w:rsidR="00AD34F0" w:rsidRPr="00AD34F0" w:rsidRDefault="00AD34F0" w:rsidP="00AD34F0">
      <w:pPr>
        <w:pStyle w:val="FootnoteText"/>
        <w:ind w:firstLine="720"/>
      </w:pPr>
      <w:r w:rsidRPr="00AD34F0">
        <w:rPr>
          <w:rStyle w:val="FootnoteReference"/>
        </w:rPr>
        <w:footnoteRef/>
      </w:r>
      <w:r w:rsidRPr="00AD34F0">
        <w:t xml:space="preserve"> </w:t>
      </w:r>
      <w:r w:rsidRPr="00AD34F0">
        <w:tab/>
        <w:t>See 52 Pa. Code §5.101(a</w:t>
      </w:r>
      <w:proofErr w:type="gramStart"/>
      <w:r w:rsidRPr="00AD34F0">
        <w:t>)(</w:t>
      </w:r>
      <w:proofErr w:type="gramEnd"/>
      <w:r w:rsidRPr="00AD34F0">
        <w:t>1).</w:t>
      </w:r>
    </w:p>
  </w:footnote>
  <w:footnote w:id="4">
    <w:p w:rsidR="00AD34F0" w:rsidRPr="00AD34F0" w:rsidRDefault="00AD34F0">
      <w:pPr>
        <w:pStyle w:val="FootnoteText"/>
      </w:pPr>
    </w:p>
    <w:p w:rsidR="00AD34F0" w:rsidRPr="00AD34F0" w:rsidRDefault="00AD34F0" w:rsidP="00AD34F0">
      <w:pPr>
        <w:pStyle w:val="FootnoteText"/>
        <w:ind w:firstLine="720"/>
      </w:pPr>
      <w:r w:rsidRPr="00AD34F0">
        <w:rPr>
          <w:rStyle w:val="FootnoteReference"/>
        </w:rPr>
        <w:footnoteRef/>
      </w:r>
      <w:r w:rsidRPr="00AD34F0">
        <w:t xml:space="preserve"> </w:t>
      </w:r>
      <w:r w:rsidRPr="00AD34F0">
        <w:tab/>
      </w:r>
      <w:proofErr w:type="gramStart"/>
      <w:r w:rsidRPr="00AD34F0">
        <w:rPr>
          <w:u w:val="single"/>
        </w:rPr>
        <w:t xml:space="preserve">County of Allegheny v. </w:t>
      </w:r>
      <w:proofErr w:type="spellStart"/>
      <w:r w:rsidRPr="00AD34F0">
        <w:rPr>
          <w:u w:val="single"/>
        </w:rPr>
        <w:t>Commw</w:t>
      </w:r>
      <w:proofErr w:type="spellEnd"/>
      <w:r w:rsidRPr="00AD34F0">
        <w:rPr>
          <w:u w:val="single"/>
        </w:rPr>
        <w:t>.</w:t>
      </w:r>
      <w:proofErr w:type="gramEnd"/>
      <w:r w:rsidRPr="00AD34F0">
        <w:rPr>
          <w:u w:val="single"/>
        </w:rPr>
        <w:t xml:space="preserve"> </w:t>
      </w:r>
      <w:proofErr w:type="gramStart"/>
      <w:r w:rsidRPr="00AD34F0">
        <w:rPr>
          <w:u w:val="single"/>
        </w:rPr>
        <w:t>of</w:t>
      </w:r>
      <w:proofErr w:type="gramEnd"/>
      <w:r w:rsidRPr="00AD34F0">
        <w:rPr>
          <w:u w:val="single"/>
        </w:rPr>
        <w:t xml:space="preserve"> Pa.</w:t>
      </w:r>
      <w:r w:rsidRPr="00AD34F0">
        <w:t>, 490 A.2d 402 (</w:t>
      </w:r>
      <w:r w:rsidR="008B45F6">
        <w:t xml:space="preserve">Pa. </w:t>
      </w:r>
      <w:r w:rsidRPr="00AD34F0">
        <w:t xml:space="preserve">1985); </w:t>
      </w:r>
      <w:proofErr w:type="spellStart"/>
      <w:r w:rsidRPr="00AD34F0">
        <w:rPr>
          <w:u w:val="single"/>
        </w:rPr>
        <w:t>Commw</w:t>
      </w:r>
      <w:proofErr w:type="spellEnd"/>
      <w:r w:rsidRPr="00AD34F0">
        <w:rPr>
          <w:u w:val="single"/>
        </w:rPr>
        <w:t xml:space="preserve">. </w:t>
      </w:r>
      <w:proofErr w:type="gramStart"/>
      <w:r w:rsidRPr="00AD34F0">
        <w:rPr>
          <w:u w:val="single"/>
        </w:rPr>
        <w:t>of</w:t>
      </w:r>
      <w:proofErr w:type="gramEnd"/>
      <w:r w:rsidRPr="00AD34F0">
        <w:rPr>
          <w:u w:val="single"/>
        </w:rPr>
        <w:t xml:space="preserve"> Pa. v. </w:t>
      </w:r>
      <w:proofErr w:type="gramStart"/>
      <w:r w:rsidRPr="00AD34F0">
        <w:rPr>
          <w:u w:val="single"/>
        </w:rPr>
        <w:t>The Bell Telephone Co. of Pa.</w:t>
      </w:r>
      <w:r w:rsidRPr="00AD34F0">
        <w:t xml:space="preserve">, 551 A.2d 602 (Pa. </w:t>
      </w:r>
      <w:proofErr w:type="spellStart"/>
      <w:r w:rsidRPr="00AD34F0">
        <w:t>Commw</w:t>
      </w:r>
      <w:proofErr w:type="spellEnd"/>
      <w:r w:rsidRPr="00AD34F0">
        <w:t>. 1988).</w:t>
      </w:r>
      <w:proofErr w:type="gramEnd"/>
      <w:r w:rsidRPr="00AD34F0">
        <w:t xml:space="preserve">  </w:t>
      </w:r>
    </w:p>
  </w:footnote>
  <w:footnote w:id="5">
    <w:p w:rsidR="00AD34F0" w:rsidRPr="00AD34F0" w:rsidRDefault="00AD34F0">
      <w:pPr>
        <w:pStyle w:val="FootnoteText"/>
      </w:pPr>
    </w:p>
    <w:p w:rsidR="00AD34F0" w:rsidRPr="00AD34F0" w:rsidRDefault="00AD34F0" w:rsidP="00AD34F0">
      <w:pPr>
        <w:pStyle w:val="FootnoteText"/>
        <w:ind w:firstLine="720"/>
      </w:pPr>
      <w:r w:rsidRPr="00AD34F0">
        <w:rPr>
          <w:rStyle w:val="FootnoteReference"/>
        </w:rPr>
        <w:footnoteRef/>
      </w:r>
      <w:r w:rsidRPr="00AD34F0">
        <w:t xml:space="preserve"> </w:t>
      </w:r>
      <w:r w:rsidRPr="00AD34F0">
        <w:tab/>
      </w:r>
      <w:proofErr w:type="gramStart"/>
      <w:r w:rsidRPr="00AD34F0">
        <w:rPr>
          <w:u w:val="single"/>
        </w:rPr>
        <w:t>Roc v. Flaherty</w:t>
      </w:r>
      <w:r w:rsidRPr="00AD34F0">
        <w:t xml:space="preserve">, 527 A.2d 211 (Pa. </w:t>
      </w:r>
      <w:proofErr w:type="spellStart"/>
      <w:r w:rsidRPr="00AD34F0">
        <w:t>Commw</w:t>
      </w:r>
      <w:proofErr w:type="spellEnd"/>
      <w:r w:rsidRPr="00AD34F0">
        <w:t>. 1985).</w:t>
      </w:r>
      <w:proofErr w:type="gramEnd"/>
    </w:p>
  </w:footnote>
  <w:footnote w:id="6">
    <w:p w:rsidR="001E4958" w:rsidRPr="00DC6E6B" w:rsidRDefault="001E4958" w:rsidP="00632403">
      <w:pPr>
        <w:ind w:firstLine="720"/>
      </w:pPr>
      <w:r w:rsidRPr="00DC6E6B">
        <w:rPr>
          <w:rStyle w:val="FootnoteReference"/>
        </w:rPr>
        <w:footnoteRef/>
      </w:r>
      <w:r w:rsidRPr="00DC6E6B">
        <w:t xml:space="preserve"> </w:t>
      </w:r>
      <w:r w:rsidR="00F9450C" w:rsidRPr="00DC6E6B">
        <w:tab/>
      </w:r>
      <w:proofErr w:type="gramStart"/>
      <w:r w:rsidRPr="00DC6E6B">
        <w:rPr>
          <w:u w:val="single"/>
        </w:rPr>
        <w:t xml:space="preserve">Day v. </w:t>
      </w:r>
      <w:proofErr w:type="spellStart"/>
      <w:r w:rsidRPr="00DC6E6B">
        <w:rPr>
          <w:u w:val="single"/>
        </w:rPr>
        <w:t>Volkswa</w:t>
      </w:r>
      <w:r w:rsidR="00632403" w:rsidRPr="00DC6E6B">
        <w:rPr>
          <w:u w:val="single"/>
        </w:rPr>
        <w:t>g</w:t>
      </w:r>
      <w:r w:rsidRPr="00DC6E6B">
        <w:rPr>
          <w:u w:val="single"/>
        </w:rPr>
        <w:t>enwerk</w:t>
      </w:r>
      <w:proofErr w:type="spellEnd"/>
      <w:r w:rsidRPr="00DC6E6B">
        <w:rPr>
          <w:u w:val="single"/>
        </w:rPr>
        <w:t xml:space="preserve"> </w:t>
      </w:r>
      <w:proofErr w:type="spellStart"/>
      <w:r w:rsidRPr="00DC6E6B">
        <w:rPr>
          <w:u w:val="single"/>
        </w:rPr>
        <w:t>Aktiengesellschaft</w:t>
      </w:r>
      <w:proofErr w:type="spellEnd"/>
      <w:r w:rsidRPr="00DC6E6B">
        <w:t xml:space="preserve">, 318 Pa. Superior Ct. 225, 464 A.2d 1313, 1316, 1317 (1983); </w:t>
      </w:r>
      <w:r w:rsidRPr="00DC6E6B">
        <w:rPr>
          <w:u w:val="single"/>
        </w:rPr>
        <w:t>O’Toole v. Bell Telephone Co. of Pa.</w:t>
      </w:r>
      <w:r w:rsidRPr="00DC6E6B">
        <w:t>, 77 Pa. P.U.C. 98 (1992).</w:t>
      </w:r>
      <w:proofErr w:type="gramEnd"/>
    </w:p>
    <w:p w:rsidR="001E4958" w:rsidRDefault="001E4958">
      <w:pPr>
        <w:pStyle w:val="FootnoteText"/>
      </w:pPr>
    </w:p>
  </w:footnote>
  <w:footnote w:id="7">
    <w:p w:rsidR="00FD6E24" w:rsidRPr="00FD6E24" w:rsidRDefault="00FD6E24" w:rsidP="00FD6E24">
      <w:pPr>
        <w:pStyle w:val="FootnoteText"/>
        <w:ind w:firstLine="720"/>
      </w:pPr>
      <w:r w:rsidRPr="00FD6E24">
        <w:rPr>
          <w:rStyle w:val="FootnoteReference"/>
        </w:rPr>
        <w:footnoteRef/>
      </w:r>
      <w:r w:rsidRPr="00FD6E24">
        <w:t xml:space="preserve"> </w:t>
      </w:r>
      <w:r w:rsidRPr="00FD6E24">
        <w:tab/>
      </w:r>
      <w:proofErr w:type="gramStart"/>
      <w:r w:rsidRPr="00FD6E24">
        <w:rPr>
          <w:u w:val="single"/>
        </w:rPr>
        <w:t>City of Pittsburgh v. Pa. Public Utility Commission</w:t>
      </w:r>
      <w:r w:rsidRPr="00FD6E24">
        <w:t>, 43 A.2d 348 (Pa. Super. 1945).</w:t>
      </w:r>
      <w:proofErr w:type="gramEnd"/>
      <w:r w:rsidRPr="00FD6E24">
        <w:t xml:space="preserve">  </w:t>
      </w:r>
    </w:p>
  </w:footnote>
  <w:footnote w:id="8">
    <w:p w:rsidR="00FD6E24" w:rsidRPr="00FD6E24" w:rsidRDefault="00FD6E24">
      <w:pPr>
        <w:pStyle w:val="FootnoteText"/>
      </w:pPr>
    </w:p>
    <w:p w:rsidR="00FD6E24" w:rsidRPr="00FD6E24" w:rsidRDefault="00FD6E24" w:rsidP="00FD6E24">
      <w:pPr>
        <w:pStyle w:val="FootnoteText"/>
        <w:ind w:firstLine="720"/>
      </w:pPr>
      <w:r w:rsidRPr="00FD6E24">
        <w:rPr>
          <w:rStyle w:val="FootnoteReference"/>
        </w:rPr>
        <w:footnoteRef/>
      </w:r>
      <w:r w:rsidRPr="00FD6E24">
        <w:t xml:space="preserve"> </w:t>
      </w:r>
      <w:r w:rsidRPr="00FD6E24">
        <w:tab/>
      </w:r>
      <w:proofErr w:type="gramStart"/>
      <w:r w:rsidRPr="00FD6E24">
        <w:rPr>
          <w:u w:val="single"/>
        </w:rPr>
        <w:t xml:space="preserve">Roberts v. </w:t>
      </w:r>
      <w:proofErr w:type="spellStart"/>
      <w:r w:rsidRPr="00FD6E24">
        <w:rPr>
          <w:u w:val="single"/>
        </w:rPr>
        <w:t>Martorano</w:t>
      </w:r>
      <w:proofErr w:type="spellEnd"/>
      <w:r w:rsidRPr="00FD6E24">
        <w:t>, 235 A.2d 602 (</w:t>
      </w:r>
      <w:r w:rsidR="00EB1194">
        <w:t xml:space="preserve">Pa. </w:t>
      </w:r>
      <w:r w:rsidRPr="00FD6E24">
        <w:t>1967).</w:t>
      </w:r>
      <w:proofErr w:type="gramEnd"/>
      <w:r w:rsidRPr="00FD6E24">
        <w:t xml:space="preserve">  </w:t>
      </w:r>
    </w:p>
  </w:footnote>
  <w:footnote w:id="9">
    <w:p w:rsidR="00FD6E24" w:rsidRPr="00FD6E24" w:rsidRDefault="00FD6E24">
      <w:pPr>
        <w:pStyle w:val="FootnoteText"/>
      </w:pPr>
    </w:p>
    <w:p w:rsidR="00FD6E24" w:rsidRPr="00FD6E24" w:rsidRDefault="00FD6E24" w:rsidP="00FD6E24">
      <w:pPr>
        <w:pStyle w:val="FootnoteText"/>
        <w:ind w:firstLine="720"/>
      </w:pPr>
      <w:r w:rsidRPr="00FD6E24">
        <w:rPr>
          <w:rStyle w:val="FootnoteReference"/>
        </w:rPr>
        <w:footnoteRef/>
      </w:r>
      <w:r w:rsidRPr="00FD6E24">
        <w:t xml:space="preserve"> </w:t>
      </w:r>
      <w:r w:rsidRPr="00FD6E24">
        <w:tab/>
      </w:r>
      <w:proofErr w:type="spellStart"/>
      <w:r w:rsidRPr="00FD6E24">
        <w:rPr>
          <w:u w:val="single"/>
        </w:rPr>
        <w:t>DeFrancesco</w:t>
      </w:r>
      <w:proofErr w:type="spellEnd"/>
      <w:r w:rsidRPr="00FD6E24">
        <w:rPr>
          <w:u w:val="single"/>
        </w:rPr>
        <w:t xml:space="preserve"> et al. v. Western Pennsylvania Water Company</w:t>
      </w:r>
      <w:r w:rsidRPr="00FD6E24">
        <w:t>, 435 A.2d 614, 616 (Pa. Super. 1981)</w:t>
      </w:r>
      <w:r w:rsidR="003E4658">
        <w:t>,</w:t>
      </w:r>
      <w:r w:rsidRPr="00FD6E24">
        <w:t xml:space="preserve"> vacated and remanded on other grounds, 435 A.2d 595 (1982).  </w:t>
      </w:r>
    </w:p>
  </w:footnote>
  <w:footnote w:id="10">
    <w:p w:rsidR="00FD6E24" w:rsidRPr="00FD6E24" w:rsidRDefault="00FD6E24">
      <w:pPr>
        <w:pStyle w:val="FootnoteText"/>
      </w:pPr>
    </w:p>
    <w:p w:rsidR="00FD6E24" w:rsidRDefault="00FD6E24" w:rsidP="00FD6E24">
      <w:pPr>
        <w:pStyle w:val="FootnoteText"/>
        <w:ind w:firstLine="720"/>
      </w:pPr>
      <w:r w:rsidRPr="00FD6E24">
        <w:rPr>
          <w:rStyle w:val="FootnoteReference"/>
        </w:rPr>
        <w:footnoteRef/>
      </w:r>
      <w:r w:rsidRPr="00FD6E24">
        <w:t xml:space="preserve"> </w:t>
      </w:r>
      <w:r w:rsidRPr="00FD6E24">
        <w:tab/>
      </w:r>
      <w:proofErr w:type="gramStart"/>
      <w:r w:rsidR="00D94A2B">
        <w:rPr>
          <w:u w:val="single"/>
        </w:rPr>
        <w:t>Hughes v. Pennsylvania</w:t>
      </w:r>
      <w:r w:rsidRPr="00FD6E24">
        <w:rPr>
          <w:u w:val="single"/>
        </w:rPr>
        <w:t xml:space="preserve"> State Police</w:t>
      </w:r>
      <w:r w:rsidRPr="00FD6E24">
        <w:t xml:space="preserve">, 619 A.2d 390 (1992), </w:t>
      </w:r>
      <w:proofErr w:type="spellStart"/>
      <w:r w:rsidRPr="00FD6E24">
        <w:rPr>
          <w:i/>
        </w:rPr>
        <w:t>alloc</w:t>
      </w:r>
      <w:proofErr w:type="spellEnd"/>
      <w:r w:rsidRPr="00FD6E24">
        <w:rPr>
          <w:i/>
        </w:rPr>
        <w:t>.</w:t>
      </w:r>
      <w:proofErr w:type="gramEnd"/>
      <w:r w:rsidRPr="00FD6E24">
        <w:rPr>
          <w:i/>
        </w:rPr>
        <w:t xml:space="preserve"> </w:t>
      </w:r>
      <w:proofErr w:type="gramStart"/>
      <w:r w:rsidRPr="00FD6E24">
        <w:rPr>
          <w:i/>
        </w:rPr>
        <w:t>denied</w:t>
      </w:r>
      <w:proofErr w:type="gramEnd"/>
      <w:r w:rsidRPr="00FD6E24">
        <w:t xml:space="preserve">, 637 A.2d 293 (1993).  </w:t>
      </w:r>
    </w:p>
    <w:p w:rsidR="008F3401" w:rsidRPr="00FD6E24" w:rsidRDefault="008F3401" w:rsidP="00FD6E24">
      <w:pPr>
        <w:pStyle w:val="FootnoteText"/>
        <w:ind w:firstLine="720"/>
      </w:pPr>
    </w:p>
  </w:footnote>
  <w:footnote w:id="11">
    <w:p w:rsidR="00FD6E24" w:rsidRDefault="00FD6E24" w:rsidP="00FD6E24">
      <w:pPr>
        <w:pStyle w:val="FootnoteText"/>
        <w:ind w:firstLine="720"/>
      </w:pPr>
      <w:r w:rsidRPr="00FD6E24">
        <w:rPr>
          <w:rStyle w:val="FootnoteReference"/>
        </w:rPr>
        <w:footnoteRef/>
      </w:r>
      <w:r w:rsidRPr="00FD6E24">
        <w:t xml:space="preserve"> </w:t>
      </w:r>
      <w:r w:rsidRPr="00FD6E24">
        <w:tab/>
      </w:r>
      <w:proofErr w:type="gramStart"/>
      <w:r w:rsidR="00D94A2B">
        <w:rPr>
          <w:u w:val="single"/>
        </w:rPr>
        <w:t xml:space="preserve">Hoch v. Philadelphia Electric </w:t>
      </w:r>
      <w:r w:rsidR="00D94A2B" w:rsidRPr="00D94A2B">
        <w:rPr>
          <w:u w:val="single"/>
        </w:rPr>
        <w:t>Company</w:t>
      </w:r>
      <w:r w:rsidR="00D94A2B">
        <w:t xml:space="preserve">, </w:t>
      </w:r>
      <w:r w:rsidRPr="00D94A2B">
        <w:t>492</w:t>
      </w:r>
      <w:r w:rsidRPr="00FD6E24">
        <w:t xml:space="preserve"> A.2d 27, 32 (Pa. Super. 1985).</w:t>
      </w:r>
      <w:proofErr w:type="gramEnd"/>
      <w:r w:rsidRPr="00FD6E24">
        <w:rPr>
          <w:sz w:val="24"/>
          <w:szCs w:val="24"/>
        </w:rPr>
        <w:t xml:space="preserve">   </w:t>
      </w:r>
    </w:p>
  </w:footnote>
  <w:footnote w:id="12">
    <w:p w:rsidR="00FD6E24" w:rsidRDefault="00FD6E24">
      <w:pPr>
        <w:pStyle w:val="FootnoteText"/>
      </w:pPr>
    </w:p>
    <w:p w:rsidR="00FD6E24" w:rsidRPr="00D94A2B" w:rsidRDefault="00FD6E24" w:rsidP="00FD6E24">
      <w:pPr>
        <w:pStyle w:val="FootnoteText"/>
        <w:ind w:firstLine="720"/>
      </w:pPr>
      <w:r w:rsidRPr="00D94A2B">
        <w:rPr>
          <w:rStyle w:val="FootnoteReference"/>
        </w:rPr>
        <w:footnoteRef/>
      </w:r>
      <w:r w:rsidRPr="00D94A2B">
        <w:t xml:space="preserve"> </w:t>
      </w:r>
      <w:r w:rsidRPr="00D94A2B">
        <w:tab/>
        <w:t xml:space="preserve">See 66 Pa. C.S. §703(b); also 52 Pa. Code §5.21(d).  </w:t>
      </w:r>
    </w:p>
  </w:footnote>
  <w:footnote w:id="13">
    <w:p w:rsidR="00D94A2B" w:rsidRDefault="00D94A2B">
      <w:pPr>
        <w:pStyle w:val="FootnoteText"/>
      </w:pPr>
    </w:p>
    <w:p w:rsidR="00D94A2B" w:rsidRPr="00D94A2B" w:rsidRDefault="00D94A2B" w:rsidP="00D94A2B">
      <w:pPr>
        <w:spacing w:line="360" w:lineRule="auto"/>
        <w:ind w:firstLine="720"/>
      </w:pPr>
      <w:r>
        <w:rPr>
          <w:rStyle w:val="FootnoteReference"/>
        </w:rPr>
        <w:footnoteRef/>
      </w:r>
      <w:r>
        <w:t xml:space="preserve"> </w:t>
      </w:r>
      <w:r>
        <w:tab/>
      </w:r>
      <w:proofErr w:type="gramStart"/>
      <w:r w:rsidRPr="00D94A2B">
        <w:rPr>
          <w:u w:val="single"/>
        </w:rPr>
        <w:t xml:space="preserve">Lehigh Valley Power Comm. </w:t>
      </w:r>
      <w:r w:rsidR="001E26AD">
        <w:rPr>
          <w:u w:val="single"/>
        </w:rPr>
        <w:t>v</w:t>
      </w:r>
      <w:r w:rsidRPr="00D94A2B">
        <w:rPr>
          <w:u w:val="single"/>
        </w:rPr>
        <w:t xml:space="preserve">. Pa. Public Utility </w:t>
      </w:r>
      <w:proofErr w:type="spellStart"/>
      <w:r w:rsidRPr="00D94A2B">
        <w:rPr>
          <w:u w:val="single"/>
        </w:rPr>
        <w:t>Comm’n</w:t>
      </w:r>
      <w:proofErr w:type="spellEnd"/>
      <w:r w:rsidRPr="00D94A2B">
        <w:t>, 563 A.2d 548 (Pa. </w:t>
      </w:r>
      <w:proofErr w:type="spellStart"/>
      <w:r w:rsidRPr="00D94A2B">
        <w:t>Commw</w:t>
      </w:r>
      <w:proofErr w:type="spellEnd"/>
      <w:r w:rsidRPr="00D94A2B">
        <w:t xml:space="preserve">. 1989); </w:t>
      </w:r>
      <w:proofErr w:type="spellStart"/>
      <w:r w:rsidRPr="00D94A2B">
        <w:rPr>
          <w:u w:val="single"/>
        </w:rPr>
        <w:t>Edan</w:t>
      </w:r>
      <w:proofErr w:type="spellEnd"/>
      <w:r w:rsidRPr="00D94A2B">
        <w:rPr>
          <w:u w:val="single"/>
        </w:rPr>
        <w:t xml:space="preserve"> Transportation Corp. </w:t>
      </w:r>
      <w:r w:rsidR="001E26AD">
        <w:rPr>
          <w:u w:val="single"/>
        </w:rPr>
        <w:t>v</w:t>
      </w:r>
      <w:r w:rsidRPr="00D94A2B">
        <w:rPr>
          <w:u w:val="single"/>
        </w:rPr>
        <w:t xml:space="preserve">. Pa. Public Utility </w:t>
      </w:r>
      <w:proofErr w:type="spellStart"/>
      <w:r w:rsidRPr="00D94A2B">
        <w:rPr>
          <w:u w:val="single"/>
        </w:rPr>
        <w:t>Comm’n</w:t>
      </w:r>
      <w:proofErr w:type="spellEnd"/>
      <w:r w:rsidRPr="00D94A2B">
        <w:t xml:space="preserve">, 623 A.2d 6 (Pa. </w:t>
      </w:r>
      <w:proofErr w:type="spellStart"/>
      <w:r w:rsidRPr="00D94A2B">
        <w:t>Commw</w:t>
      </w:r>
      <w:proofErr w:type="spellEnd"/>
      <w:r w:rsidRPr="00D94A2B">
        <w:t>. 1993).</w:t>
      </w:r>
      <w:proofErr w:type="gramEnd"/>
      <w:r w:rsidRPr="00D94A2B">
        <w:t xml:space="preserve">  </w:t>
      </w:r>
    </w:p>
    <w:p w:rsidR="00D94A2B" w:rsidRDefault="00D94A2B" w:rsidP="00D94A2B">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2B429B5"/>
    <w:multiLevelType w:val="hybridMultilevel"/>
    <w:tmpl w:val="0712C152"/>
    <w:lvl w:ilvl="0" w:tplc="914A69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97087480"/>
  </w:docVars>
  <w:rsids>
    <w:rsidRoot w:val="00183666"/>
    <w:rsid w:val="000157A6"/>
    <w:rsid w:val="000569D2"/>
    <w:rsid w:val="00057266"/>
    <w:rsid w:val="00066FF3"/>
    <w:rsid w:val="00074C5A"/>
    <w:rsid w:val="000A32D5"/>
    <w:rsid w:val="000C2676"/>
    <w:rsid w:val="000D348D"/>
    <w:rsid w:val="000D52C1"/>
    <w:rsid w:val="000E1EF9"/>
    <w:rsid w:val="00106F62"/>
    <w:rsid w:val="00116F8B"/>
    <w:rsid w:val="001468D2"/>
    <w:rsid w:val="001510B7"/>
    <w:rsid w:val="0015120F"/>
    <w:rsid w:val="00155A0A"/>
    <w:rsid w:val="00162252"/>
    <w:rsid w:val="0016462D"/>
    <w:rsid w:val="00180DD9"/>
    <w:rsid w:val="00182ED6"/>
    <w:rsid w:val="00183666"/>
    <w:rsid w:val="001A04C4"/>
    <w:rsid w:val="001A619F"/>
    <w:rsid w:val="001C5B31"/>
    <w:rsid w:val="001D7CFB"/>
    <w:rsid w:val="001E1E7B"/>
    <w:rsid w:val="001E26AD"/>
    <w:rsid w:val="001E4958"/>
    <w:rsid w:val="001F48E5"/>
    <w:rsid w:val="002173B7"/>
    <w:rsid w:val="00222326"/>
    <w:rsid w:val="002341A8"/>
    <w:rsid w:val="00247485"/>
    <w:rsid w:val="0026007D"/>
    <w:rsid w:val="0026091C"/>
    <w:rsid w:val="00264A8B"/>
    <w:rsid w:val="00267A6B"/>
    <w:rsid w:val="002706DB"/>
    <w:rsid w:val="00271E4B"/>
    <w:rsid w:val="00276079"/>
    <w:rsid w:val="002826AE"/>
    <w:rsid w:val="0029316B"/>
    <w:rsid w:val="00295C56"/>
    <w:rsid w:val="002A08F6"/>
    <w:rsid w:val="002C0F7E"/>
    <w:rsid w:val="002C24F5"/>
    <w:rsid w:val="002D6279"/>
    <w:rsid w:val="002E7A62"/>
    <w:rsid w:val="002F3810"/>
    <w:rsid w:val="002F73E4"/>
    <w:rsid w:val="00300B6A"/>
    <w:rsid w:val="00312696"/>
    <w:rsid w:val="00313195"/>
    <w:rsid w:val="00315CE8"/>
    <w:rsid w:val="003252A9"/>
    <w:rsid w:val="00357AA3"/>
    <w:rsid w:val="00376FEE"/>
    <w:rsid w:val="00390A32"/>
    <w:rsid w:val="00391221"/>
    <w:rsid w:val="003972FF"/>
    <w:rsid w:val="0039739B"/>
    <w:rsid w:val="003A35FD"/>
    <w:rsid w:val="003A5548"/>
    <w:rsid w:val="003C2699"/>
    <w:rsid w:val="003D2803"/>
    <w:rsid w:val="003E4658"/>
    <w:rsid w:val="00415E79"/>
    <w:rsid w:val="00417C2C"/>
    <w:rsid w:val="0042526E"/>
    <w:rsid w:val="00444E02"/>
    <w:rsid w:val="00460457"/>
    <w:rsid w:val="0046592C"/>
    <w:rsid w:val="00472748"/>
    <w:rsid w:val="00472E9D"/>
    <w:rsid w:val="00473E67"/>
    <w:rsid w:val="004802C2"/>
    <w:rsid w:val="004875FF"/>
    <w:rsid w:val="004F23D5"/>
    <w:rsid w:val="00502913"/>
    <w:rsid w:val="00514A61"/>
    <w:rsid w:val="0051707A"/>
    <w:rsid w:val="00521CC0"/>
    <w:rsid w:val="005304D0"/>
    <w:rsid w:val="00540ECF"/>
    <w:rsid w:val="00583FCB"/>
    <w:rsid w:val="0058589A"/>
    <w:rsid w:val="00597CC4"/>
    <w:rsid w:val="005A64D6"/>
    <w:rsid w:val="005B1DAC"/>
    <w:rsid w:val="005C39D9"/>
    <w:rsid w:val="005C4F06"/>
    <w:rsid w:val="005C5AB6"/>
    <w:rsid w:val="005D7B09"/>
    <w:rsid w:val="005E25A8"/>
    <w:rsid w:val="005F7DD8"/>
    <w:rsid w:val="006011F6"/>
    <w:rsid w:val="00604AA8"/>
    <w:rsid w:val="006064D1"/>
    <w:rsid w:val="00610140"/>
    <w:rsid w:val="00617356"/>
    <w:rsid w:val="006220FD"/>
    <w:rsid w:val="00632403"/>
    <w:rsid w:val="00647BBB"/>
    <w:rsid w:val="00687DE7"/>
    <w:rsid w:val="00690D59"/>
    <w:rsid w:val="00693686"/>
    <w:rsid w:val="006B0C8B"/>
    <w:rsid w:val="006C5F37"/>
    <w:rsid w:val="006D25AC"/>
    <w:rsid w:val="006D6DC7"/>
    <w:rsid w:val="006E32BF"/>
    <w:rsid w:val="006E7814"/>
    <w:rsid w:val="00702FDE"/>
    <w:rsid w:val="00716CD3"/>
    <w:rsid w:val="00733D48"/>
    <w:rsid w:val="00742B33"/>
    <w:rsid w:val="00743AF6"/>
    <w:rsid w:val="0074444E"/>
    <w:rsid w:val="00746838"/>
    <w:rsid w:val="007472B3"/>
    <w:rsid w:val="0076544C"/>
    <w:rsid w:val="00765D3E"/>
    <w:rsid w:val="00772DED"/>
    <w:rsid w:val="00782274"/>
    <w:rsid w:val="00783F17"/>
    <w:rsid w:val="0079466A"/>
    <w:rsid w:val="00795F87"/>
    <w:rsid w:val="007B0BFB"/>
    <w:rsid w:val="007C59F0"/>
    <w:rsid w:val="007D67B1"/>
    <w:rsid w:val="007E4198"/>
    <w:rsid w:val="007E70EC"/>
    <w:rsid w:val="007F01F0"/>
    <w:rsid w:val="00810A31"/>
    <w:rsid w:val="008208F1"/>
    <w:rsid w:val="00832930"/>
    <w:rsid w:val="0084601B"/>
    <w:rsid w:val="008464A7"/>
    <w:rsid w:val="00851677"/>
    <w:rsid w:val="0086445D"/>
    <w:rsid w:val="00864FB0"/>
    <w:rsid w:val="008653EF"/>
    <w:rsid w:val="00866968"/>
    <w:rsid w:val="00870CF2"/>
    <w:rsid w:val="00873DBA"/>
    <w:rsid w:val="00877EF6"/>
    <w:rsid w:val="00880190"/>
    <w:rsid w:val="0088399A"/>
    <w:rsid w:val="00885A86"/>
    <w:rsid w:val="008905FA"/>
    <w:rsid w:val="00896271"/>
    <w:rsid w:val="008A1063"/>
    <w:rsid w:val="008A6FEF"/>
    <w:rsid w:val="008B0F97"/>
    <w:rsid w:val="008B45F6"/>
    <w:rsid w:val="008B5715"/>
    <w:rsid w:val="008E0E00"/>
    <w:rsid w:val="008F3401"/>
    <w:rsid w:val="00900DB1"/>
    <w:rsid w:val="0095401D"/>
    <w:rsid w:val="00957E9E"/>
    <w:rsid w:val="009657EF"/>
    <w:rsid w:val="00972638"/>
    <w:rsid w:val="00974145"/>
    <w:rsid w:val="00976C06"/>
    <w:rsid w:val="009B1AA3"/>
    <w:rsid w:val="009C4878"/>
    <w:rsid w:val="009C6B92"/>
    <w:rsid w:val="009D1136"/>
    <w:rsid w:val="009E33C2"/>
    <w:rsid w:val="009E6C83"/>
    <w:rsid w:val="009F00F3"/>
    <w:rsid w:val="009F1AD0"/>
    <w:rsid w:val="009F1C7B"/>
    <w:rsid w:val="009F24C1"/>
    <w:rsid w:val="00A00E68"/>
    <w:rsid w:val="00A1220B"/>
    <w:rsid w:val="00A131C3"/>
    <w:rsid w:val="00A15036"/>
    <w:rsid w:val="00A17E7E"/>
    <w:rsid w:val="00A20F07"/>
    <w:rsid w:val="00A27939"/>
    <w:rsid w:val="00A50F7E"/>
    <w:rsid w:val="00A54478"/>
    <w:rsid w:val="00A6158A"/>
    <w:rsid w:val="00A75C6C"/>
    <w:rsid w:val="00A85756"/>
    <w:rsid w:val="00A9106E"/>
    <w:rsid w:val="00A91769"/>
    <w:rsid w:val="00A97D36"/>
    <w:rsid w:val="00AA6C4D"/>
    <w:rsid w:val="00AC6548"/>
    <w:rsid w:val="00AD1EA6"/>
    <w:rsid w:val="00AD34F0"/>
    <w:rsid w:val="00AD6F9F"/>
    <w:rsid w:val="00AF04F4"/>
    <w:rsid w:val="00B301B0"/>
    <w:rsid w:val="00B376DB"/>
    <w:rsid w:val="00B50CB5"/>
    <w:rsid w:val="00B50E1A"/>
    <w:rsid w:val="00B51E61"/>
    <w:rsid w:val="00B53D83"/>
    <w:rsid w:val="00B54048"/>
    <w:rsid w:val="00B630E5"/>
    <w:rsid w:val="00B70129"/>
    <w:rsid w:val="00B72035"/>
    <w:rsid w:val="00B74988"/>
    <w:rsid w:val="00B75C9A"/>
    <w:rsid w:val="00B76218"/>
    <w:rsid w:val="00B83B79"/>
    <w:rsid w:val="00B924E4"/>
    <w:rsid w:val="00B9446F"/>
    <w:rsid w:val="00BB3325"/>
    <w:rsid w:val="00BB35A7"/>
    <w:rsid w:val="00BC186B"/>
    <w:rsid w:val="00BC2233"/>
    <w:rsid w:val="00BD7954"/>
    <w:rsid w:val="00BE5CEA"/>
    <w:rsid w:val="00BE6E2D"/>
    <w:rsid w:val="00C00612"/>
    <w:rsid w:val="00C03057"/>
    <w:rsid w:val="00C1137C"/>
    <w:rsid w:val="00C11745"/>
    <w:rsid w:val="00C12EEA"/>
    <w:rsid w:val="00C2299F"/>
    <w:rsid w:val="00C23167"/>
    <w:rsid w:val="00C30DBE"/>
    <w:rsid w:val="00C438E5"/>
    <w:rsid w:val="00C46568"/>
    <w:rsid w:val="00C466B5"/>
    <w:rsid w:val="00C50662"/>
    <w:rsid w:val="00C515B9"/>
    <w:rsid w:val="00C55F24"/>
    <w:rsid w:val="00C75475"/>
    <w:rsid w:val="00C765D6"/>
    <w:rsid w:val="00C9761D"/>
    <w:rsid w:val="00CA1000"/>
    <w:rsid w:val="00CA24F1"/>
    <w:rsid w:val="00CA6913"/>
    <w:rsid w:val="00CB1C37"/>
    <w:rsid w:val="00CB3991"/>
    <w:rsid w:val="00CB45FA"/>
    <w:rsid w:val="00CB5CFD"/>
    <w:rsid w:val="00CC7235"/>
    <w:rsid w:val="00CE53E6"/>
    <w:rsid w:val="00CF697C"/>
    <w:rsid w:val="00D02466"/>
    <w:rsid w:val="00D15629"/>
    <w:rsid w:val="00D31465"/>
    <w:rsid w:val="00D33401"/>
    <w:rsid w:val="00D365FC"/>
    <w:rsid w:val="00D4069C"/>
    <w:rsid w:val="00D43AFF"/>
    <w:rsid w:val="00D4426E"/>
    <w:rsid w:val="00D44391"/>
    <w:rsid w:val="00D65BE7"/>
    <w:rsid w:val="00D7602F"/>
    <w:rsid w:val="00D92508"/>
    <w:rsid w:val="00D94A2B"/>
    <w:rsid w:val="00DA0B63"/>
    <w:rsid w:val="00DC2081"/>
    <w:rsid w:val="00DC23F3"/>
    <w:rsid w:val="00DC6E6B"/>
    <w:rsid w:val="00DD0BBC"/>
    <w:rsid w:val="00DF2DB1"/>
    <w:rsid w:val="00DF2F0F"/>
    <w:rsid w:val="00E13F61"/>
    <w:rsid w:val="00E14DF0"/>
    <w:rsid w:val="00E24E2F"/>
    <w:rsid w:val="00E4391B"/>
    <w:rsid w:val="00E467E1"/>
    <w:rsid w:val="00E53E20"/>
    <w:rsid w:val="00E542D6"/>
    <w:rsid w:val="00E54E01"/>
    <w:rsid w:val="00E5540C"/>
    <w:rsid w:val="00E5577B"/>
    <w:rsid w:val="00E55E22"/>
    <w:rsid w:val="00E57579"/>
    <w:rsid w:val="00E66E5F"/>
    <w:rsid w:val="00E828A8"/>
    <w:rsid w:val="00E83B04"/>
    <w:rsid w:val="00E87E55"/>
    <w:rsid w:val="00E908F4"/>
    <w:rsid w:val="00E93C7A"/>
    <w:rsid w:val="00EB1194"/>
    <w:rsid w:val="00EB18AC"/>
    <w:rsid w:val="00EB74D8"/>
    <w:rsid w:val="00EC45BA"/>
    <w:rsid w:val="00ED1A5F"/>
    <w:rsid w:val="00ED40DB"/>
    <w:rsid w:val="00EF2034"/>
    <w:rsid w:val="00EF4518"/>
    <w:rsid w:val="00F20B98"/>
    <w:rsid w:val="00F214B4"/>
    <w:rsid w:val="00F2367E"/>
    <w:rsid w:val="00F23A08"/>
    <w:rsid w:val="00F316B8"/>
    <w:rsid w:val="00F34841"/>
    <w:rsid w:val="00F377D5"/>
    <w:rsid w:val="00F45548"/>
    <w:rsid w:val="00F45D27"/>
    <w:rsid w:val="00F47821"/>
    <w:rsid w:val="00F57A4D"/>
    <w:rsid w:val="00F74FD6"/>
    <w:rsid w:val="00F8036E"/>
    <w:rsid w:val="00F90A70"/>
    <w:rsid w:val="00F9450C"/>
    <w:rsid w:val="00F94C04"/>
    <w:rsid w:val="00FA0D2F"/>
    <w:rsid w:val="00FA4047"/>
    <w:rsid w:val="00FC466B"/>
    <w:rsid w:val="00FD0182"/>
    <w:rsid w:val="00FD6E24"/>
    <w:rsid w:val="00FE47F8"/>
    <w:rsid w:val="00FE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20F"/>
  </w:style>
  <w:style w:type="paragraph" w:styleId="Heading1">
    <w:name w:val="heading 1"/>
    <w:basedOn w:val="Normal"/>
    <w:next w:val="Normal"/>
    <w:qFormat/>
    <w:rsid w:val="0015120F"/>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120F"/>
    <w:pPr>
      <w:jc w:val="center"/>
    </w:pPr>
    <w:rPr>
      <w:b/>
      <w:sz w:val="26"/>
    </w:rPr>
  </w:style>
  <w:style w:type="paragraph" w:styleId="Subtitle">
    <w:name w:val="Subtitle"/>
    <w:basedOn w:val="Normal"/>
    <w:qFormat/>
    <w:rsid w:val="0015120F"/>
    <w:pPr>
      <w:jc w:val="center"/>
    </w:pPr>
    <w:rPr>
      <w:b/>
      <w:sz w:val="26"/>
    </w:rPr>
  </w:style>
  <w:style w:type="paragraph" w:styleId="Footer">
    <w:name w:val="footer"/>
    <w:basedOn w:val="Normal"/>
    <w:rsid w:val="0015120F"/>
    <w:pPr>
      <w:tabs>
        <w:tab w:val="center" w:pos="4320"/>
        <w:tab w:val="right" w:pos="8640"/>
      </w:tabs>
    </w:pPr>
  </w:style>
  <w:style w:type="character" w:styleId="PageNumber">
    <w:name w:val="page number"/>
    <w:basedOn w:val="DefaultParagraphFont"/>
    <w:rsid w:val="0015120F"/>
  </w:style>
  <w:style w:type="paragraph" w:styleId="Header">
    <w:name w:val="header"/>
    <w:basedOn w:val="Normal"/>
    <w:rsid w:val="0015120F"/>
    <w:pPr>
      <w:tabs>
        <w:tab w:val="center" w:pos="4320"/>
        <w:tab w:val="right" w:pos="8640"/>
      </w:tabs>
    </w:pPr>
  </w:style>
  <w:style w:type="paragraph" w:styleId="FootnoteText">
    <w:name w:val="footnote text"/>
    <w:basedOn w:val="Normal"/>
    <w:semiHidden/>
    <w:rsid w:val="0026091C"/>
  </w:style>
  <w:style w:type="character" w:styleId="FootnoteReference">
    <w:name w:val="footnote reference"/>
    <w:basedOn w:val="DefaultParagraphFont"/>
    <w:semiHidden/>
    <w:rsid w:val="0026091C"/>
    <w:rPr>
      <w:vertAlign w:val="superscript"/>
    </w:rPr>
  </w:style>
  <w:style w:type="paragraph" w:styleId="ListParagraph">
    <w:name w:val="List Paragraph"/>
    <w:basedOn w:val="Normal"/>
    <w:uiPriority w:val="34"/>
    <w:qFormat/>
    <w:rsid w:val="00B9446F"/>
    <w:pPr>
      <w:ind w:left="720"/>
      <w:contextualSpacing/>
    </w:pPr>
  </w:style>
  <w:style w:type="paragraph" w:styleId="BalloonText">
    <w:name w:val="Balloon Text"/>
    <w:basedOn w:val="Normal"/>
    <w:link w:val="BalloonTextChar"/>
    <w:rsid w:val="00E828A8"/>
    <w:rPr>
      <w:rFonts w:ascii="Tahoma" w:hAnsi="Tahoma" w:cs="Tahoma"/>
      <w:sz w:val="16"/>
      <w:szCs w:val="16"/>
    </w:rPr>
  </w:style>
  <w:style w:type="character" w:customStyle="1" w:styleId="BalloonTextChar">
    <w:name w:val="Balloon Text Char"/>
    <w:basedOn w:val="DefaultParagraphFont"/>
    <w:link w:val="BalloonText"/>
    <w:rsid w:val="00E82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20F"/>
  </w:style>
  <w:style w:type="paragraph" w:styleId="Heading1">
    <w:name w:val="heading 1"/>
    <w:basedOn w:val="Normal"/>
    <w:next w:val="Normal"/>
    <w:qFormat/>
    <w:rsid w:val="0015120F"/>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120F"/>
    <w:pPr>
      <w:jc w:val="center"/>
    </w:pPr>
    <w:rPr>
      <w:b/>
      <w:sz w:val="26"/>
    </w:rPr>
  </w:style>
  <w:style w:type="paragraph" w:styleId="Subtitle">
    <w:name w:val="Subtitle"/>
    <w:basedOn w:val="Normal"/>
    <w:qFormat/>
    <w:rsid w:val="0015120F"/>
    <w:pPr>
      <w:jc w:val="center"/>
    </w:pPr>
    <w:rPr>
      <w:b/>
      <w:sz w:val="26"/>
    </w:rPr>
  </w:style>
  <w:style w:type="paragraph" w:styleId="Footer">
    <w:name w:val="footer"/>
    <w:basedOn w:val="Normal"/>
    <w:rsid w:val="0015120F"/>
    <w:pPr>
      <w:tabs>
        <w:tab w:val="center" w:pos="4320"/>
        <w:tab w:val="right" w:pos="8640"/>
      </w:tabs>
    </w:pPr>
  </w:style>
  <w:style w:type="character" w:styleId="PageNumber">
    <w:name w:val="page number"/>
    <w:basedOn w:val="DefaultParagraphFont"/>
    <w:rsid w:val="0015120F"/>
  </w:style>
  <w:style w:type="paragraph" w:styleId="Header">
    <w:name w:val="header"/>
    <w:basedOn w:val="Normal"/>
    <w:rsid w:val="0015120F"/>
    <w:pPr>
      <w:tabs>
        <w:tab w:val="center" w:pos="4320"/>
        <w:tab w:val="right" w:pos="8640"/>
      </w:tabs>
    </w:pPr>
  </w:style>
  <w:style w:type="paragraph" w:styleId="FootnoteText">
    <w:name w:val="footnote text"/>
    <w:basedOn w:val="Normal"/>
    <w:semiHidden/>
    <w:rsid w:val="0026091C"/>
  </w:style>
  <w:style w:type="character" w:styleId="FootnoteReference">
    <w:name w:val="footnote reference"/>
    <w:basedOn w:val="DefaultParagraphFont"/>
    <w:semiHidden/>
    <w:rsid w:val="0026091C"/>
    <w:rPr>
      <w:vertAlign w:val="superscript"/>
    </w:rPr>
  </w:style>
  <w:style w:type="paragraph" w:styleId="ListParagraph">
    <w:name w:val="List Paragraph"/>
    <w:basedOn w:val="Normal"/>
    <w:uiPriority w:val="34"/>
    <w:qFormat/>
    <w:rsid w:val="00B9446F"/>
    <w:pPr>
      <w:ind w:left="720"/>
      <w:contextualSpacing/>
    </w:pPr>
  </w:style>
  <w:style w:type="paragraph" w:styleId="BalloonText">
    <w:name w:val="Balloon Text"/>
    <w:basedOn w:val="Normal"/>
    <w:link w:val="BalloonTextChar"/>
    <w:rsid w:val="00E828A8"/>
    <w:rPr>
      <w:rFonts w:ascii="Tahoma" w:hAnsi="Tahoma" w:cs="Tahoma"/>
      <w:sz w:val="16"/>
      <w:szCs w:val="16"/>
    </w:rPr>
  </w:style>
  <w:style w:type="character" w:customStyle="1" w:styleId="BalloonTextChar">
    <w:name w:val="Balloon Text Char"/>
    <w:basedOn w:val="DefaultParagraphFont"/>
    <w:link w:val="BalloonText"/>
    <w:rsid w:val="00E82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473F-3AF5-44C9-BBEE-DF8B481E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Decision.dot</Template>
  <TotalTime>16</TotalTime>
  <Pages>7</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37</cp:revision>
  <cp:lastPrinted>2012-05-04T16:08:00Z</cp:lastPrinted>
  <dcterms:created xsi:type="dcterms:W3CDTF">2012-05-04T15:52:00Z</dcterms:created>
  <dcterms:modified xsi:type="dcterms:W3CDTF">2012-05-14T13:18:00Z</dcterms:modified>
</cp:coreProperties>
</file>