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9D9" w:rsidRPr="00FD385A" w:rsidRDefault="006B29D9" w:rsidP="00750226">
      <w:pPr>
        <w:tabs>
          <w:tab w:val="center" w:pos="4680"/>
        </w:tabs>
        <w:jc w:val="center"/>
        <w:rPr>
          <w:b/>
          <w:sz w:val="24"/>
        </w:rPr>
      </w:pPr>
      <w:bookmarkStart w:id="0" w:name="_GoBack"/>
      <w:bookmarkEnd w:id="0"/>
      <w:r w:rsidRPr="00FD385A">
        <w:rPr>
          <w:b/>
          <w:sz w:val="24"/>
        </w:rPr>
        <w:t>BEFORE THE</w:t>
      </w:r>
    </w:p>
    <w:p w:rsidR="006B29D9" w:rsidRPr="00FD385A" w:rsidRDefault="006B29D9" w:rsidP="006B29D9">
      <w:pPr>
        <w:tabs>
          <w:tab w:val="center" w:pos="4680"/>
        </w:tabs>
        <w:jc w:val="both"/>
        <w:rPr>
          <w:b/>
          <w:sz w:val="24"/>
        </w:rPr>
      </w:pPr>
      <w:r w:rsidRPr="00FD385A">
        <w:rPr>
          <w:b/>
          <w:sz w:val="24"/>
        </w:rPr>
        <w:tab/>
      </w:r>
      <w:smartTag w:uri="urn:schemas-microsoft-com:office:smarttags" w:element="place">
        <w:smartTag w:uri="urn:schemas-microsoft-com:office:smarttags" w:element="State">
          <w:r w:rsidRPr="00FD385A">
            <w:rPr>
              <w:b/>
              <w:sz w:val="24"/>
            </w:rPr>
            <w:t>PENNSYLVANIA</w:t>
          </w:r>
        </w:smartTag>
      </w:smartTag>
      <w:r w:rsidRPr="00FD385A">
        <w:rPr>
          <w:b/>
          <w:sz w:val="24"/>
        </w:rPr>
        <w:t xml:space="preserve"> PUBLIC UTILITY COMMISSION</w:t>
      </w:r>
    </w:p>
    <w:p w:rsidR="006B29D9" w:rsidRPr="00FD385A" w:rsidRDefault="006B29D9" w:rsidP="006B29D9">
      <w:pPr>
        <w:tabs>
          <w:tab w:val="center" w:pos="4680"/>
        </w:tabs>
        <w:jc w:val="both"/>
        <w:rPr>
          <w:sz w:val="24"/>
        </w:rPr>
      </w:pPr>
    </w:p>
    <w:p w:rsidR="003B507F" w:rsidRPr="00FD385A" w:rsidRDefault="003B507F" w:rsidP="003B507F">
      <w:pPr>
        <w:rPr>
          <w:sz w:val="24"/>
        </w:rPr>
      </w:pPr>
    </w:p>
    <w:p w:rsidR="003B507F" w:rsidRPr="00FD385A" w:rsidRDefault="003B507F" w:rsidP="003B507F">
      <w:pPr>
        <w:rPr>
          <w:sz w:val="24"/>
        </w:rPr>
      </w:pPr>
    </w:p>
    <w:p w:rsidR="003B507F" w:rsidRPr="00FD385A" w:rsidRDefault="003B507F" w:rsidP="003B507F">
      <w:pPr>
        <w:rPr>
          <w:sz w:val="24"/>
        </w:rPr>
      </w:pPr>
    </w:p>
    <w:p w:rsidR="003B507F" w:rsidRPr="00FD385A" w:rsidRDefault="003B507F" w:rsidP="003B507F">
      <w:pPr>
        <w:rPr>
          <w:sz w:val="24"/>
        </w:rPr>
      </w:pPr>
      <w:r w:rsidRPr="00FD385A">
        <w:rPr>
          <w:sz w:val="24"/>
        </w:rPr>
        <w:t>Pennsylvania Public Utility Commission</w:t>
      </w:r>
      <w:r w:rsidRPr="00FD385A">
        <w:rPr>
          <w:sz w:val="24"/>
        </w:rPr>
        <w:tab/>
      </w:r>
      <w:r w:rsidRPr="00FD385A">
        <w:rPr>
          <w:sz w:val="24"/>
        </w:rPr>
        <w:tab/>
        <w:t>:</w:t>
      </w:r>
      <w:r w:rsidRPr="00FD385A">
        <w:rPr>
          <w:sz w:val="24"/>
        </w:rPr>
        <w:tab/>
      </w:r>
      <w:r w:rsidRPr="00FD385A">
        <w:rPr>
          <w:sz w:val="24"/>
        </w:rPr>
        <w:tab/>
        <w:t>R-2011-2273539</w:t>
      </w:r>
    </w:p>
    <w:p w:rsidR="003B507F" w:rsidRPr="00FD385A" w:rsidRDefault="003B507F" w:rsidP="003B507F">
      <w:pPr>
        <w:rPr>
          <w:sz w:val="24"/>
        </w:rPr>
      </w:pPr>
      <w:r w:rsidRPr="00FD385A">
        <w:rPr>
          <w:sz w:val="24"/>
        </w:rPr>
        <w:t>Office of Consumer Advocate</w:t>
      </w:r>
      <w:r w:rsidRPr="00FD385A">
        <w:rPr>
          <w:sz w:val="24"/>
        </w:rPr>
        <w:tab/>
      </w:r>
      <w:r w:rsidRPr="00FD385A">
        <w:rPr>
          <w:sz w:val="24"/>
        </w:rPr>
        <w:tab/>
      </w:r>
      <w:r w:rsidRPr="00FD385A">
        <w:rPr>
          <w:sz w:val="24"/>
        </w:rPr>
        <w:tab/>
        <w:t>:</w:t>
      </w:r>
      <w:r w:rsidRPr="00FD385A">
        <w:rPr>
          <w:sz w:val="24"/>
        </w:rPr>
        <w:tab/>
      </w:r>
      <w:r w:rsidRPr="00FD385A">
        <w:rPr>
          <w:sz w:val="24"/>
        </w:rPr>
        <w:tab/>
        <w:t>C-2012-2285171</w:t>
      </w:r>
    </w:p>
    <w:p w:rsidR="003B507F" w:rsidRPr="00FD385A" w:rsidRDefault="003B507F" w:rsidP="003B507F">
      <w:pPr>
        <w:rPr>
          <w:sz w:val="24"/>
        </w:rPr>
      </w:pPr>
      <w:r w:rsidRPr="00FD385A">
        <w:rPr>
          <w:sz w:val="24"/>
        </w:rPr>
        <w:t>Office of Small Business Advocate</w:t>
      </w:r>
      <w:r w:rsidRPr="00FD385A">
        <w:rPr>
          <w:sz w:val="24"/>
        </w:rPr>
        <w:tab/>
      </w:r>
      <w:r w:rsidRPr="00FD385A">
        <w:rPr>
          <w:sz w:val="24"/>
        </w:rPr>
        <w:tab/>
      </w:r>
      <w:r w:rsidRPr="00FD385A">
        <w:rPr>
          <w:sz w:val="24"/>
        </w:rPr>
        <w:tab/>
        <w:t>:</w:t>
      </w:r>
      <w:r w:rsidRPr="00FD385A">
        <w:rPr>
          <w:sz w:val="24"/>
        </w:rPr>
        <w:tab/>
      </w:r>
      <w:r w:rsidRPr="00FD385A">
        <w:rPr>
          <w:sz w:val="24"/>
        </w:rPr>
        <w:tab/>
        <w:t>C-2012-2287034</w:t>
      </w:r>
    </w:p>
    <w:p w:rsidR="003B507F" w:rsidRPr="00FD385A" w:rsidRDefault="003B507F" w:rsidP="003B507F">
      <w:pPr>
        <w:rPr>
          <w:sz w:val="24"/>
        </w:rPr>
      </w:pPr>
      <w:r w:rsidRPr="00FD385A">
        <w:rPr>
          <w:sz w:val="24"/>
        </w:rPr>
        <w:tab/>
      </w:r>
      <w:r w:rsidRPr="00FD385A">
        <w:rPr>
          <w:sz w:val="24"/>
        </w:rPr>
        <w:tab/>
      </w:r>
      <w:r w:rsidRPr="00FD385A">
        <w:rPr>
          <w:sz w:val="24"/>
        </w:rPr>
        <w:tab/>
      </w:r>
      <w:r w:rsidRPr="00FD385A">
        <w:rPr>
          <w:sz w:val="24"/>
        </w:rPr>
        <w:tab/>
      </w:r>
      <w:r w:rsidRPr="00FD385A">
        <w:rPr>
          <w:sz w:val="24"/>
        </w:rPr>
        <w:tab/>
      </w:r>
      <w:r w:rsidRPr="00FD385A">
        <w:rPr>
          <w:sz w:val="24"/>
        </w:rPr>
        <w:tab/>
      </w:r>
      <w:r w:rsidRPr="00FD385A">
        <w:rPr>
          <w:sz w:val="24"/>
        </w:rPr>
        <w:tab/>
        <w:t>:</w:t>
      </w:r>
    </w:p>
    <w:p w:rsidR="003B507F" w:rsidRPr="00FD385A" w:rsidRDefault="003B507F" w:rsidP="003B507F">
      <w:pPr>
        <w:rPr>
          <w:sz w:val="24"/>
        </w:rPr>
      </w:pPr>
      <w:r w:rsidRPr="00FD385A">
        <w:rPr>
          <w:sz w:val="24"/>
        </w:rPr>
        <w:tab/>
        <w:t>v.</w:t>
      </w:r>
      <w:r w:rsidRPr="00FD385A">
        <w:rPr>
          <w:sz w:val="24"/>
        </w:rPr>
        <w:tab/>
      </w:r>
      <w:r w:rsidRPr="00FD385A">
        <w:rPr>
          <w:sz w:val="24"/>
        </w:rPr>
        <w:tab/>
      </w:r>
      <w:r w:rsidRPr="00FD385A">
        <w:rPr>
          <w:sz w:val="24"/>
        </w:rPr>
        <w:tab/>
      </w:r>
      <w:r w:rsidRPr="00FD385A">
        <w:rPr>
          <w:sz w:val="24"/>
        </w:rPr>
        <w:tab/>
      </w:r>
      <w:r w:rsidRPr="00FD385A">
        <w:rPr>
          <w:sz w:val="24"/>
        </w:rPr>
        <w:tab/>
      </w:r>
      <w:r w:rsidRPr="00FD385A">
        <w:rPr>
          <w:sz w:val="24"/>
        </w:rPr>
        <w:tab/>
        <w:t>:</w:t>
      </w:r>
      <w:r w:rsidRPr="00FD385A">
        <w:rPr>
          <w:sz w:val="24"/>
        </w:rPr>
        <w:tab/>
      </w:r>
      <w:r w:rsidRPr="00FD385A">
        <w:rPr>
          <w:sz w:val="24"/>
        </w:rPr>
        <w:tab/>
      </w:r>
    </w:p>
    <w:p w:rsidR="003B507F" w:rsidRPr="00FD385A" w:rsidRDefault="003B507F" w:rsidP="003B507F">
      <w:pPr>
        <w:rPr>
          <w:sz w:val="24"/>
        </w:rPr>
      </w:pPr>
      <w:r w:rsidRPr="00FD385A">
        <w:rPr>
          <w:sz w:val="24"/>
        </w:rPr>
        <w:tab/>
      </w:r>
      <w:r w:rsidRPr="00FD385A">
        <w:rPr>
          <w:sz w:val="24"/>
        </w:rPr>
        <w:tab/>
      </w:r>
      <w:r w:rsidRPr="00FD385A">
        <w:rPr>
          <w:sz w:val="24"/>
        </w:rPr>
        <w:tab/>
      </w:r>
      <w:r w:rsidRPr="00FD385A">
        <w:rPr>
          <w:sz w:val="24"/>
        </w:rPr>
        <w:tab/>
      </w:r>
      <w:r w:rsidRPr="00FD385A">
        <w:rPr>
          <w:sz w:val="24"/>
        </w:rPr>
        <w:tab/>
      </w:r>
      <w:r w:rsidRPr="00FD385A">
        <w:rPr>
          <w:sz w:val="24"/>
        </w:rPr>
        <w:tab/>
      </w:r>
      <w:r w:rsidRPr="00FD385A">
        <w:rPr>
          <w:sz w:val="24"/>
        </w:rPr>
        <w:tab/>
        <w:t>:</w:t>
      </w:r>
    </w:p>
    <w:p w:rsidR="003B507F" w:rsidRPr="00FD385A" w:rsidRDefault="003B507F" w:rsidP="003B507F">
      <w:pPr>
        <w:rPr>
          <w:sz w:val="24"/>
        </w:rPr>
      </w:pPr>
      <w:r w:rsidRPr="00FD385A">
        <w:rPr>
          <w:sz w:val="24"/>
        </w:rPr>
        <w:t>Peoples TWP LLC</w:t>
      </w:r>
      <w:r w:rsidRPr="00FD385A">
        <w:rPr>
          <w:sz w:val="24"/>
        </w:rPr>
        <w:tab/>
      </w:r>
      <w:r w:rsidRPr="00FD385A">
        <w:rPr>
          <w:sz w:val="24"/>
        </w:rPr>
        <w:tab/>
      </w:r>
      <w:r w:rsidRPr="00FD385A">
        <w:rPr>
          <w:sz w:val="24"/>
        </w:rPr>
        <w:tab/>
      </w:r>
      <w:r w:rsidRPr="00FD385A">
        <w:rPr>
          <w:sz w:val="24"/>
        </w:rPr>
        <w:tab/>
      </w:r>
      <w:r w:rsidRPr="00FD385A">
        <w:rPr>
          <w:sz w:val="24"/>
        </w:rPr>
        <w:tab/>
        <w:t>:</w:t>
      </w:r>
    </w:p>
    <w:p w:rsidR="003B507F" w:rsidRPr="00FD385A" w:rsidRDefault="003B507F" w:rsidP="003B507F">
      <w:pPr>
        <w:rPr>
          <w:sz w:val="24"/>
        </w:rPr>
      </w:pPr>
      <w:r w:rsidRPr="00FD385A">
        <w:rPr>
          <w:b/>
          <w:sz w:val="24"/>
        </w:rPr>
        <w:tab/>
      </w:r>
      <w:r w:rsidRPr="00FD385A">
        <w:rPr>
          <w:b/>
          <w:sz w:val="24"/>
        </w:rPr>
        <w:tab/>
      </w:r>
    </w:p>
    <w:p w:rsidR="003B507F" w:rsidRPr="00FD385A" w:rsidRDefault="003B507F" w:rsidP="003B507F">
      <w:pPr>
        <w:rPr>
          <w:sz w:val="24"/>
        </w:rPr>
      </w:pPr>
      <w:r w:rsidRPr="00FD385A">
        <w:rPr>
          <w:sz w:val="24"/>
        </w:rPr>
        <w:tab/>
      </w:r>
    </w:p>
    <w:p w:rsidR="003B507F" w:rsidRPr="00FD385A" w:rsidRDefault="003B507F" w:rsidP="003B507F">
      <w:pPr>
        <w:rPr>
          <w:sz w:val="24"/>
        </w:rPr>
      </w:pPr>
    </w:p>
    <w:p w:rsidR="003B507F" w:rsidRPr="00FD385A" w:rsidRDefault="003B507F" w:rsidP="00277A9E">
      <w:pPr>
        <w:jc w:val="center"/>
        <w:rPr>
          <w:b/>
          <w:bCs/>
          <w:sz w:val="24"/>
        </w:rPr>
      </w:pPr>
      <w:r w:rsidRPr="00FD385A">
        <w:rPr>
          <w:b/>
          <w:bCs/>
          <w:sz w:val="24"/>
        </w:rPr>
        <w:t>ORDER GRANTING MOTION OF THE OFFICE OF</w:t>
      </w:r>
      <w:r w:rsidR="00A1550F" w:rsidRPr="00FD385A">
        <w:rPr>
          <w:b/>
          <w:bCs/>
          <w:sz w:val="24"/>
        </w:rPr>
        <w:t xml:space="preserve"> </w:t>
      </w:r>
      <w:r w:rsidRPr="00FD385A">
        <w:rPr>
          <w:b/>
          <w:bCs/>
          <w:sz w:val="24"/>
        </w:rPr>
        <w:t xml:space="preserve">SMALL BUSINESS ADVOCATE FOR ADMISSION INTO THE RECORD THE DIRECT TESTIMONY, EXHIBITS AND </w:t>
      </w:r>
      <w:r w:rsidRPr="00FD385A">
        <w:rPr>
          <w:b/>
          <w:bCs/>
          <w:sz w:val="24"/>
          <w:u w:val="single"/>
        </w:rPr>
        <w:t>VERIFICATION OF ROBERT D. KNECHT</w:t>
      </w:r>
    </w:p>
    <w:p w:rsidR="003B507F" w:rsidRPr="00FD385A" w:rsidRDefault="003B507F" w:rsidP="00277A9E">
      <w:pPr>
        <w:jc w:val="center"/>
        <w:rPr>
          <w:sz w:val="24"/>
        </w:rPr>
      </w:pPr>
    </w:p>
    <w:p w:rsidR="003B507F" w:rsidRPr="00FD385A" w:rsidRDefault="003B507F" w:rsidP="003B507F">
      <w:pPr>
        <w:rPr>
          <w:sz w:val="24"/>
          <w:u w:val="single"/>
        </w:rPr>
      </w:pPr>
    </w:p>
    <w:p w:rsidR="003B507F" w:rsidRPr="00FD385A" w:rsidRDefault="003B507F" w:rsidP="00277A9E">
      <w:pPr>
        <w:spacing w:line="360" w:lineRule="auto"/>
        <w:rPr>
          <w:sz w:val="24"/>
          <w:u w:val="single"/>
        </w:rPr>
      </w:pPr>
      <w:r w:rsidRPr="00FD385A">
        <w:rPr>
          <w:sz w:val="24"/>
          <w:u w:val="single"/>
        </w:rPr>
        <w:t>Background</w:t>
      </w:r>
    </w:p>
    <w:p w:rsidR="003B507F" w:rsidRPr="00FD385A" w:rsidRDefault="003B507F" w:rsidP="00277A9E">
      <w:pPr>
        <w:spacing w:line="360" w:lineRule="auto"/>
        <w:rPr>
          <w:sz w:val="24"/>
        </w:rPr>
      </w:pPr>
    </w:p>
    <w:p w:rsidR="003B507F" w:rsidRPr="00FD385A" w:rsidRDefault="003B507F" w:rsidP="00EC6C6E">
      <w:pPr>
        <w:spacing w:line="360" w:lineRule="auto"/>
        <w:rPr>
          <w:sz w:val="24"/>
        </w:rPr>
      </w:pPr>
      <w:r w:rsidRPr="00FD385A">
        <w:rPr>
          <w:sz w:val="24"/>
        </w:rPr>
        <w:tab/>
      </w:r>
      <w:r w:rsidRPr="00FD385A">
        <w:rPr>
          <w:sz w:val="24"/>
        </w:rPr>
        <w:tab/>
        <w:t>On November 15, 2011, Peoples TWP LLC (Peoples TWP) filed a letter with the Pennsylvania Public Utility Commission (Commission) requesting an extension for the filing of Peoples TWP’s 2012 Section 1307(f) filing for recovery of purchased gas costs, pursuant to the Public Utility Code (Code), 66 Pa. C.S.A. §1307(f), and Commission regulations, 52 Pa. Code §§53.64 - 53.65.  By Secretarial Letter dated December 5, 2011, the Commission granted Peoples TWP’s request for an extension until January 13, 2012.</w:t>
      </w:r>
    </w:p>
    <w:p w:rsidR="003B507F" w:rsidRPr="00FD385A" w:rsidRDefault="003B507F" w:rsidP="00EC6C6E">
      <w:pPr>
        <w:spacing w:line="360" w:lineRule="auto"/>
        <w:rPr>
          <w:sz w:val="24"/>
        </w:rPr>
      </w:pPr>
      <w:r w:rsidRPr="00FD385A">
        <w:rPr>
          <w:sz w:val="24"/>
        </w:rPr>
        <w:tab/>
      </w:r>
    </w:p>
    <w:p w:rsidR="003B507F" w:rsidRPr="00FD385A" w:rsidRDefault="003B507F" w:rsidP="00EC6C6E">
      <w:pPr>
        <w:spacing w:line="360" w:lineRule="auto"/>
        <w:rPr>
          <w:sz w:val="24"/>
        </w:rPr>
      </w:pPr>
      <w:r w:rsidRPr="00FD385A">
        <w:rPr>
          <w:sz w:val="24"/>
        </w:rPr>
        <w:tab/>
      </w:r>
      <w:r w:rsidRPr="00FD385A">
        <w:rPr>
          <w:sz w:val="24"/>
        </w:rPr>
        <w:tab/>
        <w:t xml:space="preserve">On January 13, 2012, Peoples TWP made its filing in compliance with Section 1307(f) of the Code (Act 74 of 1984) with the Commission.  On January 31, 2012, Peoples TWP filed its unnumbered and undated Supplement to Tariff Gas - PA PUC No. 7, as required by Section 1307(f) of the Code to provide for projected changes in tariff rates resulting from changes in purchased gas costs.  In the supplement, Peoples TWP proposes a decrease in its rates for recovery of purchased gas costs applicable to residential sales service customers of $0.6785/Mcf, from the purchased gas cost rates in effect as of November 1, 2011.  Rate changes related to recovery of purchased gas costs were proposed for other customer classes.  The </w:t>
      </w:r>
      <w:r w:rsidRPr="00FD385A">
        <w:rPr>
          <w:sz w:val="24"/>
        </w:rPr>
        <w:lastRenderedPageBreak/>
        <w:t xml:space="preserve">January 31, 2012 filing included the direct written testimony of Andrew P. Wachter, Peoples TWP’s Vice President – Finance and Rates.  The proposed rate changes are to be effective as of </w:t>
      </w:r>
    </w:p>
    <w:p w:rsidR="003B507F" w:rsidRPr="00FD385A" w:rsidRDefault="003B507F" w:rsidP="00EC6C6E">
      <w:pPr>
        <w:spacing w:line="360" w:lineRule="auto"/>
        <w:rPr>
          <w:sz w:val="24"/>
        </w:rPr>
      </w:pPr>
      <w:r w:rsidRPr="00FD385A">
        <w:rPr>
          <w:sz w:val="24"/>
        </w:rPr>
        <w:t>August 1, 2012.</w:t>
      </w:r>
    </w:p>
    <w:p w:rsidR="003B507F" w:rsidRPr="00FD385A" w:rsidRDefault="003B507F" w:rsidP="00EC6C6E">
      <w:pPr>
        <w:spacing w:line="360" w:lineRule="auto"/>
        <w:rPr>
          <w:sz w:val="24"/>
        </w:rPr>
      </w:pPr>
    </w:p>
    <w:p w:rsidR="003B507F" w:rsidRPr="00FD385A" w:rsidRDefault="003B507F" w:rsidP="00EC6C6E">
      <w:pPr>
        <w:spacing w:line="360" w:lineRule="auto"/>
        <w:rPr>
          <w:sz w:val="24"/>
        </w:rPr>
      </w:pPr>
      <w:r w:rsidRPr="00FD385A">
        <w:rPr>
          <w:sz w:val="24"/>
        </w:rPr>
        <w:tab/>
      </w:r>
      <w:r w:rsidRPr="00FD385A">
        <w:rPr>
          <w:sz w:val="24"/>
        </w:rPr>
        <w:tab/>
        <w:t xml:space="preserve">The filings were assigned to the Commission’s Office of Administrative Law Judge for investigation and scheduling of hearings to consider the justness and reasonableness of the rate Peoples TWP seeks to recover from its customers through the 1307(f) charge.  The proceeding was assigned to the undersigned Presiding Administrative Law Judge (ALJ). </w:t>
      </w:r>
    </w:p>
    <w:p w:rsidR="003B507F" w:rsidRPr="00FD385A" w:rsidRDefault="003B507F" w:rsidP="00EC6C6E">
      <w:pPr>
        <w:spacing w:line="360" w:lineRule="auto"/>
        <w:rPr>
          <w:sz w:val="24"/>
        </w:rPr>
      </w:pPr>
    </w:p>
    <w:p w:rsidR="003B507F" w:rsidRPr="00FD385A" w:rsidRDefault="003B507F" w:rsidP="00EC6C6E">
      <w:pPr>
        <w:spacing w:line="360" w:lineRule="auto"/>
        <w:rPr>
          <w:sz w:val="24"/>
        </w:rPr>
      </w:pPr>
      <w:r w:rsidRPr="00FD385A">
        <w:rPr>
          <w:sz w:val="24"/>
        </w:rPr>
        <w:tab/>
      </w:r>
      <w:r w:rsidRPr="00FD385A">
        <w:rPr>
          <w:sz w:val="24"/>
        </w:rPr>
        <w:tab/>
        <w:t>The Office of Consumer Advocate (OCA) filed a Complaint at Docket No. C</w:t>
      </w:r>
      <w:r w:rsidRPr="00FD385A">
        <w:rPr>
          <w:sz w:val="24"/>
        </w:rPr>
        <w:noBreakHyphen/>
        <w:t xml:space="preserve">2012-2285171 on January 26, 2012.  The Office of Small Business Advocate (OSBA) filed a Complaint at Docket No. C-2012-2287034 on February 3, 2012.  No other formal complaints were filed. </w:t>
      </w:r>
    </w:p>
    <w:p w:rsidR="003B507F" w:rsidRPr="00FD385A" w:rsidRDefault="003B507F" w:rsidP="00EC6C6E">
      <w:pPr>
        <w:spacing w:line="360" w:lineRule="auto"/>
        <w:rPr>
          <w:sz w:val="24"/>
        </w:rPr>
      </w:pPr>
    </w:p>
    <w:p w:rsidR="003B507F" w:rsidRPr="00FD385A" w:rsidRDefault="00A1550F" w:rsidP="00EC6C6E">
      <w:pPr>
        <w:spacing w:line="360" w:lineRule="auto"/>
        <w:rPr>
          <w:sz w:val="24"/>
        </w:rPr>
      </w:pPr>
      <w:r w:rsidRPr="00FD385A">
        <w:rPr>
          <w:sz w:val="24"/>
        </w:rPr>
        <w:tab/>
      </w:r>
      <w:r w:rsidRPr="00FD385A">
        <w:rPr>
          <w:sz w:val="24"/>
        </w:rPr>
        <w:tab/>
      </w:r>
      <w:r w:rsidR="003B507F" w:rsidRPr="00FD385A">
        <w:rPr>
          <w:sz w:val="24"/>
        </w:rPr>
        <w:t xml:space="preserve">The Commission’s Bureau of Investigation and Enforcement (I&amp;E) filed a Notice of Appearance on February 1, 2012.  On February 6, 2012, the Presiding ALJ issued an Order scheduling an Initial Prehearing Conference for February 10, 2012. </w:t>
      </w:r>
    </w:p>
    <w:p w:rsidR="003B507F" w:rsidRPr="00FD385A" w:rsidRDefault="003B507F" w:rsidP="00EC6C6E">
      <w:pPr>
        <w:spacing w:line="360" w:lineRule="auto"/>
        <w:rPr>
          <w:sz w:val="24"/>
        </w:rPr>
      </w:pPr>
    </w:p>
    <w:p w:rsidR="003B507F" w:rsidRPr="00FD385A" w:rsidRDefault="003B507F" w:rsidP="00EC6C6E">
      <w:pPr>
        <w:spacing w:line="360" w:lineRule="auto"/>
        <w:rPr>
          <w:sz w:val="24"/>
        </w:rPr>
      </w:pPr>
      <w:r w:rsidRPr="00FD385A">
        <w:rPr>
          <w:sz w:val="24"/>
        </w:rPr>
        <w:tab/>
      </w:r>
      <w:r w:rsidRPr="00FD385A">
        <w:rPr>
          <w:sz w:val="24"/>
        </w:rPr>
        <w:tab/>
        <w:t xml:space="preserve"> The prehearing conference proceeded as scheduled; Peoples TWP, I&amp;E, OCA and OSBA participated in the conference.  On February 15, 2012, the Presiding ALJ issued a Prehearing Order outlining the applicable procedural rules and establishing the litigation schedule, which set April 5-6, 2012 as the dates for the technical evidentiary hearings in Harrisburg. </w:t>
      </w:r>
    </w:p>
    <w:p w:rsidR="003B507F" w:rsidRPr="00FD385A" w:rsidRDefault="003B507F" w:rsidP="00EC6C6E">
      <w:pPr>
        <w:spacing w:line="360" w:lineRule="auto"/>
        <w:rPr>
          <w:sz w:val="24"/>
        </w:rPr>
      </w:pPr>
    </w:p>
    <w:p w:rsidR="006B29D9" w:rsidRPr="00FD385A" w:rsidRDefault="003B507F" w:rsidP="00EC6C6E">
      <w:pPr>
        <w:spacing w:line="360" w:lineRule="auto"/>
        <w:rPr>
          <w:sz w:val="24"/>
        </w:rPr>
      </w:pPr>
      <w:r w:rsidRPr="00FD385A">
        <w:rPr>
          <w:sz w:val="24"/>
        </w:rPr>
        <w:tab/>
      </w:r>
      <w:r w:rsidRPr="00FD385A">
        <w:rPr>
          <w:sz w:val="24"/>
        </w:rPr>
        <w:tab/>
        <w:t>On March 22, 2012, at the joint request of the parties, the Presiding ALJ conducted a telephone conference</w:t>
      </w:r>
      <w:r w:rsidR="00A1550F" w:rsidRPr="00FD385A">
        <w:rPr>
          <w:sz w:val="24"/>
        </w:rPr>
        <w:t xml:space="preserve"> concerning </w:t>
      </w:r>
      <w:r w:rsidRPr="00FD385A">
        <w:rPr>
          <w:sz w:val="24"/>
        </w:rPr>
        <w:t>the litigation</w:t>
      </w:r>
      <w:r w:rsidR="00A1550F" w:rsidRPr="00FD385A">
        <w:rPr>
          <w:sz w:val="24"/>
        </w:rPr>
        <w:t xml:space="preserve"> schedule</w:t>
      </w:r>
      <w:r w:rsidR="004B151A" w:rsidRPr="00FD385A">
        <w:rPr>
          <w:sz w:val="24"/>
        </w:rPr>
        <w:t>.</w:t>
      </w:r>
      <w:r w:rsidR="00A1550F" w:rsidRPr="00FD385A">
        <w:rPr>
          <w:sz w:val="24"/>
        </w:rPr>
        <w:t xml:space="preserve"> </w:t>
      </w:r>
      <w:r w:rsidR="004B151A" w:rsidRPr="00FD385A">
        <w:rPr>
          <w:sz w:val="24"/>
        </w:rPr>
        <w:t xml:space="preserve"> Tr. 21.</w:t>
      </w:r>
      <w:r w:rsidR="00277A9E" w:rsidRPr="00FD385A">
        <w:rPr>
          <w:rStyle w:val="FootnoteReference"/>
          <w:sz w:val="24"/>
        </w:rPr>
        <w:footnoteReference w:id="1"/>
      </w:r>
      <w:r w:rsidR="004B151A" w:rsidRPr="00FD385A">
        <w:rPr>
          <w:sz w:val="24"/>
        </w:rPr>
        <w:t xml:space="preserve">  </w:t>
      </w:r>
      <w:r w:rsidR="00F31A3E" w:rsidRPr="00FD385A">
        <w:rPr>
          <w:sz w:val="24"/>
        </w:rPr>
        <w:t xml:space="preserve">Counsel for each </w:t>
      </w:r>
      <w:r w:rsidR="00A1550F" w:rsidRPr="00FD385A">
        <w:rPr>
          <w:sz w:val="24"/>
        </w:rPr>
        <w:t>p</w:t>
      </w:r>
      <w:r w:rsidR="00F31A3E" w:rsidRPr="00FD385A">
        <w:rPr>
          <w:sz w:val="24"/>
        </w:rPr>
        <w:t>art</w:t>
      </w:r>
      <w:r w:rsidR="00A1550F" w:rsidRPr="00FD385A">
        <w:rPr>
          <w:sz w:val="24"/>
        </w:rPr>
        <w:t>y</w:t>
      </w:r>
      <w:r w:rsidR="00F31A3E" w:rsidRPr="00FD385A">
        <w:rPr>
          <w:sz w:val="24"/>
        </w:rPr>
        <w:t xml:space="preserve"> </w:t>
      </w:r>
      <w:r w:rsidR="004B151A" w:rsidRPr="00FD385A">
        <w:rPr>
          <w:sz w:val="24"/>
        </w:rPr>
        <w:t>participated in the telephone confer</w:t>
      </w:r>
      <w:r w:rsidR="00F31A3E" w:rsidRPr="00FD385A">
        <w:rPr>
          <w:sz w:val="24"/>
        </w:rPr>
        <w:t>ence, during which they requested a suspension of the litigation schedule base</w:t>
      </w:r>
      <w:r w:rsidR="00A1550F" w:rsidRPr="00FD385A">
        <w:rPr>
          <w:sz w:val="24"/>
        </w:rPr>
        <w:t>d</w:t>
      </w:r>
      <w:r w:rsidR="00F31A3E" w:rsidRPr="00FD385A">
        <w:rPr>
          <w:sz w:val="24"/>
        </w:rPr>
        <w:t xml:space="preserve"> upon having reached an agreement in principle</w:t>
      </w:r>
      <w:r w:rsidR="00A1550F" w:rsidRPr="00FD385A">
        <w:rPr>
          <w:sz w:val="24"/>
        </w:rPr>
        <w:t xml:space="preserve"> to resolve this proceeding</w:t>
      </w:r>
      <w:r w:rsidR="00F31A3E" w:rsidRPr="00FD385A">
        <w:rPr>
          <w:sz w:val="24"/>
        </w:rPr>
        <w:t>.</w:t>
      </w:r>
      <w:r w:rsidR="00A1550F" w:rsidRPr="00FD385A">
        <w:rPr>
          <w:sz w:val="24"/>
        </w:rPr>
        <w:t xml:space="preserve"> </w:t>
      </w:r>
      <w:r w:rsidR="00F31A3E" w:rsidRPr="00FD385A">
        <w:rPr>
          <w:sz w:val="24"/>
        </w:rPr>
        <w:t xml:space="preserve"> Tr. 21.  The Presiding ALJ granted the joint request of the parties, in part, and </w:t>
      </w:r>
      <w:r w:rsidR="00F31A3E" w:rsidRPr="00FD385A">
        <w:rPr>
          <w:sz w:val="24"/>
        </w:rPr>
        <w:lastRenderedPageBreak/>
        <w:t xml:space="preserve">suspended the litigation schedule relating to the submission of rebuttal and surrebuttal testimony. Tr. 21-22.  The April 5, 2012 evidentiary hearing was to proceed as scheduled in order for the parties </w:t>
      </w:r>
      <w:r w:rsidR="00A1550F" w:rsidRPr="00FD385A">
        <w:rPr>
          <w:sz w:val="24"/>
        </w:rPr>
        <w:t xml:space="preserve">to </w:t>
      </w:r>
      <w:r w:rsidR="00637FFD" w:rsidRPr="00FD385A">
        <w:rPr>
          <w:sz w:val="24"/>
        </w:rPr>
        <w:t>offer exhibits and testimony into the record by stipulation.  Tr. 22.  Further</w:t>
      </w:r>
      <w:r w:rsidR="00AC10E0">
        <w:rPr>
          <w:sz w:val="24"/>
        </w:rPr>
        <w:t>,</w:t>
      </w:r>
      <w:r w:rsidR="00637FFD" w:rsidRPr="00FD385A">
        <w:rPr>
          <w:sz w:val="24"/>
        </w:rPr>
        <w:t xml:space="preserve"> a date by which the parties would submit the joint petition for settlement and the corresponding statements in support would be established at the April 5, 2012 evidentiary hearing.  Tr. 22. </w:t>
      </w:r>
    </w:p>
    <w:p w:rsidR="00637FFD" w:rsidRPr="00FD385A" w:rsidRDefault="00637FFD" w:rsidP="00EC6C6E">
      <w:pPr>
        <w:spacing w:line="360" w:lineRule="auto"/>
        <w:rPr>
          <w:sz w:val="24"/>
        </w:rPr>
      </w:pPr>
    </w:p>
    <w:p w:rsidR="00637FFD" w:rsidRPr="00FD385A" w:rsidRDefault="00637FFD" w:rsidP="00EC6C6E">
      <w:pPr>
        <w:spacing w:line="360" w:lineRule="auto"/>
        <w:rPr>
          <w:sz w:val="24"/>
        </w:rPr>
      </w:pPr>
      <w:r w:rsidRPr="00FD385A">
        <w:rPr>
          <w:sz w:val="24"/>
        </w:rPr>
        <w:tab/>
      </w:r>
      <w:r w:rsidRPr="00FD385A">
        <w:rPr>
          <w:sz w:val="24"/>
        </w:rPr>
        <w:tab/>
        <w:t xml:space="preserve">The April 5, 2012, evidentiary hearing was conducted telephonically with the Presiding ALJ sitting in Pittsburgh and counsel for Peoples TWP, I&amp;E and OCA in the Commission’s Hearing Room 5 in Harrisburg.  </w:t>
      </w:r>
      <w:r w:rsidR="00045E3B" w:rsidRPr="00FD385A">
        <w:rPr>
          <w:sz w:val="24"/>
        </w:rPr>
        <w:t xml:space="preserve">Counsel for OSBA was not present for the hearing. </w:t>
      </w:r>
      <w:r w:rsidR="00AC10E0">
        <w:rPr>
          <w:sz w:val="24"/>
        </w:rPr>
        <w:t xml:space="preserve"> </w:t>
      </w:r>
      <w:r w:rsidR="00045E3B" w:rsidRPr="00FD385A">
        <w:rPr>
          <w:sz w:val="24"/>
        </w:rPr>
        <w:t>Tr. 20.</w:t>
      </w:r>
    </w:p>
    <w:p w:rsidR="00045E3B" w:rsidRPr="00FD385A" w:rsidRDefault="00045E3B" w:rsidP="00277A9E">
      <w:pPr>
        <w:spacing w:line="360" w:lineRule="auto"/>
        <w:rPr>
          <w:sz w:val="24"/>
        </w:rPr>
      </w:pPr>
    </w:p>
    <w:p w:rsidR="00045E3B" w:rsidRPr="00FD385A" w:rsidRDefault="00045E3B" w:rsidP="00277A9E">
      <w:pPr>
        <w:spacing w:line="360" w:lineRule="auto"/>
        <w:rPr>
          <w:sz w:val="24"/>
        </w:rPr>
      </w:pPr>
      <w:r w:rsidRPr="00FD385A">
        <w:rPr>
          <w:sz w:val="24"/>
        </w:rPr>
        <w:tab/>
      </w:r>
      <w:r w:rsidRPr="00FD385A">
        <w:rPr>
          <w:sz w:val="24"/>
        </w:rPr>
        <w:tab/>
        <w:t>Counsel for Peoples TWP offered the following exhibits for admission into the record.</w:t>
      </w:r>
    </w:p>
    <w:p w:rsidR="00045E3B" w:rsidRPr="00FD385A" w:rsidRDefault="00045E3B" w:rsidP="00277A9E">
      <w:pPr>
        <w:spacing w:line="360" w:lineRule="auto"/>
        <w:rPr>
          <w:sz w:val="24"/>
        </w:rPr>
      </w:pPr>
    </w:p>
    <w:p w:rsidR="00497269" w:rsidRPr="00FD385A" w:rsidRDefault="00497269" w:rsidP="00EC6C6E">
      <w:pPr>
        <w:pStyle w:val="ListParagraph"/>
        <w:numPr>
          <w:ilvl w:val="0"/>
          <w:numId w:val="2"/>
        </w:numPr>
        <w:ind w:right="1080"/>
        <w:rPr>
          <w:sz w:val="24"/>
        </w:rPr>
      </w:pPr>
      <w:r w:rsidRPr="00FD385A">
        <w:rPr>
          <w:sz w:val="24"/>
        </w:rPr>
        <w:t xml:space="preserve">Peoples TWP January 13, 2012 </w:t>
      </w:r>
      <w:r w:rsidR="00045E3B" w:rsidRPr="00FD385A">
        <w:rPr>
          <w:sz w:val="24"/>
        </w:rPr>
        <w:t>Filing</w:t>
      </w:r>
      <w:r w:rsidRPr="00FD385A">
        <w:rPr>
          <w:sz w:val="24"/>
        </w:rPr>
        <w:t xml:space="preserve"> </w:t>
      </w:r>
      <w:r w:rsidR="00045E3B" w:rsidRPr="00FD385A">
        <w:rPr>
          <w:sz w:val="24"/>
        </w:rPr>
        <w:t>Made in Compliance</w:t>
      </w:r>
      <w:r w:rsidRPr="00FD385A">
        <w:rPr>
          <w:sz w:val="24"/>
        </w:rPr>
        <w:t xml:space="preserve"> with Section 1307(f) of the Public Utility Code, Act 74 of 1984:  Filing Requirement Response Nos. 1 through 16 and Exhibit Nos. 1 through 8.</w:t>
      </w:r>
      <w:r w:rsidR="003E3874" w:rsidRPr="00FD385A">
        <w:rPr>
          <w:sz w:val="24"/>
        </w:rPr>
        <w:t xml:space="preserve">  Peoples TWP Exhibit 1.</w:t>
      </w:r>
    </w:p>
    <w:p w:rsidR="00497269" w:rsidRPr="00FD385A" w:rsidRDefault="00497269" w:rsidP="00EC6C6E">
      <w:pPr>
        <w:ind w:right="1080"/>
        <w:rPr>
          <w:sz w:val="24"/>
        </w:rPr>
      </w:pPr>
    </w:p>
    <w:p w:rsidR="00BD15EF" w:rsidRPr="00FD385A" w:rsidRDefault="00497269" w:rsidP="00EC6C6E">
      <w:pPr>
        <w:pStyle w:val="ListParagraph"/>
        <w:numPr>
          <w:ilvl w:val="0"/>
          <w:numId w:val="2"/>
        </w:numPr>
        <w:ind w:right="1080"/>
        <w:rPr>
          <w:sz w:val="24"/>
        </w:rPr>
      </w:pPr>
      <w:r w:rsidRPr="00FD385A">
        <w:rPr>
          <w:sz w:val="24"/>
        </w:rPr>
        <w:t xml:space="preserve"> </w:t>
      </w:r>
      <w:r w:rsidR="00BD15EF" w:rsidRPr="00FD385A">
        <w:rPr>
          <w:sz w:val="24"/>
        </w:rPr>
        <w:t xml:space="preserve">January 31, 2012 </w:t>
      </w:r>
      <w:r w:rsidR="003E3874" w:rsidRPr="00FD385A">
        <w:rPr>
          <w:sz w:val="24"/>
        </w:rPr>
        <w:t xml:space="preserve">Peoples TWP </w:t>
      </w:r>
      <w:r w:rsidR="00BD15EF" w:rsidRPr="00FD385A">
        <w:rPr>
          <w:sz w:val="24"/>
        </w:rPr>
        <w:t xml:space="preserve">Letter Captioned: </w:t>
      </w:r>
      <w:r w:rsidR="003E3874" w:rsidRPr="00FD385A">
        <w:rPr>
          <w:sz w:val="24"/>
        </w:rPr>
        <w:t>2012 Purchased Gas Cost Filing Made in Compliance with Section 1307(f) of the Public Utility Code</w:t>
      </w:r>
      <w:r w:rsidR="00BD15EF" w:rsidRPr="00FD385A">
        <w:rPr>
          <w:sz w:val="24"/>
        </w:rPr>
        <w:t>;</w:t>
      </w:r>
    </w:p>
    <w:p w:rsidR="00BD15EF" w:rsidRPr="00FD385A" w:rsidRDefault="00BD15EF" w:rsidP="00EC6C6E">
      <w:pPr>
        <w:pStyle w:val="ListParagraph"/>
        <w:ind w:right="1080"/>
        <w:rPr>
          <w:sz w:val="24"/>
        </w:rPr>
      </w:pPr>
    </w:p>
    <w:p w:rsidR="00BD15EF" w:rsidRPr="00FD385A" w:rsidRDefault="00BD15EF" w:rsidP="00EC6C6E">
      <w:pPr>
        <w:pStyle w:val="ListParagraph"/>
        <w:tabs>
          <w:tab w:val="left" w:pos="1800"/>
        </w:tabs>
        <w:ind w:right="1080"/>
        <w:rPr>
          <w:sz w:val="24"/>
        </w:rPr>
      </w:pPr>
      <w:r w:rsidRPr="00FD385A">
        <w:rPr>
          <w:sz w:val="24"/>
        </w:rPr>
        <w:tab/>
      </w:r>
      <w:r w:rsidR="001E1BC1" w:rsidRPr="00FD385A">
        <w:rPr>
          <w:sz w:val="24"/>
        </w:rPr>
        <w:t xml:space="preserve">Peoples TWP Unnumbered Supplement to Tariff Gas ‒ Pa. PUC </w:t>
      </w:r>
      <w:r w:rsidR="001E1BC1" w:rsidRPr="00FD385A">
        <w:rPr>
          <w:sz w:val="24"/>
        </w:rPr>
        <w:tab/>
        <w:t>No. 7;</w:t>
      </w:r>
    </w:p>
    <w:p w:rsidR="001E1BC1" w:rsidRPr="00FD385A" w:rsidRDefault="001E1BC1" w:rsidP="00EC6C6E">
      <w:pPr>
        <w:pStyle w:val="ListParagraph"/>
        <w:ind w:right="1080"/>
        <w:rPr>
          <w:sz w:val="24"/>
        </w:rPr>
      </w:pPr>
    </w:p>
    <w:p w:rsidR="001E1BC1" w:rsidRPr="00FD385A" w:rsidRDefault="001E1BC1" w:rsidP="00EC6C6E">
      <w:pPr>
        <w:pStyle w:val="ListParagraph"/>
        <w:tabs>
          <w:tab w:val="left" w:pos="1800"/>
        </w:tabs>
        <w:ind w:right="1080"/>
        <w:rPr>
          <w:sz w:val="24"/>
        </w:rPr>
      </w:pPr>
      <w:r w:rsidRPr="00FD385A">
        <w:rPr>
          <w:sz w:val="24"/>
        </w:rPr>
        <w:tab/>
        <w:t>Peoples TWP Statement No. 1</w:t>
      </w:r>
      <w:r w:rsidR="00D44745" w:rsidRPr="00FD385A">
        <w:rPr>
          <w:sz w:val="24"/>
        </w:rPr>
        <w:t>,</w:t>
      </w:r>
      <w:r w:rsidRPr="00FD385A">
        <w:rPr>
          <w:sz w:val="24"/>
        </w:rPr>
        <w:t xml:space="preserve"> Direct Testimony of Andrew P. </w:t>
      </w:r>
      <w:r w:rsidRPr="00FD385A">
        <w:rPr>
          <w:sz w:val="24"/>
        </w:rPr>
        <w:tab/>
        <w:t>Wach</w:t>
      </w:r>
      <w:r w:rsidR="00AC10E0">
        <w:rPr>
          <w:sz w:val="24"/>
        </w:rPr>
        <w:t>t</w:t>
      </w:r>
      <w:r w:rsidRPr="00FD385A">
        <w:rPr>
          <w:sz w:val="24"/>
        </w:rPr>
        <w:t>er;</w:t>
      </w:r>
    </w:p>
    <w:p w:rsidR="001E1BC1" w:rsidRPr="00FD385A" w:rsidRDefault="001E1BC1" w:rsidP="00EC6C6E">
      <w:pPr>
        <w:pStyle w:val="ListParagraph"/>
        <w:tabs>
          <w:tab w:val="left" w:pos="1800"/>
        </w:tabs>
        <w:ind w:right="1080"/>
        <w:rPr>
          <w:sz w:val="24"/>
        </w:rPr>
      </w:pPr>
    </w:p>
    <w:p w:rsidR="001E1BC1" w:rsidRPr="00FD385A" w:rsidRDefault="001E1BC1" w:rsidP="00EC6C6E">
      <w:pPr>
        <w:pStyle w:val="ListParagraph"/>
        <w:tabs>
          <w:tab w:val="left" w:pos="1800"/>
        </w:tabs>
        <w:ind w:right="1080"/>
        <w:rPr>
          <w:sz w:val="24"/>
        </w:rPr>
      </w:pPr>
      <w:r w:rsidRPr="00FD385A">
        <w:rPr>
          <w:sz w:val="24"/>
        </w:rPr>
        <w:tab/>
      </w:r>
      <w:r w:rsidR="00D44745" w:rsidRPr="00FD385A">
        <w:rPr>
          <w:sz w:val="24"/>
        </w:rPr>
        <w:t xml:space="preserve">Peoples TWP Statement No. 2, Direct Testimony of Robert M. </w:t>
      </w:r>
      <w:r w:rsidR="00D44745" w:rsidRPr="00FD385A">
        <w:rPr>
          <w:sz w:val="24"/>
        </w:rPr>
        <w:tab/>
        <w:t>Hovanec;</w:t>
      </w:r>
      <w:r w:rsidR="009B04A5" w:rsidRPr="00FD385A">
        <w:rPr>
          <w:sz w:val="24"/>
        </w:rPr>
        <w:t xml:space="preserve"> and </w:t>
      </w:r>
      <w:r w:rsidRPr="00FD385A">
        <w:rPr>
          <w:sz w:val="24"/>
        </w:rPr>
        <w:tab/>
      </w:r>
    </w:p>
    <w:p w:rsidR="001E1BC1" w:rsidRPr="00FD385A" w:rsidRDefault="001E1BC1" w:rsidP="00EC6C6E">
      <w:pPr>
        <w:pStyle w:val="ListParagraph"/>
        <w:ind w:right="1080"/>
        <w:rPr>
          <w:sz w:val="24"/>
        </w:rPr>
      </w:pPr>
    </w:p>
    <w:p w:rsidR="009B04A5" w:rsidRPr="00FD385A" w:rsidRDefault="00D44745" w:rsidP="00EC6C6E">
      <w:pPr>
        <w:pStyle w:val="ListParagraph"/>
        <w:tabs>
          <w:tab w:val="left" w:pos="1800"/>
        </w:tabs>
        <w:ind w:right="1080"/>
        <w:rPr>
          <w:sz w:val="24"/>
        </w:rPr>
      </w:pPr>
      <w:r w:rsidRPr="00FD385A">
        <w:rPr>
          <w:sz w:val="24"/>
        </w:rPr>
        <w:tab/>
        <w:t xml:space="preserve">Peoples TWP Statement No. 3, Direct Testimony of Paul </w:t>
      </w:r>
      <w:r w:rsidR="009B04A5" w:rsidRPr="00FD385A">
        <w:rPr>
          <w:sz w:val="24"/>
        </w:rPr>
        <w:t>W</w:t>
      </w:r>
      <w:r w:rsidRPr="00FD385A">
        <w:rPr>
          <w:sz w:val="24"/>
        </w:rPr>
        <w:t xml:space="preserve">. </w:t>
      </w:r>
      <w:r w:rsidRPr="00FD385A">
        <w:rPr>
          <w:sz w:val="24"/>
        </w:rPr>
        <w:tab/>
        <w:t>Becker</w:t>
      </w:r>
      <w:r w:rsidR="009B04A5" w:rsidRPr="00FD385A">
        <w:rPr>
          <w:sz w:val="24"/>
        </w:rPr>
        <w:t xml:space="preserve"> and Attachments.  Peoples TWP Exhibit 2.</w:t>
      </w:r>
    </w:p>
    <w:p w:rsidR="00D44745" w:rsidRPr="00FD385A" w:rsidRDefault="00D44745" w:rsidP="00EC6C6E">
      <w:pPr>
        <w:pStyle w:val="ListParagraph"/>
        <w:tabs>
          <w:tab w:val="left" w:pos="1800"/>
        </w:tabs>
        <w:ind w:right="1080"/>
        <w:rPr>
          <w:sz w:val="24"/>
        </w:rPr>
      </w:pPr>
      <w:r w:rsidRPr="00FD385A">
        <w:rPr>
          <w:sz w:val="24"/>
        </w:rPr>
        <w:tab/>
      </w:r>
    </w:p>
    <w:p w:rsidR="00BD15EF" w:rsidRPr="00FD385A" w:rsidRDefault="009B04A5" w:rsidP="00EC6C6E">
      <w:pPr>
        <w:pStyle w:val="ListParagraph"/>
        <w:numPr>
          <w:ilvl w:val="0"/>
          <w:numId w:val="2"/>
        </w:numPr>
        <w:ind w:right="1080"/>
        <w:rPr>
          <w:sz w:val="24"/>
        </w:rPr>
      </w:pPr>
      <w:r w:rsidRPr="00FD385A">
        <w:rPr>
          <w:sz w:val="24"/>
        </w:rPr>
        <w:t xml:space="preserve">Peoples TWP Statement No. 2-S, Supplemental Testimony of Robert M. Hovanec with Attachment </w:t>
      </w:r>
      <w:r w:rsidR="0065100D" w:rsidRPr="00FD385A">
        <w:rPr>
          <w:sz w:val="24"/>
        </w:rPr>
        <w:t xml:space="preserve"> 1.</w:t>
      </w:r>
    </w:p>
    <w:p w:rsidR="00BD15EF" w:rsidRPr="00FD385A" w:rsidRDefault="00BD15EF" w:rsidP="00EC6C6E">
      <w:pPr>
        <w:pStyle w:val="ListParagraph"/>
        <w:ind w:right="1080"/>
        <w:rPr>
          <w:sz w:val="24"/>
        </w:rPr>
      </w:pPr>
    </w:p>
    <w:p w:rsidR="006B29D9" w:rsidRPr="00FD385A" w:rsidRDefault="0065100D" w:rsidP="00EC6C6E">
      <w:pPr>
        <w:rPr>
          <w:sz w:val="24"/>
        </w:rPr>
      </w:pPr>
      <w:r w:rsidRPr="00FD385A">
        <w:rPr>
          <w:sz w:val="24"/>
        </w:rPr>
        <w:t>There being no objections, Peoples TWP’s exhibits were admitted into the record.  Tr. 27-29.</w:t>
      </w:r>
    </w:p>
    <w:p w:rsidR="0065100D" w:rsidRPr="00FD385A" w:rsidRDefault="0065100D" w:rsidP="00EC6C6E">
      <w:pPr>
        <w:spacing w:line="360" w:lineRule="auto"/>
        <w:rPr>
          <w:sz w:val="24"/>
        </w:rPr>
      </w:pPr>
    </w:p>
    <w:p w:rsidR="000C7A88" w:rsidRPr="00FD385A" w:rsidRDefault="0065100D" w:rsidP="00EC6C6E">
      <w:pPr>
        <w:spacing w:line="360" w:lineRule="auto"/>
        <w:rPr>
          <w:sz w:val="24"/>
        </w:rPr>
      </w:pPr>
      <w:r w:rsidRPr="00FD385A">
        <w:rPr>
          <w:sz w:val="24"/>
        </w:rPr>
        <w:tab/>
      </w:r>
      <w:r w:rsidRPr="00FD385A">
        <w:rPr>
          <w:sz w:val="24"/>
        </w:rPr>
        <w:tab/>
      </w:r>
      <w:r w:rsidR="001F3408" w:rsidRPr="00FD385A">
        <w:rPr>
          <w:sz w:val="24"/>
        </w:rPr>
        <w:t>Counsel for OCA offered as an exhibit</w:t>
      </w:r>
      <w:r w:rsidR="002760C9" w:rsidRPr="00FD385A">
        <w:rPr>
          <w:sz w:val="24"/>
        </w:rPr>
        <w:t xml:space="preserve"> OCA’s Statement No. 1,</w:t>
      </w:r>
      <w:r w:rsidR="001F3408" w:rsidRPr="00FD385A">
        <w:rPr>
          <w:sz w:val="24"/>
        </w:rPr>
        <w:t xml:space="preserve"> the Direct Testimony of Jerome D. Mierzwa to which Schedule JDM-1 was attached.  </w:t>
      </w:r>
      <w:r w:rsidR="00A1550F" w:rsidRPr="00FD385A">
        <w:rPr>
          <w:sz w:val="24"/>
        </w:rPr>
        <w:t>V</w:t>
      </w:r>
      <w:r w:rsidR="000C7A88" w:rsidRPr="00FD385A">
        <w:rPr>
          <w:sz w:val="24"/>
        </w:rPr>
        <w:t xml:space="preserve">erification </w:t>
      </w:r>
      <w:r w:rsidR="00A1550F" w:rsidRPr="00FD385A">
        <w:rPr>
          <w:sz w:val="24"/>
        </w:rPr>
        <w:t xml:space="preserve">was not </w:t>
      </w:r>
      <w:r w:rsidR="000C7A88" w:rsidRPr="00FD385A">
        <w:rPr>
          <w:sz w:val="24"/>
        </w:rPr>
        <w:t xml:space="preserve">attached to OCA’s </w:t>
      </w:r>
      <w:r w:rsidR="00AD13E9" w:rsidRPr="00FD385A">
        <w:rPr>
          <w:sz w:val="24"/>
        </w:rPr>
        <w:t>Statement No. 1</w:t>
      </w:r>
      <w:r w:rsidR="000C7A88" w:rsidRPr="00FD385A">
        <w:rPr>
          <w:sz w:val="24"/>
        </w:rPr>
        <w:t xml:space="preserve">. </w:t>
      </w:r>
      <w:r w:rsidR="00AD13E9" w:rsidRPr="00FD385A">
        <w:rPr>
          <w:sz w:val="24"/>
        </w:rPr>
        <w:t xml:space="preserve"> </w:t>
      </w:r>
      <w:r w:rsidR="000C7A88" w:rsidRPr="00FD385A">
        <w:rPr>
          <w:sz w:val="24"/>
        </w:rPr>
        <w:t xml:space="preserve">OCA requested leave to file a verification or affidavit for the testimony after the close of the hearing. </w:t>
      </w:r>
      <w:r w:rsidR="009C45D8" w:rsidRPr="00FD385A">
        <w:rPr>
          <w:sz w:val="24"/>
        </w:rPr>
        <w:t xml:space="preserve"> </w:t>
      </w:r>
      <w:r w:rsidR="001F3408" w:rsidRPr="00FD385A">
        <w:rPr>
          <w:sz w:val="24"/>
        </w:rPr>
        <w:t>There being no objection, OCA’s exhibit was admitted into the record</w:t>
      </w:r>
      <w:r w:rsidR="000C7A88" w:rsidRPr="00FD385A">
        <w:rPr>
          <w:sz w:val="24"/>
        </w:rPr>
        <w:t xml:space="preserve"> and leave was granted for OCA to file the verification after the hearing</w:t>
      </w:r>
      <w:r w:rsidR="001F3408" w:rsidRPr="00FD385A">
        <w:rPr>
          <w:sz w:val="24"/>
        </w:rPr>
        <w:t>.</w:t>
      </w:r>
      <w:r w:rsidR="00AD13E9" w:rsidRPr="00FD385A">
        <w:rPr>
          <w:rStyle w:val="FootnoteReference"/>
          <w:sz w:val="24"/>
        </w:rPr>
        <w:footnoteReference w:id="2"/>
      </w:r>
      <w:r w:rsidR="001F3408" w:rsidRPr="00FD385A">
        <w:rPr>
          <w:sz w:val="24"/>
        </w:rPr>
        <w:t xml:space="preserve">  Tr. 31.  I&amp;E did not offer any testimony or exhibits </w:t>
      </w:r>
      <w:r w:rsidR="000C7A88" w:rsidRPr="00FD385A">
        <w:rPr>
          <w:sz w:val="24"/>
        </w:rPr>
        <w:t xml:space="preserve">for admission </w:t>
      </w:r>
      <w:r w:rsidR="001F3408" w:rsidRPr="00FD385A">
        <w:rPr>
          <w:sz w:val="24"/>
        </w:rPr>
        <w:t>into the record.</w:t>
      </w:r>
      <w:r w:rsidR="000C7A88" w:rsidRPr="00FD385A">
        <w:rPr>
          <w:sz w:val="24"/>
        </w:rPr>
        <w:t xml:space="preserve">  Tr. 29-30.</w:t>
      </w:r>
    </w:p>
    <w:p w:rsidR="000C7A88" w:rsidRPr="00FD385A" w:rsidRDefault="000C7A88" w:rsidP="00EC6C6E">
      <w:pPr>
        <w:spacing w:line="360" w:lineRule="auto"/>
        <w:rPr>
          <w:sz w:val="24"/>
        </w:rPr>
      </w:pPr>
    </w:p>
    <w:p w:rsidR="000B186E" w:rsidRPr="00FD385A" w:rsidRDefault="000C7A88" w:rsidP="00EC6C6E">
      <w:pPr>
        <w:spacing w:line="360" w:lineRule="auto"/>
        <w:rPr>
          <w:sz w:val="24"/>
        </w:rPr>
      </w:pPr>
      <w:r w:rsidRPr="00FD385A">
        <w:rPr>
          <w:sz w:val="24"/>
        </w:rPr>
        <w:tab/>
      </w:r>
      <w:r w:rsidRPr="00FD385A">
        <w:rPr>
          <w:sz w:val="24"/>
        </w:rPr>
        <w:tab/>
      </w:r>
      <w:r w:rsidR="00C6613E" w:rsidRPr="00FD385A">
        <w:rPr>
          <w:sz w:val="24"/>
        </w:rPr>
        <w:t>On March 5, 2012, counsel for OSBA served the Presiding ALJ and c</w:t>
      </w:r>
      <w:r w:rsidRPr="00FD385A">
        <w:rPr>
          <w:sz w:val="24"/>
        </w:rPr>
        <w:t xml:space="preserve">ounsel for </w:t>
      </w:r>
      <w:r w:rsidR="009C45D8" w:rsidRPr="00FD385A">
        <w:rPr>
          <w:sz w:val="24"/>
        </w:rPr>
        <w:t>Peoples TWP, I&amp;E and OCA with OSBA’s Statement No. 1</w:t>
      </w:r>
      <w:r w:rsidR="001250D5" w:rsidRPr="00FD385A">
        <w:rPr>
          <w:sz w:val="24"/>
        </w:rPr>
        <w:t xml:space="preserve">, Direct Testimony and Exhibits of Robert </w:t>
      </w:r>
      <w:r w:rsidR="00C6613E" w:rsidRPr="00FD385A">
        <w:rPr>
          <w:sz w:val="24"/>
        </w:rPr>
        <w:t>D</w:t>
      </w:r>
      <w:r w:rsidR="001250D5" w:rsidRPr="00FD385A">
        <w:rPr>
          <w:sz w:val="24"/>
        </w:rPr>
        <w:t>. Knecht</w:t>
      </w:r>
      <w:r w:rsidR="00C6613E" w:rsidRPr="00FD385A">
        <w:rPr>
          <w:sz w:val="24"/>
        </w:rPr>
        <w:t>.  However, verification was not attached to O</w:t>
      </w:r>
      <w:r w:rsidR="000B186E" w:rsidRPr="00FD385A">
        <w:rPr>
          <w:sz w:val="24"/>
        </w:rPr>
        <w:t>S</w:t>
      </w:r>
      <w:r w:rsidR="00C6613E" w:rsidRPr="00FD385A">
        <w:rPr>
          <w:sz w:val="24"/>
        </w:rPr>
        <w:t xml:space="preserve">BA’s Statement No. 1.  </w:t>
      </w:r>
      <w:r w:rsidR="00373D9A" w:rsidRPr="00FD385A">
        <w:rPr>
          <w:sz w:val="24"/>
        </w:rPr>
        <w:t xml:space="preserve">Two copies of OSBA’s Statement No. 1 were provided to the court reporter for attachment to the transcript of the April 5, 2012 hearing. </w:t>
      </w:r>
      <w:r w:rsidR="00AC10E0">
        <w:rPr>
          <w:sz w:val="24"/>
        </w:rPr>
        <w:t xml:space="preserve"> </w:t>
      </w:r>
      <w:r w:rsidR="00373D9A" w:rsidRPr="00FD385A">
        <w:rPr>
          <w:sz w:val="24"/>
        </w:rPr>
        <w:t xml:space="preserve">Tr. 24.  </w:t>
      </w:r>
      <w:r w:rsidR="00C6613E" w:rsidRPr="00FD385A">
        <w:rPr>
          <w:sz w:val="24"/>
        </w:rPr>
        <w:t xml:space="preserve">The Presiding Officer inquired as to whether </w:t>
      </w:r>
      <w:r w:rsidR="00373D9A" w:rsidRPr="00FD385A">
        <w:rPr>
          <w:sz w:val="24"/>
        </w:rPr>
        <w:t>there was any objection to the admission of OSBA’s Statement No. 1 and verification</w:t>
      </w:r>
      <w:r w:rsidR="00F2337E" w:rsidRPr="00FD385A">
        <w:rPr>
          <w:sz w:val="24"/>
        </w:rPr>
        <w:t xml:space="preserve"> into the record</w:t>
      </w:r>
      <w:r w:rsidR="00373D9A" w:rsidRPr="00FD385A">
        <w:rPr>
          <w:sz w:val="24"/>
        </w:rPr>
        <w:t>, in the event OSBA offer</w:t>
      </w:r>
      <w:r w:rsidR="00F2337E" w:rsidRPr="00FD385A">
        <w:rPr>
          <w:sz w:val="24"/>
        </w:rPr>
        <w:t>ed to move</w:t>
      </w:r>
      <w:r w:rsidR="00373D9A" w:rsidRPr="00FD385A">
        <w:rPr>
          <w:sz w:val="24"/>
        </w:rPr>
        <w:t xml:space="preserve"> said documents into the record at a later time. </w:t>
      </w:r>
      <w:r w:rsidR="00AC10E0">
        <w:rPr>
          <w:sz w:val="24"/>
        </w:rPr>
        <w:t xml:space="preserve"> </w:t>
      </w:r>
      <w:r w:rsidR="00373D9A" w:rsidRPr="00FD385A">
        <w:rPr>
          <w:sz w:val="24"/>
        </w:rPr>
        <w:t xml:space="preserve">Tr. 23, 32-33.  </w:t>
      </w:r>
      <w:r w:rsidR="00144636" w:rsidRPr="00FD385A">
        <w:rPr>
          <w:sz w:val="24"/>
        </w:rPr>
        <w:t>If there was no objection,</w:t>
      </w:r>
      <w:r w:rsidR="00F5564F" w:rsidRPr="00FD385A">
        <w:rPr>
          <w:sz w:val="24"/>
        </w:rPr>
        <w:t xml:space="preserve"> </w:t>
      </w:r>
      <w:r w:rsidR="00144636" w:rsidRPr="00FD385A">
        <w:rPr>
          <w:sz w:val="24"/>
        </w:rPr>
        <w:t xml:space="preserve">OSBA’s Statement No. 1 and supporting verification would be admitted into the record upon motion of OSBA. </w:t>
      </w:r>
      <w:r w:rsidR="000B186E" w:rsidRPr="00FD385A">
        <w:rPr>
          <w:sz w:val="24"/>
        </w:rPr>
        <w:t xml:space="preserve"> </w:t>
      </w:r>
      <w:r w:rsidR="00144636" w:rsidRPr="00FD385A">
        <w:rPr>
          <w:sz w:val="24"/>
        </w:rPr>
        <w:t>Tr. 32-33.  Counsel for Peoples TWP, I</w:t>
      </w:r>
      <w:r w:rsidR="000B186E" w:rsidRPr="00FD385A">
        <w:rPr>
          <w:sz w:val="24"/>
        </w:rPr>
        <w:t xml:space="preserve">&amp;E and OCA did not </w:t>
      </w:r>
      <w:r w:rsidR="00373D9A" w:rsidRPr="00FD385A">
        <w:rPr>
          <w:sz w:val="24"/>
        </w:rPr>
        <w:t>object</w:t>
      </w:r>
      <w:r w:rsidR="000B186E" w:rsidRPr="00FD385A">
        <w:rPr>
          <w:sz w:val="24"/>
        </w:rPr>
        <w:t xml:space="preserve"> to the admission of OSBA’s submission subsequent to the hearing.</w:t>
      </w:r>
    </w:p>
    <w:p w:rsidR="000B186E" w:rsidRPr="00FD385A" w:rsidRDefault="000B186E" w:rsidP="00EC6C6E">
      <w:pPr>
        <w:spacing w:line="360" w:lineRule="auto"/>
        <w:rPr>
          <w:sz w:val="24"/>
        </w:rPr>
      </w:pPr>
    </w:p>
    <w:p w:rsidR="000B186E" w:rsidRPr="00FD385A" w:rsidRDefault="000B186E" w:rsidP="00EC6C6E">
      <w:pPr>
        <w:spacing w:line="360" w:lineRule="auto"/>
        <w:rPr>
          <w:sz w:val="24"/>
          <w:u w:val="single"/>
        </w:rPr>
      </w:pPr>
      <w:r w:rsidRPr="00FD385A">
        <w:rPr>
          <w:sz w:val="24"/>
          <w:u w:val="single"/>
        </w:rPr>
        <w:t>OSBA’s Motion</w:t>
      </w:r>
    </w:p>
    <w:p w:rsidR="000B186E" w:rsidRPr="00FD385A" w:rsidRDefault="000B186E" w:rsidP="00EC6C6E">
      <w:pPr>
        <w:spacing w:line="360" w:lineRule="auto"/>
        <w:rPr>
          <w:sz w:val="24"/>
        </w:rPr>
      </w:pPr>
    </w:p>
    <w:p w:rsidR="00EC6C6E" w:rsidRPr="00FD385A" w:rsidRDefault="000B186E" w:rsidP="00EC6C6E">
      <w:pPr>
        <w:spacing w:line="360" w:lineRule="auto"/>
        <w:rPr>
          <w:sz w:val="24"/>
        </w:rPr>
      </w:pPr>
      <w:r w:rsidRPr="00FD385A">
        <w:rPr>
          <w:sz w:val="24"/>
        </w:rPr>
        <w:tab/>
      </w:r>
      <w:r w:rsidRPr="00FD385A">
        <w:rPr>
          <w:sz w:val="24"/>
        </w:rPr>
        <w:tab/>
      </w:r>
      <w:r w:rsidR="0029320E" w:rsidRPr="00FD385A">
        <w:rPr>
          <w:sz w:val="24"/>
        </w:rPr>
        <w:t xml:space="preserve">On March 6, 2012, the Presiding ALJ received from counsel for OSBA correspondence dated </w:t>
      </w:r>
      <w:r w:rsidR="009C45D8" w:rsidRPr="00FD385A">
        <w:rPr>
          <w:sz w:val="24"/>
        </w:rPr>
        <w:t xml:space="preserve">March </w:t>
      </w:r>
      <w:r w:rsidRPr="00FD385A">
        <w:rPr>
          <w:sz w:val="24"/>
        </w:rPr>
        <w:t>5</w:t>
      </w:r>
      <w:r w:rsidR="009C45D8" w:rsidRPr="00FD385A">
        <w:rPr>
          <w:sz w:val="24"/>
        </w:rPr>
        <w:t>, 2012</w:t>
      </w:r>
      <w:r w:rsidRPr="00FD385A">
        <w:rPr>
          <w:sz w:val="24"/>
        </w:rPr>
        <w:t xml:space="preserve">, </w:t>
      </w:r>
      <w:r w:rsidR="0029320E" w:rsidRPr="00FD385A">
        <w:rPr>
          <w:sz w:val="24"/>
        </w:rPr>
        <w:t xml:space="preserve">that included two copies of the Direct Testimony and Exhibits of Robert D. Knecht along with his verification. </w:t>
      </w:r>
      <w:r w:rsidR="00AC10E0">
        <w:rPr>
          <w:sz w:val="24"/>
        </w:rPr>
        <w:t xml:space="preserve"> </w:t>
      </w:r>
      <w:r w:rsidR="0029320E" w:rsidRPr="00FD385A">
        <w:rPr>
          <w:sz w:val="24"/>
        </w:rPr>
        <w:t>C</w:t>
      </w:r>
      <w:r w:rsidRPr="00FD385A">
        <w:rPr>
          <w:sz w:val="24"/>
        </w:rPr>
        <w:t>ounsel for OSBA</w:t>
      </w:r>
      <w:r w:rsidR="0029320E" w:rsidRPr="00FD385A">
        <w:rPr>
          <w:sz w:val="24"/>
        </w:rPr>
        <w:t xml:space="preserve"> requested admission of the documents into the record.  A copy of the March 5, 2012 correspondence</w:t>
      </w:r>
      <w:r w:rsidR="00A1550F" w:rsidRPr="00FD385A">
        <w:rPr>
          <w:sz w:val="24"/>
        </w:rPr>
        <w:t xml:space="preserve">, </w:t>
      </w:r>
    </w:p>
    <w:p w:rsidR="00EC6C6E" w:rsidRPr="00FD385A" w:rsidRDefault="00EC6C6E">
      <w:pPr>
        <w:spacing w:after="200" w:line="276" w:lineRule="auto"/>
        <w:rPr>
          <w:sz w:val="24"/>
        </w:rPr>
      </w:pPr>
    </w:p>
    <w:p w:rsidR="0029320E" w:rsidRPr="00FD385A" w:rsidRDefault="00A1550F" w:rsidP="00EC6C6E">
      <w:pPr>
        <w:spacing w:line="360" w:lineRule="auto"/>
        <w:rPr>
          <w:sz w:val="24"/>
        </w:rPr>
      </w:pPr>
      <w:r w:rsidRPr="00FD385A">
        <w:rPr>
          <w:sz w:val="24"/>
        </w:rPr>
        <w:lastRenderedPageBreak/>
        <w:t>which includes Mr. Knecht’s verification,</w:t>
      </w:r>
      <w:r w:rsidR="0029320E" w:rsidRPr="00FD385A">
        <w:rPr>
          <w:sz w:val="24"/>
        </w:rPr>
        <w:t xml:space="preserve"> is attached hereto as ATTACHMENT A</w:t>
      </w:r>
      <w:r w:rsidR="00F5564F" w:rsidRPr="00FD385A">
        <w:rPr>
          <w:sz w:val="24"/>
        </w:rPr>
        <w:t>.</w:t>
      </w:r>
      <w:r w:rsidR="0029320E" w:rsidRPr="00FD385A">
        <w:rPr>
          <w:sz w:val="24"/>
        </w:rPr>
        <w:t xml:space="preserve">  </w:t>
      </w:r>
      <w:r w:rsidR="0069154B" w:rsidRPr="00FD385A">
        <w:rPr>
          <w:sz w:val="24"/>
        </w:rPr>
        <w:t xml:space="preserve"> </w:t>
      </w:r>
      <w:r w:rsidR="0029320E" w:rsidRPr="00FD385A">
        <w:rPr>
          <w:sz w:val="24"/>
        </w:rPr>
        <w:t>For the purposes of this order the request is treated as a motion.</w:t>
      </w:r>
      <w:r w:rsidR="0029320E" w:rsidRPr="00FD385A">
        <w:rPr>
          <w:rStyle w:val="FootnoteReference"/>
          <w:sz w:val="24"/>
        </w:rPr>
        <w:footnoteReference w:id="3"/>
      </w:r>
    </w:p>
    <w:p w:rsidR="00F2337E" w:rsidRPr="00FD385A" w:rsidRDefault="00F2337E" w:rsidP="00EC6C6E">
      <w:pPr>
        <w:spacing w:line="360" w:lineRule="auto"/>
        <w:rPr>
          <w:sz w:val="24"/>
        </w:rPr>
      </w:pPr>
    </w:p>
    <w:p w:rsidR="0029320E" w:rsidRPr="00FD385A" w:rsidRDefault="0069154B" w:rsidP="00EC6C6E">
      <w:pPr>
        <w:spacing w:line="360" w:lineRule="auto"/>
        <w:rPr>
          <w:sz w:val="24"/>
        </w:rPr>
      </w:pPr>
      <w:r w:rsidRPr="00FD385A">
        <w:rPr>
          <w:sz w:val="24"/>
        </w:rPr>
        <w:tab/>
      </w:r>
      <w:r w:rsidRPr="00FD385A">
        <w:rPr>
          <w:sz w:val="24"/>
        </w:rPr>
        <w:tab/>
        <w:t>As above mentioned, there was no objection from counsel for the other parties to the admission of OSBA’s Direct Testimony and Exhibits of Robert D. Knecht along with his verification</w:t>
      </w:r>
      <w:r w:rsidR="00487068" w:rsidRPr="00FD385A">
        <w:rPr>
          <w:sz w:val="24"/>
        </w:rPr>
        <w:t xml:space="preserve"> at a later date.  Accordingly, O</w:t>
      </w:r>
      <w:r w:rsidR="00AC10E0">
        <w:rPr>
          <w:sz w:val="24"/>
        </w:rPr>
        <w:t>S</w:t>
      </w:r>
      <w:r w:rsidR="00487068" w:rsidRPr="00FD385A">
        <w:rPr>
          <w:sz w:val="24"/>
        </w:rPr>
        <w:t>BA’s motion is granted in the ordering paragraphs below.</w:t>
      </w:r>
    </w:p>
    <w:p w:rsidR="00EC6C6E" w:rsidRPr="00FD385A" w:rsidRDefault="00EC6C6E" w:rsidP="00EC6C6E">
      <w:pPr>
        <w:spacing w:line="360" w:lineRule="auto"/>
        <w:rPr>
          <w:sz w:val="24"/>
        </w:rPr>
      </w:pPr>
    </w:p>
    <w:p w:rsidR="00487068" w:rsidRPr="00FD385A" w:rsidRDefault="00487068" w:rsidP="00EC6C6E">
      <w:pPr>
        <w:spacing w:line="360" w:lineRule="auto"/>
        <w:ind w:left="720" w:firstLine="720"/>
        <w:rPr>
          <w:sz w:val="24"/>
          <w:szCs w:val="24"/>
        </w:rPr>
      </w:pPr>
      <w:r w:rsidRPr="00FD385A">
        <w:rPr>
          <w:sz w:val="24"/>
          <w:szCs w:val="24"/>
        </w:rPr>
        <w:t xml:space="preserve">THEREFORE, </w:t>
      </w:r>
    </w:p>
    <w:p w:rsidR="00487068" w:rsidRPr="00FD385A" w:rsidRDefault="00487068" w:rsidP="00EC6C6E">
      <w:pPr>
        <w:spacing w:line="360" w:lineRule="auto"/>
        <w:ind w:left="720" w:firstLine="720"/>
        <w:rPr>
          <w:sz w:val="24"/>
          <w:szCs w:val="24"/>
        </w:rPr>
      </w:pPr>
    </w:p>
    <w:p w:rsidR="00487068" w:rsidRPr="00FD385A" w:rsidRDefault="00487068" w:rsidP="00EC6C6E">
      <w:pPr>
        <w:spacing w:line="360" w:lineRule="auto"/>
        <w:ind w:left="720" w:firstLine="720"/>
        <w:rPr>
          <w:sz w:val="24"/>
          <w:szCs w:val="24"/>
        </w:rPr>
      </w:pPr>
      <w:r w:rsidRPr="00FD385A">
        <w:rPr>
          <w:sz w:val="24"/>
          <w:szCs w:val="24"/>
        </w:rPr>
        <w:t>IT IS HEREBY ORDERED:</w:t>
      </w:r>
    </w:p>
    <w:p w:rsidR="00487068" w:rsidRPr="00FD385A" w:rsidRDefault="00487068" w:rsidP="00EC6C6E">
      <w:pPr>
        <w:spacing w:line="360" w:lineRule="auto"/>
        <w:rPr>
          <w:sz w:val="24"/>
          <w:szCs w:val="24"/>
        </w:rPr>
      </w:pPr>
    </w:p>
    <w:p w:rsidR="00487068" w:rsidRPr="00FD385A" w:rsidRDefault="00487068" w:rsidP="00EC6C6E">
      <w:pPr>
        <w:spacing w:line="360" w:lineRule="auto"/>
        <w:ind w:firstLine="1440"/>
        <w:rPr>
          <w:sz w:val="24"/>
          <w:szCs w:val="24"/>
        </w:rPr>
      </w:pPr>
      <w:r w:rsidRPr="00FD385A">
        <w:rPr>
          <w:sz w:val="24"/>
          <w:szCs w:val="24"/>
        </w:rPr>
        <w:t>1.</w:t>
      </w:r>
      <w:r w:rsidRPr="00FD385A">
        <w:rPr>
          <w:sz w:val="24"/>
          <w:szCs w:val="24"/>
        </w:rPr>
        <w:tab/>
        <w:t xml:space="preserve">That the Motion of the Office of Small Business Advocate to admit into the record the </w:t>
      </w:r>
      <w:r w:rsidRPr="00FD385A">
        <w:rPr>
          <w:sz w:val="24"/>
        </w:rPr>
        <w:t xml:space="preserve">Direct Testimony and Exhibits of Robert D. Knecht served </w:t>
      </w:r>
      <w:r w:rsidR="00917221" w:rsidRPr="00FD385A">
        <w:rPr>
          <w:sz w:val="24"/>
        </w:rPr>
        <w:t xml:space="preserve">upon the parties </w:t>
      </w:r>
      <w:r w:rsidRPr="00FD385A">
        <w:rPr>
          <w:sz w:val="24"/>
        </w:rPr>
        <w:t>on March 5, 2012 and his Verification</w:t>
      </w:r>
      <w:r w:rsidRPr="00FD385A">
        <w:rPr>
          <w:sz w:val="24"/>
          <w:szCs w:val="24"/>
        </w:rPr>
        <w:t xml:space="preserve"> </w:t>
      </w:r>
      <w:r w:rsidR="00917221" w:rsidRPr="00FD385A">
        <w:rPr>
          <w:sz w:val="24"/>
          <w:szCs w:val="24"/>
        </w:rPr>
        <w:t xml:space="preserve">served upon the parties on April 5, 2012, </w:t>
      </w:r>
      <w:r w:rsidRPr="00FD385A">
        <w:rPr>
          <w:sz w:val="24"/>
          <w:szCs w:val="24"/>
        </w:rPr>
        <w:t xml:space="preserve">is granted. </w:t>
      </w:r>
    </w:p>
    <w:p w:rsidR="00487068" w:rsidRPr="00FD385A" w:rsidRDefault="00487068" w:rsidP="00EC6C6E">
      <w:pPr>
        <w:spacing w:line="360" w:lineRule="auto"/>
        <w:ind w:firstLine="720"/>
        <w:rPr>
          <w:sz w:val="24"/>
          <w:szCs w:val="24"/>
        </w:rPr>
      </w:pPr>
    </w:p>
    <w:p w:rsidR="00487068" w:rsidRPr="00FD385A" w:rsidRDefault="00487068" w:rsidP="00EC6C6E">
      <w:pPr>
        <w:spacing w:line="360" w:lineRule="auto"/>
        <w:ind w:firstLine="1440"/>
        <w:rPr>
          <w:sz w:val="24"/>
          <w:szCs w:val="24"/>
        </w:rPr>
      </w:pPr>
      <w:r w:rsidRPr="00FD385A">
        <w:rPr>
          <w:sz w:val="24"/>
          <w:szCs w:val="24"/>
        </w:rPr>
        <w:t>2.</w:t>
      </w:r>
      <w:r w:rsidRPr="00FD385A">
        <w:rPr>
          <w:sz w:val="24"/>
          <w:szCs w:val="24"/>
        </w:rPr>
        <w:tab/>
        <w:t xml:space="preserve">That the </w:t>
      </w:r>
      <w:r w:rsidRPr="00FD385A">
        <w:rPr>
          <w:sz w:val="24"/>
        </w:rPr>
        <w:t xml:space="preserve">Direct Testimony and Exhibits of Robert D. Knecht served on March 5, 2012 and his </w:t>
      </w:r>
      <w:r w:rsidR="00917221" w:rsidRPr="00FD385A">
        <w:rPr>
          <w:sz w:val="24"/>
        </w:rPr>
        <w:t xml:space="preserve">Verification served on </w:t>
      </w:r>
      <w:r w:rsidRPr="00FD385A">
        <w:rPr>
          <w:sz w:val="24"/>
        </w:rPr>
        <w:t xml:space="preserve">April 5, 2012 </w:t>
      </w:r>
      <w:r w:rsidRPr="00FD385A">
        <w:rPr>
          <w:sz w:val="24"/>
          <w:szCs w:val="24"/>
        </w:rPr>
        <w:t xml:space="preserve">are admitted into the record.    </w:t>
      </w:r>
    </w:p>
    <w:p w:rsidR="00487068" w:rsidRPr="00FD385A" w:rsidRDefault="00487068" w:rsidP="00EC6C6E">
      <w:pPr>
        <w:spacing w:line="360" w:lineRule="auto"/>
        <w:ind w:firstLine="720"/>
        <w:rPr>
          <w:sz w:val="24"/>
          <w:szCs w:val="24"/>
        </w:rPr>
      </w:pPr>
    </w:p>
    <w:p w:rsidR="00A1550F" w:rsidRPr="00FD385A" w:rsidRDefault="00487068" w:rsidP="00EC6C6E">
      <w:pPr>
        <w:spacing w:line="360" w:lineRule="auto"/>
        <w:ind w:firstLine="1440"/>
        <w:rPr>
          <w:sz w:val="24"/>
        </w:rPr>
      </w:pPr>
      <w:r w:rsidRPr="00FD385A">
        <w:rPr>
          <w:sz w:val="24"/>
          <w:szCs w:val="24"/>
        </w:rPr>
        <w:t>3.</w:t>
      </w:r>
      <w:r w:rsidRPr="00FD385A">
        <w:rPr>
          <w:sz w:val="24"/>
          <w:szCs w:val="24"/>
        </w:rPr>
        <w:tab/>
        <w:t xml:space="preserve">That the </w:t>
      </w:r>
      <w:r w:rsidRPr="00FD385A">
        <w:rPr>
          <w:sz w:val="24"/>
        </w:rPr>
        <w:t>Commission’s Secretary’s Bureau shall file the with</w:t>
      </w:r>
      <w:r w:rsidR="00F5564F" w:rsidRPr="00FD385A">
        <w:rPr>
          <w:sz w:val="24"/>
        </w:rPr>
        <w:t>in</w:t>
      </w:r>
      <w:r w:rsidRPr="00FD385A">
        <w:rPr>
          <w:sz w:val="24"/>
        </w:rPr>
        <w:t xml:space="preserve"> order along with</w:t>
      </w:r>
      <w:r w:rsidR="00F5564F" w:rsidRPr="00FD385A">
        <w:rPr>
          <w:sz w:val="24"/>
        </w:rPr>
        <w:t xml:space="preserve"> two copies of the Direct Testimony and Exhibits of Robert D. Knecht</w:t>
      </w:r>
      <w:r w:rsidR="00917221" w:rsidRPr="00FD385A">
        <w:rPr>
          <w:sz w:val="24"/>
        </w:rPr>
        <w:t xml:space="preserve"> atta</w:t>
      </w:r>
      <w:r w:rsidR="00A1550F" w:rsidRPr="00FD385A">
        <w:rPr>
          <w:sz w:val="24"/>
        </w:rPr>
        <w:t>ched hereto.</w:t>
      </w:r>
    </w:p>
    <w:p w:rsidR="00277A9E" w:rsidRPr="00FD385A" w:rsidRDefault="00277A9E" w:rsidP="003B507F">
      <w:pPr>
        <w:rPr>
          <w:sz w:val="24"/>
        </w:rPr>
      </w:pPr>
    </w:p>
    <w:p w:rsidR="00277A9E" w:rsidRPr="00FD385A" w:rsidRDefault="00277A9E" w:rsidP="003B507F">
      <w:pPr>
        <w:rPr>
          <w:sz w:val="24"/>
        </w:rPr>
      </w:pPr>
    </w:p>
    <w:p w:rsidR="006B29D9" w:rsidRPr="00FD385A" w:rsidRDefault="006B29D9" w:rsidP="006B29D9">
      <w:pPr>
        <w:tabs>
          <w:tab w:val="left" w:pos="-720"/>
        </w:tabs>
        <w:suppressAutoHyphens/>
        <w:autoSpaceDE w:val="0"/>
        <w:autoSpaceDN w:val="0"/>
        <w:spacing w:line="360" w:lineRule="auto"/>
        <w:ind w:firstLine="1440"/>
        <w:rPr>
          <w:spacing w:val="-3"/>
          <w:sz w:val="24"/>
          <w:szCs w:val="24"/>
        </w:rPr>
      </w:pPr>
      <w:r w:rsidRPr="00FD385A">
        <w:rPr>
          <w:noProof/>
        </w:rPr>
        <w:drawing>
          <wp:anchor distT="0" distB="0" distL="114300" distR="114300" simplePos="0" relativeHeight="251659264" behindDoc="1" locked="0" layoutInCell="1" allowOverlap="1" wp14:anchorId="09E22A4A" wp14:editId="447D0637">
            <wp:simplePos x="0" y="0"/>
            <wp:positionH relativeFrom="column">
              <wp:posOffset>2838450</wp:posOffset>
            </wp:positionH>
            <wp:positionV relativeFrom="paragraph">
              <wp:posOffset>9525</wp:posOffset>
            </wp:positionV>
            <wp:extent cx="2438400" cy="1057275"/>
            <wp:effectExtent l="0" t="0" r="0" b="9525"/>
            <wp:wrapNone/>
            <wp:docPr id="1" name="Picture 1" descr="Description: CA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AJ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9D9" w:rsidRPr="00155204" w:rsidRDefault="006B29D9" w:rsidP="006B29D9">
      <w:pPr>
        <w:tabs>
          <w:tab w:val="left" w:pos="-720"/>
        </w:tabs>
        <w:suppressAutoHyphens/>
        <w:autoSpaceDE w:val="0"/>
        <w:autoSpaceDN w:val="0"/>
        <w:rPr>
          <w:spacing w:val="-3"/>
          <w:sz w:val="24"/>
          <w:szCs w:val="24"/>
        </w:rPr>
      </w:pPr>
      <w:r w:rsidRPr="00155204">
        <w:rPr>
          <w:spacing w:val="-3"/>
          <w:sz w:val="24"/>
          <w:szCs w:val="24"/>
        </w:rPr>
        <w:t>Date:</w:t>
      </w:r>
      <w:r w:rsidRPr="00155204">
        <w:rPr>
          <w:spacing w:val="-3"/>
          <w:sz w:val="24"/>
          <w:szCs w:val="24"/>
        </w:rPr>
        <w:tab/>
      </w:r>
      <w:r w:rsidR="00A1550F" w:rsidRPr="00A1550F">
        <w:rPr>
          <w:spacing w:val="-3"/>
          <w:sz w:val="24"/>
          <w:szCs w:val="24"/>
          <w:u w:val="single"/>
        </w:rPr>
        <w:t xml:space="preserve">May </w:t>
      </w:r>
      <w:r w:rsidRPr="00A1550F">
        <w:rPr>
          <w:spacing w:val="-3"/>
          <w:sz w:val="24"/>
          <w:szCs w:val="24"/>
          <w:u w:val="single"/>
        </w:rPr>
        <w:t>1</w:t>
      </w:r>
      <w:r w:rsidR="00A1550F" w:rsidRPr="00A1550F">
        <w:rPr>
          <w:spacing w:val="-3"/>
          <w:sz w:val="24"/>
          <w:szCs w:val="24"/>
          <w:u w:val="single"/>
        </w:rPr>
        <w:t>7</w:t>
      </w:r>
      <w:r w:rsidRPr="00155204">
        <w:rPr>
          <w:spacing w:val="-3"/>
          <w:sz w:val="24"/>
          <w:szCs w:val="24"/>
          <w:u w:val="single"/>
        </w:rPr>
        <w:t>, 201</w:t>
      </w:r>
      <w:r>
        <w:rPr>
          <w:spacing w:val="-3"/>
          <w:sz w:val="24"/>
          <w:szCs w:val="24"/>
          <w:u w:val="single"/>
        </w:rPr>
        <w:t>2</w:t>
      </w:r>
      <w:r w:rsidRPr="00155204">
        <w:rPr>
          <w:spacing w:val="-3"/>
          <w:sz w:val="24"/>
          <w:szCs w:val="24"/>
        </w:rPr>
        <w:tab/>
      </w:r>
      <w:r w:rsidRPr="00155204">
        <w:rPr>
          <w:spacing w:val="-3"/>
          <w:sz w:val="24"/>
          <w:szCs w:val="24"/>
        </w:rPr>
        <w:tab/>
      </w:r>
      <w:r w:rsidRPr="00155204">
        <w:rPr>
          <w:spacing w:val="-3"/>
          <w:sz w:val="24"/>
          <w:szCs w:val="24"/>
        </w:rPr>
        <w:tab/>
      </w:r>
      <w:r w:rsidRPr="00155204">
        <w:rPr>
          <w:spacing w:val="-3"/>
          <w:sz w:val="24"/>
          <w:szCs w:val="24"/>
        </w:rPr>
        <w:tab/>
      </w:r>
    </w:p>
    <w:p w:rsidR="006B29D9" w:rsidRPr="00155204" w:rsidRDefault="006B29D9" w:rsidP="006B29D9">
      <w:pPr>
        <w:tabs>
          <w:tab w:val="left" w:pos="-720"/>
        </w:tabs>
        <w:suppressAutoHyphens/>
        <w:autoSpaceDE w:val="0"/>
        <w:autoSpaceDN w:val="0"/>
        <w:rPr>
          <w:spacing w:val="-3"/>
          <w:sz w:val="24"/>
          <w:szCs w:val="24"/>
        </w:rPr>
      </w:pPr>
      <w:r w:rsidRPr="00155204">
        <w:rPr>
          <w:spacing w:val="-3"/>
          <w:sz w:val="24"/>
          <w:szCs w:val="24"/>
        </w:rPr>
        <w:tab/>
      </w:r>
      <w:r w:rsidRPr="00155204">
        <w:rPr>
          <w:spacing w:val="-3"/>
          <w:sz w:val="24"/>
          <w:szCs w:val="24"/>
        </w:rPr>
        <w:tab/>
      </w:r>
      <w:r w:rsidRPr="00155204">
        <w:rPr>
          <w:spacing w:val="-3"/>
          <w:sz w:val="24"/>
          <w:szCs w:val="24"/>
        </w:rPr>
        <w:tab/>
      </w:r>
      <w:r w:rsidRPr="00155204">
        <w:rPr>
          <w:spacing w:val="-3"/>
          <w:sz w:val="24"/>
          <w:szCs w:val="24"/>
        </w:rPr>
        <w:tab/>
      </w:r>
    </w:p>
    <w:p w:rsidR="006B29D9" w:rsidRPr="00155204" w:rsidRDefault="006B29D9" w:rsidP="006B29D9">
      <w:pPr>
        <w:tabs>
          <w:tab w:val="left" w:pos="-720"/>
        </w:tabs>
        <w:suppressAutoHyphens/>
        <w:autoSpaceDE w:val="0"/>
        <w:autoSpaceDN w:val="0"/>
        <w:rPr>
          <w:spacing w:val="-3"/>
          <w:sz w:val="24"/>
          <w:szCs w:val="24"/>
        </w:rPr>
      </w:pPr>
    </w:p>
    <w:p w:rsidR="00807099" w:rsidRDefault="00807099" w:rsidP="006B29D9">
      <w:pPr>
        <w:ind w:right="1440"/>
        <w:rPr>
          <w:sz w:val="24"/>
          <w:szCs w:val="24"/>
        </w:rPr>
        <w:sectPr w:rsidR="00807099" w:rsidSect="00B0678D">
          <w:footerReference w:type="even" r:id="rId10"/>
          <w:footerReference w:type="default" r:id="rId11"/>
          <w:pgSz w:w="12240" w:h="15840"/>
          <w:pgMar w:top="1440" w:right="1440" w:bottom="1440" w:left="1440" w:header="720" w:footer="720" w:gutter="0"/>
          <w:pgNumType w:start="1"/>
          <w:cols w:space="720"/>
          <w:titlePg/>
          <w:docGrid w:linePitch="272"/>
        </w:sectPr>
      </w:pPr>
    </w:p>
    <w:p w:rsidR="00B91AD2" w:rsidRDefault="00B91AD2" w:rsidP="00B91AD2">
      <w:pPr>
        <w:spacing w:after="200" w:line="276" w:lineRule="auto"/>
        <w:jc w:val="center"/>
        <w:rPr>
          <w:b/>
          <w:noProof/>
          <w:sz w:val="24"/>
          <w:szCs w:val="24"/>
          <w:u w:val="single"/>
        </w:rPr>
      </w:pPr>
      <w:r w:rsidRPr="00B91AD2">
        <w:rPr>
          <w:b/>
          <w:noProof/>
          <w:sz w:val="24"/>
          <w:szCs w:val="24"/>
          <w:u w:val="single"/>
        </w:rPr>
        <w:lastRenderedPageBreak/>
        <w:t>ATTACHMENT A</w:t>
      </w:r>
    </w:p>
    <w:p w:rsidR="00B91AD2" w:rsidRPr="00B91AD2" w:rsidRDefault="001436F4" w:rsidP="00B91AD2">
      <w:pPr>
        <w:spacing w:after="200" w:line="276" w:lineRule="auto"/>
        <w:jc w:val="center"/>
        <w:rPr>
          <w:b/>
          <w:noProof/>
          <w:sz w:val="24"/>
          <w:szCs w:val="24"/>
          <w:u w:val="single"/>
        </w:rPr>
      </w:pPr>
      <w:r>
        <w:rPr>
          <w:b/>
          <w:noProof/>
          <w:sz w:val="24"/>
          <w:szCs w:val="24"/>
          <w:u w:val="single"/>
        </w:rPr>
        <w:drawing>
          <wp:anchor distT="0" distB="0" distL="114300" distR="114300" simplePos="0" relativeHeight="251660288" behindDoc="1" locked="0" layoutInCell="1" allowOverlap="1">
            <wp:simplePos x="0" y="0"/>
            <wp:positionH relativeFrom="column">
              <wp:posOffset>0</wp:posOffset>
            </wp:positionH>
            <wp:positionV relativeFrom="paragraph">
              <wp:posOffset>-4445</wp:posOffset>
            </wp:positionV>
            <wp:extent cx="5943600" cy="800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00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AD2" w:rsidRPr="00B91AD2">
        <w:rPr>
          <w:b/>
          <w:noProof/>
          <w:sz w:val="24"/>
          <w:szCs w:val="24"/>
          <w:u w:val="single"/>
        </w:rPr>
        <w:br w:type="page"/>
      </w:r>
    </w:p>
    <w:p w:rsidR="001436F4" w:rsidRDefault="001436F4">
      <w:pPr>
        <w:spacing w:after="200" w:line="276" w:lineRule="auto"/>
        <w:rPr>
          <w:rFonts w:ascii="Microsoft Sans Serif" w:hAnsi="Microsoft Sans Serif" w:cs="Microsoft Sans Serif"/>
          <w:b/>
          <w:noProof/>
          <w:sz w:val="24"/>
          <w:szCs w:val="24"/>
          <w:u w:val="single"/>
        </w:rPr>
      </w:pPr>
      <w:r>
        <w:rPr>
          <w:rFonts w:ascii="Microsoft Sans Serif" w:hAnsi="Microsoft Sans Serif" w:cs="Microsoft Sans Serif"/>
          <w:b/>
          <w:noProof/>
          <w:sz w:val="24"/>
          <w:szCs w:val="24"/>
          <w:u w:val="single"/>
        </w:rPr>
        <w:lastRenderedPageBreak/>
        <w:drawing>
          <wp:inline distT="0" distB="0" distL="0" distR="0">
            <wp:extent cx="5943600" cy="826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67700"/>
                    </a:xfrm>
                    <a:prstGeom prst="rect">
                      <a:avLst/>
                    </a:prstGeom>
                    <a:noFill/>
                    <a:ln>
                      <a:noFill/>
                    </a:ln>
                  </pic:spPr>
                </pic:pic>
              </a:graphicData>
            </a:graphic>
          </wp:inline>
        </w:drawing>
      </w:r>
      <w:r>
        <w:rPr>
          <w:rFonts w:ascii="Microsoft Sans Serif" w:hAnsi="Microsoft Sans Serif" w:cs="Microsoft Sans Serif"/>
          <w:b/>
          <w:noProof/>
          <w:sz w:val="24"/>
          <w:szCs w:val="24"/>
          <w:u w:val="single"/>
        </w:rPr>
        <w:br w:type="page"/>
      </w:r>
    </w:p>
    <w:p w:rsidR="001436F4" w:rsidRDefault="001436F4">
      <w:pPr>
        <w:spacing w:after="200" w:line="276" w:lineRule="auto"/>
        <w:rPr>
          <w:rFonts w:ascii="Microsoft Sans Serif" w:hAnsi="Microsoft Sans Serif" w:cs="Microsoft Sans Serif"/>
          <w:b/>
          <w:noProof/>
          <w:sz w:val="24"/>
          <w:szCs w:val="24"/>
          <w:u w:val="single"/>
        </w:rPr>
      </w:pPr>
      <w:r>
        <w:rPr>
          <w:rFonts w:ascii="Microsoft Sans Serif" w:hAnsi="Microsoft Sans Serif" w:cs="Microsoft Sans Serif"/>
          <w:b/>
          <w:noProof/>
          <w:sz w:val="24"/>
          <w:szCs w:val="24"/>
          <w:u w:val="single"/>
        </w:rPr>
        <w:lastRenderedPageBreak/>
        <w:drawing>
          <wp:inline distT="0" distB="0" distL="0" distR="0">
            <wp:extent cx="5943600" cy="8239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239125"/>
                    </a:xfrm>
                    <a:prstGeom prst="rect">
                      <a:avLst/>
                    </a:prstGeom>
                    <a:noFill/>
                    <a:ln>
                      <a:noFill/>
                    </a:ln>
                  </pic:spPr>
                </pic:pic>
              </a:graphicData>
            </a:graphic>
          </wp:inline>
        </w:drawing>
      </w:r>
      <w:r>
        <w:rPr>
          <w:rFonts w:ascii="Microsoft Sans Serif" w:hAnsi="Microsoft Sans Serif" w:cs="Microsoft Sans Serif"/>
          <w:b/>
          <w:noProof/>
          <w:sz w:val="24"/>
          <w:szCs w:val="24"/>
          <w:u w:val="single"/>
        </w:rPr>
        <w:br w:type="page"/>
      </w:r>
    </w:p>
    <w:p w:rsidR="00807099" w:rsidRDefault="00807099" w:rsidP="00B91AD2">
      <w:pPr>
        <w:rPr>
          <w:rFonts w:ascii="Microsoft Sans Serif" w:hAnsi="Microsoft Sans Serif" w:cs="Microsoft Sans Serif"/>
          <w:b/>
          <w:noProof/>
          <w:sz w:val="24"/>
          <w:szCs w:val="24"/>
          <w:u w:val="single"/>
        </w:rPr>
        <w:sectPr w:rsidR="00807099" w:rsidSect="00807099">
          <w:pgSz w:w="12240" w:h="15840"/>
          <w:pgMar w:top="1440" w:right="1440" w:bottom="1440" w:left="1440" w:header="720" w:footer="720" w:gutter="0"/>
          <w:pgNumType w:start="1"/>
          <w:cols w:space="720"/>
          <w:docGrid w:linePitch="360"/>
        </w:sectPr>
      </w:pPr>
    </w:p>
    <w:p w:rsidR="00B91AD2" w:rsidRPr="00B91AD2" w:rsidRDefault="00B91AD2" w:rsidP="00B91AD2">
      <w:pPr>
        <w:rPr>
          <w:rFonts w:ascii="Microsoft Sans Serif" w:hAnsi="Microsoft Sans Serif" w:cs="Microsoft Sans Serif"/>
          <w:b/>
          <w:sz w:val="24"/>
          <w:szCs w:val="24"/>
          <w:u w:val="single"/>
        </w:rPr>
      </w:pPr>
      <w:r>
        <w:rPr>
          <w:rFonts w:ascii="Microsoft Sans Serif" w:hAnsi="Microsoft Sans Serif" w:cs="Microsoft Sans Serif"/>
          <w:b/>
          <w:noProof/>
          <w:sz w:val="24"/>
          <w:szCs w:val="24"/>
          <w:u w:val="single"/>
        </w:rPr>
        <w:lastRenderedPageBreak/>
        <w:br/>
      </w:r>
      <w:r w:rsidRPr="00B91AD2">
        <w:rPr>
          <w:rFonts w:ascii="Microsoft Sans Serif" w:hAnsi="Microsoft Sans Serif" w:cs="Microsoft Sans Serif"/>
          <w:b/>
          <w:noProof/>
          <w:sz w:val="24"/>
          <w:szCs w:val="24"/>
          <w:u w:val="single"/>
        </w:rPr>
        <w:t>R-2011-2273539 -</w:t>
      </w:r>
      <w:r w:rsidRPr="00B91AD2">
        <w:rPr>
          <w:rFonts w:ascii="Microsoft Sans Serif" w:hAnsi="Microsoft Sans Serif" w:cs="Microsoft Sans Serif"/>
          <w:b/>
          <w:sz w:val="24"/>
          <w:szCs w:val="24"/>
          <w:u w:val="single"/>
        </w:rPr>
        <w:t xml:space="preserve"> PUC v. PEOPLES TWP LLC</w:t>
      </w:r>
    </w:p>
    <w:p w:rsidR="00B91AD2" w:rsidRPr="00B91AD2" w:rsidRDefault="00B91AD2" w:rsidP="00B91AD2">
      <w:pPr>
        <w:rPr>
          <w:rFonts w:ascii="Microsoft Sans Serif" w:hAnsi="Microsoft Sans Serif" w:cs="Microsoft Sans Serif"/>
          <w:b/>
          <w:sz w:val="24"/>
          <w:szCs w:val="24"/>
          <w:u w:val="single"/>
        </w:rPr>
      </w:pPr>
    </w:p>
    <w:p w:rsidR="00B91AD2" w:rsidRPr="00B91AD2" w:rsidRDefault="00B91AD2" w:rsidP="00B91AD2">
      <w:pPr>
        <w:rPr>
          <w:rFonts w:ascii="Microsoft Sans Serif" w:hAnsi="Microsoft Sans Serif" w:cs="Microsoft Sans Serif"/>
          <w:b/>
          <w:sz w:val="24"/>
          <w:szCs w:val="24"/>
          <w:u w:val="single"/>
        </w:rPr>
      </w:pPr>
      <w:r w:rsidRPr="00B91AD2">
        <w:rPr>
          <w:rFonts w:ascii="Microsoft Sans Serif" w:hAnsi="Microsoft Sans Serif" w:cs="Microsoft Sans Serif"/>
          <w:b/>
          <w:sz w:val="24"/>
          <w:szCs w:val="24"/>
          <w:u w:val="single"/>
        </w:rPr>
        <w:t>C-2012-2285171 - OFFICE OF CONSUMER ADVOCATE v. PEOPLES TWP LLC</w:t>
      </w:r>
    </w:p>
    <w:p w:rsidR="00B91AD2" w:rsidRPr="00B91AD2" w:rsidRDefault="00B91AD2" w:rsidP="00B91AD2">
      <w:pPr>
        <w:rPr>
          <w:rFonts w:ascii="Microsoft Sans Serif" w:hAnsi="Microsoft Sans Serif" w:cs="Microsoft Sans Serif"/>
          <w:b/>
          <w:sz w:val="24"/>
          <w:szCs w:val="24"/>
          <w:u w:val="single"/>
        </w:rPr>
      </w:pPr>
    </w:p>
    <w:p w:rsidR="00B91AD2" w:rsidRPr="00B91AD2" w:rsidRDefault="00B91AD2" w:rsidP="00B91AD2">
      <w:pPr>
        <w:rPr>
          <w:rFonts w:ascii="Microsoft Sans Serif" w:hAnsi="Microsoft Sans Serif" w:cs="Microsoft Sans Serif"/>
          <w:b/>
          <w:sz w:val="24"/>
          <w:szCs w:val="24"/>
          <w:u w:val="single"/>
        </w:rPr>
      </w:pPr>
      <w:r w:rsidRPr="00B91AD2">
        <w:rPr>
          <w:rFonts w:ascii="Microsoft Sans Serif" w:hAnsi="Microsoft Sans Serif" w:cs="Microsoft Sans Serif"/>
          <w:b/>
          <w:sz w:val="24"/>
          <w:szCs w:val="24"/>
          <w:u w:val="single"/>
        </w:rPr>
        <w:t>C-2012-2287034 - OFFICE OF SMALL BUSINESS ADVOCATE v. PEOPLES TWP LLC</w:t>
      </w:r>
    </w:p>
    <w:p w:rsidR="00B91AD2" w:rsidRPr="00B91AD2" w:rsidRDefault="00B91AD2" w:rsidP="00B91AD2">
      <w:pPr>
        <w:rPr>
          <w:rFonts w:ascii="Microsoft Sans Serif" w:hAnsi="Microsoft Sans Serif" w:cs="Microsoft Sans Serif"/>
          <w:b/>
          <w:sz w:val="24"/>
          <w:szCs w:val="24"/>
          <w:u w:val="single"/>
        </w:rPr>
      </w:pPr>
    </w:p>
    <w:p w:rsidR="00B91AD2" w:rsidRPr="00B91AD2" w:rsidRDefault="00B91AD2" w:rsidP="00B91AD2">
      <w:pPr>
        <w:rPr>
          <w:rFonts w:ascii="Microsoft Sans Serif" w:hAnsi="Microsoft Sans Serif" w:cs="Microsoft Sans Serif"/>
          <w:i/>
          <w:sz w:val="24"/>
          <w:szCs w:val="24"/>
        </w:rPr>
      </w:pPr>
      <w:r w:rsidRPr="00B91AD2">
        <w:rPr>
          <w:rFonts w:ascii="Microsoft Sans Serif" w:hAnsi="Microsoft Sans Serif" w:cs="Microsoft Sans Serif"/>
          <w:sz w:val="24"/>
          <w:szCs w:val="24"/>
        </w:rPr>
        <w:t>(</w:t>
      </w:r>
      <w:r w:rsidRPr="00B91AD2">
        <w:rPr>
          <w:rFonts w:ascii="Microsoft Sans Serif" w:hAnsi="Microsoft Sans Serif" w:cs="Microsoft Sans Serif"/>
          <w:i/>
          <w:sz w:val="24"/>
          <w:szCs w:val="24"/>
        </w:rPr>
        <w:t>Revised 2-15-12)</w:t>
      </w:r>
    </w:p>
    <w:p w:rsidR="00B91AD2" w:rsidRPr="00B91AD2" w:rsidRDefault="00B91AD2" w:rsidP="00B91AD2">
      <w:pPr>
        <w:rPr>
          <w:rFonts w:ascii="Microsoft Sans Serif" w:hAnsi="Microsoft Sans Serif" w:cs="Microsoft Sans Serif"/>
          <w:b/>
          <w:sz w:val="24"/>
          <w:szCs w:val="24"/>
          <w:u w:val="single"/>
        </w:rPr>
      </w:pPr>
    </w:p>
    <w:p w:rsidR="00B91AD2" w:rsidRPr="00B91AD2" w:rsidRDefault="00B91AD2" w:rsidP="00B91AD2">
      <w:pPr>
        <w:rPr>
          <w:rFonts w:ascii="Microsoft Sans Serif" w:hAnsi="Microsoft Sans Serif" w:cs="Microsoft Sans Serif"/>
          <w:noProof/>
          <w:sz w:val="24"/>
          <w:szCs w:val="24"/>
        </w:rPr>
      </w:pPr>
    </w:p>
    <w:p w:rsidR="00B91AD2" w:rsidRPr="00B91AD2" w:rsidRDefault="00B91AD2" w:rsidP="00C0536A">
      <w:pPr>
        <w:ind w:left="720"/>
        <w:rPr>
          <w:rFonts w:ascii="Microsoft Sans Serif" w:hAnsi="Microsoft Sans Serif" w:cs="Microsoft Sans Serif"/>
          <w:sz w:val="24"/>
          <w:szCs w:val="24"/>
        </w:rPr>
      </w:pPr>
      <w:r w:rsidRPr="00B91AD2">
        <w:rPr>
          <w:rFonts w:ascii="Microsoft Sans Serif" w:hAnsi="Microsoft Sans Serif" w:cs="Microsoft Sans Serif"/>
          <w:noProof/>
          <w:sz w:val="24"/>
          <w:szCs w:val="24"/>
        </w:rPr>
        <w:t>ANDREW S TUBBS ESQUIRE</w:t>
      </w:r>
    </w:p>
    <w:p w:rsidR="00B91AD2" w:rsidRPr="00B91AD2" w:rsidRDefault="00B91AD2" w:rsidP="00C0536A">
      <w:pPr>
        <w:ind w:left="720"/>
        <w:rPr>
          <w:rFonts w:ascii="Microsoft Sans Serif" w:hAnsi="Microsoft Sans Serif" w:cs="Microsoft Sans Serif"/>
          <w:sz w:val="24"/>
          <w:szCs w:val="24"/>
        </w:rPr>
      </w:pPr>
      <w:r w:rsidRPr="00B91AD2">
        <w:rPr>
          <w:rFonts w:ascii="Microsoft Sans Serif" w:hAnsi="Microsoft Sans Serif" w:cs="Microsoft Sans Serif"/>
          <w:noProof/>
          <w:sz w:val="24"/>
          <w:szCs w:val="24"/>
        </w:rPr>
        <w:t>POST &amp; SCHELL PC</w:t>
      </w:r>
    </w:p>
    <w:p w:rsidR="00B91AD2" w:rsidRPr="00B91AD2" w:rsidRDefault="00B91AD2" w:rsidP="00C0536A">
      <w:pPr>
        <w:ind w:left="720"/>
        <w:rPr>
          <w:rFonts w:ascii="Microsoft Sans Serif" w:hAnsi="Microsoft Sans Serif" w:cs="Microsoft Sans Serif"/>
          <w:sz w:val="24"/>
          <w:szCs w:val="24"/>
        </w:rPr>
      </w:pPr>
      <w:r w:rsidRPr="00B91AD2">
        <w:rPr>
          <w:rFonts w:ascii="Microsoft Sans Serif" w:hAnsi="Microsoft Sans Serif" w:cs="Microsoft Sans Serif"/>
          <w:noProof/>
          <w:sz w:val="24"/>
          <w:szCs w:val="24"/>
        </w:rPr>
        <w:t>17 NORTH SECOND STREET</w:t>
      </w:r>
    </w:p>
    <w:p w:rsidR="00B91AD2" w:rsidRPr="00B91AD2" w:rsidRDefault="00B91AD2" w:rsidP="00C0536A">
      <w:pPr>
        <w:ind w:left="720"/>
        <w:rPr>
          <w:rFonts w:ascii="Microsoft Sans Serif" w:hAnsi="Microsoft Sans Serif" w:cs="Microsoft Sans Serif"/>
          <w:sz w:val="24"/>
          <w:szCs w:val="24"/>
        </w:rPr>
      </w:pPr>
      <w:r w:rsidRPr="00B91AD2">
        <w:rPr>
          <w:rFonts w:ascii="Microsoft Sans Serif" w:hAnsi="Microsoft Sans Serif" w:cs="Microsoft Sans Serif"/>
          <w:noProof/>
          <w:sz w:val="24"/>
          <w:szCs w:val="24"/>
        </w:rPr>
        <w:t>12TH FLOOR</w:t>
      </w:r>
    </w:p>
    <w:p w:rsidR="00B91AD2" w:rsidRPr="00B91AD2" w:rsidRDefault="00B91AD2" w:rsidP="00C0536A">
      <w:pPr>
        <w:ind w:left="720"/>
        <w:rPr>
          <w:rFonts w:ascii="Microsoft Sans Serif" w:hAnsi="Microsoft Sans Serif" w:cs="Microsoft Sans Serif"/>
          <w:noProof/>
          <w:sz w:val="24"/>
          <w:szCs w:val="24"/>
        </w:rPr>
      </w:pPr>
      <w:r w:rsidRPr="00B91AD2">
        <w:rPr>
          <w:rFonts w:ascii="Microsoft Sans Serif" w:hAnsi="Microsoft Sans Serif" w:cs="Microsoft Sans Serif"/>
          <w:noProof/>
          <w:sz w:val="24"/>
          <w:szCs w:val="24"/>
        </w:rPr>
        <w:t>HARRISBURG</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PA</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17101-1601</w:t>
      </w:r>
    </w:p>
    <w:p w:rsidR="00B91AD2" w:rsidRPr="00B91AD2" w:rsidRDefault="00B91AD2" w:rsidP="00B91AD2">
      <w:pPr>
        <w:rPr>
          <w:rFonts w:ascii="Microsoft Sans Serif" w:hAnsi="Microsoft Sans Serif" w:cs="Microsoft Sans Serif"/>
          <w:sz w:val="24"/>
          <w:szCs w:val="24"/>
        </w:rPr>
      </w:pPr>
    </w:p>
    <w:p w:rsidR="00B91AD2" w:rsidRPr="00B91AD2" w:rsidRDefault="00B91AD2" w:rsidP="00B91AD2">
      <w:pPr>
        <w:rPr>
          <w:rFonts w:ascii="Microsoft Sans Serif" w:hAnsi="Microsoft Sans Serif" w:cs="Microsoft Sans Serif"/>
          <w:sz w:val="24"/>
          <w:szCs w:val="24"/>
        </w:rPr>
      </w:pPr>
    </w:p>
    <w:p w:rsidR="00B91AD2" w:rsidRPr="00B91AD2" w:rsidRDefault="00B91AD2" w:rsidP="00B91AD2">
      <w:pPr>
        <w:rPr>
          <w:rFonts w:ascii="Microsoft Sans Serif" w:hAnsi="Microsoft Sans Serif" w:cs="Microsoft Sans Serif"/>
          <w:noProof/>
          <w:sz w:val="24"/>
          <w:szCs w:val="24"/>
        </w:rPr>
      </w:pPr>
      <w:r w:rsidRPr="00B91AD2">
        <w:rPr>
          <w:rFonts w:ascii="Microsoft Sans Serif" w:hAnsi="Microsoft Sans Serif" w:cs="Microsoft Sans Serif"/>
          <w:noProof/>
          <w:sz w:val="24"/>
          <w:szCs w:val="24"/>
        </w:rPr>
        <w:t>DAVID T EVRARD ESQUIRE</w:t>
      </w: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OFFICE OF CONSUMER ADVOCATE</w:t>
      </w: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555 WALNUT STREET</w:t>
      </w: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5TH FLOOR FORUM PLACE</w:t>
      </w:r>
    </w:p>
    <w:p w:rsidR="00B91AD2" w:rsidRPr="00B91AD2" w:rsidRDefault="00B91AD2" w:rsidP="00B91AD2">
      <w:pPr>
        <w:rPr>
          <w:rFonts w:ascii="Microsoft Sans Serif" w:hAnsi="Microsoft Sans Serif" w:cs="Microsoft Sans Serif"/>
          <w:noProof/>
          <w:sz w:val="24"/>
          <w:szCs w:val="24"/>
        </w:rPr>
      </w:pPr>
      <w:r w:rsidRPr="00B91AD2">
        <w:rPr>
          <w:rFonts w:ascii="Microsoft Sans Serif" w:hAnsi="Microsoft Sans Serif" w:cs="Microsoft Sans Serif"/>
          <w:noProof/>
          <w:sz w:val="24"/>
          <w:szCs w:val="24"/>
        </w:rPr>
        <w:t>HARRISBURG</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PA</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17101-1923</w:t>
      </w:r>
    </w:p>
    <w:p w:rsidR="00B91AD2" w:rsidRPr="00B91AD2" w:rsidRDefault="00B91AD2" w:rsidP="00B91AD2">
      <w:pPr>
        <w:rPr>
          <w:rFonts w:ascii="Microsoft Sans Serif" w:hAnsi="Microsoft Sans Serif" w:cs="Microsoft Sans Serif"/>
          <w:sz w:val="24"/>
          <w:szCs w:val="24"/>
        </w:rPr>
      </w:pPr>
    </w:p>
    <w:p w:rsidR="00B91AD2" w:rsidRPr="00B91AD2" w:rsidRDefault="00B91AD2" w:rsidP="00B91AD2">
      <w:pPr>
        <w:rPr>
          <w:rFonts w:ascii="Microsoft Sans Serif" w:hAnsi="Microsoft Sans Serif" w:cs="Microsoft Sans Serif"/>
          <w:sz w:val="24"/>
          <w:szCs w:val="24"/>
        </w:rPr>
      </w:pP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ALLISON KASTER ESQUIRE</w:t>
      </w:r>
    </w:p>
    <w:p w:rsidR="00B91AD2" w:rsidRPr="00B91AD2" w:rsidRDefault="00B91AD2" w:rsidP="00B91AD2">
      <w:pPr>
        <w:rPr>
          <w:rFonts w:ascii="Microsoft Sans Serif" w:hAnsi="Microsoft Sans Serif" w:cs="Microsoft Sans Serif"/>
          <w:noProof/>
          <w:sz w:val="24"/>
          <w:szCs w:val="24"/>
        </w:rPr>
      </w:pPr>
      <w:r w:rsidRPr="00B91AD2">
        <w:rPr>
          <w:rFonts w:ascii="Microsoft Sans Serif" w:hAnsi="Microsoft Sans Serif" w:cs="Microsoft Sans Serif"/>
          <w:noProof/>
          <w:sz w:val="24"/>
          <w:szCs w:val="24"/>
        </w:rPr>
        <w:t xml:space="preserve">PA PUC BUREAU OF INVESTIGATION </w:t>
      </w:r>
    </w:p>
    <w:p w:rsidR="00B91AD2" w:rsidRPr="00B91AD2" w:rsidRDefault="00B91AD2" w:rsidP="00B91AD2">
      <w:pPr>
        <w:rPr>
          <w:rFonts w:ascii="Microsoft Sans Serif" w:hAnsi="Microsoft Sans Serif" w:cs="Microsoft Sans Serif"/>
          <w:noProof/>
          <w:sz w:val="24"/>
          <w:szCs w:val="24"/>
        </w:rPr>
      </w:pPr>
      <w:r w:rsidRPr="00B91AD2">
        <w:rPr>
          <w:rFonts w:ascii="Microsoft Sans Serif" w:hAnsi="Microsoft Sans Serif" w:cs="Microsoft Sans Serif"/>
          <w:noProof/>
          <w:sz w:val="24"/>
          <w:szCs w:val="24"/>
        </w:rPr>
        <w:t>AND ENFORCEMENT</w:t>
      </w: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400 NORTH STREET 2</w:t>
      </w:r>
      <w:r w:rsidRPr="00B91AD2">
        <w:rPr>
          <w:rFonts w:ascii="Microsoft Sans Serif" w:hAnsi="Microsoft Sans Serif" w:cs="Microsoft Sans Serif"/>
          <w:noProof/>
          <w:sz w:val="24"/>
          <w:szCs w:val="24"/>
          <w:vertAlign w:val="superscript"/>
        </w:rPr>
        <w:t>ND</w:t>
      </w:r>
      <w:r w:rsidRPr="00B91AD2">
        <w:rPr>
          <w:rFonts w:ascii="Microsoft Sans Serif" w:hAnsi="Microsoft Sans Serif" w:cs="Microsoft Sans Serif"/>
          <w:noProof/>
          <w:sz w:val="24"/>
          <w:szCs w:val="24"/>
        </w:rPr>
        <w:t xml:space="preserve"> FLOOR WEST</w:t>
      </w: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PO BOX 3265</w:t>
      </w:r>
    </w:p>
    <w:p w:rsidR="00B91AD2" w:rsidRPr="00B91AD2" w:rsidRDefault="00B91AD2" w:rsidP="00B91AD2">
      <w:pPr>
        <w:rPr>
          <w:rFonts w:ascii="Microsoft Sans Serif" w:hAnsi="Microsoft Sans Serif" w:cs="Microsoft Sans Serif"/>
          <w:noProof/>
          <w:sz w:val="24"/>
          <w:szCs w:val="24"/>
        </w:rPr>
      </w:pPr>
      <w:r w:rsidRPr="00B91AD2">
        <w:rPr>
          <w:rFonts w:ascii="Microsoft Sans Serif" w:hAnsi="Microsoft Sans Serif" w:cs="Microsoft Sans Serif"/>
          <w:noProof/>
          <w:sz w:val="24"/>
          <w:szCs w:val="24"/>
        </w:rPr>
        <w:t>HARRISBURG</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PA</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17105-3265</w:t>
      </w:r>
    </w:p>
    <w:p w:rsidR="00B91AD2" w:rsidRPr="00B91AD2" w:rsidRDefault="00B91AD2" w:rsidP="00B91AD2">
      <w:pPr>
        <w:rPr>
          <w:rFonts w:ascii="Microsoft Sans Serif" w:hAnsi="Microsoft Sans Serif" w:cs="Microsoft Sans Serif"/>
          <w:sz w:val="24"/>
          <w:szCs w:val="24"/>
        </w:rPr>
      </w:pPr>
    </w:p>
    <w:p w:rsidR="00B91AD2" w:rsidRPr="00B91AD2" w:rsidRDefault="00B91AD2" w:rsidP="00B91AD2">
      <w:pPr>
        <w:rPr>
          <w:rFonts w:ascii="Microsoft Sans Serif" w:hAnsi="Microsoft Sans Serif" w:cs="Microsoft Sans Serif"/>
          <w:sz w:val="24"/>
          <w:szCs w:val="24"/>
        </w:rPr>
      </w:pP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SHARON E WEBB ESQUIRE</w:t>
      </w: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OFFICE OF SMALL BUSINESS ADVOCATE</w:t>
      </w:r>
    </w:p>
    <w:p w:rsidR="00B91AD2" w:rsidRPr="00B91AD2" w:rsidRDefault="00B91AD2" w:rsidP="00B91AD2">
      <w:pPr>
        <w:rPr>
          <w:rFonts w:ascii="Microsoft Sans Serif" w:hAnsi="Microsoft Sans Serif" w:cs="Microsoft Sans Serif"/>
          <w:sz w:val="24"/>
          <w:szCs w:val="24"/>
        </w:rPr>
      </w:pPr>
      <w:r w:rsidRPr="00B91AD2">
        <w:rPr>
          <w:rFonts w:ascii="Microsoft Sans Serif" w:hAnsi="Microsoft Sans Serif" w:cs="Microsoft Sans Serif"/>
          <w:noProof/>
          <w:sz w:val="24"/>
          <w:szCs w:val="24"/>
        </w:rPr>
        <w:t xml:space="preserve">300 NORTH SECOND STREET SUITE 1102 </w:t>
      </w:r>
    </w:p>
    <w:p w:rsidR="00B91AD2" w:rsidRPr="00B91AD2" w:rsidRDefault="00B91AD2" w:rsidP="00B91AD2">
      <w:pPr>
        <w:rPr>
          <w:rFonts w:ascii="Microsoft Sans Serif" w:hAnsi="Microsoft Sans Serif" w:cs="Microsoft Sans Serif"/>
          <w:noProof/>
          <w:sz w:val="24"/>
          <w:szCs w:val="24"/>
        </w:rPr>
      </w:pPr>
      <w:r w:rsidRPr="00B91AD2">
        <w:rPr>
          <w:rFonts w:ascii="Microsoft Sans Serif" w:hAnsi="Microsoft Sans Serif" w:cs="Microsoft Sans Serif"/>
          <w:noProof/>
          <w:sz w:val="24"/>
          <w:szCs w:val="24"/>
        </w:rPr>
        <w:t>HARRISBURG</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PA</w:t>
      </w:r>
      <w:r w:rsidRPr="00B91AD2">
        <w:rPr>
          <w:rFonts w:ascii="Microsoft Sans Serif" w:hAnsi="Microsoft Sans Serif" w:cs="Microsoft Sans Serif"/>
          <w:sz w:val="24"/>
          <w:szCs w:val="24"/>
        </w:rPr>
        <w:t xml:space="preserve">  </w:t>
      </w:r>
      <w:r w:rsidRPr="00B91AD2">
        <w:rPr>
          <w:rFonts w:ascii="Microsoft Sans Serif" w:hAnsi="Microsoft Sans Serif" w:cs="Microsoft Sans Serif"/>
          <w:noProof/>
          <w:sz w:val="24"/>
          <w:szCs w:val="24"/>
        </w:rPr>
        <w:t>17101</w:t>
      </w:r>
    </w:p>
    <w:p w:rsidR="00B91AD2" w:rsidRPr="00B91AD2" w:rsidRDefault="00B91AD2" w:rsidP="00B91AD2">
      <w:pPr>
        <w:rPr>
          <w:rFonts w:ascii="Microsoft Sans Serif" w:hAnsi="Microsoft Sans Serif" w:cs="Microsoft Sans Serif"/>
          <w:noProof/>
          <w:sz w:val="24"/>
          <w:szCs w:val="24"/>
        </w:rPr>
      </w:pPr>
    </w:p>
    <w:p w:rsidR="00B91AD2" w:rsidRDefault="00B91AD2" w:rsidP="00B91AD2">
      <w:pPr>
        <w:rPr>
          <w:rFonts w:ascii="Microsoft Sans Serif" w:hAnsi="Microsoft Sans Serif" w:cs="Microsoft Sans Serif"/>
          <w:noProof/>
        </w:rPr>
      </w:pPr>
    </w:p>
    <w:p w:rsidR="00B91AD2" w:rsidRPr="00795433" w:rsidRDefault="00B91AD2" w:rsidP="00B91AD2">
      <w:pPr>
        <w:pStyle w:val="ParaTab1"/>
        <w:ind w:firstLine="0"/>
      </w:pPr>
    </w:p>
    <w:p w:rsidR="00B91AD2" w:rsidRDefault="00B91AD2" w:rsidP="00B91AD2">
      <w:pPr>
        <w:autoSpaceDE w:val="0"/>
        <w:autoSpaceDN w:val="0"/>
        <w:rPr>
          <w:rFonts w:ascii="Microsoft Sans Serif" w:hAnsi="Microsoft Sans Serif" w:cs="Microsoft Sans Serif"/>
          <w:b/>
          <w:caps/>
          <w:noProof/>
          <w:sz w:val="24"/>
          <w:szCs w:val="24"/>
          <w:u w:val="single"/>
        </w:rPr>
      </w:pPr>
    </w:p>
    <w:sectPr w:rsidR="00B91AD2" w:rsidSect="00807099">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1E6" w:rsidRDefault="00CD61E6">
      <w:r>
        <w:separator/>
      </w:r>
    </w:p>
  </w:endnote>
  <w:endnote w:type="continuationSeparator" w:id="0">
    <w:p w:rsidR="00CD61E6" w:rsidRDefault="00CD6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AA" w:rsidRDefault="00987209" w:rsidP="000F7D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11AA" w:rsidRDefault="00CD61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058194"/>
      <w:docPartObj>
        <w:docPartGallery w:val="Page Numbers (Bottom of Page)"/>
        <w:docPartUnique/>
      </w:docPartObj>
    </w:sdtPr>
    <w:sdtEndPr>
      <w:rPr>
        <w:noProof/>
      </w:rPr>
    </w:sdtEndPr>
    <w:sdtContent>
      <w:p w:rsidR="00807099" w:rsidRDefault="00807099">
        <w:pPr>
          <w:pStyle w:val="Footer"/>
          <w:jc w:val="center"/>
        </w:pPr>
        <w:r>
          <w:fldChar w:fldCharType="begin"/>
        </w:r>
        <w:r>
          <w:instrText xml:space="preserve"> PAGE   \* MERGEFORMAT </w:instrText>
        </w:r>
        <w:r>
          <w:fldChar w:fldCharType="separate"/>
        </w:r>
        <w:r w:rsidR="00922A95">
          <w:rPr>
            <w:noProof/>
          </w:rPr>
          <w:t>3</w:t>
        </w:r>
        <w:r>
          <w:rPr>
            <w:noProof/>
          </w:rPr>
          <w:fldChar w:fldCharType="end"/>
        </w:r>
      </w:p>
    </w:sdtContent>
  </w:sdt>
  <w:p w:rsidR="004511AA" w:rsidRDefault="00CD61E6">
    <w:pP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1E6" w:rsidRDefault="00CD61E6">
      <w:r>
        <w:separator/>
      </w:r>
    </w:p>
  </w:footnote>
  <w:footnote w:type="continuationSeparator" w:id="0">
    <w:p w:rsidR="00CD61E6" w:rsidRDefault="00CD61E6">
      <w:r>
        <w:continuationSeparator/>
      </w:r>
    </w:p>
  </w:footnote>
  <w:footnote w:id="1">
    <w:p w:rsidR="00277A9E" w:rsidRDefault="004B151A">
      <w:pPr>
        <w:pStyle w:val="FootnoteText"/>
      </w:pPr>
      <w:r>
        <w:tab/>
      </w:r>
      <w:r w:rsidR="00277A9E">
        <w:rPr>
          <w:rStyle w:val="FootnoteReference"/>
        </w:rPr>
        <w:footnoteRef/>
      </w:r>
      <w:r>
        <w:tab/>
        <w:t xml:space="preserve">Transcript references are to the April 5, 2012 initial hearing held in order for the parties to offer their exhibits into the record. </w:t>
      </w:r>
    </w:p>
  </w:footnote>
  <w:footnote w:id="2">
    <w:p w:rsidR="00F2337E" w:rsidRDefault="00AD13E9">
      <w:pPr>
        <w:pStyle w:val="FootnoteText"/>
      </w:pPr>
      <w:r>
        <w:tab/>
      </w:r>
      <w:r>
        <w:rPr>
          <w:rStyle w:val="FootnoteReference"/>
        </w:rPr>
        <w:footnoteRef/>
      </w:r>
      <w:r>
        <w:tab/>
        <w:t xml:space="preserve"> On April 6, 2012</w:t>
      </w:r>
      <w:r w:rsidR="00AC10E0">
        <w:t>,</w:t>
      </w:r>
      <w:r>
        <w:t xml:space="preserve"> OCA served Jerome D. Mierzwa’s verification, which was received by the Presiding ALJ on April 11, 2012.</w:t>
      </w:r>
    </w:p>
    <w:p w:rsidR="00AD13E9" w:rsidRDefault="00AD13E9">
      <w:pPr>
        <w:pStyle w:val="FootnoteText"/>
      </w:pPr>
      <w:r>
        <w:t xml:space="preserve"> </w:t>
      </w:r>
    </w:p>
  </w:footnote>
  <w:footnote w:id="3">
    <w:p w:rsidR="0029320E" w:rsidRPr="0029320E" w:rsidRDefault="00AD13E9" w:rsidP="0029320E">
      <w:pPr>
        <w:pStyle w:val="FootnoteText"/>
        <w:rPr>
          <w:spacing w:val="-3"/>
        </w:rPr>
      </w:pPr>
      <w:r>
        <w:tab/>
      </w:r>
      <w:r w:rsidR="0029320E">
        <w:rPr>
          <w:rStyle w:val="FootnoteReference"/>
        </w:rPr>
        <w:footnoteRef/>
      </w:r>
      <w:r w:rsidR="0029320E">
        <w:t xml:space="preserve"> </w:t>
      </w:r>
      <w:r>
        <w:tab/>
      </w:r>
      <w:r w:rsidR="0029320E" w:rsidRPr="0029320E">
        <w:rPr>
          <w:spacing w:val="-3"/>
        </w:rPr>
        <w:t>Although the request was not filed as a motion in accordance with the provisions of the Commission’s Rules of Administrative Practice and Procedure</w:t>
      </w:r>
      <w:r w:rsidR="00AC10E0">
        <w:rPr>
          <w:spacing w:val="-3"/>
        </w:rPr>
        <w:t>,</w:t>
      </w:r>
      <w:r w:rsidR="0029320E" w:rsidRPr="0029320E">
        <w:rPr>
          <w:spacing w:val="-3"/>
        </w:rPr>
        <w:t xml:space="preserve"> Section 5.103, 52 Pa. Code §5.103, waiver of this requirement is permitted.  Under 52 Pa. Code §1.2, a presiding officer at any stage of an action or proceeding may waive a requirement of a rule when necessary or appropriate, if waiver does not adversely affect a substantive right of a party.  Such were the circumstances in this case.</w:t>
      </w:r>
    </w:p>
    <w:p w:rsidR="0029320E" w:rsidRDefault="0029320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6855"/>
    <w:multiLevelType w:val="hybridMultilevel"/>
    <w:tmpl w:val="5C5A716A"/>
    <w:lvl w:ilvl="0" w:tplc="72DCBE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4187441"/>
    <w:multiLevelType w:val="hybridMultilevel"/>
    <w:tmpl w:val="B63CC7F0"/>
    <w:lvl w:ilvl="0" w:tplc="FF620DFA">
      <w:start w:val="1"/>
      <w:numFmt w:val="decimal"/>
      <w:lvlText w:val="%1."/>
      <w:lvlJc w:val="left"/>
      <w:pPr>
        <w:tabs>
          <w:tab w:val="num" w:pos="1440"/>
        </w:tabs>
        <w:ind w:left="0" w:firstLine="144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9D9"/>
    <w:rsid w:val="00045E3B"/>
    <w:rsid w:val="000B186E"/>
    <w:rsid w:val="000C7A88"/>
    <w:rsid w:val="00112431"/>
    <w:rsid w:val="001250D5"/>
    <w:rsid w:val="0013685B"/>
    <w:rsid w:val="001436F4"/>
    <w:rsid w:val="00144636"/>
    <w:rsid w:val="00182E23"/>
    <w:rsid w:val="001E1BC1"/>
    <w:rsid w:val="001F3408"/>
    <w:rsid w:val="0022743D"/>
    <w:rsid w:val="002760C9"/>
    <w:rsid w:val="00277A9E"/>
    <w:rsid w:val="0029320E"/>
    <w:rsid w:val="003352E2"/>
    <w:rsid w:val="00373D9A"/>
    <w:rsid w:val="00394CD3"/>
    <w:rsid w:val="003B507F"/>
    <w:rsid w:val="003C75A9"/>
    <w:rsid w:val="003E3874"/>
    <w:rsid w:val="0040302D"/>
    <w:rsid w:val="00487068"/>
    <w:rsid w:val="00497269"/>
    <w:rsid w:val="004B151A"/>
    <w:rsid w:val="004B4209"/>
    <w:rsid w:val="00616D8B"/>
    <w:rsid w:val="00637FFD"/>
    <w:rsid w:val="0065100D"/>
    <w:rsid w:val="006728B1"/>
    <w:rsid w:val="0069154B"/>
    <w:rsid w:val="006B29D9"/>
    <w:rsid w:val="00742CD5"/>
    <w:rsid w:val="00750226"/>
    <w:rsid w:val="00807099"/>
    <w:rsid w:val="00831AAB"/>
    <w:rsid w:val="00831D86"/>
    <w:rsid w:val="00917221"/>
    <w:rsid w:val="00922A95"/>
    <w:rsid w:val="00987209"/>
    <w:rsid w:val="009B04A5"/>
    <w:rsid w:val="009C45D8"/>
    <w:rsid w:val="009E512B"/>
    <w:rsid w:val="00A1550F"/>
    <w:rsid w:val="00A57563"/>
    <w:rsid w:val="00AC10E0"/>
    <w:rsid w:val="00AD13E9"/>
    <w:rsid w:val="00B91AD2"/>
    <w:rsid w:val="00BD15EF"/>
    <w:rsid w:val="00BE0342"/>
    <w:rsid w:val="00BF23D0"/>
    <w:rsid w:val="00C0536A"/>
    <w:rsid w:val="00C6613E"/>
    <w:rsid w:val="00CD61E6"/>
    <w:rsid w:val="00D44745"/>
    <w:rsid w:val="00DF7D5E"/>
    <w:rsid w:val="00E26ABA"/>
    <w:rsid w:val="00E60A96"/>
    <w:rsid w:val="00EC6C6E"/>
    <w:rsid w:val="00EF1EEF"/>
    <w:rsid w:val="00F17065"/>
    <w:rsid w:val="00F2337E"/>
    <w:rsid w:val="00F31A3E"/>
    <w:rsid w:val="00F50C04"/>
    <w:rsid w:val="00F5564F"/>
    <w:rsid w:val="00FC790C"/>
    <w:rsid w:val="00FD3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9D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B29D9"/>
    <w:pPr>
      <w:tabs>
        <w:tab w:val="center" w:pos="4320"/>
        <w:tab w:val="right" w:pos="8640"/>
      </w:tabs>
    </w:pPr>
  </w:style>
  <w:style w:type="character" w:customStyle="1" w:styleId="FooterChar">
    <w:name w:val="Footer Char"/>
    <w:basedOn w:val="DefaultParagraphFont"/>
    <w:link w:val="Footer"/>
    <w:uiPriority w:val="99"/>
    <w:rsid w:val="006B29D9"/>
    <w:rPr>
      <w:rFonts w:ascii="Times New Roman" w:eastAsia="Times New Roman" w:hAnsi="Times New Roman" w:cs="Times New Roman"/>
      <w:sz w:val="20"/>
      <w:szCs w:val="20"/>
    </w:rPr>
  </w:style>
  <w:style w:type="character" w:styleId="PageNumber">
    <w:name w:val="page number"/>
    <w:basedOn w:val="DefaultParagraphFont"/>
    <w:rsid w:val="006B29D9"/>
  </w:style>
  <w:style w:type="paragraph" w:styleId="BalloonText">
    <w:name w:val="Balloon Text"/>
    <w:basedOn w:val="Normal"/>
    <w:link w:val="BalloonTextChar"/>
    <w:uiPriority w:val="99"/>
    <w:semiHidden/>
    <w:unhideWhenUsed/>
    <w:rsid w:val="00A57563"/>
    <w:rPr>
      <w:rFonts w:ascii="Tahoma" w:hAnsi="Tahoma" w:cs="Tahoma"/>
      <w:sz w:val="16"/>
      <w:szCs w:val="16"/>
    </w:rPr>
  </w:style>
  <w:style w:type="character" w:customStyle="1" w:styleId="BalloonTextChar">
    <w:name w:val="Balloon Text Char"/>
    <w:basedOn w:val="DefaultParagraphFont"/>
    <w:link w:val="BalloonText"/>
    <w:uiPriority w:val="99"/>
    <w:semiHidden/>
    <w:rsid w:val="00A57563"/>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277A9E"/>
  </w:style>
  <w:style w:type="character" w:customStyle="1" w:styleId="FootnoteTextChar">
    <w:name w:val="Footnote Text Char"/>
    <w:basedOn w:val="DefaultParagraphFont"/>
    <w:link w:val="FootnoteText"/>
    <w:uiPriority w:val="99"/>
    <w:semiHidden/>
    <w:rsid w:val="00277A9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77A9E"/>
    <w:rPr>
      <w:vertAlign w:val="superscript"/>
    </w:rPr>
  </w:style>
  <w:style w:type="paragraph" w:styleId="ListParagraph">
    <w:name w:val="List Paragraph"/>
    <w:basedOn w:val="Normal"/>
    <w:uiPriority w:val="34"/>
    <w:qFormat/>
    <w:rsid w:val="00497269"/>
    <w:pPr>
      <w:ind w:left="720"/>
      <w:contextualSpacing/>
    </w:pPr>
  </w:style>
  <w:style w:type="paragraph" w:customStyle="1" w:styleId="ParaTab1">
    <w:name w:val="ParaTab 1"/>
    <w:rsid w:val="00B91AD2"/>
    <w:pPr>
      <w:tabs>
        <w:tab w:val="left" w:pos="-720"/>
      </w:tabs>
      <w:suppressAutoHyphens/>
      <w:autoSpaceDE w:val="0"/>
      <w:autoSpaceDN w:val="0"/>
      <w:spacing w:after="0" w:line="240" w:lineRule="auto"/>
      <w:ind w:firstLine="1440"/>
    </w:pPr>
    <w:rPr>
      <w:rFonts w:ascii="CG Times" w:eastAsia="Times New Roman" w:hAnsi="CG Times" w:cs="CG Times"/>
      <w:sz w:val="24"/>
      <w:szCs w:val="24"/>
    </w:rPr>
  </w:style>
  <w:style w:type="paragraph" w:styleId="Header">
    <w:name w:val="header"/>
    <w:basedOn w:val="Normal"/>
    <w:link w:val="HeaderChar"/>
    <w:uiPriority w:val="99"/>
    <w:unhideWhenUsed/>
    <w:rsid w:val="00807099"/>
    <w:pPr>
      <w:tabs>
        <w:tab w:val="center" w:pos="4680"/>
        <w:tab w:val="right" w:pos="9360"/>
      </w:tabs>
    </w:pPr>
  </w:style>
  <w:style w:type="character" w:customStyle="1" w:styleId="HeaderChar">
    <w:name w:val="Header Char"/>
    <w:basedOn w:val="DefaultParagraphFont"/>
    <w:link w:val="Header"/>
    <w:uiPriority w:val="99"/>
    <w:rsid w:val="00807099"/>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9D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B29D9"/>
    <w:pPr>
      <w:tabs>
        <w:tab w:val="center" w:pos="4320"/>
        <w:tab w:val="right" w:pos="8640"/>
      </w:tabs>
    </w:pPr>
  </w:style>
  <w:style w:type="character" w:customStyle="1" w:styleId="FooterChar">
    <w:name w:val="Footer Char"/>
    <w:basedOn w:val="DefaultParagraphFont"/>
    <w:link w:val="Footer"/>
    <w:uiPriority w:val="99"/>
    <w:rsid w:val="006B29D9"/>
    <w:rPr>
      <w:rFonts w:ascii="Times New Roman" w:eastAsia="Times New Roman" w:hAnsi="Times New Roman" w:cs="Times New Roman"/>
      <w:sz w:val="20"/>
      <w:szCs w:val="20"/>
    </w:rPr>
  </w:style>
  <w:style w:type="character" w:styleId="PageNumber">
    <w:name w:val="page number"/>
    <w:basedOn w:val="DefaultParagraphFont"/>
    <w:rsid w:val="006B29D9"/>
  </w:style>
  <w:style w:type="paragraph" w:styleId="BalloonText">
    <w:name w:val="Balloon Text"/>
    <w:basedOn w:val="Normal"/>
    <w:link w:val="BalloonTextChar"/>
    <w:uiPriority w:val="99"/>
    <w:semiHidden/>
    <w:unhideWhenUsed/>
    <w:rsid w:val="00A57563"/>
    <w:rPr>
      <w:rFonts w:ascii="Tahoma" w:hAnsi="Tahoma" w:cs="Tahoma"/>
      <w:sz w:val="16"/>
      <w:szCs w:val="16"/>
    </w:rPr>
  </w:style>
  <w:style w:type="character" w:customStyle="1" w:styleId="BalloonTextChar">
    <w:name w:val="Balloon Text Char"/>
    <w:basedOn w:val="DefaultParagraphFont"/>
    <w:link w:val="BalloonText"/>
    <w:uiPriority w:val="99"/>
    <w:semiHidden/>
    <w:rsid w:val="00A57563"/>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277A9E"/>
  </w:style>
  <w:style w:type="character" w:customStyle="1" w:styleId="FootnoteTextChar">
    <w:name w:val="Footnote Text Char"/>
    <w:basedOn w:val="DefaultParagraphFont"/>
    <w:link w:val="FootnoteText"/>
    <w:uiPriority w:val="99"/>
    <w:semiHidden/>
    <w:rsid w:val="00277A9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77A9E"/>
    <w:rPr>
      <w:vertAlign w:val="superscript"/>
    </w:rPr>
  </w:style>
  <w:style w:type="paragraph" w:styleId="ListParagraph">
    <w:name w:val="List Paragraph"/>
    <w:basedOn w:val="Normal"/>
    <w:uiPriority w:val="34"/>
    <w:qFormat/>
    <w:rsid w:val="00497269"/>
    <w:pPr>
      <w:ind w:left="720"/>
      <w:contextualSpacing/>
    </w:pPr>
  </w:style>
  <w:style w:type="paragraph" w:customStyle="1" w:styleId="ParaTab1">
    <w:name w:val="ParaTab 1"/>
    <w:rsid w:val="00B91AD2"/>
    <w:pPr>
      <w:tabs>
        <w:tab w:val="left" w:pos="-720"/>
      </w:tabs>
      <w:suppressAutoHyphens/>
      <w:autoSpaceDE w:val="0"/>
      <w:autoSpaceDN w:val="0"/>
      <w:spacing w:after="0" w:line="240" w:lineRule="auto"/>
      <w:ind w:firstLine="1440"/>
    </w:pPr>
    <w:rPr>
      <w:rFonts w:ascii="CG Times" w:eastAsia="Times New Roman" w:hAnsi="CG Times" w:cs="CG Times"/>
      <w:sz w:val="24"/>
      <w:szCs w:val="24"/>
    </w:rPr>
  </w:style>
  <w:style w:type="paragraph" w:styleId="Header">
    <w:name w:val="header"/>
    <w:basedOn w:val="Normal"/>
    <w:link w:val="HeaderChar"/>
    <w:uiPriority w:val="99"/>
    <w:unhideWhenUsed/>
    <w:rsid w:val="00807099"/>
    <w:pPr>
      <w:tabs>
        <w:tab w:val="center" w:pos="4680"/>
        <w:tab w:val="right" w:pos="9360"/>
      </w:tabs>
    </w:pPr>
  </w:style>
  <w:style w:type="character" w:customStyle="1" w:styleId="HeaderChar">
    <w:name w:val="Header Char"/>
    <w:basedOn w:val="DefaultParagraphFont"/>
    <w:link w:val="Header"/>
    <w:uiPriority w:val="99"/>
    <w:rsid w:val="0080709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11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5A1F8-C2FF-4FDB-BBA1-971C1A43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8854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Conrad</dc:creator>
  <cp:lastModifiedBy>bfaccenda</cp:lastModifiedBy>
  <cp:revision>2</cp:revision>
  <cp:lastPrinted>2012-01-31T16:48:00Z</cp:lastPrinted>
  <dcterms:created xsi:type="dcterms:W3CDTF">2012-05-17T15:27:00Z</dcterms:created>
  <dcterms:modified xsi:type="dcterms:W3CDTF">2012-05-17T15:27:00Z</dcterms:modified>
</cp:coreProperties>
</file>