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D9" w:rsidRDefault="006B29D9" w:rsidP="00750226">
      <w:pPr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BEFORE THE</w:t>
      </w:r>
    </w:p>
    <w:p w:rsidR="006B29D9" w:rsidRDefault="006B29D9" w:rsidP="006B29D9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6B29D9" w:rsidRDefault="006B29D9" w:rsidP="006B29D9">
      <w:pPr>
        <w:tabs>
          <w:tab w:val="center" w:pos="4680"/>
        </w:tabs>
        <w:jc w:val="both"/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Pennsylvania Public Utility Commission</w:t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  <w:t>R-2011-2273539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Office of Consumer Advocate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  <w:t>C-2012-2285171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Office of Small Business Advocate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  <w:t>C-2012-2287034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  <w:t>v.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Peoples TWP LLC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</w:p>
    <w:p w:rsidR="003B507F" w:rsidRPr="003B507F" w:rsidRDefault="003B507F" w:rsidP="003B507F">
      <w:pPr>
        <w:rPr>
          <w:sz w:val="24"/>
        </w:rPr>
      </w:pPr>
      <w:r w:rsidRPr="003B507F">
        <w:rPr>
          <w:b/>
          <w:sz w:val="24"/>
        </w:rPr>
        <w:tab/>
      </w:r>
      <w:r w:rsidRPr="003B507F">
        <w:rPr>
          <w:b/>
          <w:sz w:val="24"/>
        </w:rPr>
        <w:tab/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</w:r>
    </w:p>
    <w:p w:rsidR="0030683F" w:rsidRDefault="0030683F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 w:val="24"/>
          <w:szCs w:val="24"/>
        </w:rPr>
      </w:pPr>
    </w:p>
    <w:p w:rsidR="005E1B63" w:rsidRPr="005E1B63" w:rsidRDefault="005E1B63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Cs/>
          <w:spacing w:val="-3"/>
          <w:sz w:val="24"/>
          <w:szCs w:val="24"/>
        </w:rPr>
      </w:pPr>
      <w:r w:rsidRPr="005E1B63">
        <w:rPr>
          <w:b/>
          <w:bCs/>
          <w:spacing w:val="-3"/>
          <w:sz w:val="24"/>
          <w:szCs w:val="24"/>
        </w:rPr>
        <w:t>ORDER CONSOLIDATING COMPLAINT</w:t>
      </w:r>
      <w:r>
        <w:rPr>
          <w:b/>
          <w:bCs/>
          <w:spacing w:val="-3"/>
          <w:sz w:val="24"/>
          <w:szCs w:val="24"/>
        </w:rPr>
        <w:t>S</w:t>
      </w:r>
      <w:r w:rsidRPr="005E1B63">
        <w:rPr>
          <w:b/>
          <w:bCs/>
          <w:spacing w:val="-3"/>
          <w:sz w:val="24"/>
          <w:szCs w:val="24"/>
        </w:rPr>
        <w:t xml:space="preserve">, </w:t>
      </w:r>
      <w:r>
        <w:rPr>
          <w:b/>
          <w:bCs/>
          <w:spacing w:val="-3"/>
          <w:sz w:val="24"/>
          <w:szCs w:val="24"/>
        </w:rPr>
        <w:t xml:space="preserve">ADMITTING SETTLEMENT PETITION </w:t>
      </w:r>
      <w:r w:rsidRPr="005E1B63">
        <w:rPr>
          <w:b/>
          <w:bCs/>
          <w:spacing w:val="-3"/>
          <w:sz w:val="24"/>
          <w:szCs w:val="24"/>
          <w:u w:val="single"/>
        </w:rPr>
        <w:t>AND STATEMENT</w:t>
      </w:r>
      <w:r w:rsidRPr="003F4716">
        <w:rPr>
          <w:b/>
          <w:bCs/>
          <w:spacing w:val="-3"/>
          <w:sz w:val="24"/>
          <w:szCs w:val="24"/>
          <w:u w:val="single"/>
        </w:rPr>
        <w:t xml:space="preserve">S </w:t>
      </w:r>
      <w:r w:rsidR="003F4716" w:rsidRPr="003F4716">
        <w:rPr>
          <w:b/>
          <w:bCs/>
          <w:spacing w:val="-3"/>
          <w:sz w:val="24"/>
          <w:szCs w:val="24"/>
          <w:u w:val="single"/>
        </w:rPr>
        <w:t xml:space="preserve">IN SUPPORT </w:t>
      </w:r>
      <w:r w:rsidRPr="005E1B63">
        <w:rPr>
          <w:b/>
          <w:bCs/>
          <w:spacing w:val="-3"/>
          <w:sz w:val="24"/>
          <w:szCs w:val="24"/>
          <w:u w:val="single"/>
        </w:rPr>
        <w:t xml:space="preserve">AND CLOSING </w:t>
      </w:r>
      <w:r w:rsidR="00F44368">
        <w:rPr>
          <w:b/>
          <w:bCs/>
          <w:spacing w:val="-3"/>
          <w:sz w:val="24"/>
          <w:szCs w:val="24"/>
          <w:u w:val="single"/>
        </w:rPr>
        <w:t xml:space="preserve">THE </w:t>
      </w:r>
      <w:r w:rsidRPr="005E1B63">
        <w:rPr>
          <w:b/>
          <w:bCs/>
          <w:spacing w:val="-3"/>
          <w:sz w:val="24"/>
          <w:szCs w:val="24"/>
          <w:u w:val="single"/>
        </w:rPr>
        <w:t>RECORD</w:t>
      </w:r>
    </w:p>
    <w:p w:rsidR="005E1B63" w:rsidRPr="005E1B63" w:rsidRDefault="005E1B63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Cs/>
          <w:spacing w:val="-3"/>
          <w:sz w:val="24"/>
          <w:szCs w:val="24"/>
        </w:rPr>
      </w:pPr>
    </w:p>
    <w:p w:rsidR="005E1B63" w:rsidRDefault="005E1B63" w:rsidP="005E1B63">
      <w:pPr>
        <w:tabs>
          <w:tab w:val="center" w:pos="4680"/>
        </w:tabs>
        <w:suppressAutoHyphens/>
        <w:autoSpaceDE w:val="0"/>
        <w:autoSpaceDN w:val="0"/>
        <w:rPr>
          <w:bCs/>
          <w:spacing w:val="-3"/>
          <w:sz w:val="24"/>
          <w:szCs w:val="24"/>
        </w:rPr>
      </w:pPr>
    </w:p>
    <w:p w:rsidR="005E1B63" w:rsidRPr="005E1B63" w:rsidRDefault="005E1B63" w:rsidP="001B0811">
      <w:pPr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ab/>
      </w:r>
      <w:r w:rsidRPr="005E1B63">
        <w:rPr>
          <w:sz w:val="24"/>
          <w:szCs w:val="24"/>
        </w:rPr>
        <w:tab/>
        <w:t xml:space="preserve">AND NOW, </w:t>
      </w:r>
      <w:r w:rsidR="00745E76">
        <w:rPr>
          <w:sz w:val="24"/>
          <w:szCs w:val="24"/>
        </w:rPr>
        <w:t>an initial hearing hav</w:t>
      </w:r>
      <w:r w:rsidR="00C0535C">
        <w:rPr>
          <w:sz w:val="24"/>
          <w:szCs w:val="24"/>
        </w:rPr>
        <w:t>ing</w:t>
      </w:r>
      <w:r w:rsidR="00745E76">
        <w:rPr>
          <w:sz w:val="24"/>
          <w:szCs w:val="24"/>
        </w:rPr>
        <w:t xml:space="preserve"> been held in this proceeding</w:t>
      </w:r>
      <w:r w:rsidR="00B54554" w:rsidRPr="00B54554">
        <w:rPr>
          <w:sz w:val="24"/>
          <w:szCs w:val="24"/>
        </w:rPr>
        <w:t xml:space="preserve"> </w:t>
      </w:r>
      <w:r w:rsidR="00B54554">
        <w:rPr>
          <w:sz w:val="24"/>
          <w:szCs w:val="24"/>
        </w:rPr>
        <w:t xml:space="preserve">on April 5, 2012, </w:t>
      </w:r>
      <w:r w:rsidR="00745E76">
        <w:rPr>
          <w:sz w:val="24"/>
          <w:szCs w:val="24"/>
        </w:rPr>
        <w:t>during which written testimony and exhibits were admitted into the record by stipulation; and on April 23, 2</w:t>
      </w:r>
      <w:r w:rsidR="00B54554">
        <w:rPr>
          <w:sz w:val="24"/>
          <w:szCs w:val="24"/>
        </w:rPr>
        <w:t>012, a</w:t>
      </w:r>
      <w:r w:rsidRPr="005E1B63">
        <w:rPr>
          <w:sz w:val="24"/>
          <w:szCs w:val="24"/>
        </w:rPr>
        <w:t xml:space="preserve"> Joint Petition for Settlement of </w:t>
      </w:r>
      <w:r>
        <w:rPr>
          <w:sz w:val="24"/>
          <w:szCs w:val="24"/>
        </w:rPr>
        <w:t xml:space="preserve">The </w:t>
      </w:r>
      <w:r w:rsidRPr="005E1B63">
        <w:rPr>
          <w:sz w:val="24"/>
          <w:szCs w:val="24"/>
        </w:rPr>
        <w:t xml:space="preserve">Rate Investigation </w:t>
      </w:r>
      <w:r>
        <w:rPr>
          <w:sz w:val="24"/>
          <w:szCs w:val="24"/>
        </w:rPr>
        <w:t xml:space="preserve">Pursuant to 66 Pa. C.S. § 1307(f) </w:t>
      </w:r>
      <w:r w:rsidRPr="005E1B63">
        <w:rPr>
          <w:sz w:val="24"/>
          <w:szCs w:val="24"/>
        </w:rPr>
        <w:t xml:space="preserve">with attached </w:t>
      </w:r>
      <w:r>
        <w:rPr>
          <w:sz w:val="24"/>
          <w:szCs w:val="24"/>
        </w:rPr>
        <w:t>Statements in Support</w:t>
      </w:r>
      <w:r w:rsidR="003F4716">
        <w:rPr>
          <w:sz w:val="24"/>
          <w:szCs w:val="24"/>
        </w:rPr>
        <w:t xml:space="preserve"> having been filed</w:t>
      </w:r>
      <w:r>
        <w:rPr>
          <w:sz w:val="24"/>
          <w:szCs w:val="24"/>
        </w:rPr>
        <w:t xml:space="preserve"> by </w:t>
      </w:r>
      <w:r w:rsidRPr="005E1B63">
        <w:rPr>
          <w:sz w:val="24"/>
          <w:szCs w:val="24"/>
        </w:rPr>
        <w:t>the Bureau of Investigation and Enforcement (I&amp;E) of the Pennsylvania Public Utility Commission</w:t>
      </w:r>
      <w:r w:rsidR="001B0811">
        <w:rPr>
          <w:sz w:val="24"/>
          <w:szCs w:val="24"/>
        </w:rPr>
        <w:t xml:space="preserve"> (Commission)</w:t>
      </w:r>
      <w:r>
        <w:rPr>
          <w:sz w:val="24"/>
          <w:szCs w:val="24"/>
        </w:rPr>
        <w:t xml:space="preserve">, the Office of Consumer Advocate (OCA), the Office of Small Business Advocate (OSBA), </w:t>
      </w:r>
      <w:r w:rsidRPr="005E1B63">
        <w:rPr>
          <w:sz w:val="24"/>
          <w:szCs w:val="24"/>
        </w:rPr>
        <w:t xml:space="preserve">and </w:t>
      </w:r>
      <w:r>
        <w:rPr>
          <w:sz w:val="24"/>
          <w:szCs w:val="24"/>
        </w:rPr>
        <w:t>Peoples TWP LLC (Peoples TWP o</w:t>
      </w:r>
      <w:r w:rsidR="00F44368">
        <w:rPr>
          <w:sz w:val="24"/>
          <w:szCs w:val="24"/>
        </w:rPr>
        <w:t>r</w:t>
      </w:r>
      <w:r>
        <w:rPr>
          <w:sz w:val="24"/>
          <w:szCs w:val="24"/>
        </w:rPr>
        <w:t xml:space="preserve"> the Company)</w:t>
      </w:r>
      <w:r w:rsidR="00B54554">
        <w:rPr>
          <w:sz w:val="24"/>
          <w:szCs w:val="24"/>
        </w:rPr>
        <w:t>, the parties to the above-captioned proceeding,</w:t>
      </w:r>
      <w:r w:rsidR="00745E76">
        <w:rPr>
          <w:sz w:val="24"/>
          <w:szCs w:val="24"/>
        </w:rPr>
        <w:t xml:space="preserve"> (Parties</w:t>
      </w:r>
      <w:r w:rsidR="00B54554">
        <w:rPr>
          <w:sz w:val="24"/>
          <w:szCs w:val="24"/>
        </w:rPr>
        <w:t xml:space="preserve">); </w:t>
      </w:r>
      <w:r w:rsidR="001B0811" w:rsidRPr="001B0811">
        <w:rPr>
          <w:sz w:val="24"/>
          <w:szCs w:val="24"/>
        </w:rPr>
        <w:t>and no further hearings in this matter are to be scheduled or held</w:t>
      </w:r>
      <w:r w:rsidR="001B0811">
        <w:rPr>
          <w:sz w:val="24"/>
          <w:szCs w:val="24"/>
        </w:rPr>
        <w:t xml:space="preserve">; </w:t>
      </w:r>
      <w:r w:rsidRPr="005E1B63">
        <w:rPr>
          <w:sz w:val="24"/>
          <w:szCs w:val="24"/>
        </w:rPr>
        <w:t xml:space="preserve">and a </w:t>
      </w:r>
      <w:r w:rsidR="00B54554">
        <w:rPr>
          <w:sz w:val="24"/>
          <w:szCs w:val="24"/>
        </w:rPr>
        <w:t>R</w:t>
      </w:r>
      <w:r w:rsidRPr="005E1B63">
        <w:rPr>
          <w:sz w:val="24"/>
          <w:szCs w:val="24"/>
        </w:rPr>
        <w:t>ecommended Decision, which shall address the Settlement Petition, in this case is being prepared for issuance</w:t>
      </w:r>
      <w:r w:rsidR="003F4716">
        <w:rPr>
          <w:sz w:val="24"/>
          <w:szCs w:val="24"/>
        </w:rPr>
        <w:t>,</w:t>
      </w:r>
      <w:r w:rsidRPr="005E1B63">
        <w:rPr>
          <w:sz w:val="24"/>
          <w:szCs w:val="24"/>
        </w:rPr>
        <w:t xml:space="preserve">   </w:t>
      </w:r>
    </w:p>
    <w:p w:rsid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ab/>
      </w:r>
      <w:r w:rsidRPr="005E1B63">
        <w:rPr>
          <w:sz w:val="24"/>
          <w:szCs w:val="24"/>
        </w:rPr>
        <w:tab/>
        <w:t>THEREFORE,</w:t>
      </w: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ab/>
      </w:r>
      <w:r w:rsidRPr="005E1B63">
        <w:rPr>
          <w:sz w:val="24"/>
          <w:szCs w:val="24"/>
        </w:rPr>
        <w:tab/>
        <w:t>IT IS ORDERED:</w:t>
      </w: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5E1B63" w:rsidRDefault="005E1B63" w:rsidP="0030683F">
      <w:pPr>
        <w:numPr>
          <w:ilvl w:val="0"/>
          <w:numId w:val="3"/>
        </w:numPr>
        <w:tabs>
          <w:tab w:val="clear" w:pos="2160"/>
        </w:tabs>
        <w:autoSpaceDE w:val="0"/>
        <w:autoSpaceDN w:val="0"/>
        <w:spacing w:line="360" w:lineRule="auto"/>
        <w:ind w:left="0" w:firstLine="1440"/>
        <w:rPr>
          <w:bCs/>
          <w:color w:val="000000"/>
          <w:sz w:val="24"/>
          <w:szCs w:val="24"/>
        </w:rPr>
      </w:pPr>
      <w:r w:rsidRPr="005E1B63">
        <w:rPr>
          <w:sz w:val="24"/>
          <w:szCs w:val="24"/>
        </w:rPr>
        <w:t xml:space="preserve">That the Formal Complaint of </w:t>
      </w:r>
      <w:r w:rsidR="00B54554">
        <w:rPr>
          <w:sz w:val="24"/>
          <w:szCs w:val="24"/>
        </w:rPr>
        <w:t>the Office of Consumer Advocate</w:t>
      </w:r>
      <w:r w:rsidR="001B0811">
        <w:rPr>
          <w:sz w:val="24"/>
          <w:szCs w:val="24"/>
        </w:rPr>
        <w:t xml:space="preserve"> filed</w:t>
      </w:r>
      <w:r w:rsidRPr="005E1B63">
        <w:rPr>
          <w:sz w:val="24"/>
          <w:szCs w:val="24"/>
        </w:rPr>
        <w:t xml:space="preserve"> </w:t>
      </w:r>
      <w:r w:rsidR="001B0811">
        <w:rPr>
          <w:sz w:val="24"/>
          <w:szCs w:val="24"/>
        </w:rPr>
        <w:t xml:space="preserve">with the Commission </w:t>
      </w:r>
      <w:r w:rsidRPr="005E1B63">
        <w:rPr>
          <w:sz w:val="24"/>
          <w:szCs w:val="24"/>
        </w:rPr>
        <w:t>at Docket No. C-201</w:t>
      </w:r>
      <w:r w:rsidR="00B54554">
        <w:rPr>
          <w:sz w:val="24"/>
          <w:szCs w:val="24"/>
        </w:rPr>
        <w:t>2</w:t>
      </w:r>
      <w:r w:rsidRPr="005E1B63">
        <w:rPr>
          <w:sz w:val="24"/>
          <w:szCs w:val="24"/>
        </w:rPr>
        <w:t>-228</w:t>
      </w:r>
      <w:r w:rsidR="00B54554">
        <w:rPr>
          <w:sz w:val="24"/>
          <w:szCs w:val="24"/>
        </w:rPr>
        <w:t xml:space="preserve">5171 </w:t>
      </w:r>
      <w:r w:rsidR="001B0811">
        <w:rPr>
          <w:sz w:val="24"/>
          <w:szCs w:val="24"/>
        </w:rPr>
        <w:t xml:space="preserve">on January 26, 2012, </w:t>
      </w:r>
      <w:r w:rsidR="00B54554">
        <w:rPr>
          <w:sz w:val="24"/>
          <w:szCs w:val="24"/>
        </w:rPr>
        <w:t xml:space="preserve">and the Formal Complaint of the Office of Small Business Advocate </w:t>
      </w:r>
      <w:r w:rsidR="001B0811">
        <w:rPr>
          <w:sz w:val="24"/>
          <w:szCs w:val="24"/>
        </w:rPr>
        <w:t>filed with the Commission at Docket No. C-2012-</w:t>
      </w:r>
      <w:r w:rsidR="001B0811">
        <w:rPr>
          <w:sz w:val="24"/>
          <w:szCs w:val="24"/>
        </w:rPr>
        <w:lastRenderedPageBreak/>
        <w:t xml:space="preserve">2287034 on February 3, 2012, </w:t>
      </w:r>
      <w:r w:rsidR="00B54554">
        <w:rPr>
          <w:sz w:val="24"/>
          <w:szCs w:val="24"/>
        </w:rPr>
        <w:t xml:space="preserve">are </w:t>
      </w:r>
      <w:r w:rsidRPr="005E1B63">
        <w:rPr>
          <w:sz w:val="24"/>
          <w:szCs w:val="24"/>
        </w:rPr>
        <w:t xml:space="preserve">consolidated with </w:t>
      </w:r>
      <w:r w:rsidR="00B54554">
        <w:rPr>
          <w:sz w:val="24"/>
          <w:szCs w:val="24"/>
        </w:rPr>
        <w:t>Peoples TWP LLC</w:t>
      </w:r>
      <w:r w:rsidRPr="005E1B63">
        <w:rPr>
          <w:sz w:val="24"/>
          <w:szCs w:val="24"/>
        </w:rPr>
        <w:t xml:space="preserve">’s </w:t>
      </w:r>
      <w:r w:rsidR="00C23D3C">
        <w:rPr>
          <w:sz w:val="24"/>
          <w:szCs w:val="24"/>
        </w:rPr>
        <w:t>Purchase Gas Costs</w:t>
      </w:r>
      <w:r w:rsidR="0030683F">
        <w:rPr>
          <w:sz w:val="24"/>
          <w:szCs w:val="24"/>
        </w:rPr>
        <w:t xml:space="preserve"> </w:t>
      </w:r>
      <w:r w:rsidR="00C23D3C">
        <w:rPr>
          <w:sz w:val="24"/>
          <w:szCs w:val="24"/>
        </w:rPr>
        <w:t xml:space="preserve">(PGC) filing pursuant to 66 Pa. C.S. § 1307(f) </w:t>
      </w:r>
      <w:r w:rsidRPr="005E1B63">
        <w:rPr>
          <w:sz w:val="24"/>
          <w:szCs w:val="24"/>
        </w:rPr>
        <w:t xml:space="preserve">at Docket No. </w:t>
      </w:r>
      <w:r w:rsidRPr="005E1B63">
        <w:rPr>
          <w:bCs/>
          <w:color w:val="000000"/>
          <w:sz w:val="24"/>
          <w:szCs w:val="24"/>
        </w:rPr>
        <w:t>R-2011-22</w:t>
      </w:r>
      <w:r w:rsidR="00C23D3C">
        <w:rPr>
          <w:bCs/>
          <w:color w:val="000000"/>
          <w:sz w:val="24"/>
          <w:szCs w:val="24"/>
        </w:rPr>
        <w:t>73539</w:t>
      </w:r>
      <w:r w:rsidRPr="005E1B63">
        <w:rPr>
          <w:bCs/>
          <w:color w:val="000000"/>
          <w:sz w:val="24"/>
          <w:szCs w:val="24"/>
        </w:rPr>
        <w:t>.</w:t>
      </w:r>
    </w:p>
    <w:p w:rsidR="0030683F" w:rsidRPr="005E1B63" w:rsidRDefault="0030683F" w:rsidP="005E1B63">
      <w:pPr>
        <w:spacing w:line="360" w:lineRule="auto"/>
        <w:rPr>
          <w:sz w:val="24"/>
          <w:szCs w:val="24"/>
        </w:rPr>
      </w:pPr>
    </w:p>
    <w:p w:rsidR="005E1B63" w:rsidRPr="005E1B63" w:rsidRDefault="005E1B63" w:rsidP="00C23D3C">
      <w:pPr>
        <w:numPr>
          <w:ilvl w:val="0"/>
          <w:numId w:val="3"/>
        </w:numPr>
        <w:tabs>
          <w:tab w:val="clear" w:pos="2160"/>
        </w:tabs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 w:rsidRPr="005E1B63">
        <w:rPr>
          <w:sz w:val="24"/>
          <w:szCs w:val="24"/>
        </w:rPr>
        <w:t xml:space="preserve">That the </w:t>
      </w:r>
      <w:r w:rsidR="00C23D3C" w:rsidRPr="005E1B63">
        <w:rPr>
          <w:sz w:val="24"/>
          <w:szCs w:val="24"/>
        </w:rPr>
        <w:t xml:space="preserve">Joint Petition for Settlement of </w:t>
      </w:r>
      <w:r w:rsidR="00C23D3C">
        <w:rPr>
          <w:sz w:val="24"/>
          <w:szCs w:val="24"/>
        </w:rPr>
        <w:t xml:space="preserve">The </w:t>
      </w:r>
      <w:r w:rsidR="00C23D3C" w:rsidRPr="005E1B63">
        <w:rPr>
          <w:sz w:val="24"/>
          <w:szCs w:val="24"/>
        </w:rPr>
        <w:t xml:space="preserve">Rate Investigation </w:t>
      </w:r>
      <w:r w:rsidR="00C23D3C">
        <w:rPr>
          <w:sz w:val="24"/>
          <w:szCs w:val="24"/>
        </w:rPr>
        <w:t>Pursuant to 66 Pa. C.S. § 1307(f)</w:t>
      </w:r>
      <w:r w:rsidR="0030683F">
        <w:rPr>
          <w:sz w:val="24"/>
          <w:szCs w:val="24"/>
        </w:rPr>
        <w:t xml:space="preserve"> </w:t>
      </w:r>
      <w:r w:rsidRPr="005E1B63">
        <w:rPr>
          <w:sz w:val="24"/>
          <w:szCs w:val="24"/>
        </w:rPr>
        <w:t xml:space="preserve">filed by the </w:t>
      </w:r>
      <w:r w:rsidR="001B0811">
        <w:rPr>
          <w:sz w:val="24"/>
          <w:szCs w:val="24"/>
        </w:rPr>
        <w:t>Parties, I&amp;E, OCA, OSBA, and Peoples TWP</w:t>
      </w:r>
      <w:r w:rsidR="0030683F">
        <w:rPr>
          <w:sz w:val="24"/>
          <w:szCs w:val="24"/>
        </w:rPr>
        <w:t xml:space="preserve">, </w:t>
      </w:r>
      <w:r w:rsidR="001B0811">
        <w:rPr>
          <w:sz w:val="24"/>
          <w:szCs w:val="24"/>
        </w:rPr>
        <w:t>with the Commission on April 23, 2012</w:t>
      </w:r>
      <w:r w:rsidRPr="005E1B63">
        <w:rPr>
          <w:sz w:val="24"/>
          <w:szCs w:val="24"/>
        </w:rPr>
        <w:t>, is admitted into the record.</w:t>
      </w:r>
    </w:p>
    <w:p w:rsidR="005E1B63" w:rsidRPr="005E1B63" w:rsidRDefault="005E1B63" w:rsidP="005E1B63">
      <w:pPr>
        <w:autoSpaceDE w:val="0"/>
        <w:autoSpaceDN w:val="0"/>
        <w:ind w:left="720"/>
        <w:rPr>
          <w:sz w:val="24"/>
          <w:szCs w:val="24"/>
        </w:rPr>
      </w:pPr>
      <w:bookmarkStart w:id="0" w:name="_GoBack"/>
      <w:bookmarkEnd w:id="0"/>
    </w:p>
    <w:p w:rsidR="005E1B63" w:rsidRPr="005E1B63" w:rsidRDefault="005E1B63" w:rsidP="005E1B63">
      <w:pPr>
        <w:numPr>
          <w:ilvl w:val="0"/>
          <w:numId w:val="3"/>
        </w:numPr>
        <w:autoSpaceDE w:val="0"/>
        <w:autoSpaceDN w:val="0"/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 xml:space="preserve">That the record at Docket No. </w:t>
      </w:r>
      <w:r w:rsidRPr="005E1B63">
        <w:rPr>
          <w:bCs/>
          <w:color w:val="000000"/>
          <w:sz w:val="24"/>
          <w:szCs w:val="24"/>
        </w:rPr>
        <w:t>R-2011-22</w:t>
      </w:r>
      <w:r w:rsidR="0030683F">
        <w:rPr>
          <w:bCs/>
          <w:color w:val="000000"/>
          <w:sz w:val="24"/>
          <w:szCs w:val="24"/>
        </w:rPr>
        <w:t>73539</w:t>
      </w:r>
      <w:r w:rsidRPr="005E1B63">
        <w:rPr>
          <w:sz w:val="24"/>
          <w:szCs w:val="24"/>
        </w:rPr>
        <w:t xml:space="preserve"> is closed.</w:t>
      </w:r>
    </w:p>
    <w:p w:rsidR="005E1B63" w:rsidRPr="005E1B63" w:rsidRDefault="005E1B63" w:rsidP="005E1B63">
      <w:pPr>
        <w:spacing w:line="360" w:lineRule="auto"/>
        <w:ind w:left="1440"/>
        <w:rPr>
          <w:sz w:val="24"/>
          <w:szCs w:val="24"/>
        </w:rPr>
      </w:pPr>
      <w:r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227330</wp:posOffset>
            </wp:positionV>
            <wp:extent cx="2619375" cy="1047750"/>
            <wp:effectExtent l="0" t="0" r="9525" b="0"/>
            <wp:wrapNone/>
            <wp:docPr id="2" name="Picture 2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</w:rPr>
      </w:pP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  <w:u w:val="single"/>
        </w:rPr>
      </w:pPr>
      <w:r w:rsidRPr="005E1B63">
        <w:rPr>
          <w:rFonts w:ascii="CG Times" w:hAnsi="CG Times" w:cs="CG Times"/>
          <w:sz w:val="24"/>
          <w:szCs w:val="24"/>
        </w:rPr>
        <w:t xml:space="preserve">Date:  </w:t>
      </w:r>
      <w:r w:rsidR="0030683F">
        <w:rPr>
          <w:rFonts w:ascii="CG Times" w:hAnsi="CG Times" w:cs="CG Times"/>
          <w:sz w:val="24"/>
          <w:szCs w:val="24"/>
          <w:u w:val="single"/>
        </w:rPr>
        <w:t>May</w:t>
      </w:r>
      <w:r w:rsidRPr="005E1B63">
        <w:rPr>
          <w:rFonts w:ascii="CG Times" w:hAnsi="CG Times" w:cs="CG Times"/>
          <w:sz w:val="24"/>
          <w:szCs w:val="24"/>
          <w:u w:val="single"/>
        </w:rPr>
        <w:t xml:space="preserve"> 1</w:t>
      </w:r>
      <w:r w:rsidR="0030683F">
        <w:rPr>
          <w:rFonts w:ascii="CG Times" w:hAnsi="CG Times" w:cs="CG Times"/>
          <w:sz w:val="24"/>
          <w:szCs w:val="24"/>
          <w:u w:val="single"/>
        </w:rPr>
        <w:t>8</w:t>
      </w:r>
      <w:r w:rsidRPr="005E1B63">
        <w:rPr>
          <w:rFonts w:ascii="CG Times" w:hAnsi="CG Times" w:cs="CG Times"/>
          <w:sz w:val="24"/>
          <w:szCs w:val="24"/>
          <w:u w:val="single"/>
        </w:rPr>
        <w:t>, 201</w:t>
      </w:r>
      <w:r w:rsidR="0030683F">
        <w:rPr>
          <w:rFonts w:ascii="CG Times" w:hAnsi="CG Times" w:cs="CG Times"/>
          <w:sz w:val="24"/>
          <w:szCs w:val="24"/>
          <w:u w:val="single"/>
        </w:rPr>
        <w:t>2</w:t>
      </w: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  <w:u w:val="single"/>
        </w:rPr>
      </w:pP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  <w:u w:val="single"/>
        </w:rPr>
      </w:pPr>
    </w:p>
    <w:p w:rsidR="005E1B63" w:rsidRPr="005E1B63" w:rsidRDefault="005E1B63" w:rsidP="005E1B63">
      <w:pPr>
        <w:autoSpaceDE w:val="0"/>
        <w:autoSpaceDN w:val="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5E1B63" w:rsidRPr="005E1B63" w:rsidRDefault="005E1B63" w:rsidP="005E1B63">
      <w:pPr>
        <w:autoSpaceDE w:val="0"/>
        <w:autoSpaceDN w:val="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141E2D" w:rsidRDefault="00141E2D" w:rsidP="00277A9E">
      <w:pPr>
        <w:spacing w:line="360" w:lineRule="auto"/>
        <w:rPr>
          <w:sz w:val="24"/>
          <w:u w:val="single"/>
        </w:rPr>
      </w:pPr>
    </w:p>
    <w:p w:rsidR="006B29D9" w:rsidRPr="00155204" w:rsidRDefault="006B29D9" w:rsidP="006B29D9">
      <w:pPr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  <w:r w:rsidRPr="00155204">
        <w:rPr>
          <w:spacing w:val="-3"/>
          <w:sz w:val="24"/>
          <w:szCs w:val="24"/>
        </w:rPr>
        <w:tab/>
      </w:r>
      <w:r w:rsidRPr="00155204">
        <w:rPr>
          <w:spacing w:val="-3"/>
          <w:sz w:val="24"/>
          <w:szCs w:val="24"/>
        </w:rPr>
        <w:tab/>
      </w:r>
      <w:r w:rsidRPr="00155204">
        <w:rPr>
          <w:spacing w:val="-3"/>
          <w:sz w:val="24"/>
          <w:szCs w:val="24"/>
        </w:rPr>
        <w:tab/>
      </w:r>
      <w:r w:rsidRPr="00155204">
        <w:rPr>
          <w:spacing w:val="-3"/>
          <w:sz w:val="24"/>
          <w:szCs w:val="24"/>
        </w:rPr>
        <w:tab/>
      </w:r>
    </w:p>
    <w:p w:rsidR="006B29D9" w:rsidRPr="00155204" w:rsidRDefault="006B29D9" w:rsidP="006B29D9">
      <w:pPr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:rsidR="003F7007" w:rsidRDefault="003F7007" w:rsidP="006B29D9">
      <w:pPr>
        <w:ind w:right="1440"/>
        <w:rPr>
          <w:sz w:val="24"/>
          <w:szCs w:val="24"/>
        </w:rPr>
        <w:sectPr w:rsidR="003F7007" w:rsidSect="00B0678D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72"/>
        </w:sect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91AD2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lastRenderedPageBreak/>
        <w:t>R-2011-2273539 -</w:t>
      </w:r>
      <w:r w:rsidRPr="00B91AD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PUC v. PEOPLES TWP LLC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91AD2">
        <w:rPr>
          <w:rFonts w:ascii="Microsoft Sans Serif" w:hAnsi="Microsoft Sans Serif" w:cs="Microsoft Sans Serif"/>
          <w:b/>
          <w:sz w:val="24"/>
          <w:szCs w:val="24"/>
          <w:u w:val="single"/>
        </w:rPr>
        <w:t>C-2012-2285171 - OFFICE OF CONSUMER ADVOCATE v. PEOPLES TWP LLC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91AD2">
        <w:rPr>
          <w:rFonts w:ascii="Microsoft Sans Serif" w:hAnsi="Microsoft Sans Serif" w:cs="Microsoft Sans Serif"/>
          <w:b/>
          <w:sz w:val="24"/>
          <w:szCs w:val="24"/>
          <w:u w:val="single"/>
        </w:rPr>
        <w:t>C-2012-2287034 - OFFICE OF SMALL BUSINESS ADVOCATE v. PEOPLES TWP LLC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i/>
          <w:sz w:val="24"/>
          <w:szCs w:val="24"/>
        </w:rPr>
      </w:pPr>
      <w:r w:rsidRPr="00B91AD2">
        <w:rPr>
          <w:rFonts w:ascii="Microsoft Sans Serif" w:hAnsi="Microsoft Sans Serif" w:cs="Microsoft Sans Serif"/>
          <w:sz w:val="24"/>
          <w:szCs w:val="24"/>
        </w:rPr>
        <w:t>(</w:t>
      </w:r>
      <w:r w:rsidRPr="00B91AD2">
        <w:rPr>
          <w:rFonts w:ascii="Microsoft Sans Serif" w:hAnsi="Microsoft Sans Serif" w:cs="Microsoft Sans Serif"/>
          <w:i/>
          <w:sz w:val="24"/>
          <w:szCs w:val="24"/>
        </w:rPr>
        <w:t>Revised 2-15-12)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ANDREW S TUBBS ESQUIRE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POST &amp; SCHELL PC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17 NORTH SECOND STREET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12TH FLOOR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HARRISBURG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PA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17101-1601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DAVID T EVRARD ESQUIRE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OFFICE OF CONSUMER ADVOCATE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555 WALNUT STREET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5TH FLOOR FORUM PLACE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HARRISBURG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PA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17101-1923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ALLISON KASTER ESQUIRE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 xml:space="preserve">PA PUC BUREAU OF INVESTIGATION 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AND ENFORCEMENT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400 NORTH STREET 2</w:t>
      </w:r>
      <w:r w:rsidRPr="00B91AD2">
        <w:rPr>
          <w:rFonts w:ascii="Microsoft Sans Serif" w:hAnsi="Microsoft Sans Serif" w:cs="Microsoft Sans Serif"/>
          <w:noProof/>
          <w:sz w:val="24"/>
          <w:szCs w:val="24"/>
          <w:vertAlign w:val="superscript"/>
        </w:rPr>
        <w:t>ND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 xml:space="preserve"> FLOOR WEST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PO BOX 3265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HARRISBURG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PA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17105-3265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SHARON E WEBB ESQUIRE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OFFICE OF SMALL BUSINESS ADVOCATE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 xml:space="preserve">300 NORTH SECOND STREET SUITE 1102 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B91AD2">
        <w:rPr>
          <w:rFonts w:ascii="Microsoft Sans Serif" w:hAnsi="Microsoft Sans Serif" w:cs="Microsoft Sans Serif"/>
          <w:noProof/>
          <w:sz w:val="24"/>
          <w:szCs w:val="24"/>
        </w:rPr>
        <w:t>HARRISBURG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PA</w:t>
      </w:r>
      <w:r w:rsidRPr="00B91AD2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91AD2">
        <w:rPr>
          <w:rFonts w:ascii="Microsoft Sans Serif" w:hAnsi="Microsoft Sans Serif" w:cs="Microsoft Sans Serif"/>
          <w:noProof/>
          <w:sz w:val="24"/>
          <w:szCs w:val="24"/>
        </w:rPr>
        <w:t>17101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</w:p>
    <w:p w:rsidR="00B91AD2" w:rsidRDefault="00B91AD2" w:rsidP="00B91AD2">
      <w:pPr>
        <w:rPr>
          <w:rFonts w:ascii="Microsoft Sans Serif" w:hAnsi="Microsoft Sans Serif" w:cs="Microsoft Sans Serif"/>
          <w:noProof/>
        </w:rPr>
      </w:pPr>
    </w:p>
    <w:p w:rsidR="00B91AD2" w:rsidRPr="00795433" w:rsidRDefault="00B91AD2" w:rsidP="00B91AD2">
      <w:pPr>
        <w:pStyle w:val="ParaTab1"/>
        <w:ind w:firstLine="0"/>
      </w:pPr>
    </w:p>
    <w:p w:rsidR="00B91AD2" w:rsidRDefault="00B91AD2" w:rsidP="00B91AD2">
      <w:pPr>
        <w:autoSpaceDE w:val="0"/>
        <w:autoSpaceDN w:val="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3F7007" w:rsidRDefault="003F7007">
      <w:pPr>
        <w:autoSpaceDE w:val="0"/>
        <w:autoSpaceDN w:val="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sectPr w:rsidR="003F7007" w:rsidSect="003F7007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F5" w:rsidRDefault="00F524F5">
      <w:r>
        <w:separator/>
      </w:r>
    </w:p>
  </w:endnote>
  <w:endnote w:type="continuationSeparator" w:id="0">
    <w:p w:rsidR="00F524F5" w:rsidRDefault="00F5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AA" w:rsidRDefault="00987209" w:rsidP="000F7D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1AA" w:rsidRDefault="00F524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808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007" w:rsidRDefault="003F70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AA" w:rsidRDefault="00F524F5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F5" w:rsidRDefault="00F524F5">
      <w:r>
        <w:separator/>
      </w:r>
    </w:p>
  </w:footnote>
  <w:footnote w:type="continuationSeparator" w:id="0">
    <w:p w:rsidR="00F524F5" w:rsidRDefault="00F5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206855"/>
    <w:multiLevelType w:val="hybridMultilevel"/>
    <w:tmpl w:val="5C5A716A"/>
    <w:lvl w:ilvl="0" w:tplc="72DCBE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D9"/>
    <w:rsid w:val="00045E3B"/>
    <w:rsid w:val="000B186E"/>
    <w:rsid w:val="000C7A88"/>
    <w:rsid w:val="00112431"/>
    <w:rsid w:val="001250D5"/>
    <w:rsid w:val="0013685B"/>
    <w:rsid w:val="00141E2D"/>
    <w:rsid w:val="001436F4"/>
    <w:rsid w:val="00144636"/>
    <w:rsid w:val="001910E0"/>
    <w:rsid w:val="001B0811"/>
    <w:rsid w:val="001E1BC1"/>
    <w:rsid w:val="001F3408"/>
    <w:rsid w:val="0022743D"/>
    <w:rsid w:val="0023449D"/>
    <w:rsid w:val="002760C9"/>
    <w:rsid w:val="00277A9E"/>
    <w:rsid w:val="0029320E"/>
    <w:rsid w:val="002C091E"/>
    <w:rsid w:val="0030683F"/>
    <w:rsid w:val="003352E2"/>
    <w:rsid w:val="00342A24"/>
    <w:rsid w:val="00373D9A"/>
    <w:rsid w:val="00394CD3"/>
    <w:rsid w:val="003B507F"/>
    <w:rsid w:val="003E3874"/>
    <w:rsid w:val="003F4716"/>
    <w:rsid w:val="003F7007"/>
    <w:rsid w:val="00411B59"/>
    <w:rsid w:val="00487068"/>
    <w:rsid w:val="00497269"/>
    <w:rsid w:val="004B151A"/>
    <w:rsid w:val="004B4209"/>
    <w:rsid w:val="00505BF7"/>
    <w:rsid w:val="005E1B63"/>
    <w:rsid w:val="00601F97"/>
    <w:rsid w:val="00616D8B"/>
    <w:rsid w:val="00637FFD"/>
    <w:rsid w:val="0065100D"/>
    <w:rsid w:val="006728B1"/>
    <w:rsid w:val="0069154B"/>
    <w:rsid w:val="006B29D9"/>
    <w:rsid w:val="006C1AD8"/>
    <w:rsid w:val="00745E76"/>
    <w:rsid w:val="00750226"/>
    <w:rsid w:val="007E5438"/>
    <w:rsid w:val="00831AAB"/>
    <w:rsid w:val="00831D86"/>
    <w:rsid w:val="0085675A"/>
    <w:rsid w:val="00917221"/>
    <w:rsid w:val="00987209"/>
    <w:rsid w:val="009B04A5"/>
    <w:rsid w:val="009C45D8"/>
    <w:rsid w:val="009E512B"/>
    <w:rsid w:val="00A1550F"/>
    <w:rsid w:val="00A57563"/>
    <w:rsid w:val="00AD13E9"/>
    <w:rsid w:val="00B54554"/>
    <w:rsid w:val="00B91AD2"/>
    <w:rsid w:val="00BD15EF"/>
    <w:rsid w:val="00BE0342"/>
    <w:rsid w:val="00BF23D0"/>
    <w:rsid w:val="00C0535C"/>
    <w:rsid w:val="00C23D3C"/>
    <w:rsid w:val="00C6613E"/>
    <w:rsid w:val="00D348E6"/>
    <w:rsid w:val="00D44745"/>
    <w:rsid w:val="00DF7D5E"/>
    <w:rsid w:val="00E60A96"/>
    <w:rsid w:val="00EA6034"/>
    <w:rsid w:val="00EF1EEF"/>
    <w:rsid w:val="00F10C56"/>
    <w:rsid w:val="00F2337E"/>
    <w:rsid w:val="00F31A3E"/>
    <w:rsid w:val="00F362B5"/>
    <w:rsid w:val="00F44368"/>
    <w:rsid w:val="00F50C04"/>
    <w:rsid w:val="00F52007"/>
    <w:rsid w:val="00F524F5"/>
    <w:rsid w:val="00F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2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D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B29D9"/>
  </w:style>
  <w:style w:type="paragraph" w:styleId="BalloonText">
    <w:name w:val="Balloon Text"/>
    <w:basedOn w:val="Normal"/>
    <w:link w:val="BalloonTextChar"/>
    <w:uiPriority w:val="99"/>
    <w:semiHidden/>
    <w:unhideWhenUsed/>
    <w:rsid w:val="00A5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6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A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A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A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7269"/>
    <w:pPr>
      <w:ind w:left="720"/>
      <w:contextualSpacing/>
    </w:pPr>
  </w:style>
  <w:style w:type="paragraph" w:customStyle="1" w:styleId="ParaTab1">
    <w:name w:val="ParaTab 1"/>
    <w:rsid w:val="00B91AD2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0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2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D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B29D9"/>
  </w:style>
  <w:style w:type="paragraph" w:styleId="BalloonText">
    <w:name w:val="Balloon Text"/>
    <w:basedOn w:val="Normal"/>
    <w:link w:val="BalloonTextChar"/>
    <w:uiPriority w:val="99"/>
    <w:semiHidden/>
    <w:unhideWhenUsed/>
    <w:rsid w:val="00A5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6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A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A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A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7269"/>
    <w:pPr>
      <w:ind w:left="720"/>
      <w:contextualSpacing/>
    </w:pPr>
  </w:style>
  <w:style w:type="paragraph" w:customStyle="1" w:styleId="ParaTab1">
    <w:name w:val="ParaTab 1"/>
    <w:rsid w:val="00B91AD2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0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3E30-70E6-46B3-B0A3-B5B26E3B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bfaccenda</cp:lastModifiedBy>
  <cp:revision>9</cp:revision>
  <cp:lastPrinted>2012-05-18T14:08:00Z</cp:lastPrinted>
  <dcterms:created xsi:type="dcterms:W3CDTF">2012-05-18T13:22:00Z</dcterms:created>
  <dcterms:modified xsi:type="dcterms:W3CDTF">2012-05-18T14:08:00Z</dcterms:modified>
</cp:coreProperties>
</file>