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3240"/>
        <w:gridCol w:w="990"/>
        <w:gridCol w:w="2790"/>
      </w:tblGrid>
      <w:tr w:rsidR="00B065FE" w:rsidRPr="00620D6E" w:rsidTr="00542312">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2"/>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542312">
        <w:tc>
          <w:tcPr>
            <w:tcW w:w="2448" w:type="dxa"/>
          </w:tcPr>
          <w:p w:rsidR="00B065FE" w:rsidRPr="00620D6E" w:rsidRDefault="00B065FE">
            <w:pPr>
              <w:rPr>
                <w:color w:val="auto"/>
                <w:sz w:val="26"/>
                <w:szCs w:val="26"/>
              </w:rPr>
            </w:pPr>
          </w:p>
        </w:tc>
        <w:tc>
          <w:tcPr>
            <w:tcW w:w="4230" w:type="dxa"/>
            <w:gridSpan w:val="2"/>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A3124C" w:rsidRPr="00620D6E" w:rsidTr="00542312">
        <w:tc>
          <w:tcPr>
            <w:tcW w:w="9468" w:type="dxa"/>
            <w:gridSpan w:val="4"/>
          </w:tcPr>
          <w:p w:rsidR="00A3124C" w:rsidRPr="00F81A20" w:rsidRDefault="00A3124C" w:rsidP="00861628">
            <w:pPr>
              <w:pStyle w:val="p5"/>
              <w:rPr>
                <w:color w:val="000000"/>
                <w:sz w:val="26"/>
                <w:szCs w:val="26"/>
              </w:rPr>
            </w:pPr>
          </w:p>
        </w:tc>
      </w:tr>
      <w:tr w:rsidR="000535E4" w:rsidRPr="00620D6E" w:rsidTr="00542312">
        <w:tc>
          <w:tcPr>
            <w:tcW w:w="9468" w:type="dxa"/>
            <w:gridSpan w:val="4"/>
          </w:tcPr>
          <w:p w:rsidR="000535E4" w:rsidRPr="00F81A20" w:rsidRDefault="000535E4" w:rsidP="00861628">
            <w:pPr>
              <w:pStyle w:val="p5"/>
              <w:rPr>
                <w:color w:val="000000"/>
                <w:sz w:val="26"/>
                <w:szCs w:val="26"/>
              </w:rPr>
            </w:pPr>
          </w:p>
        </w:tc>
      </w:tr>
      <w:tr w:rsidR="00B065FE" w:rsidRPr="00620D6E" w:rsidTr="00542312">
        <w:tc>
          <w:tcPr>
            <w:tcW w:w="5688" w:type="dxa"/>
            <w:gridSpan w:val="2"/>
          </w:tcPr>
          <w:p w:rsidR="00B065FE" w:rsidRPr="00F81A20" w:rsidRDefault="00F55C41" w:rsidP="00832ECA">
            <w:pPr>
              <w:rPr>
                <w:color w:val="000000"/>
                <w:sz w:val="26"/>
                <w:szCs w:val="26"/>
              </w:rPr>
            </w:pPr>
            <w:r>
              <w:rPr>
                <w:color w:val="000000"/>
                <w:sz w:val="26"/>
                <w:szCs w:val="26"/>
              </w:rPr>
              <w:t>Application</w:t>
            </w:r>
            <w:r w:rsidR="00B065FE" w:rsidRPr="00F81A20">
              <w:rPr>
                <w:color w:val="000000"/>
                <w:sz w:val="26"/>
                <w:szCs w:val="26"/>
              </w:rPr>
              <w:t xml:space="preserve"> of </w:t>
            </w:r>
            <w:r w:rsidR="00832ECA">
              <w:rPr>
                <w:color w:val="000000"/>
                <w:sz w:val="26"/>
                <w:szCs w:val="26"/>
              </w:rPr>
              <w:t>Major Energy Services, LLC</w:t>
            </w:r>
            <w:r w:rsidR="0016409E">
              <w:rPr>
                <w:color w:val="000000"/>
                <w:sz w:val="26"/>
                <w:szCs w:val="26"/>
              </w:rPr>
              <w:t xml:space="preserve"> to Amend its Natural Gas Supplier License</w:t>
            </w:r>
          </w:p>
        </w:tc>
        <w:tc>
          <w:tcPr>
            <w:tcW w:w="3780" w:type="dxa"/>
            <w:gridSpan w:val="2"/>
          </w:tcPr>
          <w:p w:rsidR="00B065FE" w:rsidRPr="00F81A20" w:rsidRDefault="00F81A20" w:rsidP="00832ECA">
            <w:pPr>
              <w:ind w:firstLine="1332"/>
              <w:rPr>
                <w:color w:val="000000"/>
                <w:sz w:val="26"/>
                <w:szCs w:val="26"/>
              </w:rPr>
            </w:pPr>
            <w:r w:rsidRPr="00F81A20">
              <w:rPr>
                <w:color w:val="000000"/>
                <w:sz w:val="26"/>
                <w:szCs w:val="26"/>
              </w:rPr>
              <w:t>A-</w:t>
            </w:r>
            <w:r w:rsidR="00832ECA">
              <w:rPr>
                <w:color w:val="000000"/>
                <w:sz w:val="26"/>
                <w:szCs w:val="26"/>
              </w:rPr>
              <w:t>2009-2118836</w:t>
            </w:r>
          </w:p>
        </w:tc>
      </w:tr>
      <w:tr w:rsidR="00CD03C5" w:rsidRPr="00620D6E" w:rsidTr="00542312">
        <w:tc>
          <w:tcPr>
            <w:tcW w:w="5688" w:type="dxa"/>
            <w:gridSpan w:val="2"/>
          </w:tcPr>
          <w:p w:rsidR="00CD03C5" w:rsidRPr="00620D6E" w:rsidRDefault="00CD03C5" w:rsidP="00894584">
            <w:pPr>
              <w:spacing w:line="360" w:lineRule="auto"/>
              <w:rPr>
                <w:color w:val="auto"/>
                <w:sz w:val="26"/>
                <w:szCs w:val="26"/>
              </w:rPr>
            </w:pPr>
          </w:p>
        </w:tc>
        <w:tc>
          <w:tcPr>
            <w:tcW w:w="3780" w:type="dxa"/>
            <w:gridSpan w:val="2"/>
            <w:vAlign w:val="center"/>
          </w:tcPr>
          <w:p w:rsidR="00CD03C5" w:rsidRPr="00620D6E" w:rsidRDefault="00CD03C5" w:rsidP="00CD03C5">
            <w:pPr>
              <w:jc w:val="center"/>
              <w:rPr>
                <w:color w:val="auto"/>
                <w:sz w:val="26"/>
                <w:szCs w:val="26"/>
              </w:rPr>
            </w:pPr>
          </w:p>
        </w:tc>
      </w:tr>
    </w:tbl>
    <w:p w:rsidR="00B065FE" w:rsidRPr="00620D6E" w:rsidRDefault="007517BF" w:rsidP="00894584">
      <w:pPr>
        <w:spacing w:line="360" w:lineRule="auto"/>
        <w:jc w:val="center"/>
        <w:rPr>
          <w:color w:val="auto"/>
          <w:sz w:val="26"/>
          <w:szCs w:val="26"/>
        </w:rPr>
      </w:pPr>
      <w:r>
        <w:rPr>
          <w:b/>
          <w:color w:val="auto"/>
          <w:sz w:val="26"/>
          <w:szCs w:val="26"/>
        </w:rPr>
        <w:t>FINAL</w:t>
      </w:r>
      <w:r w:rsidR="00471D68">
        <w:rPr>
          <w:b/>
          <w:color w:val="auto"/>
          <w:sz w:val="26"/>
          <w:szCs w:val="26"/>
        </w:rPr>
        <w:t xml:space="preserve"> </w:t>
      </w:r>
      <w:r w:rsidR="00B065FE" w:rsidRPr="00620D6E">
        <w:rPr>
          <w:b/>
          <w:color w:val="auto"/>
          <w:sz w:val="26"/>
          <w:szCs w:val="26"/>
        </w:rPr>
        <w:t>ORDER</w:t>
      </w:r>
    </w:p>
    <w:p w:rsidR="00B065FE" w:rsidRPr="00620D6E" w:rsidRDefault="00B065FE">
      <w:pPr>
        <w:rPr>
          <w:b/>
          <w:color w:val="auto"/>
          <w:sz w:val="26"/>
          <w:szCs w:val="26"/>
        </w:rPr>
      </w:pPr>
    </w:p>
    <w:p w:rsidR="000034CB" w:rsidRPr="00620D6E" w:rsidRDefault="000034CB" w:rsidP="00894584">
      <w:pPr>
        <w:spacing w:line="360" w:lineRule="auto"/>
        <w:contextualSpacing/>
        <w:rPr>
          <w:b/>
          <w:color w:val="auto"/>
          <w:sz w:val="26"/>
          <w:szCs w:val="26"/>
        </w:rPr>
      </w:pPr>
    </w:p>
    <w:p w:rsidR="00317329" w:rsidRPr="00705620" w:rsidRDefault="007517BF" w:rsidP="007517BF">
      <w:pPr>
        <w:tabs>
          <w:tab w:val="left" w:pos="-1440"/>
          <w:tab w:val="left" w:pos="-720"/>
        </w:tabs>
        <w:suppressAutoHyphens/>
        <w:spacing w:line="360" w:lineRule="auto"/>
        <w:ind w:firstLine="1440"/>
        <w:rPr>
          <w:color w:val="000000" w:themeColor="text1"/>
          <w:spacing w:val="-3"/>
          <w:kern w:val="1"/>
          <w:sz w:val="26"/>
          <w:szCs w:val="26"/>
        </w:rPr>
      </w:pPr>
      <w:r>
        <w:rPr>
          <w:color w:val="000000" w:themeColor="text1"/>
          <w:sz w:val="26"/>
          <w:szCs w:val="26"/>
        </w:rPr>
        <w:t>Since there have been no adverse comments</w:t>
      </w:r>
      <w:r w:rsidR="009541F1">
        <w:rPr>
          <w:color w:val="000000" w:themeColor="text1"/>
          <w:sz w:val="26"/>
          <w:szCs w:val="26"/>
        </w:rPr>
        <w:t xml:space="preserve"> filed</w:t>
      </w:r>
      <w:r>
        <w:rPr>
          <w:color w:val="000000" w:themeColor="text1"/>
          <w:sz w:val="26"/>
          <w:szCs w:val="26"/>
        </w:rPr>
        <w:t xml:space="preserve">, the Commission’s Tentative Order, adopted </w:t>
      </w:r>
      <w:r w:rsidR="009541F1">
        <w:rPr>
          <w:color w:val="000000" w:themeColor="text1"/>
          <w:sz w:val="26"/>
          <w:szCs w:val="26"/>
        </w:rPr>
        <w:t>March 29</w:t>
      </w:r>
      <w:r>
        <w:rPr>
          <w:color w:val="000000" w:themeColor="text1"/>
          <w:sz w:val="26"/>
          <w:szCs w:val="26"/>
        </w:rPr>
        <w:t>, 2012, at Docket No. A-2009-2118836, has become final without further Commission action;</w:t>
      </w:r>
    </w:p>
    <w:p w:rsidR="00293753" w:rsidRDefault="00293753" w:rsidP="00E17D5D">
      <w:pPr>
        <w:tabs>
          <w:tab w:val="left" w:pos="0"/>
        </w:tabs>
        <w:suppressAutoHyphens/>
        <w:spacing w:line="360" w:lineRule="auto"/>
        <w:ind w:firstLine="1440"/>
        <w:rPr>
          <w:color w:val="auto"/>
          <w:spacing w:val="-3"/>
          <w:kern w:val="1"/>
          <w:sz w:val="26"/>
          <w:szCs w:val="26"/>
        </w:rPr>
      </w:pPr>
    </w:p>
    <w:p w:rsidR="00B065FE" w:rsidRDefault="00B065FE" w:rsidP="00E17D5D">
      <w:pPr>
        <w:tabs>
          <w:tab w:val="left" w:pos="0"/>
        </w:tabs>
        <w:suppressAutoHyphens/>
        <w:spacing w:line="360" w:lineRule="auto"/>
        <w:ind w:firstLine="1440"/>
        <w:rPr>
          <w:b/>
          <w:color w:val="auto"/>
          <w:spacing w:val="-3"/>
          <w:kern w:val="1"/>
          <w:sz w:val="26"/>
          <w:szCs w:val="26"/>
        </w:rPr>
      </w:pPr>
      <w:r w:rsidRPr="00620D6E">
        <w:rPr>
          <w:b/>
          <w:color w:val="auto"/>
          <w:spacing w:val="-3"/>
          <w:kern w:val="1"/>
          <w:sz w:val="26"/>
          <w:szCs w:val="26"/>
        </w:rPr>
        <w:t>THEREFORE,</w:t>
      </w:r>
    </w:p>
    <w:p w:rsidR="00242BB6" w:rsidRPr="00620D6E" w:rsidRDefault="00242BB6" w:rsidP="00E17D5D">
      <w:pPr>
        <w:tabs>
          <w:tab w:val="left" w:pos="0"/>
        </w:tabs>
        <w:suppressAutoHyphens/>
        <w:spacing w:line="360" w:lineRule="auto"/>
        <w:ind w:firstLine="1440"/>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Default="00B065FE" w:rsidP="00E17D5D">
      <w:pPr>
        <w:tabs>
          <w:tab w:val="left" w:pos="0"/>
        </w:tabs>
        <w:suppressAutoHyphens/>
        <w:spacing w:line="360" w:lineRule="auto"/>
        <w:ind w:firstLine="1440"/>
        <w:rPr>
          <w:color w:val="000000" w:themeColor="text1"/>
          <w:spacing w:val="-3"/>
          <w:kern w:val="1"/>
          <w:sz w:val="26"/>
          <w:szCs w:val="26"/>
        </w:rPr>
      </w:pPr>
      <w:r w:rsidRPr="00620D6E">
        <w:rPr>
          <w:color w:val="auto"/>
          <w:spacing w:val="-3"/>
          <w:kern w:val="1"/>
          <w:sz w:val="26"/>
          <w:szCs w:val="26"/>
        </w:rPr>
        <w:t>1.</w:t>
      </w:r>
      <w:r w:rsidR="00E17D5D" w:rsidRPr="00CB2F64">
        <w:rPr>
          <w:color w:val="000000" w:themeColor="text1"/>
          <w:spacing w:val="-3"/>
          <w:kern w:val="1"/>
          <w:sz w:val="26"/>
          <w:szCs w:val="26"/>
        </w:rPr>
        <w:tab/>
      </w:r>
      <w:r w:rsidRPr="00CB2F64">
        <w:rPr>
          <w:color w:val="000000" w:themeColor="text1"/>
          <w:spacing w:val="-3"/>
          <w:kern w:val="1"/>
          <w:sz w:val="26"/>
          <w:szCs w:val="26"/>
        </w:rPr>
        <w:t xml:space="preserve">That the application of </w:t>
      </w:r>
      <w:r w:rsidR="00832ECA">
        <w:rPr>
          <w:color w:val="000000" w:themeColor="text1"/>
          <w:spacing w:val="-3"/>
          <w:kern w:val="1"/>
          <w:sz w:val="26"/>
          <w:szCs w:val="26"/>
        </w:rPr>
        <w:t>Major Energy Services, LLC</w:t>
      </w:r>
      <w:r w:rsidR="00705620" w:rsidRPr="00CB2F64">
        <w:rPr>
          <w:color w:val="000000" w:themeColor="text1"/>
          <w:spacing w:val="-3"/>
          <w:kern w:val="1"/>
          <w:sz w:val="26"/>
          <w:szCs w:val="26"/>
        </w:rPr>
        <w:t xml:space="preserve"> </w:t>
      </w:r>
      <w:r w:rsidR="009541F1">
        <w:rPr>
          <w:color w:val="000000" w:themeColor="text1"/>
          <w:spacing w:val="-3"/>
          <w:kern w:val="1"/>
          <w:sz w:val="26"/>
          <w:szCs w:val="26"/>
        </w:rPr>
        <w:t xml:space="preserve">(Major Energy) </w:t>
      </w:r>
      <w:r w:rsidR="00D85F0F">
        <w:rPr>
          <w:color w:val="000000" w:themeColor="text1"/>
          <w:spacing w:val="-3"/>
          <w:kern w:val="1"/>
          <w:sz w:val="26"/>
          <w:szCs w:val="26"/>
        </w:rPr>
        <w:t>is</w:t>
      </w:r>
      <w:r w:rsidRPr="00CB2F64">
        <w:rPr>
          <w:color w:val="000000" w:themeColor="text1"/>
          <w:spacing w:val="-3"/>
          <w:kern w:val="1"/>
          <w:sz w:val="26"/>
          <w:szCs w:val="26"/>
        </w:rPr>
        <w:t xml:space="preserve"> hereby</w:t>
      </w:r>
      <w:r w:rsidR="00C30802">
        <w:rPr>
          <w:color w:val="000000" w:themeColor="text1"/>
          <w:spacing w:val="-3"/>
          <w:kern w:val="1"/>
          <w:sz w:val="26"/>
          <w:szCs w:val="26"/>
        </w:rPr>
        <w:t xml:space="preserve"> </w:t>
      </w:r>
      <w:r w:rsidRPr="00CB2F64">
        <w:rPr>
          <w:color w:val="000000" w:themeColor="text1"/>
          <w:spacing w:val="-3"/>
          <w:kern w:val="1"/>
          <w:sz w:val="26"/>
          <w:szCs w:val="26"/>
        </w:rPr>
        <w:t>approved, consistent with this Order.</w:t>
      </w:r>
    </w:p>
    <w:p w:rsidR="005401D5" w:rsidRPr="00620D6E" w:rsidRDefault="005401D5" w:rsidP="005401D5">
      <w:pPr>
        <w:tabs>
          <w:tab w:val="left" w:pos="0"/>
        </w:tabs>
        <w:suppressAutoHyphens/>
        <w:spacing w:line="360" w:lineRule="auto"/>
        <w:ind w:left="1440"/>
        <w:rPr>
          <w:color w:val="auto"/>
          <w:spacing w:val="-3"/>
          <w:kern w:val="1"/>
          <w:sz w:val="26"/>
          <w:szCs w:val="26"/>
        </w:rPr>
      </w:pPr>
    </w:p>
    <w:p w:rsidR="002D5CFF" w:rsidRPr="003B1911" w:rsidRDefault="007517BF" w:rsidP="002D5CFF">
      <w:pPr>
        <w:tabs>
          <w:tab w:val="left" w:pos="0"/>
        </w:tabs>
        <w:suppressAutoHyphens/>
        <w:spacing w:line="360" w:lineRule="auto"/>
        <w:ind w:firstLine="1440"/>
        <w:rPr>
          <w:color w:val="auto"/>
          <w:sz w:val="26"/>
          <w:szCs w:val="26"/>
        </w:rPr>
      </w:pPr>
      <w:r>
        <w:rPr>
          <w:color w:val="000000" w:themeColor="text1"/>
          <w:spacing w:val="-3"/>
          <w:kern w:val="1"/>
          <w:sz w:val="26"/>
          <w:szCs w:val="26"/>
        </w:rPr>
        <w:t>2</w:t>
      </w:r>
      <w:r w:rsidR="00B065FE" w:rsidRPr="000B6F4C">
        <w:rPr>
          <w:color w:val="000000" w:themeColor="text1"/>
          <w:spacing w:val="-3"/>
          <w:kern w:val="1"/>
          <w:sz w:val="26"/>
          <w:szCs w:val="26"/>
        </w:rPr>
        <w:t>.</w:t>
      </w:r>
      <w:r w:rsidR="00E17D5D" w:rsidRPr="000B6F4C">
        <w:rPr>
          <w:color w:val="000000" w:themeColor="text1"/>
          <w:spacing w:val="-3"/>
          <w:kern w:val="1"/>
          <w:sz w:val="26"/>
          <w:szCs w:val="26"/>
        </w:rPr>
        <w:tab/>
      </w:r>
      <w:r w:rsidR="00894584" w:rsidRPr="00DB2A91">
        <w:rPr>
          <w:color w:val="auto"/>
          <w:spacing w:val="-3"/>
          <w:kern w:val="1"/>
          <w:sz w:val="26"/>
          <w:szCs w:val="26"/>
        </w:rPr>
        <w:t>That</w:t>
      </w:r>
      <w:r w:rsidR="005401D5">
        <w:rPr>
          <w:color w:val="auto"/>
          <w:spacing w:val="-3"/>
          <w:kern w:val="1"/>
          <w:sz w:val="26"/>
          <w:szCs w:val="26"/>
        </w:rPr>
        <w:t xml:space="preserve"> </w:t>
      </w:r>
      <w:r w:rsidR="00894584">
        <w:rPr>
          <w:color w:val="auto"/>
          <w:spacing w:val="-3"/>
          <w:kern w:val="1"/>
          <w:sz w:val="26"/>
          <w:szCs w:val="26"/>
        </w:rPr>
        <w:t xml:space="preserve">a license be issued authorizing </w:t>
      </w:r>
      <w:r w:rsidR="00832ECA">
        <w:rPr>
          <w:color w:val="auto"/>
          <w:spacing w:val="-3"/>
          <w:kern w:val="1"/>
          <w:sz w:val="26"/>
          <w:szCs w:val="26"/>
        </w:rPr>
        <w:t>Major Energy Services, LLC</w:t>
      </w:r>
      <w:r w:rsidR="00894584">
        <w:rPr>
          <w:color w:val="auto"/>
          <w:spacing w:val="-3"/>
          <w:kern w:val="1"/>
          <w:sz w:val="26"/>
          <w:szCs w:val="26"/>
        </w:rPr>
        <w:t xml:space="preserve"> to begin to offer, render, furnish or supply natural gas supply services </w:t>
      </w:r>
      <w:r w:rsidR="000F300D">
        <w:rPr>
          <w:color w:val="auto"/>
          <w:spacing w:val="-3"/>
          <w:kern w:val="1"/>
          <w:sz w:val="26"/>
          <w:szCs w:val="26"/>
        </w:rPr>
        <w:t>to</w:t>
      </w:r>
      <w:r w:rsidR="00EE0B21">
        <w:rPr>
          <w:color w:val="auto"/>
          <w:spacing w:val="-3"/>
          <w:kern w:val="1"/>
          <w:sz w:val="26"/>
          <w:szCs w:val="26"/>
        </w:rPr>
        <w:t xml:space="preserve"> </w:t>
      </w:r>
      <w:r w:rsidR="00304DED">
        <w:rPr>
          <w:color w:val="auto"/>
          <w:spacing w:val="-3"/>
          <w:kern w:val="1"/>
          <w:sz w:val="26"/>
          <w:szCs w:val="26"/>
        </w:rPr>
        <w:t xml:space="preserve">residential, </w:t>
      </w:r>
      <w:r w:rsidR="009C4D57">
        <w:rPr>
          <w:color w:val="auto"/>
          <w:spacing w:val="-3"/>
          <w:kern w:val="1"/>
          <w:sz w:val="26"/>
          <w:szCs w:val="26"/>
        </w:rPr>
        <w:t>small</w:t>
      </w:r>
      <w:r w:rsidR="00304DED">
        <w:rPr>
          <w:color w:val="auto"/>
          <w:spacing w:val="-3"/>
          <w:kern w:val="1"/>
          <w:sz w:val="26"/>
          <w:szCs w:val="26"/>
        </w:rPr>
        <w:t xml:space="preserve"> commercial</w:t>
      </w:r>
      <w:r w:rsidR="009C4D57">
        <w:rPr>
          <w:color w:val="auto"/>
          <w:spacing w:val="-3"/>
          <w:kern w:val="1"/>
          <w:sz w:val="26"/>
          <w:szCs w:val="26"/>
        </w:rPr>
        <w:t xml:space="preserve"> and </w:t>
      </w:r>
      <w:r w:rsidR="00EE0B21">
        <w:rPr>
          <w:color w:val="auto"/>
          <w:spacing w:val="-3"/>
          <w:kern w:val="1"/>
          <w:sz w:val="26"/>
          <w:szCs w:val="26"/>
        </w:rPr>
        <w:t>large commercial customers</w:t>
      </w:r>
      <w:r w:rsidR="000F300D">
        <w:rPr>
          <w:color w:val="auto"/>
          <w:spacing w:val="-3"/>
          <w:kern w:val="1"/>
          <w:sz w:val="26"/>
          <w:szCs w:val="26"/>
        </w:rPr>
        <w:t xml:space="preserve"> in the additional natural gas distribution company service territor</w:t>
      </w:r>
      <w:r w:rsidR="00304DED">
        <w:rPr>
          <w:color w:val="auto"/>
          <w:spacing w:val="-3"/>
          <w:kern w:val="1"/>
          <w:sz w:val="26"/>
          <w:szCs w:val="26"/>
        </w:rPr>
        <w:t>ies</w:t>
      </w:r>
      <w:r w:rsidR="000F300D">
        <w:rPr>
          <w:color w:val="auto"/>
          <w:spacing w:val="-3"/>
          <w:kern w:val="1"/>
          <w:sz w:val="26"/>
          <w:szCs w:val="26"/>
        </w:rPr>
        <w:t xml:space="preserve"> of </w:t>
      </w:r>
      <w:r w:rsidR="00832ECA">
        <w:rPr>
          <w:color w:val="auto"/>
          <w:spacing w:val="-3"/>
          <w:kern w:val="1"/>
          <w:sz w:val="26"/>
          <w:szCs w:val="26"/>
        </w:rPr>
        <w:t xml:space="preserve">PECO Energy Company, UGI Utilities, Inc., </w:t>
      </w:r>
      <w:r w:rsidR="008459F2">
        <w:rPr>
          <w:color w:val="auto"/>
          <w:spacing w:val="-3"/>
          <w:kern w:val="1"/>
          <w:sz w:val="26"/>
          <w:szCs w:val="26"/>
        </w:rPr>
        <w:t>UGI Penn</w:t>
      </w:r>
      <w:r w:rsidR="003823E3">
        <w:rPr>
          <w:color w:val="auto"/>
          <w:spacing w:val="-3"/>
          <w:kern w:val="1"/>
          <w:sz w:val="26"/>
          <w:szCs w:val="26"/>
        </w:rPr>
        <w:t xml:space="preserve"> </w:t>
      </w:r>
      <w:r w:rsidR="00CE3822">
        <w:rPr>
          <w:color w:val="auto"/>
          <w:spacing w:val="-3"/>
          <w:kern w:val="1"/>
          <w:sz w:val="26"/>
          <w:szCs w:val="26"/>
        </w:rPr>
        <w:t xml:space="preserve">Natural </w:t>
      </w:r>
      <w:r w:rsidR="003823E3">
        <w:rPr>
          <w:color w:val="auto"/>
          <w:spacing w:val="-3"/>
          <w:kern w:val="1"/>
          <w:sz w:val="26"/>
          <w:szCs w:val="26"/>
        </w:rPr>
        <w:t>Gas</w:t>
      </w:r>
      <w:r w:rsidR="00144BEB">
        <w:rPr>
          <w:color w:val="auto"/>
          <w:spacing w:val="-3"/>
          <w:kern w:val="1"/>
          <w:sz w:val="26"/>
          <w:szCs w:val="26"/>
        </w:rPr>
        <w:t>, Inc</w:t>
      </w:r>
      <w:r w:rsidR="003823E3">
        <w:rPr>
          <w:color w:val="auto"/>
          <w:spacing w:val="-3"/>
          <w:kern w:val="1"/>
          <w:sz w:val="26"/>
          <w:szCs w:val="26"/>
        </w:rPr>
        <w:t>.</w:t>
      </w:r>
      <w:r w:rsidR="00832ECA">
        <w:rPr>
          <w:color w:val="auto"/>
          <w:spacing w:val="-3"/>
          <w:kern w:val="1"/>
          <w:sz w:val="26"/>
          <w:szCs w:val="26"/>
        </w:rPr>
        <w:t xml:space="preserve"> and UGI Central Penn Gas, Inc</w:t>
      </w:r>
      <w:r w:rsidR="002D5CFF">
        <w:rPr>
          <w:color w:val="auto"/>
          <w:spacing w:val="-3"/>
          <w:kern w:val="1"/>
          <w:sz w:val="26"/>
          <w:szCs w:val="26"/>
        </w:rPr>
        <w:t>.</w:t>
      </w:r>
      <w:r w:rsidR="002D5CFF" w:rsidRPr="003B1911">
        <w:rPr>
          <w:color w:val="auto"/>
          <w:sz w:val="26"/>
          <w:szCs w:val="26"/>
        </w:rPr>
        <w:t>, subject to the following conditions, which will apply for a term of eighteen months from the date of entry of this Order (Term).  To the maximum extent possible, these conditions shall be construed to be consistent with the Commission’s regulations.  In the event of a conflict, the following conditions shall control:</w:t>
      </w:r>
    </w:p>
    <w:p w:rsidR="002D5CFF" w:rsidRDefault="002D5CFF" w:rsidP="002D5CFF">
      <w:pPr>
        <w:pStyle w:val="Style"/>
        <w:spacing w:before="240" w:line="264" w:lineRule="exact"/>
        <w:ind w:left="2160" w:right="1440" w:hanging="720"/>
        <w:rPr>
          <w:color w:val="000000"/>
          <w:sz w:val="26"/>
          <w:szCs w:val="26"/>
        </w:rPr>
      </w:pPr>
      <w:r>
        <w:rPr>
          <w:color w:val="000000"/>
          <w:sz w:val="26"/>
          <w:szCs w:val="26"/>
        </w:rPr>
        <w:lastRenderedPageBreak/>
        <w:t>a.</w:t>
      </w:r>
      <w:r>
        <w:rPr>
          <w:color w:val="000000"/>
          <w:sz w:val="26"/>
          <w:szCs w:val="26"/>
        </w:rPr>
        <w:tab/>
      </w:r>
      <w:r w:rsidR="00CE62CA" w:rsidRPr="00CE62CA">
        <w:rPr>
          <w:color w:val="000000"/>
          <w:sz w:val="26"/>
          <w:szCs w:val="26"/>
        </w:rPr>
        <w:t xml:space="preserve">Major Energy shall fully comply with the </w:t>
      </w:r>
      <w:r w:rsidR="00CE62CA">
        <w:rPr>
          <w:color w:val="000000"/>
          <w:sz w:val="26"/>
          <w:szCs w:val="26"/>
        </w:rPr>
        <w:t>C</w:t>
      </w:r>
      <w:r w:rsidR="00CE62CA" w:rsidRPr="00CE62CA">
        <w:rPr>
          <w:color w:val="000000"/>
          <w:sz w:val="26"/>
          <w:szCs w:val="26"/>
        </w:rPr>
        <w:t>ommission’s supplier marketing guidelines (Order and Annex A on Interim Guidelines on Marketing and Sales Practices for Electric Generation Suppliers and Natural Gas Suppliers.  Docket No. M-2010-2185981. November 4, 2010)</w:t>
      </w:r>
      <w:r>
        <w:rPr>
          <w:color w:val="000000"/>
          <w:sz w:val="26"/>
          <w:szCs w:val="26"/>
        </w:rPr>
        <w:t xml:space="preserve">; </w:t>
      </w:r>
    </w:p>
    <w:p w:rsidR="00332CBF" w:rsidRDefault="00332CBF" w:rsidP="002D5CFF">
      <w:pPr>
        <w:pStyle w:val="Style"/>
        <w:spacing w:before="240" w:line="264" w:lineRule="exact"/>
        <w:ind w:left="2160" w:right="1440" w:hanging="720"/>
        <w:rPr>
          <w:color w:val="000000"/>
          <w:sz w:val="26"/>
          <w:szCs w:val="26"/>
        </w:rPr>
      </w:pPr>
      <w:r>
        <w:rPr>
          <w:color w:val="000000"/>
          <w:sz w:val="26"/>
          <w:szCs w:val="26"/>
        </w:rPr>
        <w:t>b.</w:t>
      </w:r>
      <w:r>
        <w:rPr>
          <w:color w:val="000000"/>
          <w:sz w:val="26"/>
          <w:szCs w:val="26"/>
        </w:rPr>
        <w:tab/>
        <w:t xml:space="preserve">In its response to </w:t>
      </w:r>
      <w:r w:rsidR="00817964">
        <w:rPr>
          <w:color w:val="000000"/>
          <w:sz w:val="26"/>
          <w:szCs w:val="26"/>
        </w:rPr>
        <w:t xml:space="preserve">the Commission’s </w:t>
      </w:r>
      <w:r>
        <w:rPr>
          <w:color w:val="000000"/>
          <w:sz w:val="26"/>
          <w:szCs w:val="26"/>
        </w:rPr>
        <w:t>Bureau of Consumer Services (BCS) regarding a complaint alleging slamming, improper enrollment or deception, Major Energy shall provide BCS with copies of the documentation that Major Energy has supporting its position.  The documentation can include written enrollment forms, disclosure statements, audio recording</w:t>
      </w:r>
      <w:r w:rsidR="00817964">
        <w:rPr>
          <w:color w:val="000000"/>
          <w:sz w:val="26"/>
          <w:szCs w:val="26"/>
        </w:rPr>
        <w:t>s</w:t>
      </w:r>
      <w:r>
        <w:rPr>
          <w:color w:val="000000"/>
          <w:sz w:val="26"/>
          <w:szCs w:val="26"/>
        </w:rPr>
        <w:t xml:space="preserve">, </w:t>
      </w:r>
      <w:r w:rsidR="00817964">
        <w:rPr>
          <w:color w:val="000000"/>
          <w:sz w:val="26"/>
          <w:szCs w:val="26"/>
        </w:rPr>
        <w:t>third party verification</w:t>
      </w:r>
      <w:r>
        <w:rPr>
          <w:color w:val="000000"/>
          <w:sz w:val="26"/>
          <w:szCs w:val="26"/>
        </w:rPr>
        <w:t>, marketing and sales materials and any other relevant documentation.  Failure to provide documentation supporting an enrollment may result in a finding against Major Energy and possible referral to the Commission’s office responsible for enforcement action.</w:t>
      </w:r>
    </w:p>
    <w:p w:rsidR="002D5CFF" w:rsidRDefault="00817964" w:rsidP="002D5CFF">
      <w:pPr>
        <w:pStyle w:val="Style"/>
        <w:spacing w:before="230" w:line="264" w:lineRule="exact"/>
        <w:ind w:left="2160" w:right="1440" w:hanging="720"/>
        <w:rPr>
          <w:color w:val="000000"/>
          <w:sz w:val="26"/>
          <w:szCs w:val="26"/>
        </w:rPr>
      </w:pPr>
      <w:r>
        <w:rPr>
          <w:color w:val="000000"/>
          <w:sz w:val="26"/>
          <w:szCs w:val="26"/>
        </w:rPr>
        <w:t>c</w:t>
      </w:r>
      <w:r w:rsidR="002D5CFF">
        <w:rPr>
          <w:color w:val="000000"/>
          <w:sz w:val="26"/>
          <w:szCs w:val="26"/>
        </w:rPr>
        <w:t>.</w:t>
      </w:r>
      <w:r w:rsidR="002D5CFF">
        <w:rPr>
          <w:color w:val="000000"/>
          <w:sz w:val="26"/>
          <w:szCs w:val="26"/>
        </w:rPr>
        <w:tab/>
        <w:t>Major Energy will provide a report</w:t>
      </w:r>
      <w:r w:rsidR="00CE62CA">
        <w:rPr>
          <w:color w:val="000000"/>
          <w:sz w:val="26"/>
          <w:szCs w:val="26"/>
        </w:rPr>
        <w:t xml:space="preserve"> </w:t>
      </w:r>
      <w:r w:rsidR="00473A0C">
        <w:rPr>
          <w:color w:val="000000"/>
          <w:sz w:val="26"/>
          <w:szCs w:val="26"/>
        </w:rPr>
        <w:t>the first week of each calendar quarter</w:t>
      </w:r>
      <w:r w:rsidR="002D5CFF">
        <w:rPr>
          <w:color w:val="000000"/>
          <w:sz w:val="26"/>
          <w:szCs w:val="26"/>
        </w:rPr>
        <w:t xml:space="preserve"> to staff capturing: (i) the complaints by category; (ii) </w:t>
      </w:r>
      <w:r w:rsidR="002F6289">
        <w:rPr>
          <w:color w:val="000000"/>
          <w:sz w:val="26"/>
          <w:szCs w:val="26"/>
        </w:rPr>
        <w:t xml:space="preserve">the resolution for each complaint </w:t>
      </w:r>
      <w:r w:rsidR="002D5CFF">
        <w:rPr>
          <w:color w:val="000000"/>
          <w:sz w:val="26"/>
          <w:szCs w:val="26"/>
        </w:rPr>
        <w:t xml:space="preserve">and (iii) </w:t>
      </w:r>
      <w:r w:rsidR="00473A0C">
        <w:rPr>
          <w:color w:val="000000"/>
          <w:sz w:val="26"/>
          <w:szCs w:val="26"/>
        </w:rPr>
        <w:t>any process improvements/changes, organizational changes, etc. implemented to reduce and/or eliminate similar complaints going forward</w:t>
      </w:r>
      <w:r w:rsidR="002D5CFF">
        <w:rPr>
          <w:color w:val="000000"/>
          <w:sz w:val="26"/>
          <w:szCs w:val="26"/>
        </w:rPr>
        <w:t xml:space="preserve">; </w:t>
      </w:r>
    </w:p>
    <w:p w:rsidR="002D5CFF" w:rsidRDefault="00817964" w:rsidP="002D5CFF">
      <w:pPr>
        <w:pStyle w:val="Style"/>
        <w:spacing w:before="230" w:line="264" w:lineRule="exact"/>
        <w:ind w:left="2160" w:right="1440" w:hanging="720"/>
        <w:rPr>
          <w:color w:val="000000"/>
          <w:sz w:val="26"/>
          <w:szCs w:val="26"/>
        </w:rPr>
      </w:pPr>
      <w:r>
        <w:rPr>
          <w:color w:val="000000"/>
          <w:sz w:val="26"/>
          <w:szCs w:val="26"/>
        </w:rPr>
        <w:t>d</w:t>
      </w:r>
      <w:r w:rsidR="002D5CFF">
        <w:rPr>
          <w:color w:val="000000"/>
          <w:sz w:val="26"/>
          <w:szCs w:val="26"/>
        </w:rPr>
        <w:t>.</w:t>
      </w:r>
      <w:r w:rsidR="002D5CFF">
        <w:rPr>
          <w:color w:val="000000"/>
          <w:sz w:val="26"/>
          <w:szCs w:val="26"/>
        </w:rPr>
        <w:tab/>
        <w:t>Major Energy will provide a single point of contact for Commission staff for resolution of consumer inquiries and/or complaints received by BCS</w:t>
      </w:r>
      <w:r w:rsidR="002F6289">
        <w:rPr>
          <w:color w:val="000000"/>
          <w:sz w:val="26"/>
          <w:szCs w:val="26"/>
        </w:rPr>
        <w:t>.</w:t>
      </w:r>
      <w:r w:rsidR="002D5CFF">
        <w:rPr>
          <w:color w:val="000000"/>
          <w:sz w:val="26"/>
          <w:szCs w:val="26"/>
        </w:rPr>
        <w:t xml:space="preserve"> </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t>e.</w:t>
      </w:r>
      <w:r>
        <w:rPr>
          <w:color w:val="000000"/>
          <w:sz w:val="26"/>
          <w:szCs w:val="26"/>
        </w:rPr>
        <w:tab/>
        <w:t>Major Energy shall operate in accordance with BCS requirements for complaint management and handling.  Notwithstanding the above;</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tab/>
        <w:t>Major Energy will send a written response, either via electronic mail, regular mail or by facsimile, to the BCS advocate assigned to mediate complaints filed against Major Energy, within 10 days of receipt of the complaint,</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tab/>
        <w:t>Major Energy will send a written response to the consumer who filed the complaint, within 10 days of receipt of the complaint,</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tab/>
        <w:t>Major Energy will respond to supplemental or new information referred by BCS, within 10 days of receipt of such information, and</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lastRenderedPageBreak/>
        <w:tab/>
        <w:t xml:space="preserve">Major Energy will </w:t>
      </w:r>
      <w:r w:rsidR="00473A0C">
        <w:rPr>
          <w:color w:val="000000"/>
          <w:sz w:val="26"/>
          <w:szCs w:val="26"/>
        </w:rPr>
        <w:t xml:space="preserve">provide </w:t>
      </w:r>
      <w:r>
        <w:rPr>
          <w:color w:val="000000"/>
          <w:sz w:val="26"/>
          <w:szCs w:val="26"/>
        </w:rPr>
        <w:t>final resolution in writing to BCS and notify the complaining consumer of same.</w:t>
      </w:r>
    </w:p>
    <w:p w:rsidR="002D5CFF" w:rsidRDefault="00D53EDB" w:rsidP="002D5CFF">
      <w:pPr>
        <w:pStyle w:val="Style"/>
        <w:spacing w:before="230" w:line="264" w:lineRule="exact"/>
        <w:ind w:left="2160" w:right="1440" w:hanging="720"/>
        <w:rPr>
          <w:color w:val="000000"/>
          <w:sz w:val="26"/>
          <w:szCs w:val="26"/>
        </w:rPr>
      </w:pPr>
      <w:r>
        <w:rPr>
          <w:color w:val="000000"/>
          <w:sz w:val="26"/>
          <w:szCs w:val="26"/>
        </w:rPr>
        <w:t>f</w:t>
      </w:r>
      <w:r w:rsidR="002D5CFF">
        <w:rPr>
          <w:color w:val="000000"/>
          <w:sz w:val="26"/>
          <w:szCs w:val="26"/>
        </w:rPr>
        <w:t>.</w:t>
      </w:r>
      <w:r w:rsidR="002D5CFF">
        <w:rPr>
          <w:color w:val="000000"/>
          <w:sz w:val="26"/>
          <w:szCs w:val="26"/>
        </w:rPr>
        <w:tab/>
      </w:r>
      <w:r w:rsidR="002D5CFF">
        <w:rPr>
          <w:sz w:val="26"/>
          <w:szCs w:val="26"/>
        </w:rPr>
        <w:t>Not less than sixty days before the expiration of the Term, Major Energy Services LLC shall file a status report with the Commission describing its compliance with the Public Utility Code, Commission Orders and Regulations, and the conditions set forth herein</w:t>
      </w:r>
      <w:r w:rsidR="00304DED">
        <w:rPr>
          <w:sz w:val="26"/>
          <w:szCs w:val="26"/>
        </w:rPr>
        <w:t xml:space="preserve">. </w:t>
      </w:r>
      <w:r w:rsidR="002D5CFF">
        <w:rPr>
          <w:color w:val="000000"/>
          <w:sz w:val="26"/>
          <w:szCs w:val="26"/>
        </w:rPr>
        <w:t xml:space="preserve"> A copy of this status report shall be provided to the Commission’s Bureau of Technical Utility Services and the Commission’s Bureau of Consumer Services.</w:t>
      </w:r>
    </w:p>
    <w:p w:rsidR="002D5CFF" w:rsidRDefault="002D5CFF" w:rsidP="002D5CFF">
      <w:pPr>
        <w:spacing w:line="360" w:lineRule="auto"/>
        <w:ind w:firstLine="1440"/>
        <w:rPr>
          <w:color w:val="auto"/>
          <w:sz w:val="26"/>
          <w:szCs w:val="26"/>
        </w:rPr>
      </w:pPr>
    </w:p>
    <w:p w:rsidR="002D5CFF" w:rsidRDefault="007517BF" w:rsidP="002D5CFF">
      <w:pPr>
        <w:spacing w:line="360" w:lineRule="auto"/>
        <w:ind w:firstLine="1440"/>
        <w:rPr>
          <w:color w:val="auto"/>
          <w:sz w:val="26"/>
          <w:szCs w:val="26"/>
        </w:rPr>
      </w:pPr>
      <w:r>
        <w:rPr>
          <w:color w:val="auto"/>
          <w:sz w:val="26"/>
          <w:szCs w:val="26"/>
        </w:rPr>
        <w:t>3</w:t>
      </w:r>
      <w:r w:rsidR="002D5CFF" w:rsidRPr="003B1911">
        <w:rPr>
          <w:color w:val="auto"/>
          <w:sz w:val="26"/>
          <w:szCs w:val="26"/>
        </w:rPr>
        <w:t>.</w:t>
      </w:r>
      <w:r w:rsidR="002D5CFF" w:rsidRPr="003B1911">
        <w:rPr>
          <w:color w:val="auto"/>
          <w:sz w:val="26"/>
          <w:szCs w:val="26"/>
        </w:rPr>
        <w:tab/>
      </w:r>
      <w:r w:rsidR="005401D5">
        <w:rPr>
          <w:color w:val="auto"/>
          <w:sz w:val="26"/>
          <w:szCs w:val="26"/>
        </w:rPr>
        <w:t>That</w:t>
      </w:r>
      <w:r w:rsidR="002D5CFF" w:rsidRPr="003B1911">
        <w:rPr>
          <w:color w:val="auto"/>
          <w:sz w:val="26"/>
          <w:szCs w:val="26"/>
        </w:rPr>
        <w:t xml:space="preserve"> the Commission’s Bureau of </w:t>
      </w:r>
      <w:r w:rsidR="002D5CFF">
        <w:rPr>
          <w:color w:val="auto"/>
          <w:sz w:val="26"/>
          <w:szCs w:val="26"/>
        </w:rPr>
        <w:t>Technical</w:t>
      </w:r>
      <w:r w:rsidR="002D5CFF" w:rsidRPr="003B1911">
        <w:rPr>
          <w:color w:val="auto"/>
          <w:sz w:val="26"/>
          <w:szCs w:val="26"/>
        </w:rPr>
        <w:t xml:space="preserve"> Utility Services, with the assistance of the Bureau of Consumer Services and the Law Bureau, shall monitor </w:t>
      </w:r>
      <w:r w:rsidR="002D5CFF">
        <w:rPr>
          <w:color w:val="auto"/>
          <w:sz w:val="26"/>
          <w:szCs w:val="26"/>
        </w:rPr>
        <w:t>Major Energy Services LLC</w:t>
      </w:r>
      <w:r w:rsidR="002D5CFF" w:rsidRPr="003B1911">
        <w:rPr>
          <w:color w:val="auto"/>
          <w:sz w:val="26"/>
          <w:szCs w:val="26"/>
        </w:rPr>
        <w:t>’s compliance with the conditions set forth in this Order.</w:t>
      </w:r>
    </w:p>
    <w:p w:rsidR="00473A0C" w:rsidRPr="003B1911" w:rsidRDefault="00473A0C" w:rsidP="002D5CFF">
      <w:pPr>
        <w:spacing w:line="360" w:lineRule="auto"/>
        <w:ind w:firstLine="1440"/>
        <w:rPr>
          <w:color w:val="auto"/>
          <w:sz w:val="26"/>
          <w:szCs w:val="26"/>
        </w:rPr>
      </w:pPr>
    </w:p>
    <w:p w:rsidR="00304DED" w:rsidRDefault="007517BF" w:rsidP="002F6289">
      <w:pPr>
        <w:spacing w:line="360" w:lineRule="auto"/>
        <w:ind w:firstLine="1440"/>
        <w:rPr>
          <w:color w:val="auto"/>
          <w:sz w:val="26"/>
          <w:szCs w:val="26"/>
        </w:rPr>
      </w:pPr>
      <w:r>
        <w:rPr>
          <w:color w:val="auto"/>
          <w:sz w:val="26"/>
          <w:szCs w:val="26"/>
        </w:rPr>
        <w:t>4</w:t>
      </w:r>
      <w:r w:rsidR="002D5CFF" w:rsidRPr="003B1911">
        <w:rPr>
          <w:color w:val="auto"/>
          <w:sz w:val="26"/>
          <w:szCs w:val="26"/>
        </w:rPr>
        <w:t>.</w:t>
      </w:r>
      <w:r w:rsidR="002D5CFF" w:rsidRPr="003B1911">
        <w:rPr>
          <w:color w:val="auto"/>
          <w:sz w:val="26"/>
          <w:szCs w:val="26"/>
        </w:rPr>
        <w:tab/>
        <w:t xml:space="preserve">Upon receipt of the status report directed in Paragraph </w:t>
      </w:r>
      <w:r w:rsidR="009541F1">
        <w:rPr>
          <w:color w:val="auto"/>
          <w:sz w:val="26"/>
          <w:szCs w:val="26"/>
        </w:rPr>
        <w:t>2</w:t>
      </w:r>
      <w:r w:rsidR="002D5CFF" w:rsidRPr="003B1911">
        <w:rPr>
          <w:color w:val="auto"/>
          <w:sz w:val="26"/>
          <w:szCs w:val="26"/>
        </w:rPr>
        <w:t>.</w:t>
      </w:r>
      <w:r w:rsidR="00473A0C">
        <w:rPr>
          <w:color w:val="auto"/>
          <w:sz w:val="26"/>
          <w:szCs w:val="26"/>
        </w:rPr>
        <w:t>f</w:t>
      </w:r>
      <w:r w:rsidR="002D5CFF" w:rsidRPr="003B1911">
        <w:rPr>
          <w:color w:val="auto"/>
          <w:sz w:val="26"/>
          <w:szCs w:val="26"/>
        </w:rPr>
        <w:t>. above, the Bureau of Technical Utility Services, with assistance from the Bureau of Consumer Services and the Law Bureau, shall prepare a Staff recommendation regarding appropriate license conditions after the expiration of the Term.  The Commission shall consider the recommendation at a subsequent Public Meeting.</w:t>
      </w:r>
    </w:p>
    <w:p w:rsidR="00AC37D5" w:rsidRPr="003B1911" w:rsidRDefault="00AC37D5" w:rsidP="002D5CFF">
      <w:pPr>
        <w:ind w:left="2160" w:right="1440" w:hanging="720"/>
        <w:rPr>
          <w:color w:val="auto"/>
          <w:sz w:val="26"/>
          <w:szCs w:val="26"/>
        </w:rPr>
      </w:pPr>
    </w:p>
    <w:p w:rsidR="00B065FE" w:rsidRPr="00620D6E" w:rsidRDefault="007517BF" w:rsidP="002D5CFF">
      <w:pPr>
        <w:tabs>
          <w:tab w:val="left" w:pos="0"/>
        </w:tabs>
        <w:suppressAutoHyphens/>
        <w:spacing w:line="360" w:lineRule="auto"/>
        <w:ind w:firstLine="1440"/>
        <w:rPr>
          <w:color w:val="auto"/>
          <w:spacing w:val="-3"/>
          <w:sz w:val="26"/>
          <w:szCs w:val="26"/>
        </w:rPr>
      </w:pPr>
      <w:r>
        <w:rPr>
          <w:color w:val="auto"/>
          <w:spacing w:val="-3"/>
          <w:kern w:val="1"/>
          <w:sz w:val="26"/>
          <w:szCs w:val="26"/>
        </w:rPr>
        <w:t>5</w:t>
      </w:r>
      <w:r w:rsidR="00A42A7E">
        <w:rPr>
          <w:color w:val="auto"/>
          <w:spacing w:val="-3"/>
          <w:kern w:val="1"/>
          <w:sz w:val="26"/>
          <w:szCs w:val="26"/>
        </w:rPr>
        <w:t xml:space="preserve">.        </w:t>
      </w:r>
      <w:r w:rsidR="00672081">
        <w:rPr>
          <w:color w:val="auto"/>
          <w:spacing w:val="-3"/>
          <w:sz w:val="26"/>
          <w:szCs w:val="26"/>
        </w:rPr>
        <w:t>That this proceeding</w:t>
      </w:r>
      <w:r w:rsidR="00B065FE" w:rsidRPr="00620D6E">
        <w:rPr>
          <w:color w:val="auto"/>
          <w:spacing w:val="-3"/>
          <w:sz w:val="26"/>
          <w:szCs w:val="26"/>
        </w:rPr>
        <w:t xml:space="preserve"> at Docket No</w:t>
      </w:r>
      <w:r w:rsidR="000B6F4C">
        <w:rPr>
          <w:color w:val="auto"/>
          <w:spacing w:val="-3"/>
          <w:sz w:val="26"/>
          <w:szCs w:val="26"/>
        </w:rPr>
        <w:t>. A-</w:t>
      </w:r>
      <w:r w:rsidR="00832ECA">
        <w:rPr>
          <w:color w:val="auto"/>
          <w:spacing w:val="-3"/>
          <w:sz w:val="26"/>
          <w:szCs w:val="26"/>
        </w:rPr>
        <w:t>2009-2118836</w:t>
      </w:r>
      <w:r w:rsidR="000B6F4C">
        <w:rPr>
          <w:color w:val="auto"/>
          <w:spacing w:val="-3"/>
          <w:sz w:val="26"/>
          <w:szCs w:val="26"/>
        </w:rPr>
        <w:t xml:space="preserve"> </w:t>
      </w:r>
      <w:r w:rsidR="002D5CFF">
        <w:rPr>
          <w:color w:val="auto"/>
          <w:spacing w:val="-3"/>
          <w:sz w:val="26"/>
          <w:szCs w:val="26"/>
        </w:rPr>
        <w:t xml:space="preserve"> </w:t>
      </w:r>
      <w:r w:rsidR="00B065FE" w:rsidRPr="00620D6E">
        <w:rPr>
          <w:color w:val="auto"/>
          <w:spacing w:val="-3"/>
          <w:sz w:val="26"/>
          <w:szCs w:val="26"/>
        </w:rPr>
        <w:t>be 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E12AE8"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1C8EBCB5" wp14:editId="2AEA2FA4">
            <wp:simplePos x="0" y="0"/>
            <wp:positionH relativeFrom="column">
              <wp:posOffset>2273300</wp:posOffset>
            </wp:positionH>
            <wp:positionV relativeFrom="paragraph">
              <wp:posOffset>126365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B95B6F" w:rsidRPr="00620D6E" w:rsidRDefault="00B95B6F"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F35824" w:rsidRPr="00CD03C5" w:rsidRDefault="00B065FE" w:rsidP="00CE62CA">
      <w:pPr>
        <w:tabs>
          <w:tab w:val="left" w:pos="4320"/>
        </w:tabs>
        <w:rPr>
          <w:sz w:val="26"/>
          <w:szCs w:val="26"/>
        </w:rPr>
      </w:pPr>
      <w:r w:rsidRPr="00620D6E">
        <w:rPr>
          <w:color w:val="auto"/>
          <w:sz w:val="26"/>
          <w:szCs w:val="26"/>
        </w:rPr>
        <w:t xml:space="preserve">ORDER ENTERED: </w:t>
      </w:r>
      <w:r w:rsidR="00E12AE8">
        <w:rPr>
          <w:color w:val="auto"/>
          <w:sz w:val="26"/>
          <w:szCs w:val="26"/>
        </w:rPr>
        <w:t>MAY 21, 2012</w:t>
      </w:r>
      <w:bookmarkStart w:id="0" w:name="_GoBack"/>
      <w:bookmarkEnd w:id="0"/>
    </w:p>
    <w:sectPr w:rsidR="00F35824" w:rsidRPr="00CD03C5" w:rsidSect="00E86175">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9D" w:rsidRDefault="00B04D9D">
      <w:r>
        <w:separator/>
      </w:r>
    </w:p>
  </w:endnote>
  <w:endnote w:type="continuationSeparator" w:id="0">
    <w:p w:rsidR="00B04D9D" w:rsidRDefault="00B0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2" w:rsidRDefault="00374141"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2" w:rsidRPr="005650C6" w:rsidRDefault="00374141"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00697832" w:rsidRPr="005650C6">
      <w:rPr>
        <w:rStyle w:val="PageNumber"/>
        <w:color w:val="000000" w:themeColor="text1"/>
      </w:rPr>
      <w:instrText xml:space="preserve">PAGE  </w:instrText>
    </w:r>
    <w:r w:rsidRPr="005650C6">
      <w:rPr>
        <w:rStyle w:val="PageNumber"/>
        <w:color w:val="000000" w:themeColor="text1"/>
      </w:rPr>
      <w:fldChar w:fldCharType="separate"/>
    </w:r>
    <w:r w:rsidR="00E12AE8">
      <w:rPr>
        <w:rStyle w:val="PageNumber"/>
        <w:noProof/>
        <w:color w:val="000000" w:themeColor="text1"/>
      </w:rPr>
      <w:t>3</w:t>
    </w:r>
    <w:r w:rsidRPr="005650C6">
      <w:rPr>
        <w:rStyle w:val="PageNumber"/>
        <w:color w:val="000000" w:themeColor="text1"/>
      </w:rPr>
      <w:fldChar w:fldCharType="end"/>
    </w:r>
  </w:p>
  <w:p w:rsidR="00697832" w:rsidRDefault="0069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9D" w:rsidRPr="00AE098E" w:rsidRDefault="00B04D9D">
      <w:pPr>
        <w:rPr>
          <w:color w:val="auto"/>
        </w:rPr>
      </w:pPr>
      <w:r w:rsidRPr="00AE098E">
        <w:rPr>
          <w:color w:val="auto"/>
        </w:rPr>
        <w:separator/>
      </w:r>
    </w:p>
  </w:footnote>
  <w:footnote w:type="continuationSeparator" w:id="0">
    <w:p w:rsidR="00B04D9D" w:rsidRDefault="00B04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07D"/>
    <w:rsid w:val="000034CB"/>
    <w:rsid w:val="000120B5"/>
    <w:rsid w:val="00016AF8"/>
    <w:rsid w:val="00030BDB"/>
    <w:rsid w:val="00043790"/>
    <w:rsid w:val="0004622B"/>
    <w:rsid w:val="0005050F"/>
    <w:rsid w:val="000535E4"/>
    <w:rsid w:val="00053EF2"/>
    <w:rsid w:val="00056AE6"/>
    <w:rsid w:val="00056D0B"/>
    <w:rsid w:val="00060D1D"/>
    <w:rsid w:val="000712D6"/>
    <w:rsid w:val="00096425"/>
    <w:rsid w:val="000968C9"/>
    <w:rsid w:val="000A246D"/>
    <w:rsid w:val="000A6198"/>
    <w:rsid w:val="000B6F4C"/>
    <w:rsid w:val="000C5D46"/>
    <w:rsid w:val="000D40BF"/>
    <w:rsid w:val="000D67E4"/>
    <w:rsid w:val="000E12A2"/>
    <w:rsid w:val="000F300D"/>
    <w:rsid w:val="000F48D9"/>
    <w:rsid w:val="000F52C0"/>
    <w:rsid w:val="000F66CD"/>
    <w:rsid w:val="001013B4"/>
    <w:rsid w:val="00102D1E"/>
    <w:rsid w:val="00117DBF"/>
    <w:rsid w:val="0012153B"/>
    <w:rsid w:val="00130978"/>
    <w:rsid w:val="0013441D"/>
    <w:rsid w:val="00142CF7"/>
    <w:rsid w:val="00144BEB"/>
    <w:rsid w:val="00145521"/>
    <w:rsid w:val="0016409E"/>
    <w:rsid w:val="00164735"/>
    <w:rsid w:val="00172E30"/>
    <w:rsid w:val="0019021F"/>
    <w:rsid w:val="00194419"/>
    <w:rsid w:val="00195A2F"/>
    <w:rsid w:val="00195BF4"/>
    <w:rsid w:val="001B3AF0"/>
    <w:rsid w:val="001B5D02"/>
    <w:rsid w:val="001C14FB"/>
    <w:rsid w:val="001C5BB3"/>
    <w:rsid w:val="001D31E1"/>
    <w:rsid w:val="001E0F13"/>
    <w:rsid w:val="001F03C7"/>
    <w:rsid w:val="001F489B"/>
    <w:rsid w:val="0020470D"/>
    <w:rsid w:val="0020567E"/>
    <w:rsid w:val="0021203A"/>
    <w:rsid w:val="00217F9B"/>
    <w:rsid w:val="00223884"/>
    <w:rsid w:val="002359B6"/>
    <w:rsid w:val="00242BB6"/>
    <w:rsid w:val="00263578"/>
    <w:rsid w:val="00277018"/>
    <w:rsid w:val="002857F7"/>
    <w:rsid w:val="002860F1"/>
    <w:rsid w:val="00293753"/>
    <w:rsid w:val="002A79E7"/>
    <w:rsid w:val="002B2A14"/>
    <w:rsid w:val="002B2E08"/>
    <w:rsid w:val="002C3BC4"/>
    <w:rsid w:val="002C479C"/>
    <w:rsid w:val="002C7616"/>
    <w:rsid w:val="002D176E"/>
    <w:rsid w:val="002D5CFF"/>
    <w:rsid w:val="002E0720"/>
    <w:rsid w:val="002E5137"/>
    <w:rsid w:val="002F6289"/>
    <w:rsid w:val="002F645D"/>
    <w:rsid w:val="003039C7"/>
    <w:rsid w:val="00303B97"/>
    <w:rsid w:val="00304DED"/>
    <w:rsid w:val="003054D5"/>
    <w:rsid w:val="00317329"/>
    <w:rsid w:val="0032602E"/>
    <w:rsid w:val="00326E09"/>
    <w:rsid w:val="00332CBF"/>
    <w:rsid w:val="00337A0B"/>
    <w:rsid w:val="003441D9"/>
    <w:rsid w:val="003468B4"/>
    <w:rsid w:val="003530BE"/>
    <w:rsid w:val="0036392C"/>
    <w:rsid w:val="00372086"/>
    <w:rsid w:val="00373CB2"/>
    <w:rsid w:val="00374141"/>
    <w:rsid w:val="00376AAE"/>
    <w:rsid w:val="00381CCB"/>
    <w:rsid w:val="003823E3"/>
    <w:rsid w:val="00383930"/>
    <w:rsid w:val="003926B3"/>
    <w:rsid w:val="00392A69"/>
    <w:rsid w:val="00393D48"/>
    <w:rsid w:val="00394A9B"/>
    <w:rsid w:val="00397D79"/>
    <w:rsid w:val="003A692F"/>
    <w:rsid w:val="003C346E"/>
    <w:rsid w:val="003C3A68"/>
    <w:rsid w:val="003C5AA7"/>
    <w:rsid w:val="003D3688"/>
    <w:rsid w:val="003E17EE"/>
    <w:rsid w:val="003E501B"/>
    <w:rsid w:val="003E5800"/>
    <w:rsid w:val="00411EC4"/>
    <w:rsid w:val="004128A8"/>
    <w:rsid w:val="00416829"/>
    <w:rsid w:val="0042113A"/>
    <w:rsid w:val="00421492"/>
    <w:rsid w:val="00422D0E"/>
    <w:rsid w:val="00424D43"/>
    <w:rsid w:val="004333FA"/>
    <w:rsid w:val="004335F0"/>
    <w:rsid w:val="0044319F"/>
    <w:rsid w:val="00447815"/>
    <w:rsid w:val="00457AB1"/>
    <w:rsid w:val="004610B9"/>
    <w:rsid w:val="004618D8"/>
    <w:rsid w:val="00461C85"/>
    <w:rsid w:val="004667F1"/>
    <w:rsid w:val="00471D68"/>
    <w:rsid w:val="00473A0C"/>
    <w:rsid w:val="004858D7"/>
    <w:rsid w:val="00493085"/>
    <w:rsid w:val="00497E52"/>
    <w:rsid w:val="004A334E"/>
    <w:rsid w:val="004C2E08"/>
    <w:rsid w:val="004D66E8"/>
    <w:rsid w:val="004E2E63"/>
    <w:rsid w:val="004E5CF2"/>
    <w:rsid w:val="004E7022"/>
    <w:rsid w:val="00504FDE"/>
    <w:rsid w:val="005107C9"/>
    <w:rsid w:val="00512E37"/>
    <w:rsid w:val="00513F17"/>
    <w:rsid w:val="005151C8"/>
    <w:rsid w:val="005157C5"/>
    <w:rsid w:val="00531AF3"/>
    <w:rsid w:val="005401D5"/>
    <w:rsid w:val="00541893"/>
    <w:rsid w:val="00542312"/>
    <w:rsid w:val="0054264D"/>
    <w:rsid w:val="005458CB"/>
    <w:rsid w:val="0054603B"/>
    <w:rsid w:val="0055073A"/>
    <w:rsid w:val="005531FE"/>
    <w:rsid w:val="0055779F"/>
    <w:rsid w:val="00560CF3"/>
    <w:rsid w:val="00561A41"/>
    <w:rsid w:val="005650C6"/>
    <w:rsid w:val="00565C84"/>
    <w:rsid w:val="00575938"/>
    <w:rsid w:val="0057695D"/>
    <w:rsid w:val="00587A50"/>
    <w:rsid w:val="00590909"/>
    <w:rsid w:val="00591AC2"/>
    <w:rsid w:val="0059363E"/>
    <w:rsid w:val="005A16E1"/>
    <w:rsid w:val="005A39F9"/>
    <w:rsid w:val="005B3F51"/>
    <w:rsid w:val="005B4B9A"/>
    <w:rsid w:val="005B621E"/>
    <w:rsid w:val="005B68C8"/>
    <w:rsid w:val="005D27F4"/>
    <w:rsid w:val="005D79AD"/>
    <w:rsid w:val="005F5A61"/>
    <w:rsid w:val="005F74C2"/>
    <w:rsid w:val="005F7F34"/>
    <w:rsid w:val="005F7FD8"/>
    <w:rsid w:val="00614374"/>
    <w:rsid w:val="00616A3A"/>
    <w:rsid w:val="00620D6E"/>
    <w:rsid w:val="00632E42"/>
    <w:rsid w:val="00634598"/>
    <w:rsid w:val="00646238"/>
    <w:rsid w:val="0064755A"/>
    <w:rsid w:val="006546C1"/>
    <w:rsid w:val="006602B5"/>
    <w:rsid w:val="00665575"/>
    <w:rsid w:val="006656F2"/>
    <w:rsid w:val="00672081"/>
    <w:rsid w:val="00674F91"/>
    <w:rsid w:val="0067741B"/>
    <w:rsid w:val="00692267"/>
    <w:rsid w:val="00697832"/>
    <w:rsid w:val="006A2BC5"/>
    <w:rsid w:val="006A433E"/>
    <w:rsid w:val="006C68DF"/>
    <w:rsid w:val="006C6E7F"/>
    <w:rsid w:val="006F3032"/>
    <w:rsid w:val="007007DD"/>
    <w:rsid w:val="00705620"/>
    <w:rsid w:val="00705B66"/>
    <w:rsid w:val="00706E97"/>
    <w:rsid w:val="007119BF"/>
    <w:rsid w:val="007130A5"/>
    <w:rsid w:val="00715193"/>
    <w:rsid w:val="007349CE"/>
    <w:rsid w:val="007421CE"/>
    <w:rsid w:val="00747EDA"/>
    <w:rsid w:val="00750759"/>
    <w:rsid w:val="007517BF"/>
    <w:rsid w:val="0076332F"/>
    <w:rsid w:val="00765DDF"/>
    <w:rsid w:val="00775D65"/>
    <w:rsid w:val="007906EC"/>
    <w:rsid w:val="0079110F"/>
    <w:rsid w:val="007A5B5F"/>
    <w:rsid w:val="007B09E2"/>
    <w:rsid w:val="007B0C20"/>
    <w:rsid w:val="007B5B41"/>
    <w:rsid w:val="007C494F"/>
    <w:rsid w:val="007E430E"/>
    <w:rsid w:val="007F12BF"/>
    <w:rsid w:val="007F148F"/>
    <w:rsid w:val="007F3BE4"/>
    <w:rsid w:val="007F4449"/>
    <w:rsid w:val="00800447"/>
    <w:rsid w:val="00800B03"/>
    <w:rsid w:val="00805F3C"/>
    <w:rsid w:val="00806657"/>
    <w:rsid w:val="0081293F"/>
    <w:rsid w:val="0081379F"/>
    <w:rsid w:val="00814418"/>
    <w:rsid w:val="00815F57"/>
    <w:rsid w:val="00816A58"/>
    <w:rsid w:val="00817964"/>
    <w:rsid w:val="008252DA"/>
    <w:rsid w:val="00832ECA"/>
    <w:rsid w:val="008342FC"/>
    <w:rsid w:val="00843204"/>
    <w:rsid w:val="00843401"/>
    <w:rsid w:val="00844F48"/>
    <w:rsid w:val="008459F2"/>
    <w:rsid w:val="00845FFF"/>
    <w:rsid w:val="00846409"/>
    <w:rsid w:val="008464D8"/>
    <w:rsid w:val="008504E3"/>
    <w:rsid w:val="00852E4C"/>
    <w:rsid w:val="00861628"/>
    <w:rsid w:val="00861F8A"/>
    <w:rsid w:val="008633F9"/>
    <w:rsid w:val="00863519"/>
    <w:rsid w:val="00875306"/>
    <w:rsid w:val="00894584"/>
    <w:rsid w:val="008964D9"/>
    <w:rsid w:val="008A4D2B"/>
    <w:rsid w:val="008C5170"/>
    <w:rsid w:val="008C66C4"/>
    <w:rsid w:val="008D0D95"/>
    <w:rsid w:val="008E0471"/>
    <w:rsid w:val="008E3EC1"/>
    <w:rsid w:val="008F0A9D"/>
    <w:rsid w:val="008F32CD"/>
    <w:rsid w:val="00906E98"/>
    <w:rsid w:val="00921517"/>
    <w:rsid w:val="00924A03"/>
    <w:rsid w:val="009330FA"/>
    <w:rsid w:val="0093386A"/>
    <w:rsid w:val="00937902"/>
    <w:rsid w:val="0094082A"/>
    <w:rsid w:val="00941E2A"/>
    <w:rsid w:val="00943BB4"/>
    <w:rsid w:val="00950B0E"/>
    <w:rsid w:val="00950C65"/>
    <w:rsid w:val="009541F1"/>
    <w:rsid w:val="00954309"/>
    <w:rsid w:val="0095591B"/>
    <w:rsid w:val="0095742D"/>
    <w:rsid w:val="00957931"/>
    <w:rsid w:val="00961EC1"/>
    <w:rsid w:val="009631C1"/>
    <w:rsid w:val="00963AFF"/>
    <w:rsid w:val="0099376D"/>
    <w:rsid w:val="009A22C1"/>
    <w:rsid w:val="009B1C5C"/>
    <w:rsid w:val="009C087A"/>
    <w:rsid w:val="009C3C7C"/>
    <w:rsid w:val="009C4D57"/>
    <w:rsid w:val="009C70CC"/>
    <w:rsid w:val="009D3A29"/>
    <w:rsid w:val="009D4583"/>
    <w:rsid w:val="009E6998"/>
    <w:rsid w:val="00A0199D"/>
    <w:rsid w:val="00A020D4"/>
    <w:rsid w:val="00A04453"/>
    <w:rsid w:val="00A122E4"/>
    <w:rsid w:val="00A17568"/>
    <w:rsid w:val="00A17F28"/>
    <w:rsid w:val="00A2326B"/>
    <w:rsid w:val="00A24D94"/>
    <w:rsid w:val="00A3124C"/>
    <w:rsid w:val="00A404E7"/>
    <w:rsid w:val="00A42A7E"/>
    <w:rsid w:val="00A42AC2"/>
    <w:rsid w:val="00A53F87"/>
    <w:rsid w:val="00A544A4"/>
    <w:rsid w:val="00A56A30"/>
    <w:rsid w:val="00A8143A"/>
    <w:rsid w:val="00A83BDA"/>
    <w:rsid w:val="00A83CDF"/>
    <w:rsid w:val="00A96F3F"/>
    <w:rsid w:val="00AA6902"/>
    <w:rsid w:val="00AB0FC4"/>
    <w:rsid w:val="00AB14A4"/>
    <w:rsid w:val="00AB3D44"/>
    <w:rsid w:val="00AB63C2"/>
    <w:rsid w:val="00AB7A76"/>
    <w:rsid w:val="00AC2642"/>
    <w:rsid w:val="00AC37D5"/>
    <w:rsid w:val="00AC5217"/>
    <w:rsid w:val="00AE098E"/>
    <w:rsid w:val="00AE3375"/>
    <w:rsid w:val="00AF0CD1"/>
    <w:rsid w:val="00AF4D6A"/>
    <w:rsid w:val="00AF7B81"/>
    <w:rsid w:val="00B01676"/>
    <w:rsid w:val="00B02FD6"/>
    <w:rsid w:val="00B03173"/>
    <w:rsid w:val="00B04D9D"/>
    <w:rsid w:val="00B065FE"/>
    <w:rsid w:val="00B12B18"/>
    <w:rsid w:val="00B12CD4"/>
    <w:rsid w:val="00B137B2"/>
    <w:rsid w:val="00B16135"/>
    <w:rsid w:val="00B2568B"/>
    <w:rsid w:val="00B5655A"/>
    <w:rsid w:val="00B6040B"/>
    <w:rsid w:val="00B622AA"/>
    <w:rsid w:val="00B62F03"/>
    <w:rsid w:val="00B64466"/>
    <w:rsid w:val="00B724C7"/>
    <w:rsid w:val="00B77256"/>
    <w:rsid w:val="00B84140"/>
    <w:rsid w:val="00B90151"/>
    <w:rsid w:val="00B95B6F"/>
    <w:rsid w:val="00BA67C2"/>
    <w:rsid w:val="00BA7E22"/>
    <w:rsid w:val="00BB709F"/>
    <w:rsid w:val="00BB7C50"/>
    <w:rsid w:val="00BC64FD"/>
    <w:rsid w:val="00BD2334"/>
    <w:rsid w:val="00BE1AA9"/>
    <w:rsid w:val="00BF31D9"/>
    <w:rsid w:val="00BF7272"/>
    <w:rsid w:val="00BF740C"/>
    <w:rsid w:val="00C00A02"/>
    <w:rsid w:val="00C05EBB"/>
    <w:rsid w:val="00C06C35"/>
    <w:rsid w:val="00C108E9"/>
    <w:rsid w:val="00C10A53"/>
    <w:rsid w:val="00C10EF5"/>
    <w:rsid w:val="00C1257F"/>
    <w:rsid w:val="00C12B93"/>
    <w:rsid w:val="00C14F1D"/>
    <w:rsid w:val="00C2257A"/>
    <w:rsid w:val="00C248C7"/>
    <w:rsid w:val="00C26C40"/>
    <w:rsid w:val="00C30802"/>
    <w:rsid w:val="00C31471"/>
    <w:rsid w:val="00C40973"/>
    <w:rsid w:val="00C6258D"/>
    <w:rsid w:val="00C63FA5"/>
    <w:rsid w:val="00C659B9"/>
    <w:rsid w:val="00C71F17"/>
    <w:rsid w:val="00C720D7"/>
    <w:rsid w:val="00C72542"/>
    <w:rsid w:val="00C76E99"/>
    <w:rsid w:val="00C82443"/>
    <w:rsid w:val="00C83F8B"/>
    <w:rsid w:val="00C921D9"/>
    <w:rsid w:val="00C94888"/>
    <w:rsid w:val="00C957DC"/>
    <w:rsid w:val="00CA2822"/>
    <w:rsid w:val="00CA3074"/>
    <w:rsid w:val="00CA54FD"/>
    <w:rsid w:val="00CB2F64"/>
    <w:rsid w:val="00CB4930"/>
    <w:rsid w:val="00CC580E"/>
    <w:rsid w:val="00CC687A"/>
    <w:rsid w:val="00CD03C5"/>
    <w:rsid w:val="00CD0D95"/>
    <w:rsid w:val="00CD126B"/>
    <w:rsid w:val="00CE3822"/>
    <w:rsid w:val="00CE62CA"/>
    <w:rsid w:val="00CF5945"/>
    <w:rsid w:val="00D01DC9"/>
    <w:rsid w:val="00D03128"/>
    <w:rsid w:val="00D051D0"/>
    <w:rsid w:val="00D11566"/>
    <w:rsid w:val="00D24952"/>
    <w:rsid w:val="00D3301F"/>
    <w:rsid w:val="00D37628"/>
    <w:rsid w:val="00D405F0"/>
    <w:rsid w:val="00D428C0"/>
    <w:rsid w:val="00D42932"/>
    <w:rsid w:val="00D42C3C"/>
    <w:rsid w:val="00D5178F"/>
    <w:rsid w:val="00D529F5"/>
    <w:rsid w:val="00D535F1"/>
    <w:rsid w:val="00D53EDB"/>
    <w:rsid w:val="00D54DDC"/>
    <w:rsid w:val="00D5737B"/>
    <w:rsid w:val="00D6313D"/>
    <w:rsid w:val="00D65120"/>
    <w:rsid w:val="00D66F72"/>
    <w:rsid w:val="00D747B6"/>
    <w:rsid w:val="00D75923"/>
    <w:rsid w:val="00D8107C"/>
    <w:rsid w:val="00D81681"/>
    <w:rsid w:val="00D85F0F"/>
    <w:rsid w:val="00D868E2"/>
    <w:rsid w:val="00D90F20"/>
    <w:rsid w:val="00DB0EAA"/>
    <w:rsid w:val="00DB4977"/>
    <w:rsid w:val="00DB52A6"/>
    <w:rsid w:val="00DB5691"/>
    <w:rsid w:val="00DB6E46"/>
    <w:rsid w:val="00DC1349"/>
    <w:rsid w:val="00DD271D"/>
    <w:rsid w:val="00DF6614"/>
    <w:rsid w:val="00E10026"/>
    <w:rsid w:val="00E12AE8"/>
    <w:rsid w:val="00E14464"/>
    <w:rsid w:val="00E17C2E"/>
    <w:rsid w:val="00E17D5D"/>
    <w:rsid w:val="00E22643"/>
    <w:rsid w:val="00E25C4C"/>
    <w:rsid w:val="00E27E2F"/>
    <w:rsid w:val="00E32908"/>
    <w:rsid w:val="00E5698F"/>
    <w:rsid w:val="00E60FAF"/>
    <w:rsid w:val="00E75706"/>
    <w:rsid w:val="00E85E9E"/>
    <w:rsid w:val="00E86175"/>
    <w:rsid w:val="00E872EA"/>
    <w:rsid w:val="00E914D9"/>
    <w:rsid w:val="00E93202"/>
    <w:rsid w:val="00E968AE"/>
    <w:rsid w:val="00E96AEA"/>
    <w:rsid w:val="00EA3719"/>
    <w:rsid w:val="00EA4325"/>
    <w:rsid w:val="00EB0994"/>
    <w:rsid w:val="00EB6FE4"/>
    <w:rsid w:val="00EC4056"/>
    <w:rsid w:val="00EC5066"/>
    <w:rsid w:val="00ED3634"/>
    <w:rsid w:val="00ED59C4"/>
    <w:rsid w:val="00EE0B21"/>
    <w:rsid w:val="00EE2D95"/>
    <w:rsid w:val="00EF1E8A"/>
    <w:rsid w:val="00EF42A9"/>
    <w:rsid w:val="00EF4784"/>
    <w:rsid w:val="00F105C9"/>
    <w:rsid w:val="00F172F6"/>
    <w:rsid w:val="00F17926"/>
    <w:rsid w:val="00F23286"/>
    <w:rsid w:val="00F25C2D"/>
    <w:rsid w:val="00F26582"/>
    <w:rsid w:val="00F35580"/>
    <w:rsid w:val="00F35824"/>
    <w:rsid w:val="00F42D9E"/>
    <w:rsid w:val="00F450E1"/>
    <w:rsid w:val="00F510F4"/>
    <w:rsid w:val="00F536C3"/>
    <w:rsid w:val="00F55C41"/>
    <w:rsid w:val="00F633E9"/>
    <w:rsid w:val="00F6344C"/>
    <w:rsid w:val="00F64490"/>
    <w:rsid w:val="00F6540A"/>
    <w:rsid w:val="00F66F07"/>
    <w:rsid w:val="00F7269A"/>
    <w:rsid w:val="00F75D85"/>
    <w:rsid w:val="00F81A20"/>
    <w:rsid w:val="00F9514D"/>
    <w:rsid w:val="00F976F5"/>
    <w:rsid w:val="00FA7B8F"/>
    <w:rsid w:val="00FC1746"/>
    <w:rsid w:val="00FC1B12"/>
    <w:rsid w:val="00FC1B73"/>
    <w:rsid w:val="00FC26AA"/>
    <w:rsid w:val="00FC51BD"/>
    <w:rsid w:val="00FD39B2"/>
    <w:rsid w:val="00FE1778"/>
    <w:rsid w:val="00FE24E1"/>
    <w:rsid w:val="00FE3300"/>
    <w:rsid w:val="00FE3677"/>
    <w:rsid w:val="00FE75BC"/>
    <w:rsid w:val="00FE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link w:val="FooterChar"/>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customStyle="1" w:styleId="Style">
    <w:name w:val="Style"/>
    <w:rsid w:val="002D5CFF"/>
    <w:pPr>
      <w:widowControl w:val="0"/>
      <w:autoSpaceDE w:val="0"/>
      <w:autoSpaceDN w:val="0"/>
      <w:adjustRightInd w:val="0"/>
    </w:pPr>
    <w:rPr>
      <w:sz w:val="24"/>
      <w:szCs w:val="24"/>
    </w:rPr>
  </w:style>
  <w:style w:type="character" w:customStyle="1" w:styleId="FooterChar">
    <w:name w:val="Footer Char"/>
    <w:basedOn w:val="DefaultParagraphFont"/>
    <w:link w:val="Footer"/>
    <w:rsid w:val="00F35824"/>
    <w:rPr>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link w:val="FooterChar"/>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customStyle="1" w:styleId="Style">
    <w:name w:val="Style"/>
    <w:rsid w:val="002D5CFF"/>
    <w:pPr>
      <w:widowControl w:val="0"/>
      <w:autoSpaceDE w:val="0"/>
      <w:autoSpaceDN w:val="0"/>
      <w:adjustRightInd w:val="0"/>
    </w:pPr>
    <w:rPr>
      <w:sz w:val="24"/>
      <w:szCs w:val="24"/>
    </w:rPr>
  </w:style>
  <w:style w:type="character" w:customStyle="1" w:styleId="FooterChar">
    <w:name w:val="Footer Char"/>
    <w:basedOn w:val="DefaultParagraphFont"/>
    <w:link w:val="Footer"/>
    <w:rsid w:val="00F35824"/>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1A68-B958-4C18-8141-057D82FB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9</cp:revision>
  <cp:lastPrinted>2012-05-21T15:29:00Z</cp:lastPrinted>
  <dcterms:created xsi:type="dcterms:W3CDTF">2012-03-28T17:12:00Z</dcterms:created>
  <dcterms:modified xsi:type="dcterms:W3CDTF">2012-05-21T15:29:00Z</dcterms:modified>
</cp:coreProperties>
</file>