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CB63EB" w:rsidP="00E126F9">
      <w:pPr>
        <w:spacing w:line="240" w:lineRule="auto"/>
        <w:rPr>
          <w:sz w:val="24"/>
          <w:szCs w:val="24"/>
        </w:rPr>
      </w:pPr>
      <w:r>
        <w:rPr>
          <w:sz w:val="24"/>
          <w:szCs w:val="24"/>
        </w:rPr>
        <w:t>Donna Garippa</w:t>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8B5083">
        <w:rPr>
          <w:sz w:val="24"/>
          <w:szCs w:val="24"/>
        </w:rPr>
        <w:t>F-201</w:t>
      </w:r>
      <w:r w:rsidR="00CB63EB">
        <w:rPr>
          <w:sz w:val="24"/>
          <w:szCs w:val="24"/>
        </w:rPr>
        <w:t>1</w:t>
      </w:r>
      <w:r w:rsidR="008B5083">
        <w:rPr>
          <w:sz w:val="24"/>
          <w:szCs w:val="24"/>
        </w:rPr>
        <w:t>-22</w:t>
      </w:r>
      <w:r w:rsidR="00CB63EB">
        <w:rPr>
          <w:sz w:val="24"/>
          <w:szCs w:val="24"/>
        </w:rPr>
        <w:t>51687</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CB63EB" w:rsidP="00E126F9">
      <w:pPr>
        <w:spacing w:line="240" w:lineRule="auto"/>
        <w:rPr>
          <w:sz w:val="24"/>
          <w:szCs w:val="24"/>
        </w:rPr>
      </w:pPr>
      <w:r>
        <w:rPr>
          <w:sz w:val="24"/>
          <w:szCs w:val="24"/>
        </w:rPr>
        <w:t>PPL Electric Utilities Corporation</w:t>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C44296" w:rsidRDefault="00C44296" w:rsidP="00FB2F18">
      <w:pPr>
        <w:ind w:firstLine="1440"/>
        <w:rPr>
          <w:sz w:val="24"/>
          <w:szCs w:val="24"/>
        </w:rPr>
      </w:pPr>
      <w:r w:rsidRPr="00B73D10">
        <w:rPr>
          <w:sz w:val="24"/>
          <w:szCs w:val="24"/>
        </w:rPr>
        <w:t xml:space="preserve">On </w:t>
      </w:r>
      <w:r w:rsidR="00CB63EB">
        <w:rPr>
          <w:sz w:val="24"/>
          <w:szCs w:val="24"/>
        </w:rPr>
        <w:t>June 27, 2011</w:t>
      </w:r>
      <w:r w:rsidRPr="00B73D10">
        <w:rPr>
          <w:sz w:val="24"/>
          <w:szCs w:val="24"/>
        </w:rPr>
        <w:t xml:space="preserve">, </w:t>
      </w:r>
      <w:r w:rsidR="00CB63EB">
        <w:rPr>
          <w:sz w:val="24"/>
          <w:szCs w:val="24"/>
        </w:rPr>
        <w:t>Donna Garippa</w:t>
      </w:r>
      <w:r w:rsidRPr="00B73D10">
        <w:rPr>
          <w:sz w:val="24"/>
          <w:szCs w:val="24"/>
        </w:rPr>
        <w:t xml:space="preserve"> (“Complainant”) filed a </w:t>
      </w:r>
      <w:r w:rsidR="00CB63EB">
        <w:rPr>
          <w:sz w:val="24"/>
          <w:szCs w:val="24"/>
        </w:rPr>
        <w:t xml:space="preserve">timely </w:t>
      </w:r>
      <w:r w:rsidRPr="00B73D10">
        <w:rPr>
          <w:sz w:val="24"/>
          <w:szCs w:val="24"/>
        </w:rPr>
        <w:t xml:space="preserve">formal complaint against </w:t>
      </w:r>
      <w:r w:rsidR="00CB63EB">
        <w:rPr>
          <w:sz w:val="24"/>
          <w:szCs w:val="24"/>
        </w:rPr>
        <w:t>PPL Electric Utilities Corporation</w:t>
      </w:r>
      <w:r w:rsidRPr="00B73D10">
        <w:rPr>
          <w:sz w:val="24"/>
          <w:szCs w:val="24"/>
        </w:rPr>
        <w:t xml:space="preserve"> (“Respondent” or “</w:t>
      </w:r>
      <w:r w:rsidR="00CB63EB">
        <w:rPr>
          <w:sz w:val="24"/>
          <w:szCs w:val="24"/>
        </w:rPr>
        <w:t>PPL</w:t>
      </w:r>
      <w:r w:rsidRPr="00B73D10">
        <w:rPr>
          <w:sz w:val="24"/>
          <w:szCs w:val="24"/>
        </w:rPr>
        <w:t xml:space="preserve">”) alleging </w:t>
      </w:r>
      <w:r w:rsidR="00CB63EB">
        <w:rPr>
          <w:sz w:val="24"/>
          <w:szCs w:val="24"/>
        </w:rPr>
        <w:t xml:space="preserve">she cannot afford to pay the </w:t>
      </w:r>
      <w:r w:rsidR="008B5083">
        <w:rPr>
          <w:sz w:val="24"/>
          <w:szCs w:val="24"/>
        </w:rPr>
        <w:t>high payment plan</w:t>
      </w:r>
      <w:r w:rsidR="00CB63EB">
        <w:rPr>
          <w:sz w:val="24"/>
          <w:szCs w:val="24"/>
        </w:rPr>
        <w:t xml:space="preserve"> established by the Public Utility Commission (“Commission”) through the Bureau of Consumer Service</w:t>
      </w:r>
      <w:r w:rsidR="008B5083">
        <w:rPr>
          <w:sz w:val="24"/>
          <w:szCs w:val="24"/>
        </w:rPr>
        <w:t>s</w:t>
      </w:r>
      <w:r w:rsidR="00CB63EB">
        <w:rPr>
          <w:sz w:val="24"/>
          <w:szCs w:val="24"/>
        </w:rPr>
        <w:t xml:space="preserve"> (“BCS”)</w:t>
      </w:r>
      <w:r w:rsidRPr="00B73D10">
        <w:rPr>
          <w:sz w:val="24"/>
          <w:szCs w:val="24"/>
        </w:rPr>
        <w:t>.</w:t>
      </w:r>
      <w:r w:rsidR="00CB63EB">
        <w:rPr>
          <w:sz w:val="24"/>
          <w:szCs w:val="24"/>
        </w:rPr>
        <w:t xml:space="preserve">  </w:t>
      </w:r>
      <w:r w:rsidR="00FD088A">
        <w:rPr>
          <w:sz w:val="24"/>
          <w:szCs w:val="24"/>
        </w:rPr>
        <w:t>Complainant requests that PPL waive the unpaid balance</w:t>
      </w:r>
      <w:r w:rsidR="005F480F">
        <w:rPr>
          <w:sz w:val="24"/>
          <w:szCs w:val="24"/>
        </w:rPr>
        <w:t xml:space="preserve"> and lower the monthly payment.  </w:t>
      </w:r>
      <w:r w:rsidRPr="00B73D10">
        <w:rPr>
          <w:sz w:val="24"/>
          <w:szCs w:val="24"/>
        </w:rPr>
        <w:t xml:space="preserve">On </w:t>
      </w:r>
      <w:r w:rsidR="00CB63EB">
        <w:rPr>
          <w:sz w:val="24"/>
          <w:szCs w:val="24"/>
        </w:rPr>
        <w:t>August 1, 2011</w:t>
      </w:r>
      <w:r w:rsidRPr="00B73D10">
        <w:rPr>
          <w:sz w:val="24"/>
          <w:szCs w:val="24"/>
        </w:rPr>
        <w:t>, Respondent filed an Answer in response to Complainant’s formal complaint</w:t>
      </w:r>
      <w:r w:rsidR="00CB63EB">
        <w:rPr>
          <w:sz w:val="24"/>
          <w:szCs w:val="24"/>
        </w:rPr>
        <w:t xml:space="preserve"> in which PPL</w:t>
      </w:r>
      <w:r w:rsidR="00FE20C7">
        <w:rPr>
          <w:sz w:val="24"/>
          <w:szCs w:val="24"/>
        </w:rPr>
        <w:t xml:space="preserve"> admitted Complainant seeks a lower payment but a</w:t>
      </w:r>
      <w:r w:rsidRPr="00B73D10">
        <w:rPr>
          <w:sz w:val="24"/>
          <w:szCs w:val="24"/>
        </w:rPr>
        <w:t xml:space="preserve">verred </w:t>
      </w:r>
      <w:r w:rsidR="00FE20C7">
        <w:rPr>
          <w:sz w:val="24"/>
          <w:szCs w:val="24"/>
        </w:rPr>
        <w:t xml:space="preserve">PPL had provided the most advantageous payment arrangement to Complainant and PPL was in agreement with the BCS decision.  </w:t>
      </w:r>
    </w:p>
    <w:p w:rsidR="00FE20C7" w:rsidRDefault="00FE20C7" w:rsidP="00FB2F18">
      <w:pPr>
        <w:ind w:firstLine="1440"/>
        <w:rPr>
          <w:sz w:val="24"/>
          <w:szCs w:val="24"/>
        </w:rPr>
      </w:pPr>
    </w:p>
    <w:p w:rsidR="00FE20C7" w:rsidRPr="00B73D10" w:rsidRDefault="00FE20C7" w:rsidP="00FB2F18">
      <w:pPr>
        <w:ind w:firstLine="1440"/>
        <w:rPr>
          <w:sz w:val="24"/>
          <w:szCs w:val="24"/>
        </w:rPr>
      </w:pPr>
      <w:r>
        <w:rPr>
          <w:sz w:val="24"/>
          <w:szCs w:val="24"/>
        </w:rPr>
        <w:t>On November 21, 2011, PPL filed a Certificate of Satisfaction which indicated the parties had reached an amicable settlement and the proceeding should be considered closed.  On December 6, 2011, Complainant filed a letter with the Commission which indicated she was not in agreement with the Certificate of Satisfaction.</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lastRenderedPageBreak/>
        <w:tab/>
      </w:r>
      <w:r w:rsidRPr="00B73D10">
        <w:rPr>
          <w:sz w:val="24"/>
          <w:szCs w:val="24"/>
        </w:rPr>
        <w:tab/>
        <w:t xml:space="preserve">On </w:t>
      </w:r>
      <w:r w:rsidR="00FE20C7">
        <w:rPr>
          <w:sz w:val="24"/>
          <w:szCs w:val="24"/>
        </w:rPr>
        <w:t>December 27</w:t>
      </w:r>
      <w:r w:rsidR="00FB2F18">
        <w:rPr>
          <w:sz w:val="24"/>
          <w:szCs w:val="24"/>
        </w:rPr>
        <w:t>, 2011</w:t>
      </w:r>
      <w:r w:rsidRPr="00B73D10">
        <w:rPr>
          <w:sz w:val="24"/>
          <w:szCs w:val="24"/>
        </w:rPr>
        <w:t xml:space="preserve">, the Office of Administrative Law Judge issued a Telephone Hearing Notice, which scheduled an initial telephonic hearing to be conducted on </w:t>
      </w:r>
      <w:r w:rsidR="00FE20C7">
        <w:rPr>
          <w:sz w:val="24"/>
          <w:szCs w:val="24"/>
        </w:rPr>
        <w:t>February 17, 2012</w:t>
      </w:r>
      <w:r w:rsidRPr="00B73D10">
        <w:rPr>
          <w:sz w:val="24"/>
          <w:szCs w:val="24"/>
        </w:rPr>
        <w:t xml:space="preserve">.  On </w:t>
      </w:r>
      <w:r w:rsidR="00FE20C7">
        <w:rPr>
          <w:sz w:val="24"/>
          <w:szCs w:val="24"/>
        </w:rPr>
        <w:t>January 3, 2012</w:t>
      </w:r>
      <w:r w:rsidRPr="00B73D10">
        <w:rPr>
          <w:sz w:val="24"/>
          <w:szCs w:val="24"/>
        </w:rPr>
        <w:t xml:space="preserve">, the undersigned issued a Prehearing Order.  </w:t>
      </w:r>
    </w:p>
    <w:p w:rsidR="00FB2F18" w:rsidRDefault="00FB2F18"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The presiding officer convened the initial telephonic hearing as scheduled on </w:t>
      </w:r>
      <w:r w:rsidR="00E97BF0">
        <w:rPr>
          <w:sz w:val="24"/>
          <w:szCs w:val="24"/>
        </w:rPr>
        <w:t>February 17, 2012</w:t>
      </w:r>
      <w:r w:rsidR="00FD00D0">
        <w:rPr>
          <w:sz w:val="24"/>
          <w:szCs w:val="24"/>
        </w:rPr>
        <w:t>.  Ms</w:t>
      </w:r>
      <w:r w:rsidRPr="00B73D10">
        <w:rPr>
          <w:sz w:val="24"/>
          <w:szCs w:val="24"/>
        </w:rPr>
        <w:t xml:space="preserve">. </w:t>
      </w:r>
      <w:r w:rsidR="00E97BF0">
        <w:rPr>
          <w:sz w:val="24"/>
          <w:szCs w:val="24"/>
        </w:rPr>
        <w:t>Garippa</w:t>
      </w:r>
      <w:r w:rsidR="00FD00D0">
        <w:rPr>
          <w:sz w:val="24"/>
          <w:szCs w:val="24"/>
        </w:rPr>
        <w:t xml:space="preserve"> </w:t>
      </w:r>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FD00D0">
        <w:rPr>
          <w:sz w:val="24"/>
          <w:szCs w:val="24"/>
        </w:rPr>
        <w:t>her</w:t>
      </w:r>
      <w:r w:rsidRPr="00B73D10">
        <w:rPr>
          <w:sz w:val="24"/>
          <w:szCs w:val="24"/>
        </w:rPr>
        <w:t xml:space="preserve"> own behalf.  Respondent was represented by </w:t>
      </w:r>
      <w:r w:rsidR="00E97BF0">
        <w:rPr>
          <w:sz w:val="24"/>
          <w:szCs w:val="24"/>
        </w:rPr>
        <w:t>Graig M. Schultz</w:t>
      </w:r>
      <w:r w:rsidRPr="00B73D10">
        <w:rPr>
          <w:sz w:val="24"/>
          <w:szCs w:val="24"/>
        </w:rPr>
        <w:t xml:space="preserve">, Esquire.  Attorney </w:t>
      </w:r>
      <w:r w:rsidR="00B406AA">
        <w:rPr>
          <w:sz w:val="24"/>
          <w:szCs w:val="24"/>
        </w:rPr>
        <w:t>Schultz</w:t>
      </w:r>
      <w:r w:rsidRPr="00B73D10">
        <w:rPr>
          <w:sz w:val="24"/>
          <w:szCs w:val="24"/>
        </w:rPr>
        <w:t xml:space="preserve"> presented the testimony of </w:t>
      </w:r>
      <w:r w:rsidR="00FD00D0">
        <w:rPr>
          <w:sz w:val="24"/>
          <w:szCs w:val="24"/>
        </w:rPr>
        <w:t>one witness</w:t>
      </w:r>
      <w:r w:rsidRPr="00B73D10">
        <w:rPr>
          <w:sz w:val="24"/>
          <w:szCs w:val="24"/>
        </w:rPr>
        <w:t xml:space="preserve">, and offered </w:t>
      </w:r>
      <w:r w:rsidR="00E97BF0">
        <w:rPr>
          <w:sz w:val="24"/>
          <w:szCs w:val="24"/>
        </w:rPr>
        <w:t>four</w:t>
      </w:r>
      <w:r w:rsidRPr="00B73D10">
        <w:rPr>
          <w:sz w:val="24"/>
          <w:szCs w:val="24"/>
        </w:rPr>
        <w:t xml:space="preserve"> exhibits, marked </w:t>
      </w:r>
      <w:r w:rsidR="00FD00D0">
        <w:rPr>
          <w:sz w:val="24"/>
          <w:szCs w:val="24"/>
        </w:rPr>
        <w:t>PECO</w:t>
      </w:r>
      <w:r w:rsidRPr="00B73D10">
        <w:rPr>
          <w:sz w:val="24"/>
          <w:szCs w:val="24"/>
        </w:rPr>
        <w:t xml:space="preserve"> Exhibit</w:t>
      </w:r>
      <w:r w:rsidR="00E97BF0">
        <w:rPr>
          <w:sz w:val="24"/>
          <w:szCs w:val="24"/>
        </w:rPr>
        <w:t>s</w:t>
      </w:r>
      <w:r w:rsidR="00FD00D0">
        <w:rPr>
          <w:sz w:val="24"/>
          <w:szCs w:val="24"/>
        </w:rPr>
        <w:t xml:space="preserve"> 1</w:t>
      </w:r>
      <w:r w:rsidR="00E97BF0">
        <w:rPr>
          <w:sz w:val="24"/>
          <w:szCs w:val="24"/>
        </w:rPr>
        <w:t xml:space="preserve"> through 4</w:t>
      </w:r>
      <w:r w:rsidR="00FD00D0">
        <w:rPr>
          <w:sz w:val="24"/>
          <w:szCs w:val="24"/>
        </w:rPr>
        <w:t>,</w:t>
      </w:r>
      <w:r w:rsidRPr="00B73D10">
        <w:rPr>
          <w:sz w:val="24"/>
          <w:szCs w:val="24"/>
        </w:rPr>
        <w:t xml:space="preserve"> which exhibits were admitted into evidence </w:t>
      </w:r>
      <w:r w:rsidR="00E97BF0">
        <w:rPr>
          <w:sz w:val="24"/>
          <w:szCs w:val="24"/>
        </w:rPr>
        <w:t>at the hearing</w:t>
      </w:r>
      <w:r w:rsidRPr="00B73D10">
        <w:rPr>
          <w:sz w:val="24"/>
          <w:szCs w:val="24"/>
        </w:rPr>
        <w:t xml:space="preserve">.  The transcript of the hearing contains </w:t>
      </w:r>
      <w:r w:rsidR="00E97BF0">
        <w:rPr>
          <w:sz w:val="24"/>
          <w:szCs w:val="24"/>
        </w:rPr>
        <w:t xml:space="preserve">53 </w:t>
      </w:r>
      <w:r w:rsidRPr="00B73D10">
        <w:rPr>
          <w:sz w:val="24"/>
          <w:szCs w:val="24"/>
        </w:rPr>
        <w:t>pages</w:t>
      </w:r>
      <w:r w:rsidR="00FB2F18">
        <w:rPr>
          <w:sz w:val="24"/>
          <w:szCs w:val="24"/>
        </w:rPr>
        <w:t xml:space="preserve"> and was received in the presiding officer’s office on </w:t>
      </w:r>
      <w:r w:rsidR="00E97BF0">
        <w:rPr>
          <w:sz w:val="24"/>
          <w:szCs w:val="24"/>
        </w:rPr>
        <w:t>March 15, 2012</w:t>
      </w:r>
      <w:r w:rsidR="00065149">
        <w:rPr>
          <w:sz w:val="24"/>
          <w:szCs w:val="24"/>
        </w:rPr>
        <w:t>.</w:t>
      </w:r>
      <w:r w:rsidRPr="00B73D10">
        <w:rPr>
          <w:sz w:val="24"/>
          <w:szCs w:val="24"/>
        </w:rPr>
        <w:t xml:space="preserve">  Complainant and Respondent issued final statements on the hearing record in lieu of filing briefs.  </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E97BF0">
        <w:rPr>
          <w:sz w:val="24"/>
          <w:szCs w:val="24"/>
        </w:rPr>
        <w:t>March 21, 2012</w:t>
      </w:r>
      <w:r w:rsidR="00065149">
        <w:rPr>
          <w:sz w:val="24"/>
          <w:szCs w:val="24"/>
        </w:rPr>
        <w:t>,</w:t>
      </w:r>
      <w:r w:rsidR="00E97BF0">
        <w:rPr>
          <w:sz w:val="24"/>
          <w:szCs w:val="24"/>
        </w:rPr>
        <w:t xml:space="preserve"> the presiding officer</w:t>
      </w:r>
      <w:r w:rsidRPr="00B73D10">
        <w:rPr>
          <w:sz w:val="24"/>
          <w:szCs w:val="24"/>
        </w:rPr>
        <w:t xml:space="preserve"> closed </w:t>
      </w:r>
      <w:r w:rsidR="00E97BF0">
        <w:rPr>
          <w:sz w:val="24"/>
          <w:szCs w:val="24"/>
        </w:rPr>
        <w:t>the hearing record when issuing the</w:t>
      </w:r>
      <w:r w:rsidRPr="00B73D10">
        <w:rPr>
          <w:sz w:val="24"/>
          <w:szCs w:val="24"/>
        </w:rPr>
        <w:t xml:space="preserve">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E97BF0">
        <w:rPr>
          <w:sz w:val="24"/>
          <w:szCs w:val="24"/>
        </w:rPr>
        <w:t>Donna Garippa</w:t>
      </w:r>
      <w:r w:rsidR="00FB2F18">
        <w:rPr>
          <w:sz w:val="24"/>
          <w:szCs w:val="24"/>
        </w:rPr>
        <w:t xml:space="preserve">, resides </w:t>
      </w:r>
      <w:r w:rsidR="00E74CDD">
        <w:rPr>
          <w:sz w:val="24"/>
          <w:szCs w:val="24"/>
        </w:rPr>
        <w:t xml:space="preserve">at </w:t>
      </w:r>
      <w:r w:rsidR="00E97BF0">
        <w:rPr>
          <w:sz w:val="24"/>
          <w:szCs w:val="24"/>
        </w:rPr>
        <w:t>273 Sage Road (formerly numbered as 2007 Sage Road), Long Pond</w:t>
      </w:r>
      <w:r w:rsidR="00065149">
        <w:rPr>
          <w:sz w:val="24"/>
          <w:szCs w:val="24"/>
        </w:rPr>
        <w:t>, Pennsylvania</w:t>
      </w:r>
      <w:r w:rsidR="00A56712">
        <w:rPr>
          <w:sz w:val="24"/>
          <w:szCs w:val="24"/>
        </w:rPr>
        <w:t xml:space="preserve"> which is the service address where she has received electric services from Respondent for five years</w:t>
      </w:r>
      <w:r w:rsidR="00E74CDD">
        <w:rPr>
          <w:sz w:val="24"/>
          <w:szCs w:val="24"/>
        </w:rPr>
        <w:t>.</w:t>
      </w:r>
      <w:r w:rsidRPr="00B73D10">
        <w:rPr>
          <w:sz w:val="24"/>
          <w:szCs w:val="24"/>
        </w:rPr>
        <w:t xml:space="preserve">  (Tr. </w:t>
      </w:r>
      <w:r w:rsidR="00E97BF0">
        <w:rPr>
          <w:sz w:val="24"/>
          <w:szCs w:val="24"/>
        </w:rPr>
        <w:t>12</w:t>
      </w:r>
      <w:r w:rsidR="00452073">
        <w:rPr>
          <w:sz w:val="24"/>
          <w:szCs w:val="24"/>
        </w:rPr>
        <w:t>, 37</w:t>
      </w:r>
      <w:r w:rsidRPr="00B73D10">
        <w:rPr>
          <w:sz w:val="24"/>
          <w:szCs w:val="24"/>
        </w:rPr>
        <w:t xml:space="preserve">). </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2</w:t>
      </w:r>
      <w:r w:rsidR="00044B8E">
        <w:rPr>
          <w:sz w:val="24"/>
          <w:szCs w:val="24"/>
        </w:rPr>
        <w:t>.</w:t>
      </w:r>
      <w:r w:rsidR="00044B8E">
        <w:rPr>
          <w:sz w:val="24"/>
          <w:szCs w:val="24"/>
        </w:rPr>
        <w:tab/>
      </w:r>
      <w:r w:rsidR="00764DC3">
        <w:rPr>
          <w:sz w:val="24"/>
          <w:szCs w:val="24"/>
        </w:rPr>
        <w:t>Co</w:t>
      </w:r>
      <w:r w:rsidR="00A56712">
        <w:rPr>
          <w:sz w:val="24"/>
          <w:szCs w:val="24"/>
        </w:rPr>
        <w:t xml:space="preserve">mplainant rents her two-bedroom, single family </w:t>
      </w:r>
      <w:r w:rsidR="00764DC3">
        <w:rPr>
          <w:sz w:val="24"/>
          <w:szCs w:val="24"/>
        </w:rPr>
        <w:t>residence</w:t>
      </w:r>
      <w:r w:rsidR="00FA6A9A">
        <w:rPr>
          <w:sz w:val="24"/>
          <w:szCs w:val="24"/>
        </w:rPr>
        <w:t xml:space="preserve">, which is equipped with electric baseboard heat and </w:t>
      </w:r>
      <w:r w:rsidR="00764DC3">
        <w:rPr>
          <w:sz w:val="24"/>
          <w:szCs w:val="24"/>
        </w:rPr>
        <w:t xml:space="preserve">where she lives by herself.  (Tr. </w:t>
      </w:r>
      <w:r w:rsidR="00A56712">
        <w:rPr>
          <w:sz w:val="24"/>
          <w:szCs w:val="24"/>
        </w:rPr>
        <w:t>13-15</w:t>
      </w:r>
      <w:r w:rsidR="00764DC3">
        <w:rPr>
          <w:sz w:val="24"/>
          <w:szCs w:val="24"/>
        </w:rPr>
        <w:t>).</w:t>
      </w:r>
    </w:p>
    <w:p w:rsidR="00044B8E" w:rsidRDefault="00044B8E" w:rsidP="00C44296">
      <w:pPr>
        <w:tabs>
          <w:tab w:val="left" w:pos="2160"/>
        </w:tabs>
        <w:ind w:firstLine="1440"/>
        <w:rPr>
          <w:sz w:val="24"/>
          <w:szCs w:val="24"/>
        </w:rPr>
      </w:pPr>
    </w:p>
    <w:p w:rsidR="00044B8E" w:rsidRDefault="008C756D" w:rsidP="00C44296">
      <w:pPr>
        <w:tabs>
          <w:tab w:val="left" w:pos="2160"/>
        </w:tabs>
        <w:ind w:firstLine="1440"/>
        <w:rPr>
          <w:sz w:val="24"/>
          <w:szCs w:val="24"/>
        </w:rPr>
      </w:pPr>
      <w:r>
        <w:rPr>
          <w:sz w:val="24"/>
          <w:szCs w:val="24"/>
        </w:rPr>
        <w:t>3.</w:t>
      </w:r>
      <w:r>
        <w:rPr>
          <w:sz w:val="24"/>
          <w:szCs w:val="24"/>
        </w:rPr>
        <w:tab/>
      </w:r>
      <w:r w:rsidR="00764DC3">
        <w:rPr>
          <w:sz w:val="24"/>
          <w:szCs w:val="24"/>
        </w:rPr>
        <w:t xml:space="preserve">Complainant is currently unemployed, having been approved for </w:t>
      </w:r>
      <w:r w:rsidR="0015440C">
        <w:rPr>
          <w:sz w:val="24"/>
          <w:szCs w:val="24"/>
        </w:rPr>
        <w:t xml:space="preserve">Social Security </w:t>
      </w:r>
      <w:r w:rsidR="00764DC3">
        <w:rPr>
          <w:sz w:val="24"/>
          <w:szCs w:val="24"/>
        </w:rPr>
        <w:t xml:space="preserve">disability benefits in 2001.  (Tr. </w:t>
      </w:r>
      <w:r w:rsidR="00A56712">
        <w:rPr>
          <w:sz w:val="24"/>
          <w:szCs w:val="24"/>
        </w:rPr>
        <w:t>13, 18</w:t>
      </w:r>
      <w:r w:rsidR="0015440C">
        <w:rPr>
          <w:sz w:val="24"/>
          <w:szCs w:val="24"/>
        </w:rPr>
        <w:t>, 20</w:t>
      </w:r>
      <w:r w:rsidR="00764DC3">
        <w:rPr>
          <w:sz w:val="24"/>
          <w:szCs w:val="24"/>
        </w:rPr>
        <w:t>).</w:t>
      </w:r>
    </w:p>
    <w:p w:rsidR="00AB2D65" w:rsidRDefault="00AB2D65" w:rsidP="00C44296">
      <w:pPr>
        <w:tabs>
          <w:tab w:val="left" w:pos="2160"/>
        </w:tabs>
        <w:ind w:firstLine="1440"/>
        <w:rPr>
          <w:sz w:val="24"/>
          <w:szCs w:val="24"/>
        </w:rPr>
      </w:pPr>
    </w:p>
    <w:p w:rsidR="00AB2D65" w:rsidRDefault="008C756D" w:rsidP="00C44296">
      <w:pPr>
        <w:tabs>
          <w:tab w:val="left" w:pos="2160"/>
        </w:tabs>
        <w:ind w:firstLine="1440"/>
        <w:rPr>
          <w:sz w:val="24"/>
          <w:szCs w:val="24"/>
        </w:rPr>
      </w:pPr>
      <w:r>
        <w:rPr>
          <w:sz w:val="24"/>
          <w:szCs w:val="24"/>
        </w:rPr>
        <w:t>4</w:t>
      </w:r>
      <w:r w:rsidR="00764DC3">
        <w:rPr>
          <w:sz w:val="24"/>
          <w:szCs w:val="24"/>
        </w:rPr>
        <w:t>.</w:t>
      </w:r>
      <w:r w:rsidR="00764DC3">
        <w:rPr>
          <w:sz w:val="24"/>
          <w:szCs w:val="24"/>
        </w:rPr>
        <w:tab/>
        <w:t>Complainant’s disability</w:t>
      </w:r>
      <w:r w:rsidR="00A56712">
        <w:rPr>
          <w:sz w:val="24"/>
          <w:szCs w:val="24"/>
        </w:rPr>
        <w:t xml:space="preserve"> </w:t>
      </w:r>
      <w:r w:rsidR="00444C3C">
        <w:rPr>
          <w:sz w:val="24"/>
          <w:szCs w:val="24"/>
        </w:rPr>
        <w:t xml:space="preserve">benefits </w:t>
      </w:r>
      <w:r w:rsidR="00A56712">
        <w:rPr>
          <w:sz w:val="24"/>
          <w:szCs w:val="24"/>
        </w:rPr>
        <w:t>in 2012</w:t>
      </w:r>
      <w:r w:rsidR="00764DC3">
        <w:rPr>
          <w:sz w:val="24"/>
          <w:szCs w:val="24"/>
        </w:rPr>
        <w:t xml:space="preserve"> totals $1,682 in net monthly payments</w:t>
      </w:r>
      <w:r w:rsidR="00FD088A">
        <w:rPr>
          <w:sz w:val="24"/>
          <w:szCs w:val="24"/>
        </w:rPr>
        <w:t xml:space="preserve"> and $27 in food stamp</w:t>
      </w:r>
      <w:r w:rsidR="00FA6A9A">
        <w:rPr>
          <w:sz w:val="24"/>
          <w:szCs w:val="24"/>
        </w:rPr>
        <w:t>s</w:t>
      </w:r>
      <w:r w:rsidR="00FD088A">
        <w:rPr>
          <w:sz w:val="24"/>
          <w:szCs w:val="24"/>
        </w:rPr>
        <w:t xml:space="preserve">.  The costs of health insurance for her son ($25) and for herself ($100), and the cost for medications ($36) are deducted from the gross disability payment, making her gross monthly payment approximately $1,843.  (Tr. </w:t>
      </w:r>
      <w:r w:rsidR="0015440C">
        <w:rPr>
          <w:sz w:val="24"/>
          <w:szCs w:val="24"/>
        </w:rPr>
        <w:t>18-20, 26</w:t>
      </w:r>
      <w:r w:rsidR="00FD088A">
        <w:rPr>
          <w:sz w:val="24"/>
          <w:szCs w:val="24"/>
        </w:rPr>
        <w:t>).</w:t>
      </w:r>
    </w:p>
    <w:p w:rsidR="00E97BF0" w:rsidRDefault="008C756D" w:rsidP="00C44296">
      <w:pPr>
        <w:tabs>
          <w:tab w:val="left" w:pos="2160"/>
        </w:tabs>
        <w:ind w:firstLine="1440"/>
        <w:rPr>
          <w:sz w:val="24"/>
          <w:szCs w:val="24"/>
        </w:rPr>
      </w:pPr>
      <w:r>
        <w:rPr>
          <w:sz w:val="24"/>
          <w:szCs w:val="24"/>
        </w:rPr>
        <w:lastRenderedPageBreak/>
        <w:t>5</w:t>
      </w:r>
      <w:r w:rsidR="00AB2D65">
        <w:rPr>
          <w:sz w:val="24"/>
          <w:szCs w:val="24"/>
        </w:rPr>
        <w:t>.</w:t>
      </w:r>
      <w:r w:rsidR="00FD088A">
        <w:rPr>
          <w:sz w:val="24"/>
          <w:szCs w:val="24"/>
        </w:rPr>
        <w:tab/>
        <w:t>Complainant’s monthly expenses, not including food, currently total $1,7</w:t>
      </w:r>
      <w:r w:rsidR="0015440C">
        <w:rPr>
          <w:sz w:val="24"/>
          <w:szCs w:val="24"/>
        </w:rPr>
        <w:t>40</w:t>
      </w:r>
      <w:r w:rsidR="00FD088A">
        <w:rPr>
          <w:sz w:val="24"/>
          <w:szCs w:val="24"/>
        </w:rPr>
        <w:t xml:space="preserve"> and consist of:</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Rent</w:t>
      </w:r>
      <w:r>
        <w:rPr>
          <w:sz w:val="24"/>
          <w:szCs w:val="24"/>
        </w:rPr>
        <w:tab/>
      </w:r>
      <w:r>
        <w:rPr>
          <w:sz w:val="24"/>
          <w:szCs w:val="24"/>
        </w:rPr>
        <w:tab/>
      </w:r>
      <w:r>
        <w:rPr>
          <w:sz w:val="24"/>
          <w:szCs w:val="24"/>
        </w:rPr>
        <w:tab/>
      </w:r>
      <w:r>
        <w:rPr>
          <w:sz w:val="24"/>
          <w:szCs w:val="24"/>
        </w:rPr>
        <w:tab/>
      </w:r>
      <w:r>
        <w:rPr>
          <w:sz w:val="24"/>
          <w:szCs w:val="24"/>
        </w:rPr>
        <w:tab/>
        <w:t>$1,000</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Electric</w:t>
      </w:r>
      <w:r>
        <w:rPr>
          <w:sz w:val="24"/>
          <w:szCs w:val="24"/>
        </w:rPr>
        <w:tab/>
      </w:r>
      <w:r>
        <w:rPr>
          <w:sz w:val="24"/>
          <w:szCs w:val="24"/>
        </w:rPr>
        <w:tab/>
        <w:t xml:space="preserve"> </w:t>
      </w:r>
      <w:r>
        <w:rPr>
          <w:sz w:val="24"/>
          <w:szCs w:val="24"/>
        </w:rPr>
        <w:tab/>
      </w:r>
      <w:r>
        <w:rPr>
          <w:sz w:val="24"/>
          <w:szCs w:val="24"/>
        </w:rPr>
        <w:tab/>
        <w:t xml:space="preserve"> $152</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Water</w:t>
      </w:r>
      <w:r>
        <w:rPr>
          <w:sz w:val="24"/>
          <w:szCs w:val="24"/>
        </w:rPr>
        <w:tab/>
      </w:r>
      <w:r>
        <w:rPr>
          <w:sz w:val="24"/>
          <w:szCs w:val="24"/>
        </w:rPr>
        <w:tab/>
      </w:r>
      <w:r>
        <w:rPr>
          <w:sz w:val="24"/>
          <w:szCs w:val="24"/>
        </w:rPr>
        <w:tab/>
      </w:r>
      <w:r>
        <w:rPr>
          <w:sz w:val="24"/>
          <w:szCs w:val="24"/>
        </w:rPr>
        <w:tab/>
      </w:r>
      <w:r>
        <w:rPr>
          <w:sz w:val="24"/>
          <w:szCs w:val="24"/>
        </w:rPr>
        <w:tab/>
        <w:t xml:space="preserve">   $48</w:t>
      </w:r>
    </w:p>
    <w:p w:rsidR="0015440C" w:rsidRDefault="0015440C" w:rsidP="00FD088A">
      <w:pPr>
        <w:tabs>
          <w:tab w:val="left" w:pos="2160"/>
        </w:tabs>
        <w:spacing w:line="240" w:lineRule="auto"/>
        <w:ind w:firstLine="1440"/>
        <w:rPr>
          <w:sz w:val="24"/>
          <w:szCs w:val="24"/>
        </w:rPr>
      </w:pPr>
      <w:r>
        <w:rPr>
          <w:sz w:val="24"/>
          <w:szCs w:val="24"/>
        </w:rPr>
        <w:tab/>
      </w:r>
      <w:r>
        <w:rPr>
          <w:sz w:val="24"/>
          <w:szCs w:val="24"/>
        </w:rPr>
        <w:tab/>
        <w:t xml:space="preserve">Garbage </w:t>
      </w:r>
      <w:r>
        <w:rPr>
          <w:sz w:val="24"/>
          <w:szCs w:val="24"/>
        </w:rPr>
        <w:tab/>
      </w:r>
      <w:r>
        <w:rPr>
          <w:sz w:val="24"/>
          <w:szCs w:val="24"/>
        </w:rPr>
        <w:tab/>
      </w:r>
      <w:r>
        <w:rPr>
          <w:sz w:val="24"/>
          <w:szCs w:val="24"/>
        </w:rPr>
        <w:tab/>
      </w:r>
      <w:r>
        <w:rPr>
          <w:sz w:val="24"/>
          <w:szCs w:val="24"/>
        </w:rPr>
        <w:tab/>
        <w:t xml:space="preserve">   $13</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Cable/Phone/Internet</w:t>
      </w:r>
      <w:r>
        <w:rPr>
          <w:sz w:val="24"/>
          <w:szCs w:val="24"/>
        </w:rPr>
        <w:tab/>
      </w:r>
      <w:r>
        <w:rPr>
          <w:sz w:val="24"/>
          <w:szCs w:val="24"/>
        </w:rPr>
        <w:tab/>
      </w:r>
      <w:r>
        <w:rPr>
          <w:sz w:val="24"/>
          <w:szCs w:val="24"/>
        </w:rPr>
        <w:tab/>
        <w:t xml:space="preserve">  $138</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Gasoline</w:t>
      </w:r>
      <w:r>
        <w:rPr>
          <w:sz w:val="24"/>
          <w:szCs w:val="24"/>
        </w:rPr>
        <w:tab/>
      </w:r>
      <w:r>
        <w:rPr>
          <w:sz w:val="24"/>
          <w:szCs w:val="24"/>
        </w:rPr>
        <w:tab/>
      </w:r>
      <w:r>
        <w:rPr>
          <w:sz w:val="24"/>
          <w:szCs w:val="24"/>
        </w:rPr>
        <w:tab/>
      </w:r>
      <w:r>
        <w:rPr>
          <w:sz w:val="24"/>
          <w:szCs w:val="24"/>
        </w:rPr>
        <w:tab/>
        <w:t xml:space="preserve">  $125</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Car</w:t>
      </w:r>
      <w:r w:rsidR="0015440C">
        <w:rPr>
          <w:sz w:val="24"/>
          <w:szCs w:val="24"/>
        </w:rPr>
        <w:t>/Renters’</w:t>
      </w:r>
      <w:r>
        <w:rPr>
          <w:sz w:val="24"/>
          <w:szCs w:val="24"/>
        </w:rPr>
        <w:t xml:space="preserve"> Insurance</w:t>
      </w:r>
      <w:r>
        <w:rPr>
          <w:sz w:val="24"/>
          <w:szCs w:val="24"/>
        </w:rPr>
        <w:tab/>
      </w:r>
      <w:r>
        <w:rPr>
          <w:sz w:val="24"/>
          <w:szCs w:val="24"/>
        </w:rPr>
        <w:tab/>
        <w:t xml:space="preserve">  $139</w:t>
      </w:r>
    </w:p>
    <w:p w:rsidR="00FD088A" w:rsidRDefault="00FD088A" w:rsidP="00FD088A">
      <w:pPr>
        <w:tabs>
          <w:tab w:val="left" w:pos="2160"/>
        </w:tabs>
        <w:spacing w:line="240" w:lineRule="auto"/>
        <w:ind w:firstLine="1440"/>
        <w:rPr>
          <w:sz w:val="24"/>
          <w:szCs w:val="24"/>
        </w:rPr>
      </w:pPr>
      <w:r>
        <w:rPr>
          <w:sz w:val="24"/>
          <w:szCs w:val="24"/>
        </w:rPr>
        <w:tab/>
      </w:r>
      <w:r>
        <w:rPr>
          <w:sz w:val="24"/>
          <w:szCs w:val="24"/>
        </w:rPr>
        <w:tab/>
        <w:t>Three revolving credit accounts</w:t>
      </w:r>
      <w:r>
        <w:rPr>
          <w:sz w:val="24"/>
          <w:szCs w:val="24"/>
        </w:rPr>
        <w:tab/>
        <w:t xml:space="preserve">  $125 total </w:t>
      </w:r>
    </w:p>
    <w:p w:rsidR="00FD088A" w:rsidRDefault="00FD088A" w:rsidP="00FD088A">
      <w:pPr>
        <w:tabs>
          <w:tab w:val="left" w:pos="2160"/>
        </w:tabs>
        <w:spacing w:line="240" w:lineRule="auto"/>
        <w:ind w:firstLine="1440"/>
        <w:rPr>
          <w:sz w:val="24"/>
          <w:szCs w:val="24"/>
        </w:rPr>
      </w:pPr>
      <w:r>
        <w:rPr>
          <w:sz w:val="24"/>
          <w:szCs w:val="24"/>
        </w:rPr>
        <w:t xml:space="preserve">(Tr. </w:t>
      </w:r>
      <w:r w:rsidR="0015440C">
        <w:rPr>
          <w:sz w:val="24"/>
          <w:szCs w:val="24"/>
        </w:rPr>
        <w:t>22-28</w:t>
      </w:r>
      <w:r>
        <w:rPr>
          <w:sz w:val="24"/>
          <w:szCs w:val="24"/>
        </w:rPr>
        <w:t>).</w:t>
      </w:r>
    </w:p>
    <w:p w:rsidR="00AB2D65" w:rsidRPr="00B73D10" w:rsidRDefault="00AB2D65" w:rsidP="00C44296">
      <w:pPr>
        <w:tabs>
          <w:tab w:val="left" w:pos="2160"/>
        </w:tabs>
        <w:ind w:firstLine="1440"/>
        <w:rPr>
          <w:sz w:val="24"/>
          <w:szCs w:val="24"/>
        </w:rPr>
      </w:pPr>
      <w:r>
        <w:rPr>
          <w:sz w:val="24"/>
          <w:szCs w:val="24"/>
        </w:rPr>
        <w:tab/>
        <w:t xml:space="preserve"> </w:t>
      </w:r>
    </w:p>
    <w:p w:rsidR="00AB2D65" w:rsidRDefault="008C756D" w:rsidP="00AB2D65">
      <w:pPr>
        <w:tabs>
          <w:tab w:val="left" w:pos="2160"/>
        </w:tabs>
        <w:ind w:firstLine="1440"/>
        <w:rPr>
          <w:sz w:val="24"/>
          <w:szCs w:val="24"/>
        </w:rPr>
      </w:pPr>
      <w:r>
        <w:rPr>
          <w:sz w:val="24"/>
          <w:szCs w:val="24"/>
        </w:rPr>
        <w:t>6</w:t>
      </w:r>
      <w:r w:rsidR="00AB2D65">
        <w:rPr>
          <w:sz w:val="24"/>
          <w:szCs w:val="24"/>
        </w:rPr>
        <w:t>.</w:t>
      </w:r>
      <w:r w:rsidR="00AB2D65">
        <w:rPr>
          <w:sz w:val="24"/>
          <w:szCs w:val="24"/>
        </w:rPr>
        <w:tab/>
      </w:r>
      <w:r w:rsidR="00FD088A">
        <w:rPr>
          <w:sz w:val="24"/>
          <w:szCs w:val="24"/>
        </w:rPr>
        <w:t>In addition to her routine monthly expenses, Complainant’s unpaid medica</w:t>
      </w:r>
      <w:r w:rsidR="005F480F">
        <w:rPr>
          <w:sz w:val="24"/>
          <w:szCs w:val="24"/>
        </w:rPr>
        <w:t>l bills total approximately $1,5</w:t>
      </w:r>
      <w:r w:rsidR="00FD088A">
        <w:rPr>
          <w:sz w:val="24"/>
          <w:szCs w:val="24"/>
        </w:rPr>
        <w:t xml:space="preserve">00.  (Tr. </w:t>
      </w:r>
      <w:r w:rsidR="0015440C">
        <w:rPr>
          <w:sz w:val="24"/>
          <w:szCs w:val="24"/>
        </w:rPr>
        <w:t>26, 27</w:t>
      </w:r>
      <w:r w:rsidR="00452073">
        <w:rPr>
          <w:sz w:val="24"/>
          <w:szCs w:val="24"/>
        </w:rPr>
        <w:t>)</w:t>
      </w:r>
      <w:r w:rsidR="00FD088A">
        <w:rPr>
          <w:sz w:val="24"/>
          <w:szCs w:val="24"/>
        </w:rPr>
        <w:t>.</w:t>
      </w:r>
    </w:p>
    <w:p w:rsidR="00AB2D65" w:rsidRDefault="00AB2D65" w:rsidP="00AB2D65">
      <w:pPr>
        <w:tabs>
          <w:tab w:val="left" w:pos="2160"/>
        </w:tabs>
        <w:ind w:firstLine="1440"/>
        <w:rPr>
          <w:sz w:val="24"/>
          <w:szCs w:val="24"/>
        </w:rPr>
      </w:pPr>
    </w:p>
    <w:p w:rsidR="00AB2D65" w:rsidRDefault="008C756D" w:rsidP="00AB2D65">
      <w:pPr>
        <w:tabs>
          <w:tab w:val="left" w:pos="2160"/>
        </w:tabs>
        <w:ind w:firstLine="1440"/>
        <w:rPr>
          <w:sz w:val="24"/>
          <w:szCs w:val="24"/>
        </w:rPr>
      </w:pPr>
      <w:r>
        <w:rPr>
          <w:sz w:val="24"/>
          <w:szCs w:val="24"/>
        </w:rPr>
        <w:t>7</w:t>
      </w:r>
      <w:r w:rsidR="00AB2D65">
        <w:rPr>
          <w:sz w:val="24"/>
          <w:szCs w:val="24"/>
        </w:rPr>
        <w:t>.</w:t>
      </w:r>
      <w:r w:rsidR="00AB2D65">
        <w:rPr>
          <w:sz w:val="24"/>
          <w:szCs w:val="24"/>
        </w:rPr>
        <w:tab/>
      </w:r>
      <w:r w:rsidR="005F480F">
        <w:rPr>
          <w:sz w:val="24"/>
          <w:szCs w:val="24"/>
        </w:rPr>
        <w:t>Complainant does not qualify for LIHEAP (Low Income Heating Energy Assistance Program), “</w:t>
      </w:r>
      <w:r w:rsidR="00A56712">
        <w:rPr>
          <w:sz w:val="24"/>
          <w:szCs w:val="24"/>
        </w:rPr>
        <w:t>On</w:t>
      </w:r>
      <w:r w:rsidR="005F480F">
        <w:rPr>
          <w:sz w:val="24"/>
          <w:szCs w:val="24"/>
        </w:rPr>
        <w:t xml:space="preserve">Track”, Section 8 assistance or rent assistance.  (Tr. </w:t>
      </w:r>
      <w:r w:rsidR="00A56712">
        <w:rPr>
          <w:sz w:val="24"/>
          <w:szCs w:val="24"/>
        </w:rPr>
        <w:t>13-14</w:t>
      </w:r>
      <w:r w:rsidR="0015440C">
        <w:rPr>
          <w:sz w:val="24"/>
          <w:szCs w:val="24"/>
        </w:rPr>
        <w:t>, 21</w:t>
      </w:r>
      <w:r w:rsidR="005F480F">
        <w:rPr>
          <w:sz w:val="24"/>
          <w:szCs w:val="24"/>
        </w:rPr>
        <w:t>).</w:t>
      </w:r>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8</w:t>
      </w:r>
      <w:r w:rsidR="00AB2D65">
        <w:rPr>
          <w:sz w:val="24"/>
          <w:szCs w:val="24"/>
        </w:rPr>
        <w:t>.</w:t>
      </w:r>
      <w:r w:rsidR="00AB2D65">
        <w:rPr>
          <w:sz w:val="24"/>
          <w:szCs w:val="24"/>
        </w:rPr>
        <w:tab/>
      </w:r>
      <w:r w:rsidR="005F480F">
        <w:rPr>
          <w:sz w:val="24"/>
          <w:szCs w:val="24"/>
        </w:rPr>
        <w:t>Complainant owes $773.88 in unpaid arrears as of the date of the hearing and her current budget billing amount is $137 monthly.  (Tr.</w:t>
      </w:r>
      <w:r w:rsidR="00452073">
        <w:rPr>
          <w:sz w:val="24"/>
          <w:szCs w:val="24"/>
        </w:rPr>
        <w:t xml:space="preserve"> 38</w:t>
      </w:r>
      <w:r w:rsidR="005F480F">
        <w:rPr>
          <w:sz w:val="24"/>
          <w:szCs w:val="24"/>
        </w:rPr>
        <w:t>; PPL Exhibit 1).</w:t>
      </w:r>
    </w:p>
    <w:p w:rsidR="00AB2D65" w:rsidRDefault="00AB2D65" w:rsidP="00AB2D65">
      <w:pPr>
        <w:tabs>
          <w:tab w:val="left" w:pos="2160"/>
        </w:tabs>
        <w:ind w:firstLine="1440"/>
        <w:rPr>
          <w:sz w:val="24"/>
          <w:szCs w:val="24"/>
        </w:rPr>
      </w:pPr>
    </w:p>
    <w:p w:rsidR="00AB2D65" w:rsidRDefault="00850505" w:rsidP="00AB2D65">
      <w:pPr>
        <w:tabs>
          <w:tab w:val="left" w:pos="2160"/>
        </w:tabs>
        <w:ind w:firstLine="1440"/>
        <w:rPr>
          <w:sz w:val="24"/>
          <w:szCs w:val="24"/>
        </w:rPr>
      </w:pPr>
      <w:r>
        <w:rPr>
          <w:sz w:val="24"/>
          <w:szCs w:val="24"/>
        </w:rPr>
        <w:t>9</w:t>
      </w:r>
      <w:r w:rsidR="00AB2D65">
        <w:rPr>
          <w:sz w:val="24"/>
          <w:szCs w:val="24"/>
        </w:rPr>
        <w:t>.</w:t>
      </w:r>
      <w:r w:rsidR="00AB2D65">
        <w:rPr>
          <w:sz w:val="24"/>
          <w:szCs w:val="24"/>
        </w:rPr>
        <w:tab/>
      </w:r>
      <w:r w:rsidR="005F480F">
        <w:rPr>
          <w:sz w:val="24"/>
          <w:szCs w:val="24"/>
        </w:rPr>
        <w:t>Complainant continues to pay on her account and has not had a late payment since April 2011.  (Tr.</w:t>
      </w:r>
      <w:r w:rsidR="0015440C">
        <w:rPr>
          <w:sz w:val="24"/>
          <w:szCs w:val="24"/>
        </w:rPr>
        <w:t xml:space="preserve"> 30</w:t>
      </w:r>
      <w:r w:rsidR="00452073">
        <w:rPr>
          <w:sz w:val="24"/>
          <w:szCs w:val="24"/>
        </w:rPr>
        <w:t>, 38</w:t>
      </w:r>
      <w:r w:rsidR="005F480F">
        <w:rPr>
          <w:sz w:val="24"/>
          <w:szCs w:val="24"/>
        </w:rPr>
        <w:t>; PPL Exhibit 1).</w:t>
      </w:r>
    </w:p>
    <w:p w:rsidR="00AB2D65" w:rsidRDefault="00AB2D65" w:rsidP="00AB2D65">
      <w:pPr>
        <w:tabs>
          <w:tab w:val="left" w:pos="2160"/>
        </w:tabs>
        <w:ind w:firstLine="1440"/>
        <w:rPr>
          <w:sz w:val="24"/>
          <w:szCs w:val="24"/>
        </w:rPr>
      </w:pPr>
    </w:p>
    <w:p w:rsidR="001056A1" w:rsidRPr="00B73D10" w:rsidRDefault="008C756D" w:rsidP="00AB2D65">
      <w:pPr>
        <w:tabs>
          <w:tab w:val="left" w:pos="2160"/>
        </w:tabs>
        <w:ind w:firstLine="1440"/>
        <w:rPr>
          <w:sz w:val="24"/>
          <w:szCs w:val="24"/>
        </w:rPr>
      </w:pPr>
      <w:r>
        <w:rPr>
          <w:sz w:val="24"/>
          <w:szCs w:val="24"/>
        </w:rPr>
        <w:t>1</w:t>
      </w:r>
      <w:r w:rsidR="00850505">
        <w:rPr>
          <w:sz w:val="24"/>
          <w:szCs w:val="24"/>
        </w:rPr>
        <w:t>0</w:t>
      </w:r>
      <w:r w:rsidR="00AB2D65">
        <w:rPr>
          <w:sz w:val="24"/>
          <w:szCs w:val="24"/>
        </w:rPr>
        <w:t>.</w:t>
      </w:r>
      <w:r w:rsidR="00AB2D65">
        <w:rPr>
          <w:sz w:val="24"/>
          <w:szCs w:val="24"/>
        </w:rPr>
        <w:tab/>
      </w:r>
      <w:r w:rsidR="005F480F">
        <w:rPr>
          <w:sz w:val="24"/>
          <w:szCs w:val="24"/>
        </w:rPr>
        <w:t xml:space="preserve">As of the date of the hearing, Complainant had a budget billing credit equal to $382.14, which amount could be applied to reduce her arrearage at the end of </w:t>
      </w:r>
      <w:r w:rsidR="00452073">
        <w:rPr>
          <w:sz w:val="24"/>
          <w:szCs w:val="24"/>
        </w:rPr>
        <w:t xml:space="preserve">Complainant’s </w:t>
      </w:r>
      <w:r w:rsidR="005F480F">
        <w:rPr>
          <w:sz w:val="24"/>
          <w:szCs w:val="24"/>
        </w:rPr>
        <w:t>budget billing program year in May 2012.  (Tr.</w:t>
      </w:r>
      <w:r w:rsidR="00452073">
        <w:rPr>
          <w:sz w:val="24"/>
          <w:szCs w:val="24"/>
        </w:rPr>
        <w:t xml:space="preserve"> 38-40</w:t>
      </w:r>
      <w:r w:rsidR="005F480F">
        <w:rPr>
          <w:sz w:val="24"/>
          <w:szCs w:val="24"/>
        </w:rPr>
        <w:t>; PPL Exhibit 1).</w:t>
      </w:r>
    </w:p>
    <w:p w:rsidR="001056A1" w:rsidRDefault="001056A1" w:rsidP="001056A1">
      <w:pPr>
        <w:tabs>
          <w:tab w:val="left" w:pos="2160"/>
        </w:tabs>
        <w:ind w:firstLine="1440"/>
        <w:rPr>
          <w:sz w:val="24"/>
          <w:szCs w:val="24"/>
        </w:rPr>
      </w:pPr>
    </w:p>
    <w:p w:rsidR="00B51F32" w:rsidRDefault="00850505" w:rsidP="00B51F32">
      <w:pPr>
        <w:tabs>
          <w:tab w:val="left" w:pos="2160"/>
        </w:tabs>
        <w:ind w:firstLine="1440"/>
        <w:rPr>
          <w:sz w:val="24"/>
          <w:szCs w:val="24"/>
        </w:rPr>
      </w:pPr>
      <w:r>
        <w:rPr>
          <w:sz w:val="24"/>
          <w:szCs w:val="24"/>
        </w:rPr>
        <w:t>11</w:t>
      </w:r>
      <w:r w:rsidR="001056A1">
        <w:rPr>
          <w:sz w:val="24"/>
          <w:szCs w:val="24"/>
        </w:rPr>
        <w:t>.</w:t>
      </w:r>
      <w:r w:rsidR="001056A1">
        <w:rPr>
          <w:sz w:val="24"/>
          <w:szCs w:val="24"/>
        </w:rPr>
        <w:tab/>
      </w:r>
      <w:r w:rsidR="005F480F">
        <w:rPr>
          <w:sz w:val="24"/>
          <w:szCs w:val="24"/>
        </w:rPr>
        <w:t xml:space="preserve">On December 15, 2010, Complainant contacted PPL to initiate a high bill complaint, and PPL visited Complainant’s residence on January 7, 2011 to conduct a walk-through of her residence.  (Tr. </w:t>
      </w:r>
      <w:r w:rsidR="00A56712">
        <w:rPr>
          <w:sz w:val="24"/>
          <w:szCs w:val="24"/>
        </w:rPr>
        <w:t>16</w:t>
      </w:r>
      <w:r w:rsidR="00452073">
        <w:rPr>
          <w:sz w:val="24"/>
          <w:szCs w:val="24"/>
        </w:rPr>
        <w:t>, 41, 42</w:t>
      </w:r>
      <w:r w:rsidR="005F480F">
        <w:rPr>
          <w:sz w:val="24"/>
          <w:szCs w:val="24"/>
        </w:rPr>
        <w:t>).</w:t>
      </w:r>
    </w:p>
    <w:p w:rsidR="001056A1" w:rsidRDefault="001056A1" w:rsidP="001056A1">
      <w:pPr>
        <w:tabs>
          <w:tab w:val="left" w:pos="2160"/>
        </w:tabs>
        <w:ind w:firstLine="1440"/>
        <w:rPr>
          <w:sz w:val="24"/>
          <w:szCs w:val="24"/>
        </w:rPr>
      </w:pPr>
    </w:p>
    <w:p w:rsidR="00A56712" w:rsidRDefault="00A56712" w:rsidP="001056A1">
      <w:pPr>
        <w:tabs>
          <w:tab w:val="left" w:pos="2160"/>
        </w:tabs>
        <w:ind w:firstLine="1440"/>
        <w:rPr>
          <w:sz w:val="24"/>
          <w:szCs w:val="24"/>
        </w:rPr>
      </w:pPr>
      <w:r>
        <w:rPr>
          <w:sz w:val="24"/>
          <w:szCs w:val="24"/>
        </w:rPr>
        <w:t>12.</w:t>
      </w:r>
      <w:r>
        <w:rPr>
          <w:sz w:val="24"/>
          <w:szCs w:val="24"/>
        </w:rPr>
        <w:tab/>
        <w:t xml:space="preserve">Complainant keeps her thermostats set at 60 degrees in the evening, lowers the thermostats down to 50 degrees during the day, closes curtains at night and opens </w:t>
      </w:r>
      <w:r>
        <w:rPr>
          <w:sz w:val="24"/>
          <w:szCs w:val="24"/>
        </w:rPr>
        <w:lastRenderedPageBreak/>
        <w:t xml:space="preserve">them during the day, unplugs appliances not in use, keeps lights off and doors shut, </w:t>
      </w:r>
      <w:r w:rsidR="00F801D1">
        <w:rPr>
          <w:sz w:val="24"/>
          <w:szCs w:val="24"/>
        </w:rPr>
        <w:t xml:space="preserve">and </w:t>
      </w:r>
      <w:r>
        <w:rPr>
          <w:sz w:val="24"/>
          <w:szCs w:val="24"/>
        </w:rPr>
        <w:t>uses draft blockers under the doors in an attempt to reduce her electric heat usage.  (Tr. 13, 16, 17).</w:t>
      </w:r>
    </w:p>
    <w:p w:rsidR="00A56712" w:rsidRDefault="00A56712" w:rsidP="001056A1">
      <w:pPr>
        <w:tabs>
          <w:tab w:val="left" w:pos="2160"/>
        </w:tabs>
        <w:ind w:firstLine="1440"/>
        <w:rPr>
          <w:sz w:val="24"/>
          <w:szCs w:val="24"/>
        </w:rPr>
      </w:pPr>
    </w:p>
    <w:p w:rsidR="001056A1" w:rsidRDefault="008C756D" w:rsidP="001056A1">
      <w:pPr>
        <w:tabs>
          <w:tab w:val="left" w:pos="2160"/>
        </w:tabs>
        <w:ind w:firstLine="1440"/>
        <w:rPr>
          <w:sz w:val="24"/>
          <w:szCs w:val="24"/>
        </w:rPr>
      </w:pPr>
      <w:r>
        <w:rPr>
          <w:sz w:val="24"/>
          <w:szCs w:val="24"/>
        </w:rPr>
        <w:t>1</w:t>
      </w:r>
      <w:r w:rsidR="00A56712">
        <w:rPr>
          <w:sz w:val="24"/>
          <w:szCs w:val="24"/>
        </w:rPr>
        <w:t>3</w:t>
      </w:r>
      <w:r w:rsidR="001056A1">
        <w:rPr>
          <w:sz w:val="24"/>
          <w:szCs w:val="24"/>
        </w:rPr>
        <w:t>.</w:t>
      </w:r>
      <w:r w:rsidR="001056A1">
        <w:rPr>
          <w:sz w:val="24"/>
          <w:szCs w:val="24"/>
        </w:rPr>
        <w:tab/>
      </w:r>
      <w:r w:rsidR="005F480F">
        <w:rPr>
          <w:sz w:val="24"/>
          <w:szCs w:val="24"/>
        </w:rPr>
        <w:t xml:space="preserve">In March 2011, PPL offered Complainant a payment arrangement totaling $152 monthly, which consisted of budget billing and $20 monthly towards reducing the arrears.  (Tr. </w:t>
      </w:r>
      <w:r w:rsidR="00452073">
        <w:rPr>
          <w:sz w:val="24"/>
          <w:szCs w:val="24"/>
        </w:rPr>
        <w:t>42</w:t>
      </w:r>
      <w:r w:rsidR="005F480F">
        <w:rPr>
          <w:sz w:val="24"/>
          <w:szCs w:val="24"/>
        </w:rPr>
        <w:t>).</w:t>
      </w:r>
    </w:p>
    <w:p w:rsidR="008C756D" w:rsidRDefault="008C756D" w:rsidP="001056A1">
      <w:pPr>
        <w:tabs>
          <w:tab w:val="left" w:pos="2160"/>
        </w:tabs>
        <w:ind w:firstLine="1440"/>
        <w:rPr>
          <w:sz w:val="24"/>
          <w:szCs w:val="24"/>
        </w:rPr>
      </w:pPr>
    </w:p>
    <w:p w:rsidR="008C756D" w:rsidRPr="00B73D10" w:rsidRDefault="00A56712" w:rsidP="001056A1">
      <w:pPr>
        <w:tabs>
          <w:tab w:val="left" w:pos="2160"/>
        </w:tabs>
        <w:ind w:firstLine="1440"/>
        <w:rPr>
          <w:sz w:val="24"/>
          <w:szCs w:val="24"/>
        </w:rPr>
      </w:pPr>
      <w:r>
        <w:rPr>
          <w:sz w:val="24"/>
          <w:szCs w:val="24"/>
        </w:rPr>
        <w:t>14</w:t>
      </w:r>
      <w:r w:rsidR="008C756D">
        <w:rPr>
          <w:sz w:val="24"/>
          <w:szCs w:val="24"/>
        </w:rPr>
        <w:t>.</w:t>
      </w:r>
      <w:r w:rsidR="008C756D">
        <w:rPr>
          <w:sz w:val="24"/>
          <w:szCs w:val="24"/>
        </w:rPr>
        <w:tab/>
      </w:r>
      <w:r w:rsidR="00D12B38">
        <w:rPr>
          <w:sz w:val="24"/>
          <w:szCs w:val="24"/>
        </w:rPr>
        <w:t xml:space="preserve">Complainant filed an informal complaint with the Bureau of Consumer Services (“BCS”) on May </w:t>
      </w:r>
      <w:r w:rsidR="00225772">
        <w:rPr>
          <w:sz w:val="24"/>
          <w:szCs w:val="24"/>
        </w:rPr>
        <w:t>17</w:t>
      </w:r>
      <w:r w:rsidR="00D12B38">
        <w:rPr>
          <w:sz w:val="24"/>
          <w:szCs w:val="24"/>
        </w:rPr>
        <w:t xml:space="preserve">, 2011 at BCS No. 2833034.  On </w:t>
      </w:r>
      <w:r w:rsidR="00225772">
        <w:rPr>
          <w:sz w:val="24"/>
          <w:szCs w:val="24"/>
        </w:rPr>
        <w:t>May 23</w:t>
      </w:r>
      <w:r w:rsidR="00D12B38">
        <w:rPr>
          <w:sz w:val="24"/>
          <w:szCs w:val="24"/>
        </w:rPr>
        <w:t>, 2011, BCS issued a payment arrangement which required Complainant to pay the budget bill amount ($138) plus $21 towards the arrearage</w:t>
      </w:r>
      <w:r w:rsidR="00225772">
        <w:rPr>
          <w:sz w:val="24"/>
          <w:szCs w:val="24"/>
        </w:rPr>
        <w:t xml:space="preserve"> ($594.94)</w:t>
      </w:r>
      <w:r w:rsidR="00D12B38">
        <w:rPr>
          <w:sz w:val="24"/>
          <w:szCs w:val="24"/>
        </w:rPr>
        <w:t xml:space="preserve">, starting with the June 2011 monthly bill.  </w:t>
      </w:r>
      <w:r w:rsidR="00225772">
        <w:rPr>
          <w:sz w:val="24"/>
          <w:szCs w:val="24"/>
        </w:rPr>
        <w:t xml:space="preserve">BCS determined Complainant had a Level Two income ($1,534) monthly for a one person household.  </w:t>
      </w:r>
      <w:r w:rsidR="00D12B38">
        <w:rPr>
          <w:sz w:val="24"/>
          <w:szCs w:val="24"/>
        </w:rPr>
        <w:t xml:space="preserve">(Tr. </w:t>
      </w:r>
      <w:r w:rsidR="0015440C">
        <w:rPr>
          <w:sz w:val="24"/>
          <w:szCs w:val="24"/>
        </w:rPr>
        <w:t>28, 29</w:t>
      </w:r>
      <w:r w:rsidR="00452073">
        <w:rPr>
          <w:sz w:val="24"/>
          <w:szCs w:val="24"/>
        </w:rPr>
        <w:t>, 44</w:t>
      </w:r>
      <w:r w:rsidR="00D12B38">
        <w:rPr>
          <w:sz w:val="24"/>
          <w:szCs w:val="24"/>
        </w:rPr>
        <w:t>; PPL Exhibit 4).</w:t>
      </w:r>
    </w:p>
    <w:p w:rsidR="00C44296" w:rsidRDefault="00C44296" w:rsidP="00C44296">
      <w:pPr>
        <w:tabs>
          <w:tab w:val="left" w:pos="2160"/>
        </w:tabs>
        <w:ind w:firstLine="1440"/>
        <w:rPr>
          <w:sz w:val="24"/>
          <w:szCs w:val="24"/>
        </w:rPr>
      </w:pPr>
    </w:p>
    <w:p w:rsidR="00E323D7" w:rsidRDefault="00A56712" w:rsidP="00C44296">
      <w:pPr>
        <w:tabs>
          <w:tab w:val="left" w:pos="2160"/>
        </w:tabs>
        <w:ind w:firstLine="1440"/>
        <w:rPr>
          <w:sz w:val="24"/>
          <w:szCs w:val="24"/>
        </w:rPr>
      </w:pPr>
      <w:r>
        <w:rPr>
          <w:sz w:val="24"/>
          <w:szCs w:val="24"/>
        </w:rPr>
        <w:t>15</w:t>
      </w:r>
      <w:r w:rsidR="00E323D7">
        <w:rPr>
          <w:sz w:val="24"/>
          <w:szCs w:val="24"/>
        </w:rPr>
        <w:t>.</w:t>
      </w:r>
      <w:r w:rsidR="00E323D7">
        <w:rPr>
          <w:sz w:val="24"/>
          <w:szCs w:val="24"/>
        </w:rPr>
        <w:tab/>
      </w:r>
      <w:r w:rsidR="00D12B38" w:rsidRPr="00B73D10">
        <w:rPr>
          <w:sz w:val="24"/>
          <w:szCs w:val="24"/>
        </w:rPr>
        <w:t xml:space="preserve">On </w:t>
      </w:r>
      <w:r w:rsidR="00225772">
        <w:rPr>
          <w:sz w:val="24"/>
          <w:szCs w:val="24"/>
        </w:rPr>
        <w:t>June 20</w:t>
      </w:r>
      <w:r w:rsidR="00D12B38">
        <w:rPr>
          <w:sz w:val="24"/>
          <w:szCs w:val="24"/>
        </w:rPr>
        <w:t>, 2011</w:t>
      </w:r>
      <w:r w:rsidR="00D12B38" w:rsidRPr="00B73D10">
        <w:rPr>
          <w:sz w:val="24"/>
          <w:szCs w:val="24"/>
        </w:rPr>
        <w:t xml:space="preserve">, </w:t>
      </w:r>
      <w:r w:rsidR="00D12B38">
        <w:rPr>
          <w:sz w:val="24"/>
          <w:szCs w:val="24"/>
        </w:rPr>
        <w:t>Complainant</w:t>
      </w:r>
      <w:r w:rsidR="00D12B38" w:rsidRPr="00B73D10">
        <w:rPr>
          <w:sz w:val="24"/>
          <w:szCs w:val="24"/>
        </w:rPr>
        <w:t xml:space="preserve"> </w:t>
      </w:r>
      <w:r w:rsidR="00225772">
        <w:rPr>
          <w:sz w:val="24"/>
          <w:szCs w:val="24"/>
        </w:rPr>
        <w:t>mailed</w:t>
      </w:r>
      <w:r w:rsidR="00D12B38" w:rsidRPr="00B73D10">
        <w:rPr>
          <w:sz w:val="24"/>
          <w:szCs w:val="24"/>
        </w:rPr>
        <w:t xml:space="preserve"> a </w:t>
      </w:r>
      <w:r w:rsidR="00D12B38">
        <w:rPr>
          <w:sz w:val="24"/>
          <w:szCs w:val="24"/>
        </w:rPr>
        <w:t xml:space="preserve">timely </w:t>
      </w:r>
      <w:r w:rsidR="00D12B38" w:rsidRPr="00B73D10">
        <w:rPr>
          <w:sz w:val="24"/>
          <w:szCs w:val="24"/>
        </w:rPr>
        <w:t xml:space="preserve">formal complaint </w:t>
      </w:r>
      <w:r w:rsidR="00D12B38">
        <w:rPr>
          <w:sz w:val="24"/>
          <w:szCs w:val="24"/>
        </w:rPr>
        <w:t>to appeal the BCS decision.</w:t>
      </w:r>
    </w:p>
    <w:p w:rsidR="00E323D7" w:rsidRDefault="00E323D7" w:rsidP="00C44296">
      <w:pPr>
        <w:tabs>
          <w:tab w:val="left" w:pos="2160"/>
        </w:tabs>
        <w:ind w:firstLine="1440"/>
        <w:rPr>
          <w:sz w:val="24"/>
          <w:szCs w:val="24"/>
        </w:rPr>
      </w:pPr>
    </w:p>
    <w:p w:rsidR="00AF4043" w:rsidRDefault="00A56712" w:rsidP="00C44296">
      <w:pPr>
        <w:tabs>
          <w:tab w:val="left" w:pos="2160"/>
        </w:tabs>
        <w:ind w:firstLine="1440"/>
        <w:rPr>
          <w:sz w:val="24"/>
          <w:szCs w:val="24"/>
        </w:rPr>
      </w:pPr>
      <w:r>
        <w:rPr>
          <w:sz w:val="24"/>
          <w:szCs w:val="24"/>
        </w:rPr>
        <w:t>16</w:t>
      </w:r>
      <w:r w:rsidR="00E323D7">
        <w:rPr>
          <w:sz w:val="24"/>
          <w:szCs w:val="24"/>
        </w:rPr>
        <w:t>.</w:t>
      </w:r>
      <w:r w:rsidR="00E323D7">
        <w:rPr>
          <w:sz w:val="24"/>
          <w:szCs w:val="24"/>
        </w:rPr>
        <w:tab/>
      </w:r>
      <w:r w:rsidR="00D12B38">
        <w:rPr>
          <w:sz w:val="24"/>
          <w:szCs w:val="24"/>
        </w:rPr>
        <w:t xml:space="preserve">Complainant has complied with the BCS payment arrangement established in </w:t>
      </w:r>
      <w:r w:rsidR="00225772">
        <w:rPr>
          <w:sz w:val="24"/>
          <w:szCs w:val="24"/>
        </w:rPr>
        <w:t>May</w:t>
      </w:r>
      <w:r w:rsidR="00D12B38">
        <w:rPr>
          <w:sz w:val="24"/>
          <w:szCs w:val="24"/>
        </w:rPr>
        <w:t xml:space="preserve"> 2011.  (Tr. </w:t>
      </w:r>
      <w:r w:rsidR="0015440C">
        <w:rPr>
          <w:sz w:val="24"/>
          <w:szCs w:val="24"/>
        </w:rPr>
        <w:t>31</w:t>
      </w:r>
      <w:r w:rsidR="00D12B38">
        <w:rPr>
          <w:sz w:val="24"/>
          <w:szCs w:val="24"/>
        </w:rPr>
        <w:t xml:space="preserve">).  </w:t>
      </w:r>
    </w:p>
    <w:p w:rsidR="00E323D7" w:rsidRPr="00B73D10" w:rsidRDefault="00E323D7" w:rsidP="00C44296">
      <w:pPr>
        <w:tabs>
          <w:tab w:val="left" w:pos="2160"/>
        </w:tabs>
        <w:ind w:firstLine="1440"/>
        <w:rPr>
          <w:sz w:val="24"/>
          <w:szCs w:val="24"/>
        </w:rPr>
      </w:pPr>
    </w:p>
    <w:p w:rsidR="00C44296" w:rsidRPr="00B73D10" w:rsidRDefault="00C44296" w:rsidP="00C44296">
      <w:pPr>
        <w:pStyle w:val="BodyText"/>
        <w:jc w:val="left"/>
        <w:rPr>
          <w:sz w:val="24"/>
          <w:szCs w:val="24"/>
        </w:rPr>
      </w:pPr>
      <w:r w:rsidRPr="00B73D10">
        <w:rPr>
          <w:sz w:val="24"/>
          <w:szCs w:val="24"/>
        </w:rPr>
        <w:tab/>
      </w:r>
      <w:r w:rsidRPr="00B73D10">
        <w:rPr>
          <w:sz w:val="24"/>
          <w:szCs w:val="24"/>
        </w:rPr>
        <w:tab/>
      </w:r>
      <w:r w:rsidR="00A56712">
        <w:rPr>
          <w:sz w:val="24"/>
          <w:szCs w:val="24"/>
        </w:rPr>
        <w:t>17</w:t>
      </w:r>
      <w:r w:rsidRPr="00B73D10">
        <w:rPr>
          <w:sz w:val="24"/>
          <w:szCs w:val="24"/>
        </w:rPr>
        <w:t>.</w:t>
      </w:r>
      <w:r w:rsidRPr="00B73D10">
        <w:rPr>
          <w:sz w:val="24"/>
          <w:szCs w:val="24"/>
        </w:rPr>
        <w:tab/>
      </w:r>
      <w:r w:rsidR="00D12B38">
        <w:rPr>
          <w:sz w:val="24"/>
          <w:szCs w:val="24"/>
        </w:rPr>
        <w:t xml:space="preserve">Complainant </w:t>
      </w:r>
      <w:r w:rsidR="00225772">
        <w:rPr>
          <w:sz w:val="24"/>
          <w:szCs w:val="24"/>
        </w:rPr>
        <w:t xml:space="preserve">has been able to make payments on her electric service account with PPL because of money she </w:t>
      </w:r>
      <w:r w:rsidR="00D12B38">
        <w:rPr>
          <w:sz w:val="24"/>
          <w:szCs w:val="24"/>
        </w:rPr>
        <w:t xml:space="preserve">receives from her parents.  (Tr. </w:t>
      </w:r>
      <w:r w:rsidR="00A56712">
        <w:rPr>
          <w:sz w:val="24"/>
          <w:szCs w:val="24"/>
        </w:rPr>
        <w:t>13</w:t>
      </w:r>
      <w:r w:rsidR="0015440C">
        <w:rPr>
          <w:sz w:val="24"/>
          <w:szCs w:val="24"/>
        </w:rPr>
        <w:t>, 31</w:t>
      </w:r>
      <w:r w:rsidR="00D12B38">
        <w:rPr>
          <w:sz w:val="24"/>
          <w:szCs w:val="24"/>
        </w:rPr>
        <w:t>).</w:t>
      </w:r>
    </w:p>
    <w:p w:rsidR="00B45783" w:rsidRDefault="00B45783">
      <w:pPr>
        <w:rPr>
          <w:sz w:val="24"/>
          <w:szCs w:val="24"/>
        </w:rPr>
      </w:pPr>
    </w:p>
    <w:p w:rsidR="00DE2949" w:rsidRPr="00FB448C" w:rsidRDefault="00DE2949">
      <w:pPr>
        <w:jc w:val="center"/>
        <w:rPr>
          <w:sz w:val="24"/>
          <w:szCs w:val="24"/>
        </w:rPr>
      </w:pPr>
      <w:r w:rsidRPr="00FB448C">
        <w:rPr>
          <w:sz w:val="24"/>
          <w:szCs w:val="24"/>
          <w:u w:val="single"/>
        </w:rPr>
        <w:t>DISCUSSION</w:t>
      </w:r>
    </w:p>
    <w:p w:rsidR="00DE2949" w:rsidRPr="00FB448C" w:rsidRDefault="00DE2949">
      <w:pPr>
        <w:jc w:val="center"/>
        <w:rPr>
          <w:sz w:val="24"/>
          <w:szCs w:val="24"/>
        </w:rPr>
      </w:pPr>
    </w:p>
    <w:p w:rsidR="00C354E5" w:rsidRPr="00FB448C" w:rsidRDefault="00C354E5" w:rsidP="00C354E5">
      <w:pPr>
        <w:tabs>
          <w:tab w:val="left" w:pos="-1440"/>
          <w:tab w:val="left" w:pos="-720"/>
        </w:tabs>
        <w:suppressAutoHyphens/>
        <w:rPr>
          <w:spacing w:val="-3"/>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Complainant allege</w:t>
      </w:r>
      <w:r w:rsidR="00C44296">
        <w:rPr>
          <w:sz w:val="24"/>
          <w:szCs w:val="24"/>
        </w:rPr>
        <w:t>s</w:t>
      </w:r>
      <w:r w:rsidRPr="00FB448C">
        <w:rPr>
          <w:sz w:val="24"/>
          <w:szCs w:val="24"/>
        </w:rPr>
        <w:t xml:space="preserve"> </w:t>
      </w:r>
      <w:r w:rsidR="00E97BF0">
        <w:rPr>
          <w:sz w:val="24"/>
          <w:szCs w:val="24"/>
        </w:rPr>
        <w:t>the</w:t>
      </w:r>
      <w:r w:rsidR="00AB68B6">
        <w:rPr>
          <w:sz w:val="24"/>
          <w:szCs w:val="24"/>
        </w:rPr>
        <w:t xml:space="preserve"> payment plan</w:t>
      </w:r>
      <w:r w:rsidR="00E97BF0">
        <w:rPr>
          <w:sz w:val="24"/>
          <w:szCs w:val="24"/>
        </w:rPr>
        <w:t xml:space="preserve"> offered by PPL and BCS </w:t>
      </w:r>
      <w:r w:rsidR="00AB68B6">
        <w:rPr>
          <w:sz w:val="24"/>
          <w:szCs w:val="24"/>
        </w:rPr>
        <w:t>exceeds her ability to pay</w:t>
      </w:r>
      <w:r w:rsidRPr="00FB448C">
        <w:rPr>
          <w:spacing w:val="-3"/>
          <w:sz w:val="24"/>
          <w:szCs w:val="24"/>
        </w:rPr>
        <w:t xml:space="preserve">.  </w:t>
      </w:r>
      <w:r w:rsidR="00A40F64" w:rsidRPr="00FB448C">
        <w:rPr>
          <w:sz w:val="24"/>
          <w:szCs w:val="24"/>
        </w:rPr>
        <w:t>Complainant request</w:t>
      </w:r>
      <w:r w:rsidR="00C44296">
        <w:rPr>
          <w:sz w:val="24"/>
          <w:szCs w:val="24"/>
        </w:rPr>
        <w:t xml:space="preserve">s the Commission </w:t>
      </w:r>
      <w:r w:rsidR="00AB68B6">
        <w:rPr>
          <w:sz w:val="24"/>
          <w:szCs w:val="24"/>
        </w:rPr>
        <w:t>lower her monthly payment from the current $</w:t>
      </w:r>
      <w:r w:rsidR="005F480F">
        <w:rPr>
          <w:sz w:val="24"/>
          <w:szCs w:val="24"/>
        </w:rPr>
        <w:t>13</w:t>
      </w:r>
      <w:r w:rsidR="00194F6F">
        <w:rPr>
          <w:sz w:val="24"/>
          <w:szCs w:val="24"/>
        </w:rPr>
        <w:t>8</w:t>
      </w:r>
      <w:r w:rsidR="005F480F">
        <w:rPr>
          <w:sz w:val="24"/>
          <w:szCs w:val="24"/>
        </w:rPr>
        <w:t xml:space="preserve"> budget billing</w:t>
      </w:r>
      <w:r w:rsidRPr="00FB448C">
        <w:rPr>
          <w:sz w:val="24"/>
          <w:szCs w:val="24"/>
        </w:rPr>
        <w:t xml:space="preserve"> </w:t>
      </w:r>
      <w:r w:rsidR="00AB68B6">
        <w:rPr>
          <w:sz w:val="24"/>
          <w:szCs w:val="24"/>
        </w:rPr>
        <w:t>for monthly charges plus $</w:t>
      </w:r>
      <w:r w:rsidR="00194F6F">
        <w:rPr>
          <w:sz w:val="24"/>
          <w:szCs w:val="24"/>
        </w:rPr>
        <w:t>21</w:t>
      </w:r>
      <w:r w:rsidR="00AB68B6">
        <w:rPr>
          <w:sz w:val="24"/>
          <w:szCs w:val="24"/>
        </w:rPr>
        <w:t xml:space="preserve"> towards reducing the arrears, down to $</w:t>
      </w:r>
      <w:r w:rsidR="005F480F">
        <w:rPr>
          <w:sz w:val="24"/>
          <w:szCs w:val="24"/>
        </w:rPr>
        <w:t>100 budget billing</w:t>
      </w:r>
      <w:r w:rsidR="00AB68B6">
        <w:rPr>
          <w:sz w:val="24"/>
          <w:szCs w:val="24"/>
        </w:rPr>
        <w:t xml:space="preserve"> for monthly charges </w:t>
      </w:r>
      <w:r w:rsidR="005F480F">
        <w:rPr>
          <w:sz w:val="24"/>
          <w:szCs w:val="24"/>
        </w:rPr>
        <w:t>and a waiver of all accumulated</w:t>
      </w:r>
      <w:r w:rsidR="00AB68B6">
        <w:rPr>
          <w:sz w:val="24"/>
          <w:szCs w:val="24"/>
        </w:rPr>
        <w:t xml:space="preserve"> arrears.</w:t>
      </w:r>
    </w:p>
    <w:p w:rsidR="00C354E5" w:rsidRPr="00FB448C" w:rsidRDefault="00C354E5" w:rsidP="00DE2949">
      <w:pPr>
        <w:tabs>
          <w:tab w:val="left" w:pos="-1440"/>
          <w:tab w:val="left" w:pos="-720"/>
        </w:tabs>
        <w:suppressAutoHyphens/>
        <w:rPr>
          <w:sz w:val="24"/>
          <w:szCs w:val="24"/>
        </w:rPr>
      </w:pPr>
    </w:p>
    <w:p w:rsidR="00DE2949" w:rsidRDefault="001760E3" w:rsidP="00DE2949">
      <w:pPr>
        <w:tabs>
          <w:tab w:val="left" w:pos="-1440"/>
          <w:tab w:val="left" w:pos="-720"/>
        </w:tabs>
        <w:suppressAutoHyphens/>
        <w:rPr>
          <w:spacing w:val="-3"/>
          <w:sz w:val="24"/>
          <w:szCs w:val="24"/>
        </w:rPr>
      </w:pPr>
      <w:r w:rsidRPr="00FB448C">
        <w:rPr>
          <w:spacing w:val="-3"/>
          <w:sz w:val="24"/>
          <w:szCs w:val="24"/>
        </w:rPr>
        <w:lastRenderedPageBreak/>
        <w:tab/>
      </w:r>
      <w:r w:rsidRPr="00FB448C">
        <w:rPr>
          <w:spacing w:val="-3"/>
          <w:sz w:val="24"/>
          <w:szCs w:val="24"/>
        </w:rPr>
        <w:tab/>
      </w:r>
      <w:r w:rsidR="00AA3795" w:rsidRPr="00FB448C">
        <w:rPr>
          <w:spacing w:val="-3"/>
          <w:sz w:val="24"/>
          <w:szCs w:val="24"/>
        </w:rPr>
        <w:t>Complainant</w:t>
      </w:r>
      <w:r w:rsidR="00C44296">
        <w:rPr>
          <w:spacing w:val="-3"/>
          <w:sz w:val="24"/>
          <w:szCs w:val="24"/>
        </w:rPr>
        <w:t xml:space="preserve">, who appeared </w:t>
      </w:r>
      <w:r w:rsidR="00C44296" w:rsidRPr="00C44296">
        <w:rPr>
          <w:i/>
          <w:spacing w:val="-3"/>
          <w:sz w:val="24"/>
          <w:szCs w:val="24"/>
        </w:rPr>
        <w:t>pro se</w:t>
      </w:r>
      <w:r w:rsidR="00C44296">
        <w:rPr>
          <w:spacing w:val="-3"/>
          <w:sz w:val="24"/>
          <w:szCs w:val="24"/>
        </w:rPr>
        <w:t xml:space="preserve">, did not move to </w:t>
      </w:r>
      <w:r w:rsidR="00A75695" w:rsidRPr="00FB448C">
        <w:rPr>
          <w:spacing w:val="-3"/>
          <w:sz w:val="24"/>
          <w:szCs w:val="24"/>
        </w:rPr>
        <w:t>admit</w:t>
      </w:r>
      <w:r w:rsidR="00C44296">
        <w:rPr>
          <w:spacing w:val="-3"/>
          <w:sz w:val="24"/>
          <w:szCs w:val="24"/>
        </w:rPr>
        <w:t xml:space="preserve"> any</w:t>
      </w:r>
      <w:r w:rsidR="00AA3795" w:rsidRPr="00FB448C">
        <w:rPr>
          <w:spacing w:val="-3"/>
          <w:sz w:val="24"/>
          <w:szCs w:val="24"/>
        </w:rPr>
        <w:t xml:space="preserve"> exhibits</w:t>
      </w:r>
      <w:r w:rsidR="00881239" w:rsidRPr="00FB448C">
        <w:rPr>
          <w:spacing w:val="-3"/>
          <w:sz w:val="24"/>
          <w:szCs w:val="24"/>
        </w:rPr>
        <w:t xml:space="preserve">.  </w:t>
      </w:r>
      <w:r w:rsidR="00C44296">
        <w:rPr>
          <w:spacing w:val="-3"/>
          <w:sz w:val="24"/>
          <w:szCs w:val="24"/>
        </w:rPr>
        <w:t xml:space="preserve">Respondent presented </w:t>
      </w:r>
      <w:r w:rsidR="00065149">
        <w:rPr>
          <w:spacing w:val="-3"/>
          <w:sz w:val="24"/>
          <w:szCs w:val="24"/>
        </w:rPr>
        <w:t>one witness</w:t>
      </w:r>
      <w:r w:rsidR="00C44296">
        <w:rPr>
          <w:spacing w:val="-3"/>
          <w:sz w:val="24"/>
          <w:szCs w:val="24"/>
        </w:rPr>
        <w:t xml:space="preserve"> in support of its position</w:t>
      </w:r>
      <w:r w:rsidR="00850505">
        <w:rPr>
          <w:spacing w:val="-3"/>
          <w:sz w:val="24"/>
          <w:szCs w:val="24"/>
        </w:rPr>
        <w:t xml:space="preserve"> and m</w:t>
      </w:r>
      <w:r w:rsidR="00C44296">
        <w:rPr>
          <w:spacing w:val="-3"/>
          <w:sz w:val="24"/>
          <w:szCs w:val="24"/>
        </w:rPr>
        <w:t xml:space="preserve">oved to admit </w:t>
      </w:r>
      <w:r w:rsidR="00E97BF0">
        <w:rPr>
          <w:spacing w:val="-3"/>
          <w:sz w:val="24"/>
          <w:szCs w:val="24"/>
        </w:rPr>
        <w:t>four</w:t>
      </w:r>
      <w:r w:rsidR="00C44296">
        <w:rPr>
          <w:spacing w:val="-3"/>
          <w:sz w:val="24"/>
          <w:szCs w:val="24"/>
        </w:rPr>
        <w:t xml:space="preserve"> exhibits</w:t>
      </w:r>
      <w:r w:rsidR="00065149">
        <w:rPr>
          <w:spacing w:val="-3"/>
          <w:sz w:val="24"/>
          <w:szCs w:val="24"/>
        </w:rPr>
        <w:t xml:space="preserve">, </w:t>
      </w:r>
      <w:r w:rsidR="00C44296">
        <w:rPr>
          <w:spacing w:val="-3"/>
          <w:sz w:val="24"/>
          <w:szCs w:val="24"/>
        </w:rPr>
        <w:t>which exhibits were admitted without objection.</w:t>
      </w:r>
    </w:p>
    <w:p w:rsidR="00C44296" w:rsidRDefault="00C44296" w:rsidP="00DE2949">
      <w:pPr>
        <w:tabs>
          <w:tab w:val="left" w:pos="-1440"/>
          <w:tab w:val="left" w:pos="-720"/>
        </w:tabs>
        <w:suppressAutoHyphens/>
        <w:rPr>
          <w:spacing w:val="-3"/>
          <w:sz w:val="24"/>
          <w:szCs w:val="24"/>
        </w:rPr>
      </w:pPr>
    </w:p>
    <w:p w:rsidR="00C44296"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15440C">
        <w:rPr>
          <w:spacing w:val="-3"/>
          <w:sz w:val="24"/>
          <w:szCs w:val="24"/>
        </w:rPr>
        <w:t xml:space="preserve"> she was able to make payments fairly regularly and kept on making full payments until the child support payments stopped a few years ago when her son became an adult.  </w:t>
      </w:r>
      <w:r w:rsidR="00A75B63">
        <w:rPr>
          <w:spacing w:val="-3"/>
          <w:sz w:val="24"/>
          <w:szCs w:val="24"/>
        </w:rPr>
        <w:t xml:space="preserve">Complainant asks that she be allowed to have a payment arrangement which totals </w:t>
      </w:r>
      <w:r w:rsidR="00850505">
        <w:rPr>
          <w:spacing w:val="-3"/>
          <w:sz w:val="24"/>
          <w:szCs w:val="24"/>
        </w:rPr>
        <w:t xml:space="preserve">no more than </w:t>
      </w:r>
      <w:r w:rsidR="00A75B63">
        <w:rPr>
          <w:spacing w:val="-3"/>
          <w:sz w:val="24"/>
          <w:szCs w:val="24"/>
        </w:rPr>
        <w:t>$</w:t>
      </w:r>
      <w:r w:rsidR="005F480F">
        <w:rPr>
          <w:spacing w:val="-3"/>
          <w:sz w:val="24"/>
          <w:szCs w:val="24"/>
        </w:rPr>
        <w:t>100</w:t>
      </w:r>
      <w:r w:rsidR="00A75B63">
        <w:rPr>
          <w:spacing w:val="-3"/>
          <w:sz w:val="24"/>
          <w:szCs w:val="24"/>
        </w:rPr>
        <w:t xml:space="preserve"> per month</w:t>
      </w:r>
      <w:r w:rsidR="005F480F">
        <w:rPr>
          <w:spacing w:val="-3"/>
          <w:sz w:val="24"/>
          <w:szCs w:val="24"/>
        </w:rPr>
        <w:t xml:space="preserve"> </w:t>
      </w:r>
      <w:r w:rsidR="00452073">
        <w:rPr>
          <w:spacing w:val="-3"/>
          <w:sz w:val="24"/>
          <w:szCs w:val="24"/>
        </w:rPr>
        <w:t>with</w:t>
      </w:r>
      <w:r w:rsidR="005F480F">
        <w:rPr>
          <w:spacing w:val="-3"/>
          <w:sz w:val="24"/>
          <w:szCs w:val="24"/>
        </w:rPr>
        <w:t xml:space="preserve"> zero arrears</w:t>
      </w:r>
      <w:r w:rsidR="00A75B63">
        <w:rPr>
          <w:spacing w:val="-3"/>
          <w:sz w:val="24"/>
          <w:szCs w:val="24"/>
        </w:rPr>
        <w:t>, instead of the current arrangement to pay $1</w:t>
      </w:r>
      <w:r w:rsidR="005F480F">
        <w:rPr>
          <w:spacing w:val="-3"/>
          <w:sz w:val="24"/>
          <w:szCs w:val="24"/>
        </w:rPr>
        <w:t>59</w:t>
      </w:r>
      <w:r w:rsidR="00A75B63">
        <w:rPr>
          <w:spacing w:val="-3"/>
          <w:sz w:val="24"/>
          <w:szCs w:val="24"/>
        </w:rPr>
        <w:t xml:space="preserve"> per month (i.e., $1</w:t>
      </w:r>
      <w:r w:rsidR="005F480F">
        <w:rPr>
          <w:spacing w:val="-3"/>
          <w:sz w:val="24"/>
          <w:szCs w:val="24"/>
        </w:rPr>
        <w:t>3</w:t>
      </w:r>
      <w:r w:rsidR="00093E4B">
        <w:rPr>
          <w:spacing w:val="-3"/>
          <w:sz w:val="24"/>
          <w:szCs w:val="24"/>
        </w:rPr>
        <w:t>8</w:t>
      </w:r>
      <w:r w:rsidR="00850505">
        <w:rPr>
          <w:spacing w:val="-3"/>
          <w:sz w:val="24"/>
          <w:szCs w:val="24"/>
        </w:rPr>
        <w:t xml:space="preserve"> </w:t>
      </w:r>
      <w:r w:rsidR="005F480F">
        <w:rPr>
          <w:spacing w:val="-3"/>
          <w:sz w:val="24"/>
          <w:szCs w:val="24"/>
        </w:rPr>
        <w:t>on budget plus $</w:t>
      </w:r>
      <w:r w:rsidR="00093E4B">
        <w:rPr>
          <w:spacing w:val="-3"/>
          <w:sz w:val="24"/>
          <w:szCs w:val="24"/>
        </w:rPr>
        <w:t>21</w:t>
      </w:r>
      <w:bookmarkStart w:id="0" w:name="_GoBack"/>
      <w:bookmarkEnd w:id="0"/>
      <w:r w:rsidR="00A75B63">
        <w:rPr>
          <w:spacing w:val="-3"/>
          <w:sz w:val="24"/>
          <w:szCs w:val="24"/>
        </w:rPr>
        <w:t xml:space="preserve"> on arrears)</w:t>
      </w:r>
      <w:r w:rsidR="00452073">
        <w:rPr>
          <w:spacing w:val="-3"/>
          <w:sz w:val="24"/>
          <w:szCs w:val="24"/>
        </w:rPr>
        <w:t xml:space="preserve"> on arrears totaling almost $800</w:t>
      </w:r>
      <w:r w:rsidR="00A75B63">
        <w:rPr>
          <w:spacing w:val="-3"/>
          <w:sz w:val="24"/>
          <w:szCs w:val="24"/>
        </w:rPr>
        <w:t>.</w:t>
      </w:r>
    </w:p>
    <w:p w:rsidR="00065149" w:rsidRDefault="00065149" w:rsidP="00DE2949">
      <w:pPr>
        <w:tabs>
          <w:tab w:val="left" w:pos="-1440"/>
          <w:tab w:val="left" w:pos="-720"/>
        </w:tabs>
        <w:suppressAutoHyphens/>
        <w:rPr>
          <w:spacing w:val="-3"/>
          <w:sz w:val="24"/>
          <w:szCs w:val="24"/>
        </w:rPr>
      </w:pPr>
    </w:p>
    <w:p w:rsidR="00065149"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 testified</w:t>
      </w:r>
      <w:r w:rsidR="00452073">
        <w:rPr>
          <w:spacing w:val="-3"/>
          <w:sz w:val="24"/>
          <w:szCs w:val="24"/>
        </w:rPr>
        <w:t xml:space="preserve"> PPL tried to assist Complainant to the extent it is permitted.  Respondent’s records clearly show Complainant has consistently paid her monthly bills on time for the last year and also show Complainant has taken steps to reduce her electricity consumption.  However, Respondent points out the evidence presented shows in a straight-forward manner that PPL offered Complainant a fair and reasonable payment arrangement.</w:t>
      </w:r>
    </w:p>
    <w:p w:rsidR="00065149" w:rsidRDefault="00065149" w:rsidP="00386F30">
      <w:pPr>
        <w:tabs>
          <w:tab w:val="left" w:pos="-1440"/>
          <w:tab w:val="left" w:pos="-720"/>
        </w:tabs>
        <w:suppressAutoHyphens/>
        <w:rPr>
          <w:spacing w:val="-3"/>
          <w:sz w:val="24"/>
          <w:szCs w:val="24"/>
        </w:rPr>
      </w:pPr>
    </w:p>
    <w:p w:rsidR="00B21A12" w:rsidRPr="00005552" w:rsidRDefault="004232E8" w:rsidP="00DE2949">
      <w:pPr>
        <w:tabs>
          <w:tab w:val="left" w:pos="-1440"/>
          <w:tab w:val="left" w:pos="-720"/>
        </w:tabs>
        <w:suppressAutoHyphens/>
        <w:rPr>
          <w:sz w:val="24"/>
          <w:szCs w:val="24"/>
          <w:u w:val="single"/>
        </w:rPr>
      </w:pPr>
      <w:r>
        <w:rPr>
          <w:spacing w:val="-3"/>
          <w:sz w:val="24"/>
          <w:szCs w:val="24"/>
          <w:u w:val="single"/>
        </w:rPr>
        <w:t>Conclusion</w:t>
      </w:r>
    </w:p>
    <w:p w:rsidR="000A34DF" w:rsidRDefault="000A34DF" w:rsidP="000A34DF">
      <w:pPr>
        <w:tabs>
          <w:tab w:val="left" w:pos="-1440"/>
          <w:tab w:val="left" w:pos="-720"/>
        </w:tabs>
        <w:suppressAutoHyphens/>
        <w:rPr>
          <w:sz w:val="24"/>
          <w:szCs w:val="24"/>
        </w:rPr>
      </w:pPr>
    </w:p>
    <w:p w:rsidR="000A34DF" w:rsidRPr="001E6855"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r>
      <w:r w:rsidR="00B33004">
        <w:rPr>
          <w:sz w:val="24"/>
          <w:szCs w:val="24"/>
        </w:rPr>
        <w:t>Complainant seeks the Commission’s</w:t>
      </w:r>
      <w:r w:rsidRPr="00FB448C">
        <w:rPr>
          <w:sz w:val="24"/>
          <w:szCs w:val="24"/>
        </w:rPr>
        <w:t xml:space="preserve"> intervention </w:t>
      </w:r>
      <w:r w:rsidR="00B33004">
        <w:rPr>
          <w:sz w:val="24"/>
          <w:szCs w:val="24"/>
        </w:rPr>
        <w:t>and, therefore,</w:t>
      </w:r>
      <w:r w:rsidRPr="00FB448C">
        <w:rPr>
          <w:sz w:val="24"/>
          <w:szCs w:val="24"/>
        </w:rPr>
        <w:t xml:space="preserve"> bear</w:t>
      </w:r>
      <w:r w:rsidR="00C44296">
        <w:rPr>
          <w:sz w:val="24"/>
          <w:szCs w:val="24"/>
        </w:rPr>
        <w:t>s</w:t>
      </w:r>
      <w:r w:rsidRPr="00FB448C">
        <w:rPr>
          <w:sz w:val="24"/>
          <w:szCs w:val="24"/>
        </w:rPr>
        <w:t xml:space="preserve"> </w:t>
      </w:r>
      <w:r w:rsidRPr="001E6855">
        <w:rPr>
          <w:sz w:val="24"/>
          <w:szCs w:val="24"/>
        </w:rPr>
        <w:t>the burden of proving Respondent violated provisions of the Public Utility Code or the regulations in some fashion.</w:t>
      </w:r>
      <w:r w:rsidRPr="001E6855">
        <w:rPr>
          <w:rStyle w:val="FootnoteReference"/>
          <w:sz w:val="24"/>
          <w:szCs w:val="24"/>
        </w:rPr>
        <w:footnoteReference w:id="1"/>
      </w:r>
      <w:r w:rsidRPr="001E6855">
        <w:rPr>
          <w:sz w:val="24"/>
          <w:szCs w:val="24"/>
        </w:rPr>
        <w:t xml:space="preserve">  </w:t>
      </w:r>
      <w:r w:rsidR="00B33004">
        <w:rPr>
          <w:spacing w:val="-3"/>
          <w:sz w:val="24"/>
          <w:szCs w:val="24"/>
        </w:rPr>
        <w:t>Thus</w:t>
      </w:r>
      <w:r w:rsidR="00C44296" w:rsidRPr="001E6855">
        <w:rPr>
          <w:spacing w:val="-3"/>
          <w:sz w:val="24"/>
          <w:szCs w:val="24"/>
        </w:rPr>
        <w:t>, Complainant</w:t>
      </w:r>
      <w:r w:rsidRPr="001E6855">
        <w:rPr>
          <w:spacing w:val="-3"/>
          <w:sz w:val="24"/>
          <w:szCs w:val="24"/>
        </w:rPr>
        <w:t xml:space="preserve"> must show</w:t>
      </w:r>
      <w:r w:rsidR="00B33004">
        <w:rPr>
          <w:spacing w:val="-3"/>
          <w:sz w:val="24"/>
          <w:szCs w:val="24"/>
        </w:rPr>
        <w:t>, by a preponderance of the evidence</w:t>
      </w:r>
      <w:r w:rsidRPr="001E6855">
        <w:rPr>
          <w:rStyle w:val="FootnoteReference"/>
          <w:spacing w:val="-3"/>
          <w:sz w:val="24"/>
          <w:szCs w:val="24"/>
        </w:rPr>
        <w:footnoteReference w:id="2"/>
      </w:r>
      <w:r w:rsidR="00B33004">
        <w:rPr>
          <w:spacing w:val="-3"/>
          <w:sz w:val="24"/>
          <w:szCs w:val="24"/>
        </w:rPr>
        <w:t xml:space="preserve">, </w:t>
      </w:r>
      <w:r w:rsidR="00E97BF0">
        <w:rPr>
          <w:spacing w:val="-3"/>
          <w:sz w:val="24"/>
          <w:szCs w:val="24"/>
        </w:rPr>
        <w:t>PPL</w:t>
      </w:r>
      <w:r w:rsidR="00B33004" w:rsidRPr="001E6855">
        <w:rPr>
          <w:spacing w:val="-3"/>
          <w:sz w:val="24"/>
          <w:szCs w:val="24"/>
        </w:rPr>
        <w:t xml:space="preserve"> is responsible fo</w:t>
      </w:r>
      <w:r w:rsidR="00E97BF0">
        <w:rPr>
          <w:spacing w:val="-3"/>
          <w:sz w:val="24"/>
          <w:szCs w:val="24"/>
        </w:rPr>
        <w:t>r the problem described in the c</w:t>
      </w:r>
      <w:r w:rsidR="00B33004" w:rsidRPr="001E6855">
        <w:rPr>
          <w:spacing w:val="-3"/>
          <w:sz w:val="24"/>
          <w:szCs w:val="24"/>
        </w:rPr>
        <w:t>omplaint, and she is entitled to the relief requested.</w:t>
      </w:r>
      <w:r w:rsidR="00B33004" w:rsidRPr="001E6855">
        <w:rPr>
          <w:rStyle w:val="FootnoteReference"/>
          <w:spacing w:val="-3"/>
          <w:sz w:val="24"/>
          <w:szCs w:val="24"/>
        </w:rPr>
        <w:footnoteReference w:id="3"/>
      </w:r>
      <w:r w:rsidR="00B33004" w:rsidRPr="001E6855">
        <w:rPr>
          <w:spacing w:val="-3"/>
          <w:sz w:val="24"/>
          <w:szCs w:val="24"/>
        </w:rPr>
        <w:t xml:space="preserve">  </w:t>
      </w:r>
      <w:r w:rsidR="00C44296" w:rsidRPr="001E6855">
        <w:rPr>
          <w:spacing w:val="-3"/>
          <w:sz w:val="24"/>
          <w:szCs w:val="24"/>
        </w:rPr>
        <w:t xml:space="preserve">  </w:t>
      </w:r>
    </w:p>
    <w:p w:rsidR="006C2C49" w:rsidRPr="001E6855" w:rsidRDefault="006C2C49" w:rsidP="006C2C49">
      <w:pPr>
        <w:ind w:firstLine="720"/>
        <w:rPr>
          <w:sz w:val="24"/>
          <w:szCs w:val="24"/>
        </w:rPr>
      </w:pPr>
    </w:p>
    <w:p w:rsidR="00723D2E" w:rsidRPr="001E6855" w:rsidRDefault="006C2C49" w:rsidP="006C2C49">
      <w:pPr>
        <w:ind w:firstLine="1440"/>
        <w:rPr>
          <w:sz w:val="24"/>
          <w:szCs w:val="24"/>
        </w:rPr>
      </w:pPr>
      <w:r w:rsidRPr="001E6855">
        <w:rPr>
          <w:sz w:val="24"/>
          <w:szCs w:val="24"/>
        </w:rPr>
        <w:t>The</w:t>
      </w:r>
      <w:r w:rsidR="00850505">
        <w:rPr>
          <w:sz w:val="24"/>
          <w:szCs w:val="24"/>
        </w:rPr>
        <w:t xml:space="preserve">re was no dispute between the parties about the facts in this proceeding.  Both witnesses provided credible testimony.  The question presented by Complainant was whether the Commission could grant to Complainant a better, and more affordable, payment arrangement </w:t>
      </w:r>
      <w:r w:rsidR="00850505">
        <w:rPr>
          <w:sz w:val="24"/>
          <w:szCs w:val="24"/>
        </w:rPr>
        <w:lastRenderedPageBreak/>
        <w:t>than the one granted by BCS</w:t>
      </w:r>
      <w:r w:rsidR="00E97BF0">
        <w:rPr>
          <w:sz w:val="24"/>
          <w:szCs w:val="24"/>
        </w:rPr>
        <w:t xml:space="preserve"> and offered by PPL</w:t>
      </w:r>
      <w:r w:rsidR="00723D2E" w:rsidRPr="001E6855">
        <w:rPr>
          <w:sz w:val="24"/>
          <w:szCs w:val="24"/>
        </w:rPr>
        <w:t xml:space="preserve">.  </w:t>
      </w:r>
      <w:r w:rsidR="00850505">
        <w:rPr>
          <w:sz w:val="24"/>
          <w:szCs w:val="24"/>
        </w:rPr>
        <w:t>The evidence presented shows that Complainant received the best available payment arrangement from BCS.</w:t>
      </w:r>
    </w:p>
    <w:p w:rsidR="00723D2E" w:rsidRPr="001E6855" w:rsidRDefault="00723D2E" w:rsidP="006C2C49">
      <w:pPr>
        <w:ind w:firstLine="1440"/>
        <w:rPr>
          <w:sz w:val="24"/>
          <w:szCs w:val="24"/>
        </w:rPr>
      </w:pPr>
    </w:p>
    <w:p w:rsidR="001E6855" w:rsidRPr="001E6855" w:rsidRDefault="00B33004" w:rsidP="006C2C49">
      <w:pPr>
        <w:ind w:firstLine="1440"/>
        <w:rPr>
          <w:color w:val="333333"/>
          <w:sz w:val="24"/>
          <w:szCs w:val="24"/>
        </w:rPr>
      </w:pPr>
      <w:r>
        <w:rPr>
          <w:color w:val="333333"/>
          <w:sz w:val="24"/>
          <w:szCs w:val="24"/>
        </w:rPr>
        <w:t xml:space="preserve">Section 1405(a) in </w:t>
      </w:r>
      <w:r w:rsidR="00676D32">
        <w:rPr>
          <w:color w:val="333333"/>
          <w:sz w:val="24"/>
          <w:szCs w:val="24"/>
        </w:rPr>
        <w:t>Title 66 of Pennsylvania Statutes Annotated authorize</w:t>
      </w:r>
      <w:r w:rsidR="00850505">
        <w:rPr>
          <w:color w:val="333333"/>
          <w:sz w:val="24"/>
          <w:szCs w:val="24"/>
        </w:rPr>
        <w:t>s</w:t>
      </w:r>
      <w:r w:rsidR="00676D32">
        <w:rPr>
          <w:color w:val="333333"/>
          <w:sz w:val="24"/>
          <w:szCs w:val="24"/>
        </w:rPr>
        <w:t xml:space="preserve"> the Commission </w:t>
      </w:r>
      <w:r w:rsidR="001E6855" w:rsidRPr="001E6855">
        <w:rPr>
          <w:color w:val="333333"/>
          <w:sz w:val="24"/>
          <w:szCs w:val="24"/>
        </w:rPr>
        <w:t>to investigate complaints regarding payment disputes between a public utility</w:t>
      </w:r>
      <w:r>
        <w:rPr>
          <w:color w:val="333333"/>
          <w:sz w:val="24"/>
          <w:szCs w:val="24"/>
        </w:rPr>
        <w:t xml:space="preserve"> (such as PECO) and its</w:t>
      </w:r>
      <w:r w:rsidR="001E6855" w:rsidRPr="001E6855">
        <w:rPr>
          <w:color w:val="333333"/>
          <w:sz w:val="24"/>
          <w:szCs w:val="24"/>
        </w:rPr>
        <w:t xml:space="preserve"> customers</w:t>
      </w:r>
      <w:r w:rsidR="00676D32">
        <w:rPr>
          <w:color w:val="333333"/>
          <w:sz w:val="24"/>
          <w:szCs w:val="24"/>
        </w:rPr>
        <w:t xml:space="preserve"> </w:t>
      </w:r>
      <w:r>
        <w:rPr>
          <w:color w:val="333333"/>
          <w:sz w:val="24"/>
          <w:szCs w:val="24"/>
        </w:rPr>
        <w:t xml:space="preserve">(such as Complainant) </w:t>
      </w:r>
      <w:r w:rsidR="00676D32">
        <w:rPr>
          <w:color w:val="333333"/>
          <w:sz w:val="24"/>
          <w:szCs w:val="24"/>
        </w:rPr>
        <w:t>and authorize</w:t>
      </w:r>
      <w:r>
        <w:rPr>
          <w:color w:val="333333"/>
          <w:sz w:val="24"/>
          <w:szCs w:val="24"/>
        </w:rPr>
        <w:t>s</w:t>
      </w:r>
      <w:r w:rsidR="00676D32">
        <w:rPr>
          <w:color w:val="333333"/>
          <w:sz w:val="24"/>
          <w:szCs w:val="24"/>
        </w:rPr>
        <w:t xml:space="preserve"> </w:t>
      </w:r>
      <w:r>
        <w:rPr>
          <w:color w:val="333333"/>
          <w:sz w:val="24"/>
          <w:szCs w:val="24"/>
        </w:rPr>
        <w:t>the Commission</w:t>
      </w:r>
      <w:r w:rsidR="00676D32">
        <w:rPr>
          <w:color w:val="333333"/>
          <w:sz w:val="24"/>
          <w:szCs w:val="24"/>
        </w:rPr>
        <w:t xml:space="preserve"> </w:t>
      </w:r>
      <w:r w:rsidR="001E6855" w:rsidRPr="001E6855">
        <w:rPr>
          <w:color w:val="333333"/>
          <w:sz w:val="24"/>
          <w:szCs w:val="24"/>
        </w:rPr>
        <w:t>to establish payment agreements between a public utility</w:t>
      </w:r>
      <w:r>
        <w:rPr>
          <w:color w:val="333333"/>
          <w:sz w:val="24"/>
          <w:szCs w:val="24"/>
        </w:rPr>
        <w:t xml:space="preserve"> and its</w:t>
      </w:r>
      <w:r w:rsidR="001E6855" w:rsidRPr="001E6855">
        <w:rPr>
          <w:color w:val="333333"/>
          <w:sz w:val="24"/>
          <w:szCs w:val="24"/>
        </w:rPr>
        <w:t xml:space="preserve"> customers.  66 Pa. C.S.A. §1405(a).</w:t>
      </w:r>
    </w:p>
    <w:p w:rsidR="008F1012" w:rsidRDefault="008F1012" w:rsidP="008F1012">
      <w:pPr>
        <w:spacing w:line="240" w:lineRule="auto"/>
        <w:ind w:firstLine="1440"/>
        <w:rPr>
          <w:color w:val="333333"/>
          <w:sz w:val="24"/>
          <w:szCs w:val="24"/>
        </w:rPr>
      </w:pPr>
    </w:p>
    <w:p w:rsidR="001E6855" w:rsidRPr="001E6855" w:rsidRDefault="001E6855" w:rsidP="008F1012">
      <w:pPr>
        <w:spacing w:line="240" w:lineRule="auto"/>
        <w:ind w:firstLine="1440"/>
        <w:rPr>
          <w:color w:val="333333"/>
          <w:sz w:val="24"/>
          <w:szCs w:val="24"/>
        </w:rPr>
      </w:pPr>
      <w:r w:rsidRPr="001E6855">
        <w:rPr>
          <w:color w:val="333333"/>
          <w:sz w:val="24"/>
          <w:szCs w:val="24"/>
        </w:rPr>
        <w:t>In addition, the provisions of Purdon’s Title 66 provide as follows:</w:t>
      </w:r>
    </w:p>
    <w:p w:rsidR="001E6855" w:rsidRPr="001E6855" w:rsidRDefault="001E6855" w:rsidP="001E6855">
      <w:pPr>
        <w:spacing w:line="240" w:lineRule="auto"/>
        <w:ind w:left="1440" w:firstLine="1440"/>
        <w:rPr>
          <w:color w:val="333333"/>
          <w:sz w:val="24"/>
          <w:szCs w:val="24"/>
        </w:rPr>
      </w:pPr>
    </w:p>
    <w:p w:rsidR="00885341" w:rsidRDefault="001E6855" w:rsidP="001E6855">
      <w:pPr>
        <w:spacing w:line="240" w:lineRule="auto"/>
        <w:ind w:left="1440"/>
        <w:rPr>
          <w:color w:val="333333"/>
          <w:sz w:val="24"/>
          <w:szCs w:val="24"/>
        </w:rPr>
      </w:pPr>
      <w:r w:rsidRPr="001E6855">
        <w:rPr>
          <w:color w:val="333333"/>
          <w:sz w:val="24"/>
          <w:szCs w:val="24"/>
        </w:rPr>
        <w:t xml:space="preserve">(b)  </w:t>
      </w:r>
      <w:r w:rsidRPr="001E6855">
        <w:rPr>
          <w:i/>
          <w:iCs/>
          <w:color w:val="333333"/>
          <w:sz w:val="24"/>
          <w:szCs w:val="24"/>
        </w:rPr>
        <w:t xml:space="preserve">Length of payment agreements.   </w:t>
      </w:r>
      <w:r w:rsidRPr="001E6855">
        <w:rPr>
          <w:color w:val="333333"/>
          <w:sz w:val="24"/>
          <w:szCs w:val="24"/>
        </w:rPr>
        <w:t>The length of time for a customer to resolve an unpaid balance on an account that is subject to a payment agreement that is investigated by the commission and is entered into by a public utility and a customer shall not extend beyond:</w:t>
      </w:r>
      <w:r w:rsidRPr="001E6855">
        <w:rPr>
          <w:color w:val="333333"/>
          <w:sz w:val="24"/>
          <w:szCs w:val="24"/>
        </w:rPr>
        <w:br/>
      </w:r>
      <w:r w:rsidRPr="001E6855">
        <w:rPr>
          <w:color w:val="333333"/>
          <w:sz w:val="24"/>
          <w:szCs w:val="24"/>
        </w:rPr>
        <w:br/>
        <w:t>   (1) Five years for customers with a gross monthly household income level not exceeding 150% of the Federal poverty level.</w:t>
      </w:r>
      <w:r w:rsidRPr="001E6855">
        <w:rPr>
          <w:color w:val="333333"/>
          <w:sz w:val="24"/>
          <w:szCs w:val="24"/>
        </w:rPr>
        <w:br/>
      </w:r>
      <w:r w:rsidRPr="001E6855">
        <w:rPr>
          <w:color w:val="333333"/>
          <w:sz w:val="24"/>
          <w:szCs w:val="24"/>
        </w:rPr>
        <w:br/>
        <w:t>   (2) Two years for customers with a gross monthly household income level exceeding 150% and not more than 250% of the Federal poverty level.</w:t>
      </w:r>
      <w:r w:rsidRPr="001E6855">
        <w:rPr>
          <w:color w:val="333333"/>
          <w:sz w:val="24"/>
          <w:szCs w:val="24"/>
        </w:rPr>
        <w:br/>
      </w:r>
      <w:r w:rsidRPr="001E6855">
        <w:rPr>
          <w:color w:val="333333"/>
          <w:sz w:val="24"/>
          <w:szCs w:val="24"/>
        </w:rPr>
        <w:br/>
        <w:t>   (3) One year for customers with a gross monthly household income level exceeding 250% of the Federal poverty level and not more than 300% of the Federal poverty level.</w:t>
      </w:r>
      <w:r w:rsidRPr="001E6855">
        <w:rPr>
          <w:color w:val="333333"/>
          <w:sz w:val="24"/>
          <w:szCs w:val="24"/>
        </w:rPr>
        <w:br/>
      </w:r>
      <w:r w:rsidRPr="001E6855">
        <w:rPr>
          <w:color w:val="333333"/>
          <w:sz w:val="24"/>
          <w:szCs w:val="24"/>
        </w:rPr>
        <w:br/>
        <w:t>   (4) Six months for customers with a gross monthly household income level exceeding 300% of the Federal poverty level.</w:t>
      </w:r>
      <w:r w:rsidRPr="001E6855">
        <w:rPr>
          <w:color w:val="333333"/>
          <w:sz w:val="24"/>
          <w:szCs w:val="24"/>
        </w:rPr>
        <w:br/>
      </w:r>
      <w:r w:rsidRPr="001E6855">
        <w:rPr>
          <w:color w:val="333333"/>
          <w:sz w:val="24"/>
          <w:szCs w:val="24"/>
        </w:rPr>
        <w:br/>
        <w:t xml:space="preserve">(c)  </w:t>
      </w:r>
      <w:r w:rsidRPr="001E6855">
        <w:rPr>
          <w:i/>
          <w:iCs/>
          <w:color w:val="333333"/>
          <w:sz w:val="24"/>
          <w:szCs w:val="24"/>
        </w:rPr>
        <w:t xml:space="preserve">Customer assistance programs. </w:t>
      </w:r>
      <w:r w:rsidRPr="001E6855">
        <w:rPr>
          <w:color w:val="333333"/>
          <w:sz w:val="24"/>
          <w:szCs w:val="24"/>
        </w:rPr>
        <w:t>--Customer assistance program rates shall be timely paid and shall not be the subject of payment agreements negotiated or approved by the commission.</w:t>
      </w:r>
      <w:r w:rsidRPr="001E6855">
        <w:rPr>
          <w:color w:val="333333"/>
          <w:sz w:val="24"/>
          <w:szCs w:val="24"/>
        </w:rPr>
        <w:br/>
      </w:r>
      <w:r w:rsidRPr="001E6855">
        <w:rPr>
          <w:color w:val="333333"/>
          <w:sz w:val="24"/>
          <w:szCs w:val="24"/>
        </w:rPr>
        <w:br/>
        <w:t xml:space="preserve">(d)  </w:t>
      </w:r>
      <w:r w:rsidRPr="001E6855">
        <w:rPr>
          <w:i/>
          <w:iCs/>
          <w:color w:val="333333"/>
          <w:sz w:val="24"/>
          <w:szCs w:val="24"/>
        </w:rPr>
        <w:t xml:space="preserve">Number of payment agreements. </w:t>
      </w:r>
      <w:r w:rsidRPr="001E6855">
        <w:rPr>
          <w:color w:val="333333"/>
          <w:sz w:val="24"/>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885341" w:rsidRDefault="001E6855" w:rsidP="001E6855">
      <w:pPr>
        <w:spacing w:line="240" w:lineRule="auto"/>
        <w:ind w:left="1440"/>
        <w:rPr>
          <w:color w:val="333333"/>
          <w:sz w:val="24"/>
          <w:szCs w:val="24"/>
        </w:rPr>
      </w:pPr>
      <w:r w:rsidRPr="001E6855">
        <w:rPr>
          <w:color w:val="333333"/>
          <w:sz w:val="24"/>
          <w:szCs w:val="24"/>
        </w:rPr>
        <w:br/>
        <w:t xml:space="preserve">(e)  </w:t>
      </w:r>
      <w:r w:rsidRPr="001E6855">
        <w:rPr>
          <w:i/>
          <w:iCs/>
          <w:color w:val="333333"/>
          <w:sz w:val="24"/>
          <w:szCs w:val="24"/>
        </w:rPr>
        <w:t xml:space="preserve">Extension of payment agreements. </w:t>
      </w:r>
      <w:r w:rsidRPr="001E6855">
        <w:rPr>
          <w:color w:val="333333"/>
          <w:sz w:val="24"/>
          <w:szCs w:val="24"/>
        </w:rPr>
        <w:t xml:space="preserve">--If the customer defaults on a payment agreement established under subsections (a) and (b) as a result of a significant change in circumstance, the commission may reinstate the payment agreement and extend the remaining term for an initial period of six months. The initial </w:t>
      </w:r>
    </w:p>
    <w:p w:rsidR="00885341" w:rsidRDefault="001E6855" w:rsidP="001E6855">
      <w:pPr>
        <w:spacing w:line="240" w:lineRule="auto"/>
        <w:ind w:left="1440"/>
        <w:rPr>
          <w:color w:val="333333"/>
          <w:sz w:val="24"/>
          <w:szCs w:val="24"/>
        </w:rPr>
      </w:pPr>
      <w:r w:rsidRPr="001E6855">
        <w:rPr>
          <w:color w:val="333333"/>
          <w:sz w:val="24"/>
          <w:szCs w:val="24"/>
        </w:rPr>
        <w:lastRenderedPageBreak/>
        <w:t>extension period may be extended for an additional six months for good cause shown.</w:t>
      </w:r>
    </w:p>
    <w:p w:rsidR="001E6855" w:rsidRPr="001E6855" w:rsidRDefault="001E6855" w:rsidP="001E6855">
      <w:pPr>
        <w:spacing w:line="240" w:lineRule="auto"/>
        <w:ind w:left="1440"/>
        <w:rPr>
          <w:color w:val="333333"/>
          <w:sz w:val="24"/>
          <w:szCs w:val="24"/>
        </w:rPr>
      </w:pPr>
      <w:r w:rsidRPr="001E6855">
        <w:rPr>
          <w:color w:val="333333"/>
          <w:sz w:val="24"/>
          <w:szCs w:val="24"/>
        </w:rPr>
        <w:br/>
        <w:t xml:space="preserve">(f)  </w:t>
      </w:r>
      <w:r w:rsidRPr="001E6855">
        <w:rPr>
          <w:i/>
          <w:iCs/>
          <w:color w:val="333333"/>
          <w:sz w:val="24"/>
          <w:szCs w:val="24"/>
        </w:rPr>
        <w:t xml:space="preserve">Failure to comply with payment agreement. </w:t>
      </w:r>
      <w:r w:rsidRPr="001E6855">
        <w:rPr>
          <w:color w:val="333333"/>
          <w:sz w:val="24"/>
          <w:szCs w:val="24"/>
        </w:rPr>
        <w:t>--Failure of a customer to comply with the terms of a payment agreement shall be grounds for a public utility to terminate the customer</w:t>
      </w:r>
      <w:r w:rsidR="00CF6039">
        <w:rPr>
          <w:color w:val="333333"/>
          <w:sz w:val="24"/>
          <w:szCs w:val="24"/>
        </w:rPr>
        <w:t>’</w:t>
      </w:r>
      <w:r w:rsidRPr="001E6855">
        <w:rPr>
          <w:color w:val="333333"/>
          <w:sz w:val="24"/>
          <w:szCs w:val="24"/>
        </w:rPr>
        <w:t>s service. Pending the outcome of a complaint filed with the commission, a customer shall be obligated to pay that portion of the bill which is not in dispute and subsequent bills which are not in dispute.</w:t>
      </w:r>
      <w:r w:rsidRPr="001E6855">
        <w:rPr>
          <w:color w:val="333333"/>
          <w:sz w:val="24"/>
          <w:szCs w:val="24"/>
        </w:rPr>
        <w:br/>
      </w:r>
    </w:p>
    <w:p w:rsidR="00C730BF" w:rsidRDefault="00C730BF" w:rsidP="00C730BF">
      <w:pPr>
        <w:spacing w:line="240" w:lineRule="auto"/>
        <w:ind w:firstLine="1440"/>
        <w:rPr>
          <w:sz w:val="24"/>
          <w:szCs w:val="24"/>
        </w:rPr>
      </w:pPr>
    </w:p>
    <w:p w:rsidR="006C2C49" w:rsidRPr="00B73D10" w:rsidRDefault="00676D32" w:rsidP="006C2C49">
      <w:pPr>
        <w:ind w:firstLine="1440"/>
        <w:rPr>
          <w:sz w:val="24"/>
          <w:szCs w:val="24"/>
        </w:rPr>
      </w:pPr>
      <w:r>
        <w:rPr>
          <w:sz w:val="24"/>
          <w:szCs w:val="24"/>
        </w:rPr>
        <w:t>Under the provisions of 66 Pa. C.S.A. §1405(b)(</w:t>
      </w:r>
      <w:r w:rsidR="00B33004">
        <w:rPr>
          <w:sz w:val="24"/>
          <w:szCs w:val="24"/>
        </w:rPr>
        <w:t xml:space="preserve">2), the Commission is authorized </w:t>
      </w:r>
      <w:r>
        <w:rPr>
          <w:sz w:val="24"/>
          <w:szCs w:val="24"/>
        </w:rPr>
        <w:t>to grant a payment arrangement which gives the customer up to two years in which to pay off the arrears.  In this proceeding, Complainant’s balance totals $</w:t>
      </w:r>
      <w:r w:rsidR="00FF0B01">
        <w:rPr>
          <w:sz w:val="24"/>
          <w:szCs w:val="24"/>
        </w:rPr>
        <w:t>773.88.  If Complainant is to pay</w:t>
      </w:r>
      <w:r>
        <w:rPr>
          <w:sz w:val="24"/>
          <w:szCs w:val="24"/>
        </w:rPr>
        <w:t xml:space="preserve"> off those arrears within </w:t>
      </w:r>
      <w:r w:rsidR="00452073">
        <w:rPr>
          <w:sz w:val="24"/>
          <w:szCs w:val="24"/>
        </w:rPr>
        <w:t>24 months (because she has a Level Two income)</w:t>
      </w:r>
      <w:r>
        <w:rPr>
          <w:sz w:val="24"/>
          <w:szCs w:val="24"/>
        </w:rPr>
        <w:t xml:space="preserve">, she would have to pay </w:t>
      </w:r>
      <w:r w:rsidR="00FF0B01">
        <w:rPr>
          <w:sz w:val="24"/>
          <w:szCs w:val="24"/>
        </w:rPr>
        <w:t xml:space="preserve">an additional </w:t>
      </w:r>
      <w:r>
        <w:rPr>
          <w:sz w:val="24"/>
          <w:szCs w:val="24"/>
        </w:rPr>
        <w:t>$</w:t>
      </w:r>
      <w:r w:rsidR="00FF0B01">
        <w:rPr>
          <w:sz w:val="24"/>
          <w:szCs w:val="24"/>
        </w:rPr>
        <w:t>32.25</w:t>
      </w:r>
      <w:r>
        <w:rPr>
          <w:sz w:val="24"/>
          <w:szCs w:val="24"/>
        </w:rPr>
        <w:t xml:space="preserve"> each month</w:t>
      </w:r>
      <w:r w:rsidR="00FF0B01">
        <w:rPr>
          <w:sz w:val="24"/>
          <w:szCs w:val="24"/>
        </w:rPr>
        <w:t xml:space="preserve"> towards those arrears</w:t>
      </w:r>
      <w:r>
        <w:rPr>
          <w:sz w:val="24"/>
          <w:szCs w:val="24"/>
        </w:rPr>
        <w:t>, instead of the $</w:t>
      </w:r>
      <w:r w:rsidR="00FF0B01">
        <w:rPr>
          <w:sz w:val="24"/>
          <w:szCs w:val="24"/>
        </w:rPr>
        <w:t>15</w:t>
      </w:r>
      <w:r>
        <w:rPr>
          <w:sz w:val="24"/>
          <w:szCs w:val="24"/>
        </w:rPr>
        <w:t xml:space="preserve"> monthly payment granted by the BCS decision.  </w:t>
      </w:r>
      <w:r w:rsidR="00B33004">
        <w:rPr>
          <w:sz w:val="24"/>
          <w:szCs w:val="24"/>
        </w:rPr>
        <w:t xml:space="preserve">Therefore, the rate to repay the arrears, as established by BCS, is more affordable than an arrangement </w:t>
      </w:r>
      <w:r w:rsidR="00FF0B01">
        <w:rPr>
          <w:sz w:val="24"/>
          <w:szCs w:val="24"/>
        </w:rPr>
        <w:t xml:space="preserve">PPL or </w:t>
      </w:r>
      <w:r w:rsidR="00B33004">
        <w:rPr>
          <w:sz w:val="24"/>
          <w:szCs w:val="24"/>
        </w:rPr>
        <w:t xml:space="preserve">the </w:t>
      </w:r>
      <w:r w:rsidR="00FF0B01">
        <w:rPr>
          <w:sz w:val="24"/>
          <w:szCs w:val="24"/>
        </w:rPr>
        <w:t>presiding</w:t>
      </w:r>
      <w:r w:rsidR="00B33004">
        <w:rPr>
          <w:sz w:val="24"/>
          <w:szCs w:val="24"/>
        </w:rPr>
        <w:t xml:space="preserve"> officer could provide</w:t>
      </w:r>
      <w:r>
        <w:rPr>
          <w:sz w:val="24"/>
          <w:szCs w:val="24"/>
        </w:rPr>
        <w:t>.</w:t>
      </w:r>
      <w:r w:rsidR="00B33004">
        <w:rPr>
          <w:sz w:val="24"/>
          <w:szCs w:val="24"/>
        </w:rPr>
        <w:t xml:space="preserve">  </w:t>
      </w:r>
      <w:r w:rsidR="00E97BF0">
        <w:rPr>
          <w:sz w:val="24"/>
          <w:szCs w:val="24"/>
        </w:rPr>
        <w:t>Accordingly</w:t>
      </w:r>
      <w:r w:rsidR="00B33004">
        <w:rPr>
          <w:sz w:val="24"/>
          <w:szCs w:val="24"/>
        </w:rPr>
        <w:t xml:space="preserve">, </w:t>
      </w:r>
      <w:r w:rsidR="006C2C49" w:rsidRPr="00B73D10">
        <w:rPr>
          <w:sz w:val="24"/>
          <w:szCs w:val="24"/>
        </w:rPr>
        <w:t xml:space="preserve">Complainant </w:t>
      </w:r>
      <w:r w:rsidR="00065149">
        <w:rPr>
          <w:sz w:val="24"/>
          <w:szCs w:val="24"/>
        </w:rPr>
        <w:t>did not meet her</w:t>
      </w:r>
      <w:r w:rsidR="006C2C49" w:rsidRPr="00B73D10">
        <w:rPr>
          <w:sz w:val="24"/>
          <w:szCs w:val="24"/>
        </w:rPr>
        <w:t xml:space="preserve"> burden of proof in this proceeding.  66 Pa. C.S.</w:t>
      </w:r>
      <w:r w:rsidR="00976B8E">
        <w:rPr>
          <w:sz w:val="24"/>
          <w:szCs w:val="24"/>
        </w:rPr>
        <w:t>A.</w:t>
      </w:r>
      <w:r w:rsidR="006C2C49" w:rsidRPr="00B73D10">
        <w:rPr>
          <w:sz w:val="24"/>
          <w:szCs w:val="24"/>
        </w:rPr>
        <w:t xml:space="preserve"> §332(a).  </w:t>
      </w:r>
    </w:p>
    <w:p w:rsidR="006C2C49" w:rsidRPr="00B73D10" w:rsidRDefault="006C2C49" w:rsidP="006C2C49">
      <w:pPr>
        <w:ind w:firstLine="720"/>
        <w:rPr>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 xml:space="preserve">This Commission has jurisdiction over the parties to and subject matter of this case.  66 Pa. C.S. </w:t>
      </w:r>
      <w:r w:rsidR="00FF0BD9">
        <w:rPr>
          <w:sz w:val="24"/>
          <w:szCs w:val="24"/>
        </w:rPr>
        <w:t xml:space="preserve">A. </w:t>
      </w:r>
      <w:r w:rsidRPr="00B73D10">
        <w:rPr>
          <w:sz w:val="24"/>
          <w:szCs w:val="24"/>
        </w:rPr>
        <w:t>§701.</w:t>
      </w:r>
    </w:p>
    <w:p w:rsidR="006C2C49" w:rsidRPr="00B73D10" w:rsidRDefault="006C2C49" w:rsidP="006C2C49">
      <w:pPr>
        <w:rPr>
          <w:sz w:val="24"/>
          <w:szCs w:val="24"/>
        </w:rPr>
      </w:pP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t>Complainant has the burden of proving Respondent is not providing reasonable and adequate service.  66 Pa. C.S.A. §332(a).</w:t>
      </w:r>
    </w:p>
    <w:p w:rsidR="006C2C49" w:rsidRDefault="006C2C49" w:rsidP="006C2C49">
      <w:pPr>
        <w:pStyle w:val="ListParagraph"/>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r>
      <w:r w:rsidR="00B33004">
        <w:rPr>
          <w:sz w:val="24"/>
          <w:szCs w:val="24"/>
        </w:rPr>
        <w:t xml:space="preserve">Complainant failed to prove Respondent is not providing reasonable and adequate service.  </w:t>
      </w:r>
    </w:p>
    <w:p w:rsidR="006C2C49" w:rsidRPr="00B73D10" w:rsidRDefault="006C2C49" w:rsidP="006C2C49">
      <w:pPr>
        <w:tabs>
          <w:tab w:val="left" w:pos="0"/>
        </w:tabs>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4.</w:t>
      </w:r>
      <w:r w:rsidRPr="00B73D10">
        <w:rPr>
          <w:sz w:val="24"/>
          <w:szCs w:val="24"/>
        </w:rPr>
        <w:tab/>
      </w:r>
      <w:r w:rsidR="00B33004">
        <w:rPr>
          <w:sz w:val="24"/>
          <w:szCs w:val="24"/>
        </w:rPr>
        <w:t>Complainant is receiving the most affordable payment arrangement available, pursuant to 66 Pa. C.S.A. §1405.</w:t>
      </w:r>
    </w:p>
    <w:p w:rsidR="006C2C49" w:rsidRPr="00B73D10" w:rsidRDefault="006C2C49" w:rsidP="006C2C49">
      <w:pPr>
        <w:tabs>
          <w:tab w:val="left" w:pos="0"/>
        </w:tabs>
        <w:rPr>
          <w:sz w:val="24"/>
          <w:szCs w:val="24"/>
        </w:rPr>
      </w:pPr>
    </w:p>
    <w:p w:rsidR="00684981" w:rsidRDefault="00684981" w:rsidP="006C2C49">
      <w:pPr>
        <w:jc w:val="center"/>
        <w:rPr>
          <w:sz w:val="24"/>
          <w:szCs w:val="24"/>
          <w:u w:val="single"/>
        </w:rPr>
      </w:pPr>
    </w:p>
    <w:p w:rsidR="00684981" w:rsidRDefault="00684981" w:rsidP="006C2C49">
      <w:pPr>
        <w:jc w:val="center"/>
        <w:rPr>
          <w:sz w:val="24"/>
          <w:szCs w:val="24"/>
          <w:u w:val="single"/>
        </w:rPr>
      </w:pPr>
    </w:p>
    <w:p w:rsidR="00684981" w:rsidRDefault="00684981" w:rsidP="006C2C49">
      <w:pPr>
        <w:jc w:val="center"/>
        <w:rPr>
          <w:sz w:val="24"/>
          <w:szCs w:val="24"/>
          <w:u w:val="single"/>
        </w:rPr>
      </w:pPr>
    </w:p>
    <w:p w:rsidR="006C2C49" w:rsidRPr="00B73D10" w:rsidRDefault="006C2C49" w:rsidP="006C2C49">
      <w:pPr>
        <w:jc w:val="center"/>
        <w:rPr>
          <w:sz w:val="24"/>
          <w:szCs w:val="24"/>
          <w:u w:val="single"/>
        </w:rPr>
      </w:pPr>
      <w:r w:rsidRPr="00B73D10">
        <w:rPr>
          <w:sz w:val="24"/>
          <w:szCs w:val="24"/>
          <w:u w:val="single"/>
        </w:rPr>
        <w:t>ORDER</w:t>
      </w:r>
    </w:p>
    <w:p w:rsidR="006C2C49" w:rsidRPr="00B73D10" w:rsidRDefault="006C2C49" w:rsidP="006C2C49">
      <w:pPr>
        <w:jc w:val="center"/>
        <w:rPr>
          <w:sz w:val="24"/>
          <w:szCs w:val="24"/>
        </w:rPr>
      </w:pPr>
    </w:p>
    <w:p w:rsidR="006C2C49"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THEREFORE,</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IT IS ORDERED:</w:t>
      </w:r>
    </w:p>
    <w:p w:rsidR="006C2C49" w:rsidRPr="00B73D10" w:rsidRDefault="006C2C49" w:rsidP="006C2C49">
      <w:pPr>
        <w:rPr>
          <w:sz w:val="24"/>
          <w:szCs w:val="24"/>
        </w:rPr>
      </w:pPr>
    </w:p>
    <w:p w:rsidR="006C2C49" w:rsidRPr="00B73D10" w:rsidRDefault="006C2C49" w:rsidP="006C2C49">
      <w:pPr>
        <w:rPr>
          <w:sz w:val="24"/>
          <w:szCs w:val="24"/>
        </w:rPr>
      </w:pPr>
      <w:r w:rsidRPr="00B73D10">
        <w:rPr>
          <w:sz w:val="24"/>
          <w:szCs w:val="24"/>
        </w:rPr>
        <w:tab/>
      </w:r>
      <w:r w:rsidRPr="00B73D10">
        <w:rPr>
          <w:sz w:val="24"/>
          <w:szCs w:val="24"/>
        </w:rPr>
        <w:tab/>
        <w:t xml:space="preserve">That the complaint of </w:t>
      </w:r>
      <w:r w:rsidR="00FF3D5C">
        <w:rPr>
          <w:sz w:val="24"/>
          <w:szCs w:val="24"/>
        </w:rPr>
        <w:t>Donna Garippa</w:t>
      </w:r>
      <w:r w:rsidRPr="00E329DC">
        <w:rPr>
          <w:sz w:val="24"/>
          <w:szCs w:val="24"/>
        </w:rPr>
        <w:t xml:space="preserve"> versus </w:t>
      </w:r>
      <w:r w:rsidR="00FF3D5C">
        <w:rPr>
          <w:sz w:val="24"/>
          <w:szCs w:val="24"/>
        </w:rPr>
        <w:t>PPL Electric Utilities Corporation</w:t>
      </w:r>
      <w:r w:rsidRPr="00E329DC">
        <w:rPr>
          <w:sz w:val="24"/>
          <w:szCs w:val="24"/>
        </w:rPr>
        <w:t xml:space="preserve"> </w:t>
      </w:r>
      <w:r w:rsidRPr="00B73D10">
        <w:rPr>
          <w:sz w:val="24"/>
          <w:szCs w:val="24"/>
        </w:rPr>
        <w:t xml:space="preserve">at Docket No. </w:t>
      </w:r>
      <w:r w:rsidR="00065149">
        <w:rPr>
          <w:sz w:val="24"/>
          <w:szCs w:val="24"/>
        </w:rPr>
        <w:t>F-</w:t>
      </w:r>
      <w:r w:rsidR="00FF3D5C">
        <w:rPr>
          <w:sz w:val="24"/>
          <w:szCs w:val="24"/>
        </w:rPr>
        <w:t>2011-2251687</w:t>
      </w:r>
      <w:r w:rsidRPr="00B73D10">
        <w:rPr>
          <w:sz w:val="24"/>
          <w:szCs w:val="24"/>
        </w:rPr>
        <w:t xml:space="preserve"> is hereby </w:t>
      </w:r>
      <w:r w:rsidR="00065149">
        <w:rPr>
          <w:sz w:val="24"/>
          <w:szCs w:val="24"/>
        </w:rPr>
        <w:t>dismissed</w:t>
      </w:r>
      <w:r w:rsidRPr="00B73D10">
        <w:rPr>
          <w:sz w:val="24"/>
          <w:szCs w:val="24"/>
        </w:rPr>
        <w:t>.</w:t>
      </w:r>
    </w:p>
    <w:p w:rsidR="006C2C49" w:rsidRDefault="006C2C49" w:rsidP="006C2C49">
      <w:pPr>
        <w:spacing w:line="240" w:lineRule="auto"/>
        <w:rPr>
          <w:sz w:val="24"/>
          <w:szCs w:val="24"/>
        </w:rPr>
      </w:pPr>
    </w:p>
    <w:p w:rsidR="00BD0AF8" w:rsidRDefault="00BD0AF8" w:rsidP="006C2C49">
      <w:pPr>
        <w:spacing w:line="240" w:lineRule="auto"/>
        <w:rPr>
          <w:sz w:val="24"/>
          <w:szCs w:val="24"/>
        </w:rPr>
      </w:pPr>
    </w:p>
    <w:p w:rsidR="00BD0AF8" w:rsidRDefault="00BD0AF8" w:rsidP="006C2C49">
      <w:pPr>
        <w:spacing w:line="240" w:lineRule="auto"/>
        <w:rPr>
          <w:sz w:val="24"/>
          <w:szCs w:val="24"/>
        </w:rPr>
      </w:pPr>
    </w:p>
    <w:p w:rsidR="006C2C49" w:rsidRDefault="006C2C49" w:rsidP="006C2C49">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FF3D5C">
        <w:rPr>
          <w:sz w:val="24"/>
          <w:szCs w:val="24"/>
          <w:u w:val="single"/>
        </w:rPr>
        <w:t>May 7</w:t>
      </w:r>
      <w:r w:rsidR="00B33004">
        <w:rPr>
          <w:sz w:val="24"/>
          <w:szCs w:val="24"/>
          <w:u w:val="single"/>
        </w:rPr>
        <w:t>, 2012</w:t>
      </w:r>
      <w:r w:rsidRPr="00B73D10">
        <w:rPr>
          <w:sz w:val="24"/>
          <w:szCs w:val="24"/>
        </w:rPr>
        <w:tab/>
      </w:r>
      <w:r w:rsidRPr="00B73D10">
        <w:rPr>
          <w:sz w:val="24"/>
          <w:szCs w:val="24"/>
        </w:rPr>
        <w:tab/>
      </w:r>
      <w:r w:rsidR="00FF3D5C">
        <w:rPr>
          <w:sz w:val="24"/>
          <w:szCs w:val="24"/>
        </w:rPr>
        <w:tab/>
      </w:r>
      <w:r w:rsidRPr="00B73D10">
        <w:rPr>
          <w:sz w:val="24"/>
          <w:szCs w:val="24"/>
        </w:rPr>
        <w:tab/>
      </w:r>
      <w:r w:rsidRPr="00B73D10">
        <w:rPr>
          <w:sz w:val="24"/>
          <w:szCs w:val="24"/>
        </w:rPr>
        <w:tab/>
      </w:r>
      <w:r w:rsidR="00684981">
        <w:rPr>
          <w:sz w:val="24"/>
          <w:szCs w:val="24"/>
        </w:rPr>
        <w:tab/>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6C2C49" w:rsidRDefault="006C2C49" w:rsidP="006C2C49">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684981">
        <w:rPr>
          <w:sz w:val="24"/>
          <w:szCs w:val="24"/>
        </w:rPr>
        <w:tab/>
      </w:r>
      <w:r w:rsidRPr="00B73D10">
        <w:rPr>
          <w:sz w:val="24"/>
          <w:szCs w:val="24"/>
        </w:rPr>
        <w:t>Administrative Law Judge</w:t>
      </w:r>
    </w:p>
    <w:p w:rsidR="00B33004" w:rsidRDefault="00B33004" w:rsidP="006C2C49">
      <w:pPr>
        <w:spacing w:line="240" w:lineRule="auto"/>
        <w:rPr>
          <w:sz w:val="24"/>
          <w:szCs w:val="24"/>
        </w:rPr>
      </w:pPr>
    </w:p>
    <w:p w:rsidR="00DE2949" w:rsidRPr="00FB448C" w:rsidRDefault="00DE2949" w:rsidP="00B33004">
      <w:pPr>
        <w:rPr>
          <w:sz w:val="24"/>
          <w:szCs w:val="24"/>
        </w:rPr>
      </w:pPr>
    </w:p>
    <w:sectPr w:rsidR="00DE2949" w:rsidRPr="00FB448C"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E1B" w:rsidRDefault="00717E1B">
      <w:r>
        <w:separator/>
      </w:r>
    </w:p>
  </w:endnote>
  <w:endnote w:type="continuationSeparator" w:id="0">
    <w:p w:rsidR="00717E1B" w:rsidRDefault="0071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D17CA8">
      <w:rPr>
        <w:rStyle w:val="PageNumber"/>
        <w:noProof/>
        <w:sz w:val="24"/>
        <w:szCs w:val="24"/>
      </w:rPr>
      <w:t>5</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E1B" w:rsidRDefault="00717E1B">
      <w:r>
        <w:separator/>
      </w:r>
    </w:p>
  </w:footnote>
  <w:footnote w:type="continuationSeparator" w:id="0">
    <w:p w:rsidR="00717E1B" w:rsidRDefault="00717E1B">
      <w:r>
        <w:continuationSeparator/>
      </w:r>
    </w:p>
  </w:footnote>
  <w:footnote w:id="1">
    <w:p w:rsidR="00BF7A4B" w:rsidRDefault="00BF7A4B" w:rsidP="000A34DF">
      <w:pPr>
        <w:pStyle w:val="FootnoteText"/>
        <w:ind w:firstLine="720"/>
      </w:pPr>
      <w:r>
        <w:rPr>
          <w:rStyle w:val="FootnoteReference"/>
        </w:rPr>
        <w:footnoteRef/>
      </w:r>
      <w:r>
        <w:t xml:space="preserve"> </w:t>
      </w:r>
      <w:r>
        <w:tab/>
      </w:r>
      <w:r w:rsidRPr="00EC0D25">
        <w:t>Section 332(a) of the Public Utility Code, 66 Pa. C.S. §332(a).</w:t>
      </w:r>
    </w:p>
    <w:p w:rsidR="00BF7A4B" w:rsidRPr="00EC0D25" w:rsidRDefault="00BF7A4B" w:rsidP="000A34DF">
      <w:pPr>
        <w:pStyle w:val="FootnoteText"/>
        <w:ind w:firstLine="720"/>
      </w:pPr>
    </w:p>
  </w:footnote>
  <w:footnote w:id="2">
    <w:p w:rsidR="00BF7A4B" w:rsidRDefault="00BF7A4B" w:rsidP="000A34DF">
      <w:pPr>
        <w:pStyle w:val="FootnoteText"/>
        <w:ind w:firstLine="720"/>
        <w:rPr>
          <w:spacing w:val="-3"/>
        </w:rPr>
      </w:pPr>
      <w:r>
        <w:rPr>
          <w:rStyle w:val="FootnoteReference"/>
        </w:rPr>
        <w:footnoteRef/>
      </w:r>
      <w:r>
        <w:t xml:space="preserve"> </w:t>
      </w:r>
      <w:r>
        <w:tab/>
      </w:r>
      <w:r w:rsidRPr="00EC0D25">
        <w:rPr>
          <w:spacing w:val="-3"/>
          <w:u w:val="single"/>
        </w:rPr>
        <w:t>Samuel J. Lansberry, Inc. v. Pa. Public Utility Comm’n</w:t>
      </w:r>
      <w:r w:rsidRPr="00EC0D25">
        <w:rPr>
          <w:spacing w:val="-3"/>
        </w:rPr>
        <w:t xml:space="preserve">, 134 Pa.Commw. 218; 221-222, 578 A.2d 600; 602 (1990), </w:t>
      </w:r>
      <w:r w:rsidRPr="00EC0D25">
        <w:rPr>
          <w:i/>
          <w:iCs/>
          <w:spacing w:val="-3"/>
        </w:rPr>
        <w:t>alloc. den</w:t>
      </w:r>
      <w:r w:rsidRPr="00EC0D25">
        <w:rPr>
          <w:spacing w:val="-3"/>
        </w:rPr>
        <w:t>. in 602 A.2d 863 (1992)</w:t>
      </w:r>
      <w:r>
        <w:rPr>
          <w:spacing w:val="-3"/>
        </w:rPr>
        <w:t>.</w:t>
      </w:r>
    </w:p>
    <w:p w:rsidR="00BF7A4B" w:rsidRPr="00EC0D25" w:rsidRDefault="00BF7A4B" w:rsidP="000A34DF">
      <w:pPr>
        <w:pStyle w:val="FootnoteText"/>
        <w:ind w:firstLine="720"/>
      </w:pPr>
    </w:p>
  </w:footnote>
  <w:footnote w:id="3">
    <w:p w:rsidR="00B33004" w:rsidRDefault="00B33004" w:rsidP="00B33004">
      <w:pPr>
        <w:pStyle w:val="FootnoteText"/>
        <w:ind w:firstLine="720"/>
      </w:pPr>
      <w:r>
        <w:rPr>
          <w:rStyle w:val="FootnoteReference"/>
        </w:rPr>
        <w:footnoteRef/>
      </w:r>
      <w:r>
        <w:t xml:space="preserve"> </w:t>
      </w:r>
      <w:r>
        <w:tab/>
      </w:r>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r w:rsidRPr="00D27E1B">
        <w:rPr>
          <w:spacing w:val="-3"/>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9">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3"/>
  </w:num>
  <w:num w:numId="5">
    <w:abstractNumId w:val="8"/>
  </w:num>
  <w:num w:numId="6">
    <w:abstractNumId w:val="6"/>
    <w:lvlOverride w:ilvl="0">
      <w:startOverride w:val="1"/>
    </w:lvlOverride>
  </w:num>
  <w:num w:numId="7">
    <w:abstractNumId w:val="2"/>
    <w:lvlOverride w:ilvl="0">
      <w:startOverride w:val="1"/>
    </w:lvlOverride>
  </w:num>
  <w:num w:numId="8">
    <w:abstractNumId w:val="8"/>
    <w:lvlOverride w:ilvl="0">
      <w:startOverride w:val="2"/>
    </w:lvlOverride>
  </w:num>
  <w:num w:numId="9">
    <w:abstractNumId w:val="1"/>
  </w:num>
  <w:num w:numId="10">
    <w:abstractNumId w:val="9"/>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5552"/>
    <w:rsid w:val="000268F4"/>
    <w:rsid w:val="0003169F"/>
    <w:rsid w:val="00044200"/>
    <w:rsid w:val="00044B8E"/>
    <w:rsid w:val="00065149"/>
    <w:rsid w:val="000755DB"/>
    <w:rsid w:val="00083078"/>
    <w:rsid w:val="00085C51"/>
    <w:rsid w:val="00093E4B"/>
    <w:rsid w:val="000961CD"/>
    <w:rsid w:val="000A1439"/>
    <w:rsid w:val="000A34DF"/>
    <w:rsid w:val="000C50A8"/>
    <w:rsid w:val="000C55C5"/>
    <w:rsid w:val="000D6D9C"/>
    <w:rsid w:val="001056A1"/>
    <w:rsid w:val="00113941"/>
    <w:rsid w:val="0011768F"/>
    <w:rsid w:val="001339A3"/>
    <w:rsid w:val="0014638B"/>
    <w:rsid w:val="0015440C"/>
    <w:rsid w:val="001635F9"/>
    <w:rsid w:val="00166694"/>
    <w:rsid w:val="00174631"/>
    <w:rsid w:val="001760E3"/>
    <w:rsid w:val="00187E50"/>
    <w:rsid w:val="001908AF"/>
    <w:rsid w:val="00192CF9"/>
    <w:rsid w:val="00194F6F"/>
    <w:rsid w:val="00195CBA"/>
    <w:rsid w:val="00195D67"/>
    <w:rsid w:val="001B2A30"/>
    <w:rsid w:val="001B55FD"/>
    <w:rsid w:val="001D457F"/>
    <w:rsid w:val="001E2C0B"/>
    <w:rsid w:val="001E6855"/>
    <w:rsid w:val="001F16E2"/>
    <w:rsid w:val="0021278D"/>
    <w:rsid w:val="002135C1"/>
    <w:rsid w:val="00213C20"/>
    <w:rsid w:val="00225772"/>
    <w:rsid w:val="0024448A"/>
    <w:rsid w:val="0025693E"/>
    <w:rsid w:val="0026056B"/>
    <w:rsid w:val="00273706"/>
    <w:rsid w:val="002A1305"/>
    <w:rsid w:val="002A59BF"/>
    <w:rsid w:val="002D5793"/>
    <w:rsid w:val="002E25F3"/>
    <w:rsid w:val="002E2700"/>
    <w:rsid w:val="002F3E5C"/>
    <w:rsid w:val="00305F0D"/>
    <w:rsid w:val="00307CB3"/>
    <w:rsid w:val="00341B79"/>
    <w:rsid w:val="003420E6"/>
    <w:rsid w:val="003460CC"/>
    <w:rsid w:val="00355E33"/>
    <w:rsid w:val="003611E4"/>
    <w:rsid w:val="003759A4"/>
    <w:rsid w:val="00382023"/>
    <w:rsid w:val="00383A25"/>
    <w:rsid w:val="00386F30"/>
    <w:rsid w:val="003948AF"/>
    <w:rsid w:val="003962EA"/>
    <w:rsid w:val="003A2086"/>
    <w:rsid w:val="003A2C39"/>
    <w:rsid w:val="003A31A9"/>
    <w:rsid w:val="003A33F5"/>
    <w:rsid w:val="003C7183"/>
    <w:rsid w:val="003D3AA4"/>
    <w:rsid w:val="003F0927"/>
    <w:rsid w:val="003F68A9"/>
    <w:rsid w:val="004012A8"/>
    <w:rsid w:val="0041141D"/>
    <w:rsid w:val="00412886"/>
    <w:rsid w:val="0042086F"/>
    <w:rsid w:val="004222C6"/>
    <w:rsid w:val="004232E8"/>
    <w:rsid w:val="0043056E"/>
    <w:rsid w:val="00433CEC"/>
    <w:rsid w:val="0043514B"/>
    <w:rsid w:val="00437CE0"/>
    <w:rsid w:val="004415A2"/>
    <w:rsid w:val="00444C3C"/>
    <w:rsid w:val="00451160"/>
    <w:rsid w:val="00452073"/>
    <w:rsid w:val="00452A48"/>
    <w:rsid w:val="004768C7"/>
    <w:rsid w:val="004A287A"/>
    <w:rsid w:val="004A4AC4"/>
    <w:rsid w:val="004A5400"/>
    <w:rsid w:val="004B418C"/>
    <w:rsid w:val="004C0960"/>
    <w:rsid w:val="004D0D4F"/>
    <w:rsid w:val="004D6317"/>
    <w:rsid w:val="004D63DC"/>
    <w:rsid w:val="004E3DB9"/>
    <w:rsid w:val="004F4E74"/>
    <w:rsid w:val="004F511D"/>
    <w:rsid w:val="004F6DF0"/>
    <w:rsid w:val="00507A2B"/>
    <w:rsid w:val="00530A02"/>
    <w:rsid w:val="0053722A"/>
    <w:rsid w:val="00540947"/>
    <w:rsid w:val="00556E9A"/>
    <w:rsid w:val="005609B8"/>
    <w:rsid w:val="00560FDD"/>
    <w:rsid w:val="00567C6F"/>
    <w:rsid w:val="005745EB"/>
    <w:rsid w:val="00574E22"/>
    <w:rsid w:val="00576E65"/>
    <w:rsid w:val="0058651A"/>
    <w:rsid w:val="00593D95"/>
    <w:rsid w:val="005B4757"/>
    <w:rsid w:val="005B5748"/>
    <w:rsid w:val="005D3D7F"/>
    <w:rsid w:val="005E12B1"/>
    <w:rsid w:val="005F38C3"/>
    <w:rsid w:val="005F480F"/>
    <w:rsid w:val="005F5C9E"/>
    <w:rsid w:val="00601B51"/>
    <w:rsid w:val="00606BD0"/>
    <w:rsid w:val="00620C7B"/>
    <w:rsid w:val="00655AE4"/>
    <w:rsid w:val="006647CC"/>
    <w:rsid w:val="00674464"/>
    <w:rsid w:val="00676D32"/>
    <w:rsid w:val="006825AC"/>
    <w:rsid w:val="006837EE"/>
    <w:rsid w:val="00684981"/>
    <w:rsid w:val="006930B8"/>
    <w:rsid w:val="006B3FEA"/>
    <w:rsid w:val="006C2C49"/>
    <w:rsid w:val="006D0E2D"/>
    <w:rsid w:val="006D252C"/>
    <w:rsid w:val="006D7DE2"/>
    <w:rsid w:val="006E1F15"/>
    <w:rsid w:val="006F0985"/>
    <w:rsid w:val="006F4A53"/>
    <w:rsid w:val="006F5CB0"/>
    <w:rsid w:val="006F6BB8"/>
    <w:rsid w:val="00717E1B"/>
    <w:rsid w:val="00720264"/>
    <w:rsid w:val="00723D2E"/>
    <w:rsid w:val="0072437C"/>
    <w:rsid w:val="00747019"/>
    <w:rsid w:val="00757BEB"/>
    <w:rsid w:val="007618E6"/>
    <w:rsid w:val="00764DC3"/>
    <w:rsid w:val="00774742"/>
    <w:rsid w:val="00777AD8"/>
    <w:rsid w:val="00791F9B"/>
    <w:rsid w:val="007A01A8"/>
    <w:rsid w:val="007C4CD8"/>
    <w:rsid w:val="007D5F4A"/>
    <w:rsid w:val="007E4657"/>
    <w:rsid w:val="007F46D2"/>
    <w:rsid w:val="00803E31"/>
    <w:rsid w:val="00804DAB"/>
    <w:rsid w:val="00805247"/>
    <w:rsid w:val="00806C9B"/>
    <w:rsid w:val="00822088"/>
    <w:rsid w:val="0083441D"/>
    <w:rsid w:val="00850505"/>
    <w:rsid w:val="00850A24"/>
    <w:rsid w:val="00862A3E"/>
    <w:rsid w:val="008648D6"/>
    <w:rsid w:val="00867FD3"/>
    <w:rsid w:val="00877C75"/>
    <w:rsid w:val="00881239"/>
    <w:rsid w:val="00881CA9"/>
    <w:rsid w:val="00885341"/>
    <w:rsid w:val="0088541A"/>
    <w:rsid w:val="008A7257"/>
    <w:rsid w:val="008B5083"/>
    <w:rsid w:val="008C21DB"/>
    <w:rsid w:val="008C2C84"/>
    <w:rsid w:val="008C756D"/>
    <w:rsid w:val="008D478C"/>
    <w:rsid w:val="008E759A"/>
    <w:rsid w:val="008F030B"/>
    <w:rsid w:val="008F1012"/>
    <w:rsid w:val="008F558D"/>
    <w:rsid w:val="0091247C"/>
    <w:rsid w:val="00946C11"/>
    <w:rsid w:val="009504A6"/>
    <w:rsid w:val="00951CFC"/>
    <w:rsid w:val="009578D1"/>
    <w:rsid w:val="0096189E"/>
    <w:rsid w:val="009753B7"/>
    <w:rsid w:val="00976B8E"/>
    <w:rsid w:val="00977B94"/>
    <w:rsid w:val="00977BB6"/>
    <w:rsid w:val="009828D3"/>
    <w:rsid w:val="00992A72"/>
    <w:rsid w:val="00994613"/>
    <w:rsid w:val="00996FB5"/>
    <w:rsid w:val="00997FD4"/>
    <w:rsid w:val="009A3D9F"/>
    <w:rsid w:val="009D6921"/>
    <w:rsid w:val="009D7777"/>
    <w:rsid w:val="009E1902"/>
    <w:rsid w:val="009F5506"/>
    <w:rsid w:val="00A0630D"/>
    <w:rsid w:val="00A23A1A"/>
    <w:rsid w:val="00A40F64"/>
    <w:rsid w:val="00A450CB"/>
    <w:rsid w:val="00A5362D"/>
    <w:rsid w:val="00A54C14"/>
    <w:rsid w:val="00A56712"/>
    <w:rsid w:val="00A60625"/>
    <w:rsid w:val="00A6078D"/>
    <w:rsid w:val="00A648CB"/>
    <w:rsid w:val="00A66258"/>
    <w:rsid w:val="00A75695"/>
    <w:rsid w:val="00A75B63"/>
    <w:rsid w:val="00A75EB0"/>
    <w:rsid w:val="00A8667C"/>
    <w:rsid w:val="00A964A8"/>
    <w:rsid w:val="00AA22B4"/>
    <w:rsid w:val="00AA3795"/>
    <w:rsid w:val="00AA3A21"/>
    <w:rsid w:val="00AB0456"/>
    <w:rsid w:val="00AB2D65"/>
    <w:rsid w:val="00AB68B6"/>
    <w:rsid w:val="00AB73D1"/>
    <w:rsid w:val="00AC1F69"/>
    <w:rsid w:val="00AC5192"/>
    <w:rsid w:val="00AD16D1"/>
    <w:rsid w:val="00AD671E"/>
    <w:rsid w:val="00AE0EA3"/>
    <w:rsid w:val="00AF4043"/>
    <w:rsid w:val="00AF7930"/>
    <w:rsid w:val="00B07ED7"/>
    <w:rsid w:val="00B20BB1"/>
    <w:rsid w:val="00B21A12"/>
    <w:rsid w:val="00B33004"/>
    <w:rsid w:val="00B406AA"/>
    <w:rsid w:val="00B45783"/>
    <w:rsid w:val="00B51F32"/>
    <w:rsid w:val="00B67D11"/>
    <w:rsid w:val="00B82797"/>
    <w:rsid w:val="00B839E8"/>
    <w:rsid w:val="00B93AED"/>
    <w:rsid w:val="00B96704"/>
    <w:rsid w:val="00BB279F"/>
    <w:rsid w:val="00BC6609"/>
    <w:rsid w:val="00BD0AF8"/>
    <w:rsid w:val="00BD1626"/>
    <w:rsid w:val="00BD656E"/>
    <w:rsid w:val="00BE0C66"/>
    <w:rsid w:val="00BF7A4B"/>
    <w:rsid w:val="00C1408A"/>
    <w:rsid w:val="00C146D5"/>
    <w:rsid w:val="00C1597F"/>
    <w:rsid w:val="00C354E5"/>
    <w:rsid w:val="00C44296"/>
    <w:rsid w:val="00C50F60"/>
    <w:rsid w:val="00C72198"/>
    <w:rsid w:val="00C730BF"/>
    <w:rsid w:val="00C7317C"/>
    <w:rsid w:val="00C90991"/>
    <w:rsid w:val="00C9371A"/>
    <w:rsid w:val="00C95101"/>
    <w:rsid w:val="00C97273"/>
    <w:rsid w:val="00CA4DF4"/>
    <w:rsid w:val="00CA5FBB"/>
    <w:rsid w:val="00CB63EB"/>
    <w:rsid w:val="00CC11CD"/>
    <w:rsid w:val="00CC7273"/>
    <w:rsid w:val="00CC7EAF"/>
    <w:rsid w:val="00CE7E68"/>
    <w:rsid w:val="00CF340C"/>
    <w:rsid w:val="00CF6039"/>
    <w:rsid w:val="00D0052C"/>
    <w:rsid w:val="00D02672"/>
    <w:rsid w:val="00D04E2C"/>
    <w:rsid w:val="00D12B38"/>
    <w:rsid w:val="00D160E6"/>
    <w:rsid w:val="00D17CA8"/>
    <w:rsid w:val="00D236A3"/>
    <w:rsid w:val="00D30C6D"/>
    <w:rsid w:val="00D40033"/>
    <w:rsid w:val="00D44704"/>
    <w:rsid w:val="00D64DCB"/>
    <w:rsid w:val="00D66FE4"/>
    <w:rsid w:val="00D7007A"/>
    <w:rsid w:val="00D82C44"/>
    <w:rsid w:val="00D86982"/>
    <w:rsid w:val="00D95DB1"/>
    <w:rsid w:val="00D9676E"/>
    <w:rsid w:val="00DA16D1"/>
    <w:rsid w:val="00DA6365"/>
    <w:rsid w:val="00DE2170"/>
    <w:rsid w:val="00DE2266"/>
    <w:rsid w:val="00DE2949"/>
    <w:rsid w:val="00DE7F93"/>
    <w:rsid w:val="00DF04BF"/>
    <w:rsid w:val="00E02815"/>
    <w:rsid w:val="00E03BB5"/>
    <w:rsid w:val="00E04BE4"/>
    <w:rsid w:val="00E0580F"/>
    <w:rsid w:val="00E1062D"/>
    <w:rsid w:val="00E126F9"/>
    <w:rsid w:val="00E323D7"/>
    <w:rsid w:val="00E329DC"/>
    <w:rsid w:val="00E33BA9"/>
    <w:rsid w:val="00E45AE4"/>
    <w:rsid w:val="00E500AF"/>
    <w:rsid w:val="00E5034B"/>
    <w:rsid w:val="00E74CDD"/>
    <w:rsid w:val="00E77421"/>
    <w:rsid w:val="00E80B68"/>
    <w:rsid w:val="00E85864"/>
    <w:rsid w:val="00E91CE3"/>
    <w:rsid w:val="00E941D2"/>
    <w:rsid w:val="00E97BF0"/>
    <w:rsid w:val="00EA7153"/>
    <w:rsid w:val="00EB5F86"/>
    <w:rsid w:val="00EC0D25"/>
    <w:rsid w:val="00EC46E0"/>
    <w:rsid w:val="00EC4BF1"/>
    <w:rsid w:val="00EC6BFE"/>
    <w:rsid w:val="00ED652F"/>
    <w:rsid w:val="00ED6B35"/>
    <w:rsid w:val="00EE0FF3"/>
    <w:rsid w:val="00EE480E"/>
    <w:rsid w:val="00EF3B1E"/>
    <w:rsid w:val="00F01C8E"/>
    <w:rsid w:val="00F220CF"/>
    <w:rsid w:val="00F43B77"/>
    <w:rsid w:val="00F45513"/>
    <w:rsid w:val="00F72B2B"/>
    <w:rsid w:val="00F73C62"/>
    <w:rsid w:val="00F801D1"/>
    <w:rsid w:val="00F825B0"/>
    <w:rsid w:val="00FA2CDB"/>
    <w:rsid w:val="00FA367A"/>
    <w:rsid w:val="00FA47B6"/>
    <w:rsid w:val="00FA60CF"/>
    <w:rsid w:val="00FA6A9A"/>
    <w:rsid w:val="00FB2F18"/>
    <w:rsid w:val="00FB3BB1"/>
    <w:rsid w:val="00FB448C"/>
    <w:rsid w:val="00FB7AFF"/>
    <w:rsid w:val="00FC42F5"/>
    <w:rsid w:val="00FC524D"/>
    <w:rsid w:val="00FD00D0"/>
    <w:rsid w:val="00FD088A"/>
    <w:rsid w:val="00FE20C7"/>
    <w:rsid w:val="00FF0B01"/>
    <w:rsid w:val="00FF0BD9"/>
    <w:rsid w:val="00FF3D5C"/>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0470-D9F5-4660-9D2C-D955A108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2</cp:revision>
  <cp:lastPrinted>2012-05-17T14:25:00Z</cp:lastPrinted>
  <dcterms:created xsi:type="dcterms:W3CDTF">2012-05-17T14:26:00Z</dcterms:created>
  <dcterms:modified xsi:type="dcterms:W3CDTF">2012-05-17T14:26:00Z</dcterms:modified>
</cp:coreProperties>
</file>