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266269" w:rsidP="00266269">
      <w:pPr>
        <w:spacing w:line="240" w:lineRule="auto"/>
        <w:rPr>
          <w:b/>
        </w:rPr>
      </w:pPr>
      <w:r>
        <w:rPr>
          <w:b/>
        </w:rPr>
        <w:t>BEFORE THE</w:t>
      </w:r>
    </w:p>
    <w:p w:rsidR="00266269" w:rsidRDefault="00266269" w:rsidP="00266269">
      <w:pPr>
        <w:spacing w:line="240" w:lineRule="auto"/>
        <w:rPr>
          <w:b/>
        </w:rPr>
      </w:pPr>
      <w:r>
        <w:rPr>
          <w:b/>
        </w:rPr>
        <w:t>PENNSYLVANIA PUBLIC UTILITY COMMISSION</w:t>
      </w:r>
    </w:p>
    <w:p w:rsidR="00266269" w:rsidRDefault="00266269" w:rsidP="00266269">
      <w:pPr>
        <w:spacing w:line="240" w:lineRule="auto"/>
        <w:rPr>
          <w:b/>
        </w:rPr>
      </w:pPr>
    </w:p>
    <w:p w:rsidR="00266269" w:rsidRDefault="00266269" w:rsidP="00266269">
      <w:pPr>
        <w:spacing w:line="240" w:lineRule="auto"/>
        <w:jc w:val="left"/>
      </w:pPr>
    </w:p>
    <w:p w:rsidR="00266269" w:rsidRDefault="00266269" w:rsidP="00266269">
      <w:pPr>
        <w:spacing w:line="240" w:lineRule="auto"/>
        <w:jc w:val="left"/>
      </w:pPr>
      <w:r>
        <w:t>Gregory Harris</w:t>
      </w:r>
      <w:r>
        <w:tab/>
      </w:r>
      <w:r>
        <w:tab/>
      </w:r>
      <w:r>
        <w:tab/>
      </w:r>
      <w:r>
        <w:tab/>
        <w:t>:</w:t>
      </w:r>
    </w:p>
    <w:p w:rsidR="00266269" w:rsidRDefault="00266269" w:rsidP="00266269">
      <w:pPr>
        <w:spacing w:line="240" w:lineRule="auto"/>
        <w:jc w:val="left"/>
      </w:pPr>
      <w:r>
        <w:tab/>
      </w:r>
      <w:r>
        <w:tab/>
      </w:r>
      <w:r>
        <w:tab/>
      </w:r>
      <w:r>
        <w:tab/>
      </w:r>
      <w:r>
        <w:tab/>
      </w:r>
      <w:r>
        <w:tab/>
        <w:t>:</w:t>
      </w:r>
    </w:p>
    <w:p w:rsidR="00266269" w:rsidRDefault="00266269" w:rsidP="00266269">
      <w:pPr>
        <w:spacing w:line="240" w:lineRule="auto"/>
        <w:jc w:val="left"/>
      </w:pPr>
      <w:r>
        <w:tab/>
        <w:t>v.</w:t>
      </w:r>
      <w:r>
        <w:tab/>
      </w:r>
      <w:r>
        <w:tab/>
      </w:r>
      <w:r>
        <w:tab/>
      </w:r>
      <w:r>
        <w:tab/>
      </w:r>
      <w:r>
        <w:tab/>
        <w:t>:</w:t>
      </w:r>
      <w:r>
        <w:tab/>
      </w:r>
      <w:r>
        <w:tab/>
      </w:r>
      <w:r>
        <w:tab/>
      </w:r>
      <w:r>
        <w:tab/>
        <w:t>C-2012-2287515</w:t>
      </w:r>
    </w:p>
    <w:p w:rsidR="00266269" w:rsidRDefault="00266269" w:rsidP="00266269">
      <w:pPr>
        <w:spacing w:line="240" w:lineRule="auto"/>
        <w:jc w:val="left"/>
      </w:pPr>
      <w:r>
        <w:tab/>
      </w:r>
      <w:r>
        <w:tab/>
      </w:r>
      <w:r>
        <w:tab/>
      </w:r>
      <w:r>
        <w:tab/>
      </w:r>
      <w:r>
        <w:tab/>
      </w:r>
      <w:r>
        <w:tab/>
        <w:t>:</w:t>
      </w:r>
    </w:p>
    <w:p w:rsidR="00266269" w:rsidRDefault="00266269" w:rsidP="00266269">
      <w:pPr>
        <w:spacing w:line="240" w:lineRule="auto"/>
        <w:jc w:val="left"/>
      </w:pPr>
      <w:r>
        <w:t>PPL Electric Utilities Corporation</w:t>
      </w:r>
      <w:r>
        <w:tab/>
      </w:r>
      <w:r>
        <w:tab/>
        <w:t>:</w:t>
      </w:r>
    </w:p>
    <w:p w:rsidR="00266269" w:rsidRDefault="00266269" w:rsidP="00266269">
      <w:pPr>
        <w:spacing w:line="240" w:lineRule="auto"/>
        <w:jc w:val="left"/>
      </w:pPr>
    </w:p>
    <w:p w:rsidR="00266269" w:rsidRDefault="00266269" w:rsidP="00266269">
      <w:pPr>
        <w:spacing w:line="240" w:lineRule="auto"/>
        <w:jc w:val="left"/>
      </w:pPr>
    </w:p>
    <w:p w:rsidR="00266269" w:rsidRDefault="00266269" w:rsidP="00266269">
      <w:pPr>
        <w:spacing w:line="240" w:lineRule="auto"/>
        <w:jc w:val="left"/>
      </w:pPr>
    </w:p>
    <w:p w:rsidR="00266269" w:rsidRDefault="00DE4280" w:rsidP="00DE4280">
      <w:pPr>
        <w:spacing w:line="240" w:lineRule="auto"/>
        <w:rPr>
          <w:b/>
        </w:rPr>
      </w:pPr>
      <w:r>
        <w:rPr>
          <w:b/>
        </w:rPr>
        <w:t>SCHEDULING ORDER</w:t>
      </w:r>
    </w:p>
    <w:p w:rsidR="00DE4280" w:rsidRDefault="00DE4280" w:rsidP="00DE4280">
      <w:pPr>
        <w:spacing w:line="240" w:lineRule="auto"/>
        <w:rPr>
          <w:b/>
        </w:rPr>
      </w:pPr>
      <w:r>
        <w:rPr>
          <w:b/>
        </w:rPr>
        <w:t>Second Prehearing Order</w:t>
      </w:r>
    </w:p>
    <w:p w:rsidR="00DE4280" w:rsidRPr="00DE4280" w:rsidRDefault="00DE4280" w:rsidP="00DE4280">
      <w:pPr>
        <w:spacing w:line="240" w:lineRule="auto"/>
        <w:rPr>
          <w:b/>
        </w:rPr>
      </w:pPr>
    </w:p>
    <w:p w:rsidR="00266269" w:rsidRDefault="00266269" w:rsidP="00266269">
      <w:pPr>
        <w:spacing w:line="240" w:lineRule="auto"/>
        <w:jc w:val="left"/>
      </w:pPr>
    </w:p>
    <w:p w:rsidR="003B3244" w:rsidRDefault="00266269" w:rsidP="00266269">
      <w:pPr>
        <w:jc w:val="left"/>
      </w:pPr>
      <w:r>
        <w:tab/>
      </w:r>
      <w:r>
        <w:tab/>
        <w:t xml:space="preserve">On February 7, 2012, Gregory Harris (Complainant) filed a formal Complaint against PPL Electric Utilities Corporation (PPL or Respondent or Company) alleging that PPL has </w:t>
      </w:r>
      <w:r w:rsidR="00DF56F3">
        <w:t xml:space="preserve">offered an inadequate amount of money for an additional 25 feet of property compared to the land purchased from a former PPL employee neighbor, and that the electromagnetic fields emanating from the transmission line on Complainant's property is the cause of his colon cancer.  </w:t>
      </w:r>
      <w:r w:rsidR="003B3244">
        <w:t>He alleges that PPL's plan will place his family's health at risk.</w:t>
      </w:r>
    </w:p>
    <w:p w:rsidR="003B3244" w:rsidRDefault="003B3244" w:rsidP="00266269">
      <w:pPr>
        <w:jc w:val="left"/>
      </w:pPr>
    </w:p>
    <w:p w:rsidR="00266269" w:rsidRDefault="003B3244" w:rsidP="00266269">
      <w:pPr>
        <w:jc w:val="left"/>
      </w:pPr>
      <w:r>
        <w:tab/>
      </w:r>
      <w:r>
        <w:tab/>
        <w:t xml:space="preserve">On February 29, 2012, Respondent filed its Answer admitting that it had an easement over Complainant's property which contained one three-conductor 69 kV transmission circuit supported by two wood poles and one lattice tower.  </w:t>
      </w:r>
      <w:r w:rsidR="00266269">
        <w:t xml:space="preserve"> </w:t>
      </w:r>
      <w:r w:rsidR="00A11FAD">
        <w:t xml:space="preserve">The Answer admitted further that the planned upgrade had been the subject of two Commission proceedings:  </w:t>
      </w:r>
      <w:r w:rsidR="00A11FAD">
        <w:rPr>
          <w:i/>
        </w:rPr>
        <w:t xml:space="preserve">Letter of Notification of PPL Electric Utilities Corporation, Filed Pursuant to 52 Pa. Code Chapter 47 Subchapter G, With Respect to the </w:t>
      </w:r>
      <w:proofErr w:type="spellStart"/>
      <w:r w:rsidR="00A11FAD">
        <w:rPr>
          <w:i/>
        </w:rPr>
        <w:t>Copperstone</w:t>
      </w:r>
      <w:proofErr w:type="spellEnd"/>
      <w:r w:rsidR="00A11FAD">
        <w:rPr>
          <w:i/>
        </w:rPr>
        <w:t xml:space="preserve"> – Harrisburg #1 and #2 138/69 kV Transmission Line in South Hanover and Lower Paxton Townships, Dauphin County, Pennsylvania (Letter of Notification or LON) </w:t>
      </w:r>
      <w:r w:rsidR="00A11FAD" w:rsidRPr="00A11FAD">
        <w:t>at Docket No.</w:t>
      </w:r>
      <w:r w:rsidR="008E738F">
        <w:t xml:space="preserve"> A-2010-2149604 (Order entered July 21, 2010), and the siting of a substation related to the LON, </w:t>
      </w:r>
      <w:r w:rsidR="008E738F">
        <w:rPr>
          <w:i/>
        </w:rPr>
        <w:t xml:space="preserve">Petition of PPL Electric Utilities for a Finding that </w:t>
      </w:r>
      <w:r w:rsidR="00421157">
        <w:rPr>
          <w:i/>
        </w:rPr>
        <w:t>a</w:t>
      </w:r>
      <w:r w:rsidR="008E738F">
        <w:rPr>
          <w:i/>
        </w:rPr>
        <w:t xml:space="preserve"> building to shelter Control Equipment at the </w:t>
      </w:r>
      <w:proofErr w:type="spellStart"/>
      <w:r w:rsidR="008E738F">
        <w:rPr>
          <w:i/>
        </w:rPr>
        <w:t>Copperstone</w:t>
      </w:r>
      <w:proofErr w:type="spellEnd"/>
      <w:r w:rsidR="008E738F">
        <w:rPr>
          <w:i/>
        </w:rPr>
        <w:t xml:space="preserve"> 230-69 kV Substation to be constructed in South Hanover Township, Dauphin County, Pennsylvania is reasonably necessary for the convenience or welfare of the public,</w:t>
      </w:r>
      <w:r w:rsidR="008E738F">
        <w:t xml:space="preserve"> Docket No. P-2010-2159610 (Order entered July 30, 2010).  </w:t>
      </w:r>
    </w:p>
    <w:p w:rsidR="008E738F" w:rsidRDefault="008E738F" w:rsidP="00266269">
      <w:pPr>
        <w:jc w:val="left"/>
      </w:pPr>
    </w:p>
    <w:p w:rsidR="00D37682" w:rsidRDefault="008E738F" w:rsidP="00266269">
      <w:pPr>
        <w:jc w:val="left"/>
      </w:pPr>
      <w:r>
        <w:lastRenderedPageBreak/>
        <w:tab/>
      </w:r>
      <w:r>
        <w:tab/>
        <w:t xml:space="preserve">The Answer acknowledged that the new transmission line would cross the Complainant's property and that the existing transmission line would remain on the Complainant's property.  The Complainant was served with the appropriate notices and neither proceeding was protested by the Complainant or anyone else.  The Company negotiated for an additional 25 feet of property for the right-of-way, and when its offer was rejected, the utility was required to use shorter spans between the poles, thus resulting in two additional poles on Complainant's property.  The neighbor </w:t>
      </w:r>
      <w:r w:rsidR="00421157">
        <w:t xml:space="preserve">who was </w:t>
      </w:r>
      <w:r>
        <w:t>referenced in the Complaint was offered more money because the size of the right-of-way needed was more than double the size needed from Complainant</w:t>
      </w:r>
      <w:r w:rsidR="00421157">
        <w:t>; it</w:t>
      </w:r>
      <w:r w:rsidR="00D37682">
        <w:t xml:space="preserve"> was new right-of-way</w:t>
      </w:r>
      <w:r w:rsidR="00421157">
        <w:t>; and</w:t>
      </w:r>
      <w:r w:rsidR="00D37682">
        <w:t>,</w:t>
      </w:r>
      <w:r w:rsidR="00421157">
        <w:t xml:space="preserve"> it</w:t>
      </w:r>
      <w:r w:rsidR="00D37682">
        <w:t xml:space="preserve"> was closer to the neighbor's house.  The Company denies that any significant impact on the value of the land has resulted from its actions.  </w:t>
      </w:r>
    </w:p>
    <w:p w:rsidR="00D37682" w:rsidRDefault="00D37682" w:rsidP="00266269">
      <w:pPr>
        <w:jc w:val="left"/>
      </w:pPr>
    </w:p>
    <w:p w:rsidR="00D37682" w:rsidRDefault="00D37682" w:rsidP="00266269">
      <w:pPr>
        <w:jc w:val="left"/>
      </w:pPr>
      <w:r>
        <w:tab/>
      </w:r>
      <w:r>
        <w:tab/>
        <w:t xml:space="preserve">Finally, the Company denies that its facilities caused or contributed to the Complainant's cancer and that there is no reliable scientific basis to conclude that exposure to EMFs from electric power lines causes or contributes to adverse health effects in people. </w:t>
      </w:r>
    </w:p>
    <w:p w:rsidR="00D37682" w:rsidRDefault="00D37682" w:rsidP="00266269">
      <w:pPr>
        <w:jc w:val="left"/>
      </w:pPr>
    </w:p>
    <w:p w:rsidR="008E738F" w:rsidRDefault="00D37682" w:rsidP="00266269">
      <w:pPr>
        <w:jc w:val="left"/>
      </w:pPr>
      <w:r>
        <w:tab/>
      </w:r>
      <w:r>
        <w:tab/>
      </w:r>
      <w:r w:rsidR="005E2290">
        <w:t xml:space="preserve">By Hearing Notice issued April 11, 2012, an initial hearing was scheduled for Tuesday, May 15, 2012 and the matter was assigned to me.  I issued a Prehearing Order on April 11, 2012, which set forth some of the procedural requirements for a formal proceeding before the Commission.  </w:t>
      </w:r>
    </w:p>
    <w:p w:rsidR="005E2290" w:rsidRDefault="005E2290" w:rsidP="00266269">
      <w:pPr>
        <w:jc w:val="left"/>
      </w:pPr>
    </w:p>
    <w:p w:rsidR="005E2290" w:rsidRDefault="005E2290" w:rsidP="00266269">
      <w:pPr>
        <w:jc w:val="left"/>
      </w:pPr>
      <w:r>
        <w:tab/>
      </w:r>
      <w:r>
        <w:tab/>
        <w:t xml:space="preserve">On April 19, 2012, Respondent filed a Request for Relief, seeking conversion of the formal hearing to a prehearing conference.  The request was granted, and by notice issued April 24, 2012, the hearing was rescheduled as a prehearing conference to be held on Tuesday, May 22, 2012.  </w:t>
      </w:r>
    </w:p>
    <w:p w:rsidR="00DE4280" w:rsidRDefault="00DE4280" w:rsidP="00266269">
      <w:pPr>
        <w:jc w:val="left"/>
      </w:pPr>
    </w:p>
    <w:p w:rsidR="00DE4280" w:rsidRDefault="00DE4280" w:rsidP="00266269">
      <w:pPr>
        <w:jc w:val="left"/>
      </w:pPr>
      <w:r>
        <w:tab/>
      </w:r>
      <w:r>
        <w:tab/>
        <w:t>The prehearing conference was held as scheduled</w:t>
      </w:r>
      <w:r w:rsidR="00421157">
        <w:t xml:space="preserve">.  </w:t>
      </w:r>
      <w:r>
        <w:t>Complainant and his wife appear</w:t>
      </w:r>
      <w:r w:rsidR="00421157">
        <w:t>ed</w:t>
      </w:r>
      <w:r>
        <w:t xml:space="preserve"> on his behalf, and PPL </w:t>
      </w:r>
      <w:r w:rsidR="00421157">
        <w:t xml:space="preserve">was </w:t>
      </w:r>
      <w:r>
        <w:t xml:space="preserve">represented by John H. Isom, Esq., and Jessica Rogers, Esq.  The parties agreed upon a schedule which will be adopted here.  </w:t>
      </w:r>
    </w:p>
    <w:p w:rsidR="001B3623" w:rsidRDefault="001B3623" w:rsidP="00266269">
      <w:pPr>
        <w:jc w:val="left"/>
      </w:pPr>
    </w:p>
    <w:p w:rsidR="001B3623" w:rsidRDefault="001B3623" w:rsidP="00266269">
      <w:pPr>
        <w:jc w:val="left"/>
      </w:pPr>
      <w:r>
        <w:tab/>
      </w:r>
      <w:r>
        <w:tab/>
        <w:t xml:space="preserve">Parties are reminded to refer to the Commission’s rules of practice and procedure for directions regarding the form of pleadings and prepared testimony, 52 Pa. Code Chapters 1, 3 </w:t>
      </w:r>
      <w:r>
        <w:lastRenderedPageBreak/>
        <w:t xml:space="preserve">and 5, available at </w:t>
      </w:r>
      <w:hyperlink r:id="rId8" w:history="1">
        <w:r w:rsidR="00654B54" w:rsidRPr="00243C7B">
          <w:rPr>
            <w:rStyle w:val="Hyperlink"/>
          </w:rPr>
          <w:t>www.pacode.com</w:t>
        </w:r>
      </w:hyperlink>
      <w:r>
        <w:t>.</w:t>
      </w:r>
      <w:r w:rsidR="00654B54">
        <w:t xml:space="preserve">  As it appears that there are sufficient material facts in dispute, and there are sufficient allegations of violations of matters within the Commission's jurisdiction to justify further litigation of this matter, the case shall proceed.  </w:t>
      </w:r>
    </w:p>
    <w:p w:rsidR="00DE4280" w:rsidRDefault="00DE4280" w:rsidP="00266269">
      <w:pPr>
        <w:jc w:val="left"/>
      </w:pPr>
    </w:p>
    <w:p w:rsidR="00DE4280" w:rsidRDefault="00DE4280" w:rsidP="00266269">
      <w:pPr>
        <w:jc w:val="left"/>
      </w:pPr>
      <w:r>
        <w:tab/>
      </w:r>
      <w:r>
        <w:tab/>
        <w:t>THEREFORE,</w:t>
      </w:r>
    </w:p>
    <w:p w:rsidR="00DE4280" w:rsidRDefault="00DE4280" w:rsidP="00266269">
      <w:pPr>
        <w:jc w:val="left"/>
      </w:pPr>
    </w:p>
    <w:p w:rsidR="00DE4280" w:rsidRDefault="00DE4280" w:rsidP="00266269">
      <w:pPr>
        <w:jc w:val="left"/>
      </w:pPr>
      <w:r>
        <w:tab/>
      </w:r>
      <w:r>
        <w:tab/>
        <w:t>IT IS ORDERED:</w:t>
      </w:r>
    </w:p>
    <w:p w:rsidR="00DE4280" w:rsidRDefault="00DE4280" w:rsidP="00266269">
      <w:pPr>
        <w:jc w:val="left"/>
      </w:pPr>
    </w:p>
    <w:p w:rsidR="00DE4280" w:rsidRDefault="00DE4280" w:rsidP="00266269">
      <w:pPr>
        <w:jc w:val="left"/>
      </w:pPr>
      <w:r>
        <w:tab/>
      </w:r>
      <w:r>
        <w:tab/>
        <w:t>1.</w:t>
      </w:r>
      <w:r>
        <w:tab/>
        <w:t>That the following schedule is adopted:</w:t>
      </w:r>
    </w:p>
    <w:p w:rsidR="00AA19B8" w:rsidRDefault="00AA19B8" w:rsidP="00266269">
      <w:pPr>
        <w:jc w:val="left"/>
      </w:pPr>
    </w:p>
    <w:p w:rsidR="00AA19B8" w:rsidRDefault="00AA19B8" w:rsidP="00AA19B8">
      <w:pPr>
        <w:ind w:left="1440"/>
        <w:jc w:val="left"/>
      </w:pPr>
      <w:r>
        <w:t>Harris Direct testimony</w:t>
      </w:r>
      <w:r>
        <w:tab/>
      </w:r>
      <w:r>
        <w:tab/>
        <w:t>July 2, 2012</w:t>
      </w:r>
    </w:p>
    <w:p w:rsidR="00654B54" w:rsidRDefault="00654B54" w:rsidP="00654B54">
      <w:pPr>
        <w:ind w:left="1440"/>
        <w:jc w:val="left"/>
      </w:pPr>
      <w:r>
        <w:t>Site view of Harris property</w:t>
      </w:r>
      <w:r>
        <w:tab/>
      </w:r>
      <w:r>
        <w:tab/>
        <w:t>July 5, 2012</w:t>
      </w:r>
    </w:p>
    <w:p w:rsidR="00AA19B8" w:rsidRDefault="00AA19B8" w:rsidP="00AA19B8">
      <w:pPr>
        <w:ind w:left="1440"/>
        <w:jc w:val="left"/>
      </w:pPr>
      <w:r>
        <w:t>Company's Direct</w:t>
      </w:r>
      <w:r>
        <w:tab/>
      </w:r>
      <w:r>
        <w:tab/>
      </w:r>
      <w:r>
        <w:tab/>
        <w:t>August 15, 2012</w:t>
      </w:r>
    </w:p>
    <w:p w:rsidR="00AA19B8" w:rsidRDefault="00AA19B8" w:rsidP="00AA19B8">
      <w:pPr>
        <w:ind w:left="1440"/>
        <w:jc w:val="left"/>
      </w:pPr>
      <w:r>
        <w:t>Harris rebuttal testimony</w:t>
      </w:r>
      <w:r>
        <w:tab/>
      </w:r>
      <w:r>
        <w:tab/>
        <w:t>September 10, 2012</w:t>
      </w:r>
    </w:p>
    <w:p w:rsidR="00AA19B8" w:rsidRDefault="00AA19B8" w:rsidP="00AA19B8">
      <w:pPr>
        <w:ind w:left="1440"/>
        <w:jc w:val="left"/>
      </w:pPr>
      <w:r>
        <w:t>Company's surrebuttal</w:t>
      </w:r>
      <w:r>
        <w:tab/>
      </w:r>
      <w:r>
        <w:tab/>
      </w:r>
      <w:r>
        <w:tab/>
        <w:t>October 1, 2012</w:t>
      </w:r>
    </w:p>
    <w:p w:rsidR="00AA19B8" w:rsidRDefault="00AA19B8" w:rsidP="00AA19B8">
      <w:pPr>
        <w:ind w:left="1440"/>
        <w:jc w:val="left"/>
      </w:pPr>
      <w:r>
        <w:t>Hearings</w:t>
      </w:r>
      <w:r>
        <w:tab/>
      </w:r>
      <w:r>
        <w:tab/>
      </w:r>
      <w:r>
        <w:tab/>
      </w:r>
      <w:r>
        <w:tab/>
        <w:t>October 17 &amp; 18, 2012</w:t>
      </w:r>
    </w:p>
    <w:p w:rsidR="00AA19B8" w:rsidRDefault="00AA19B8" w:rsidP="00AA19B8">
      <w:pPr>
        <w:ind w:left="1440"/>
        <w:jc w:val="left"/>
      </w:pPr>
      <w:r>
        <w:t>Main Brief</w:t>
      </w:r>
      <w:r>
        <w:tab/>
      </w:r>
      <w:r>
        <w:tab/>
      </w:r>
      <w:r>
        <w:tab/>
      </w:r>
      <w:r>
        <w:tab/>
        <w:t>November 19, 2012</w:t>
      </w:r>
    </w:p>
    <w:p w:rsidR="00AA19B8" w:rsidRDefault="00AA19B8" w:rsidP="00AA19B8">
      <w:pPr>
        <w:ind w:left="1440"/>
        <w:jc w:val="left"/>
      </w:pPr>
      <w:r>
        <w:t>Reply Brief</w:t>
      </w:r>
      <w:r>
        <w:tab/>
      </w:r>
      <w:r>
        <w:tab/>
      </w:r>
      <w:r>
        <w:tab/>
      </w:r>
      <w:r>
        <w:tab/>
        <w:t>December 14, 2012</w:t>
      </w:r>
    </w:p>
    <w:p w:rsidR="00AA19B8" w:rsidRPr="008E738F" w:rsidRDefault="00AA19B8" w:rsidP="00266269">
      <w:pPr>
        <w:jc w:val="left"/>
      </w:pPr>
    </w:p>
    <w:p w:rsidR="00266269" w:rsidRDefault="00AA19B8" w:rsidP="00AA19B8">
      <w:pPr>
        <w:jc w:val="left"/>
      </w:pPr>
      <w:r>
        <w:rPr>
          <w:b/>
        </w:rPr>
        <w:tab/>
      </w:r>
      <w:r>
        <w:rPr>
          <w:b/>
        </w:rPr>
        <w:tab/>
      </w:r>
      <w:r>
        <w:t>2.</w:t>
      </w:r>
      <w:r>
        <w:tab/>
        <w:t xml:space="preserve">That a site view shall be held at the Harris property on July 5, 2012 at 10:00 am.  </w:t>
      </w:r>
    </w:p>
    <w:p w:rsidR="00AA19B8" w:rsidRDefault="00AA19B8" w:rsidP="00AA19B8">
      <w:pPr>
        <w:jc w:val="left"/>
      </w:pPr>
    </w:p>
    <w:p w:rsidR="00AA19B8" w:rsidRDefault="00AA19B8" w:rsidP="0087616F">
      <w:pPr>
        <w:jc w:val="left"/>
      </w:pPr>
      <w:r>
        <w:tab/>
      </w:r>
      <w:r>
        <w:tab/>
        <w:t>3.</w:t>
      </w:r>
      <w:r>
        <w:tab/>
      </w:r>
      <w:r w:rsidR="0087616F">
        <w:t xml:space="preserve">That the written prepared testimony shall be substantially in compliance with the Commission’s regulations, located at 52 Pa. Code Chapters 1, 3 and 5, available at </w:t>
      </w:r>
      <w:hyperlink r:id="rId9" w:history="1">
        <w:r w:rsidR="0087616F" w:rsidRPr="007D2CE8">
          <w:rPr>
            <w:rStyle w:val="Hyperlink"/>
          </w:rPr>
          <w:t>www.pacode.com</w:t>
        </w:r>
      </w:hyperlink>
      <w:r w:rsidR="0087616F">
        <w:t xml:space="preserve">, in particular 52 Pa. Code § 5.412(e).   This means that the statement of Complainant shall have a cover sheet which contains the following:  “Direct Testimony of </w:t>
      </w:r>
      <w:r>
        <w:t>Gregory Harris</w:t>
      </w:r>
      <w:r w:rsidR="0087616F">
        <w:t xml:space="preserve"> Statement No. 1</w:t>
      </w:r>
      <w:r>
        <w:t>, C-2012-2287515</w:t>
      </w:r>
      <w:r w:rsidR="0087616F">
        <w:t xml:space="preserve">.”  The document shall contain the direct testimony of Mr. </w:t>
      </w:r>
      <w:r>
        <w:t>Harris</w:t>
      </w:r>
      <w:r w:rsidR="0087616F">
        <w:t xml:space="preserve"> in double-spaced text with numbered lines on the left side of each numbered page.  Exhibits, if any, shall be attached and shall be labeled as “</w:t>
      </w:r>
      <w:r>
        <w:t>Harris</w:t>
      </w:r>
      <w:r w:rsidR="0087616F">
        <w:t xml:space="preserve"> Exhibit 1,” “</w:t>
      </w:r>
      <w:r>
        <w:t>Harris</w:t>
      </w:r>
      <w:r w:rsidR="0087616F">
        <w:t xml:space="preserve"> Exhibit 2,” etc.  </w:t>
      </w:r>
    </w:p>
    <w:p w:rsidR="00AA19B8" w:rsidRDefault="00AA19B8" w:rsidP="0087616F">
      <w:pPr>
        <w:jc w:val="left"/>
      </w:pPr>
    </w:p>
    <w:p w:rsidR="00AA19B8" w:rsidRDefault="00AA19B8" w:rsidP="0087616F">
      <w:pPr>
        <w:jc w:val="left"/>
      </w:pPr>
      <w:r>
        <w:lastRenderedPageBreak/>
        <w:tab/>
      </w:r>
      <w:r>
        <w:tab/>
        <w:t>4.</w:t>
      </w:r>
      <w:r>
        <w:tab/>
        <w:t xml:space="preserve">Testimony of any additional witnesses shall be prepared in the same manner and submitted on or before the appropriate due date.  </w:t>
      </w:r>
      <w:r w:rsidR="00B26FB4">
        <w:t xml:space="preserve">Testimony submitted on behalf of Complainant by a second witness shall bear the witness's name and the designation "Statement 2." </w:t>
      </w:r>
      <w:r>
        <w:t xml:space="preserve">Direct testimony of </w:t>
      </w:r>
      <w:r w:rsidR="001B3623">
        <w:t>all</w:t>
      </w:r>
      <w:r>
        <w:t xml:space="preserve"> witnesses who will provide testimony on behalf of a party is due on the date indicated above.  </w:t>
      </w:r>
    </w:p>
    <w:p w:rsidR="00AA19B8" w:rsidRDefault="00AA19B8" w:rsidP="0087616F">
      <w:pPr>
        <w:jc w:val="left"/>
      </w:pPr>
    </w:p>
    <w:p w:rsidR="0087616F" w:rsidRDefault="001B3623" w:rsidP="0087616F">
      <w:pPr>
        <w:jc w:val="left"/>
      </w:pPr>
      <w:r>
        <w:tab/>
      </w:r>
      <w:r>
        <w:tab/>
        <w:t>5.</w:t>
      </w:r>
      <w:r>
        <w:tab/>
        <w:t xml:space="preserve">Complainant </w:t>
      </w:r>
      <w:r w:rsidR="0087616F">
        <w:t xml:space="preserve">is permitted to provide rebuttal testimony to PPL’s </w:t>
      </w:r>
      <w:r w:rsidR="00AA19B8">
        <w:t>sur</w:t>
      </w:r>
      <w:r w:rsidR="0087616F">
        <w:t>rebuttal testimony at the evidentiary hearing.</w:t>
      </w:r>
    </w:p>
    <w:p w:rsidR="001B3623" w:rsidRDefault="001B3623" w:rsidP="0087616F">
      <w:pPr>
        <w:jc w:val="left"/>
      </w:pPr>
    </w:p>
    <w:p w:rsidR="0087616F" w:rsidRDefault="001B3623" w:rsidP="0087616F">
      <w:pPr>
        <w:jc w:val="left"/>
      </w:pPr>
      <w:r>
        <w:rPr>
          <w:b/>
        </w:rPr>
        <w:tab/>
      </w:r>
      <w:r>
        <w:rPr>
          <w:b/>
        </w:rPr>
        <w:tab/>
      </w:r>
      <w:r w:rsidRPr="001B3623">
        <w:t>6.</w:t>
      </w:r>
      <w:r>
        <w:rPr>
          <w:b/>
        </w:rPr>
        <w:tab/>
      </w:r>
      <w:r w:rsidR="0087616F">
        <w:t xml:space="preserve">That due dates are in-hand; service of discovery requests, testimony, exhibits and briefs may be by electronic means on the due date if transmission occurs before </w:t>
      </w:r>
    </w:p>
    <w:p w:rsidR="0087616F" w:rsidRDefault="0087616F" w:rsidP="0087616F">
      <w:pPr>
        <w:contextualSpacing/>
        <w:jc w:val="left"/>
      </w:pPr>
      <w:r>
        <w:t xml:space="preserve">4:00 pm and hard copies follow.  Oversize exhibits or photos or attachments may be served by hard copy only but must be sent by overnight mail if the submission is sent electronically on the due date.  Discovery served after 4:00 pm shall be deemed to be served the following business day.  </w:t>
      </w:r>
    </w:p>
    <w:p w:rsidR="0087616F" w:rsidRDefault="0087616F" w:rsidP="0087616F">
      <w:pPr>
        <w:contextualSpacing/>
        <w:jc w:val="left"/>
      </w:pPr>
    </w:p>
    <w:p w:rsidR="0087616F" w:rsidRDefault="0087616F" w:rsidP="0087616F">
      <w:pPr>
        <w:contextualSpacing/>
        <w:jc w:val="left"/>
      </w:pPr>
      <w:r>
        <w:tab/>
      </w:r>
      <w:r>
        <w:tab/>
      </w:r>
      <w:r w:rsidR="001B3623">
        <w:t>7</w:t>
      </w:r>
      <w:r>
        <w:t>.</w:t>
      </w:r>
      <w:r>
        <w:tab/>
        <w:t>Testimony shall be served</w:t>
      </w:r>
      <w:r w:rsidR="001B3623">
        <w:t xml:space="preserve"> upon the opposing party and the presiding officer</w:t>
      </w:r>
      <w:r>
        <w:t xml:space="preserve"> </w:t>
      </w:r>
      <w:r w:rsidRPr="00D50EB0">
        <w:rPr>
          <w:b/>
          <w:u w:val="single"/>
        </w:rPr>
        <w:t>but not filed</w:t>
      </w:r>
      <w:r w:rsidRPr="00D50EB0">
        <w:rPr>
          <w:b/>
        </w:rPr>
        <w:t>.</w:t>
      </w:r>
      <w:r>
        <w:t xml:space="preserve">  </w:t>
      </w:r>
    </w:p>
    <w:p w:rsidR="0087616F" w:rsidRDefault="0087616F" w:rsidP="0087616F">
      <w:pPr>
        <w:contextualSpacing/>
        <w:jc w:val="left"/>
      </w:pPr>
    </w:p>
    <w:p w:rsidR="00B26FB4" w:rsidRPr="00BC4B62" w:rsidRDefault="00B26FB4" w:rsidP="00B26FB4">
      <w:pPr>
        <w:jc w:val="left"/>
      </w:pPr>
      <w:r>
        <w:tab/>
      </w:r>
      <w:r>
        <w:tab/>
        <w:t>8.</w:t>
      </w:r>
      <w:r>
        <w:tab/>
        <w:t xml:space="preserve">A copy of anything filed with the Secretary or submitted shall be sent directly to the presiding officer.  The correct address is:  Administrative Law Judge Susan D. Colwell, Office of Administrative Law Judge, </w:t>
      </w:r>
      <w:proofErr w:type="gramStart"/>
      <w:r>
        <w:t>P.O</w:t>
      </w:r>
      <w:proofErr w:type="gramEnd"/>
      <w:r>
        <w:t>. Box 3265, Harrisburg PA  17105-3265.</w:t>
      </w:r>
    </w:p>
    <w:p w:rsidR="00B26FB4" w:rsidRDefault="00B26FB4" w:rsidP="0087616F">
      <w:pPr>
        <w:contextualSpacing/>
        <w:jc w:val="left"/>
      </w:pPr>
    </w:p>
    <w:p w:rsidR="001B3623" w:rsidRDefault="001B3623" w:rsidP="001B3623">
      <w:pPr>
        <w:contextualSpacing/>
        <w:jc w:val="left"/>
      </w:pPr>
      <w:r>
        <w:tab/>
      </w:r>
      <w:r>
        <w:tab/>
      </w:r>
      <w:r w:rsidR="00B26FB4">
        <w:t>9</w:t>
      </w:r>
      <w:r>
        <w:t>.</w:t>
      </w:r>
      <w:r>
        <w:tab/>
        <w:t xml:space="preserve">That the Commission’s regulations regarding discovery at 52 Pa. Code </w:t>
      </w:r>
    </w:p>
    <w:p w:rsidR="001B3623" w:rsidRDefault="001B3623" w:rsidP="001B3623">
      <w:pPr>
        <w:contextualSpacing/>
        <w:jc w:val="left"/>
      </w:pPr>
      <w:r>
        <w:t xml:space="preserve">§ 5.342(d) are modified for the purposes of this proceeding to provide that objections to discovery are </w:t>
      </w:r>
      <w:r w:rsidRPr="007B1CA0">
        <w:rPr>
          <w:u w:val="single"/>
        </w:rPr>
        <w:t>in lieu of</w:t>
      </w:r>
      <w:r>
        <w:t xml:space="preserve"> answers, and not in addition to answers.  </w:t>
      </w:r>
    </w:p>
    <w:p w:rsidR="001B3623" w:rsidRDefault="001B3623" w:rsidP="001B3623">
      <w:pPr>
        <w:contextualSpacing/>
        <w:jc w:val="left"/>
      </w:pPr>
    </w:p>
    <w:p w:rsidR="001B3623" w:rsidRDefault="001B3623" w:rsidP="001B3623">
      <w:pPr>
        <w:contextualSpacing/>
        <w:jc w:val="left"/>
      </w:pPr>
      <w:r>
        <w:tab/>
      </w:r>
      <w:r>
        <w:tab/>
      </w:r>
      <w:r w:rsidR="00B26FB4">
        <w:t>10</w:t>
      </w:r>
      <w:r>
        <w:t>.</w:t>
      </w:r>
      <w:r>
        <w:tab/>
        <w:t>That discovery disputes may be resolved via telephone conference with the presiding officer without need of a motion to compel, although the propounding party may choose to file a formal motion to compel.</w:t>
      </w:r>
    </w:p>
    <w:p w:rsidR="001B3623" w:rsidRDefault="001B3623" w:rsidP="001B3623">
      <w:pPr>
        <w:contextualSpacing/>
        <w:jc w:val="left"/>
      </w:pPr>
    </w:p>
    <w:p w:rsidR="001B3623" w:rsidRDefault="00421157" w:rsidP="001B3623">
      <w:pPr>
        <w:contextualSpacing/>
      </w:pPr>
      <w:r>
        <w:lastRenderedPageBreak/>
        <w:tab/>
      </w:r>
      <w:r w:rsidR="001B3623">
        <w:t>1</w:t>
      </w:r>
      <w:r w:rsidR="00B26FB4">
        <w:t>1</w:t>
      </w:r>
      <w:r w:rsidR="001B3623">
        <w:t>.</w:t>
      </w:r>
      <w:r w:rsidR="001B3623">
        <w:tab/>
        <w:t>All parties are directed to comply with the provisions of 52 Pa. Code</w:t>
      </w:r>
    </w:p>
    <w:p w:rsidR="001B3623" w:rsidRDefault="001B3623" w:rsidP="001B3623">
      <w:pPr>
        <w:contextualSpacing/>
        <w:jc w:val="left"/>
      </w:pPr>
      <w:r>
        <w:t>§ 5.243(e) which prohibits the introduction of evidence during rebuttal or surrebuttal which should have been included in the case-in-chief or which substantiall</w:t>
      </w:r>
      <w:r w:rsidR="00654B54">
        <w:t xml:space="preserve">y varies from the case-in-chief.  </w:t>
      </w:r>
    </w:p>
    <w:p w:rsidR="00654B54" w:rsidRDefault="00654B54" w:rsidP="001B3623">
      <w:pPr>
        <w:contextualSpacing/>
        <w:jc w:val="left"/>
      </w:pPr>
    </w:p>
    <w:p w:rsidR="00654B54" w:rsidRDefault="00654B54" w:rsidP="00654B54">
      <w:pPr>
        <w:jc w:val="left"/>
      </w:pPr>
      <w:r>
        <w:tab/>
      </w:r>
      <w:r>
        <w:tab/>
        <w:t>1</w:t>
      </w:r>
      <w:r w:rsidR="00B26FB4">
        <w:t>2</w:t>
      </w:r>
      <w:r>
        <w:t>.</w:t>
      </w:r>
      <w:r>
        <w:tab/>
        <w:t xml:space="preserve">Utility is reminded that a finding of a violation of a Commission Order, regulation or statute may result in the imposition of a civil penalty consistent with 66 Pa. C.S. </w:t>
      </w:r>
    </w:p>
    <w:p w:rsidR="00654B54" w:rsidRDefault="00654B54" w:rsidP="00654B54">
      <w:pPr>
        <w:jc w:val="left"/>
      </w:pPr>
      <w:r>
        <w:t>§ 3301 or other provision of the Public Utility Code.</w:t>
      </w:r>
    </w:p>
    <w:p w:rsidR="00654B54" w:rsidRDefault="00654B54" w:rsidP="001B3623">
      <w:pPr>
        <w:contextualSpacing/>
        <w:jc w:val="left"/>
      </w:pPr>
    </w:p>
    <w:p w:rsidR="001B3623" w:rsidRDefault="001B3623" w:rsidP="001B3623">
      <w:pPr>
        <w:contextualSpacing/>
        <w:jc w:val="left"/>
      </w:pPr>
    </w:p>
    <w:p w:rsidR="001B3623" w:rsidRDefault="00654B54" w:rsidP="00654B54">
      <w:pPr>
        <w:spacing w:line="240" w:lineRule="auto"/>
        <w:contextualSpacing/>
        <w:jc w:val="left"/>
      </w:pPr>
      <w:r>
        <w:t>Dated:</w:t>
      </w:r>
      <w:r>
        <w:tab/>
      </w:r>
      <w:r>
        <w:rPr>
          <w:u w:val="single"/>
        </w:rPr>
        <w:t>May 22, 2012</w:t>
      </w:r>
      <w:r>
        <w:tab/>
      </w:r>
      <w:r>
        <w:tab/>
      </w:r>
      <w:r>
        <w:tab/>
      </w:r>
      <w:r>
        <w:tab/>
      </w:r>
      <w:r>
        <w:tab/>
      </w:r>
      <w:r>
        <w:tab/>
        <w:t>_____________________________</w:t>
      </w:r>
    </w:p>
    <w:p w:rsidR="00654B54" w:rsidRDefault="00654B54" w:rsidP="00654B54">
      <w:pPr>
        <w:spacing w:line="240" w:lineRule="auto"/>
        <w:contextualSpacing/>
        <w:jc w:val="left"/>
      </w:pPr>
      <w:r>
        <w:tab/>
      </w:r>
      <w:r>
        <w:tab/>
      </w:r>
      <w:r>
        <w:tab/>
      </w:r>
      <w:r>
        <w:tab/>
      </w:r>
      <w:r>
        <w:tab/>
      </w:r>
      <w:r>
        <w:tab/>
      </w:r>
      <w:r>
        <w:tab/>
      </w:r>
      <w:r>
        <w:tab/>
        <w:t>Susan D. Colwell</w:t>
      </w:r>
    </w:p>
    <w:p w:rsidR="00654B54" w:rsidRPr="00654B54" w:rsidRDefault="00654B54" w:rsidP="00654B54">
      <w:pPr>
        <w:spacing w:line="240" w:lineRule="auto"/>
        <w:contextualSpacing/>
        <w:jc w:val="left"/>
      </w:pPr>
      <w:r>
        <w:tab/>
      </w:r>
      <w:r>
        <w:tab/>
      </w:r>
      <w:r>
        <w:tab/>
      </w:r>
      <w:r>
        <w:tab/>
      </w:r>
      <w:r>
        <w:tab/>
      </w:r>
      <w:r>
        <w:tab/>
      </w:r>
      <w:r>
        <w:tab/>
      </w:r>
      <w:r>
        <w:tab/>
        <w:t>Administrative Law Judge</w:t>
      </w:r>
    </w:p>
    <w:p w:rsidR="0087616F" w:rsidRDefault="0087616F" w:rsidP="0087616F">
      <w:pPr>
        <w:jc w:val="left"/>
        <w:rPr>
          <w:b/>
        </w:rPr>
      </w:pPr>
    </w:p>
    <w:p w:rsidR="00650902" w:rsidRDefault="00650902">
      <w:pPr>
        <w:rPr>
          <w:b/>
        </w:rPr>
        <w:sectPr w:rsidR="00650902" w:rsidSect="00650902">
          <w:footerReference w:type="default" r:id="rId10"/>
          <w:pgSz w:w="12240" w:h="15840"/>
          <w:pgMar w:top="1440" w:right="1440" w:bottom="1440" w:left="1440" w:header="720" w:footer="720" w:gutter="0"/>
          <w:cols w:space="720"/>
          <w:titlePg/>
          <w:docGrid w:linePitch="360"/>
        </w:sectPr>
      </w:pPr>
    </w:p>
    <w:p w:rsidR="00B26FB4" w:rsidRDefault="00B26FB4">
      <w:pPr>
        <w:rPr>
          <w:b/>
        </w:rPr>
      </w:pPr>
    </w:p>
    <w:p w:rsidR="00B26FB4" w:rsidRDefault="00A341B7" w:rsidP="00A341B7">
      <w:pPr>
        <w:rPr>
          <w:b/>
        </w:rPr>
      </w:pPr>
      <w:r>
        <w:rPr>
          <w:b/>
        </w:rPr>
        <w:t>EXAMPLE</w:t>
      </w:r>
    </w:p>
    <w:p w:rsidR="00A341B7" w:rsidRDefault="00A341B7" w:rsidP="00A341B7">
      <w:pPr>
        <w:rPr>
          <w:b/>
        </w:rPr>
      </w:pPr>
    </w:p>
    <w:p w:rsidR="00A341B7" w:rsidRDefault="00A341B7" w:rsidP="00A341B7">
      <w:pPr>
        <w:jc w:val="left"/>
      </w:pPr>
      <w:r>
        <w:t>Docket No. C-2012-2287515</w:t>
      </w:r>
      <w:r>
        <w:tab/>
      </w:r>
    </w:p>
    <w:p w:rsidR="00A341B7" w:rsidRDefault="00A341B7" w:rsidP="00A341B7">
      <w:pPr>
        <w:jc w:val="left"/>
      </w:pPr>
    </w:p>
    <w:p w:rsidR="00A341B7" w:rsidRDefault="00A341B7" w:rsidP="00A341B7">
      <w:pPr>
        <w:jc w:val="left"/>
      </w:pPr>
    </w:p>
    <w:p w:rsidR="00A341B7" w:rsidRDefault="00A341B7" w:rsidP="00A341B7">
      <w:pPr>
        <w:jc w:val="left"/>
      </w:pPr>
    </w:p>
    <w:p w:rsidR="00A341B7" w:rsidRPr="00D927A7" w:rsidRDefault="00A341B7" w:rsidP="00A341B7">
      <w:pPr>
        <w:rPr>
          <w:b/>
        </w:rPr>
      </w:pPr>
      <w:r w:rsidRPr="00D927A7">
        <w:rPr>
          <w:b/>
        </w:rPr>
        <w:t>DIRECT TESTIMONY OF</w:t>
      </w:r>
    </w:p>
    <w:p w:rsidR="00A341B7" w:rsidRPr="00D927A7" w:rsidRDefault="00A341B7" w:rsidP="00A341B7">
      <w:pPr>
        <w:rPr>
          <w:b/>
        </w:rPr>
      </w:pPr>
      <w:r w:rsidRPr="00D927A7">
        <w:rPr>
          <w:b/>
        </w:rPr>
        <w:t>GREGORY HARRIS</w:t>
      </w:r>
    </w:p>
    <w:p w:rsidR="00A341B7" w:rsidRDefault="00A341B7" w:rsidP="00A341B7"/>
    <w:p w:rsidR="00A341B7" w:rsidRDefault="00A341B7" w:rsidP="00A341B7">
      <w:r>
        <w:t>Complainant Statement No. 1</w:t>
      </w:r>
    </w:p>
    <w:p w:rsidR="00A341B7" w:rsidRDefault="00A341B7"/>
    <w:p w:rsidR="00A341B7" w:rsidRDefault="00A341B7" w:rsidP="00A341B7">
      <w:pPr>
        <w:jc w:val="left"/>
        <w:rPr>
          <w:b/>
        </w:rPr>
        <w:sectPr w:rsidR="00A341B7" w:rsidSect="00650902">
          <w:pgSz w:w="12240" w:h="15840"/>
          <w:pgMar w:top="1440" w:right="1440" w:bottom="1440" w:left="1440" w:header="720" w:footer="720" w:gutter="0"/>
          <w:cols w:space="720"/>
          <w:titlePg/>
          <w:docGrid w:linePitch="360"/>
        </w:sectPr>
      </w:pPr>
    </w:p>
    <w:p w:rsidR="00A341B7" w:rsidRDefault="00064B15" w:rsidP="00A341B7">
      <w:pPr>
        <w:jc w:val="left"/>
        <w:rPr>
          <w:b/>
        </w:rPr>
      </w:pPr>
      <w:r>
        <w:rPr>
          <w:b/>
        </w:rPr>
        <w:lastRenderedPageBreak/>
        <w:t>Q:</w:t>
      </w:r>
      <w:r>
        <w:rPr>
          <w:b/>
        </w:rPr>
        <w:tab/>
        <w:t>Please state your name and address.</w:t>
      </w:r>
    </w:p>
    <w:p w:rsidR="00064B15" w:rsidRDefault="00064B15" w:rsidP="00A341B7">
      <w:pPr>
        <w:jc w:val="left"/>
      </w:pPr>
      <w:r>
        <w:rPr>
          <w:b/>
        </w:rPr>
        <w:t>A:</w:t>
      </w:r>
      <w:r>
        <w:rPr>
          <w:b/>
        </w:rPr>
        <w:tab/>
      </w:r>
      <w:r>
        <w:t>My name is Gregory Harris, and I live at 6511 Leonard Drive, Harrisburg PA 17111.</w:t>
      </w:r>
    </w:p>
    <w:p w:rsidR="00064B15" w:rsidRDefault="00064B15" w:rsidP="00A341B7">
      <w:pPr>
        <w:jc w:val="left"/>
      </w:pPr>
    </w:p>
    <w:p w:rsidR="00064B15" w:rsidRPr="00D927A7" w:rsidRDefault="00064B15" w:rsidP="00A341B7">
      <w:pPr>
        <w:jc w:val="left"/>
        <w:rPr>
          <w:b/>
        </w:rPr>
      </w:pPr>
      <w:r w:rsidRPr="00D927A7">
        <w:rPr>
          <w:b/>
        </w:rPr>
        <w:t>Q:</w:t>
      </w:r>
      <w:r w:rsidRPr="00D927A7">
        <w:rPr>
          <w:b/>
        </w:rPr>
        <w:tab/>
        <w:t>Do you live there alone?</w:t>
      </w:r>
    </w:p>
    <w:p w:rsidR="00064B15" w:rsidRDefault="00064B15" w:rsidP="00A341B7">
      <w:pPr>
        <w:jc w:val="left"/>
      </w:pPr>
      <w:r>
        <w:t>A:</w:t>
      </w:r>
      <w:r>
        <w:tab/>
        <w:t>No, I live there with my wife, Barbara, and our children (fill in blanks here)</w:t>
      </w:r>
    </w:p>
    <w:p w:rsidR="00064B15" w:rsidRDefault="00064B15" w:rsidP="00A341B7">
      <w:pPr>
        <w:jc w:val="left"/>
      </w:pPr>
    </w:p>
    <w:p w:rsidR="00D927A7" w:rsidRPr="00D927A7" w:rsidRDefault="00064B15" w:rsidP="00A341B7">
      <w:pPr>
        <w:jc w:val="left"/>
        <w:rPr>
          <w:b/>
        </w:rPr>
      </w:pPr>
      <w:r>
        <w:t>Q:</w:t>
      </w:r>
      <w:r>
        <w:tab/>
      </w:r>
      <w:r w:rsidR="00D927A7" w:rsidRPr="00D927A7">
        <w:rPr>
          <w:b/>
        </w:rPr>
        <w:t>Are you the same Gregory Harris who filed a formal Complaint against PPL Electric Utilities Corporation?</w:t>
      </w:r>
    </w:p>
    <w:p w:rsidR="00D927A7" w:rsidRDefault="00D927A7" w:rsidP="00A341B7">
      <w:pPr>
        <w:jc w:val="left"/>
      </w:pPr>
      <w:r>
        <w:t>A:</w:t>
      </w:r>
      <w:r>
        <w:tab/>
        <w:t>Yes.</w:t>
      </w:r>
    </w:p>
    <w:p w:rsidR="00D927A7" w:rsidRDefault="00D927A7" w:rsidP="00A341B7">
      <w:pPr>
        <w:jc w:val="left"/>
      </w:pPr>
    </w:p>
    <w:p w:rsidR="00D927A7" w:rsidRDefault="00D927A7" w:rsidP="00A341B7">
      <w:pPr>
        <w:jc w:val="left"/>
      </w:pPr>
      <w:r>
        <w:t>Q:</w:t>
      </w:r>
      <w:r>
        <w:tab/>
      </w:r>
      <w:r w:rsidR="00064B15" w:rsidRPr="00D927A7">
        <w:rPr>
          <w:b/>
        </w:rPr>
        <w:t xml:space="preserve">Do you and your wife own the property </w:t>
      </w:r>
      <w:r w:rsidRPr="00D927A7">
        <w:rPr>
          <w:b/>
        </w:rPr>
        <w:t>at 6511 Leonard Drive?</w:t>
      </w:r>
    </w:p>
    <w:p w:rsidR="00D927A7" w:rsidRDefault="00D927A7" w:rsidP="00A341B7">
      <w:pPr>
        <w:jc w:val="left"/>
      </w:pPr>
      <w:r>
        <w:t>A:</w:t>
      </w:r>
      <w:r>
        <w:tab/>
        <w:t>Yes/no.</w:t>
      </w:r>
    </w:p>
    <w:p w:rsidR="00D927A7" w:rsidRDefault="00D927A7" w:rsidP="00A341B7">
      <w:pPr>
        <w:jc w:val="left"/>
      </w:pPr>
    </w:p>
    <w:p w:rsidR="00D927A7" w:rsidRDefault="00D927A7" w:rsidP="00A341B7">
      <w:pPr>
        <w:jc w:val="left"/>
      </w:pPr>
      <w:r>
        <w:t>Q:</w:t>
      </w:r>
      <w:r>
        <w:tab/>
      </w:r>
      <w:r w:rsidRPr="00D927A7">
        <w:rPr>
          <w:b/>
        </w:rPr>
        <w:t>Please describe the property.</w:t>
      </w:r>
    </w:p>
    <w:p w:rsidR="00064B15" w:rsidRDefault="00D927A7" w:rsidP="00A341B7">
      <w:pPr>
        <w:jc w:val="left"/>
      </w:pPr>
      <w:r>
        <w:t>A:</w:t>
      </w:r>
      <w:r>
        <w:tab/>
        <w:t>(description here)</w:t>
      </w:r>
      <w:r w:rsidR="00064B15">
        <w:t xml:space="preserve"> </w:t>
      </w:r>
    </w:p>
    <w:p w:rsidR="00D927A7" w:rsidRDefault="00D927A7" w:rsidP="00A341B7">
      <w:pPr>
        <w:jc w:val="left"/>
      </w:pPr>
    </w:p>
    <w:p w:rsidR="00D927A7" w:rsidRDefault="00D927A7" w:rsidP="00A341B7">
      <w:pPr>
        <w:jc w:val="left"/>
      </w:pPr>
      <w:r>
        <w:rPr>
          <w:b/>
        </w:rPr>
        <w:t>Q:</w:t>
      </w:r>
      <w:r>
        <w:rPr>
          <w:b/>
        </w:rPr>
        <w:tab/>
        <w:t>Does the property have a utility easement over it?  If so, please describe it.</w:t>
      </w:r>
    </w:p>
    <w:p w:rsidR="00D927A7" w:rsidRDefault="00D927A7" w:rsidP="00A341B7">
      <w:pPr>
        <w:jc w:val="left"/>
      </w:pPr>
      <w:r>
        <w:t>A:</w:t>
      </w:r>
      <w:r>
        <w:tab/>
        <w:t>Yes.  (</w:t>
      </w:r>
      <w:proofErr w:type="gramStart"/>
      <w:r>
        <w:t>further</w:t>
      </w:r>
      <w:proofErr w:type="gramEnd"/>
      <w:r>
        <w:t xml:space="preserve"> description here)</w:t>
      </w:r>
    </w:p>
    <w:p w:rsidR="00D927A7" w:rsidRDefault="00D927A7" w:rsidP="00A341B7">
      <w:pPr>
        <w:jc w:val="left"/>
      </w:pPr>
    </w:p>
    <w:p w:rsidR="00D927A7" w:rsidRDefault="00D927A7" w:rsidP="00A341B7">
      <w:pPr>
        <w:jc w:val="left"/>
        <w:rPr>
          <w:b/>
        </w:rPr>
      </w:pPr>
      <w:r>
        <w:rPr>
          <w:b/>
        </w:rPr>
        <w:t>Q:</w:t>
      </w:r>
      <w:r>
        <w:rPr>
          <w:b/>
        </w:rPr>
        <w:tab/>
        <w:t>What is the basis for your Complaint before the Commission?</w:t>
      </w:r>
    </w:p>
    <w:p w:rsidR="00D927A7" w:rsidRDefault="00D927A7" w:rsidP="00A341B7">
      <w:pPr>
        <w:jc w:val="left"/>
      </w:pPr>
      <w:r>
        <w:t>A:</w:t>
      </w:r>
      <w:r>
        <w:tab/>
        <w:t>(narrative describing complaint)</w:t>
      </w:r>
    </w:p>
    <w:p w:rsidR="00D927A7" w:rsidRDefault="00D927A7" w:rsidP="00A341B7">
      <w:pPr>
        <w:jc w:val="left"/>
      </w:pPr>
    </w:p>
    <w:p w:rsidR="00D927A7" w:rsidRDefault="00D927A7" w:rsidP="00A341B7">
      <w:pPr>
        <w:jc w:val="left"/>
      </w:pPr>
    </w:p>
    <w:p w:rsidR="00D927A7" w:rsidRDefault="00D927A7" w:rsidP="00A341B7">
      <w:pPr>
        <w:jc w:val="left"/>
      </w:pPr>
    </w:p>
    <w:p w:rsidR="00650902" w:rsidRDefault="00D927A7" w:rsidP="00A341B7">
      <w:pPr>
        <w:jc w:val="left"/>
        <w:sectPr w:rsidR="00650902" w:rsidSect="00064B15">
          <w:pgSz w:w="12240" w:h="15840"/>
          <w:pgMar w:top="1440" w:right="1440" w:bottom="1440" w:left="1440" w:header="720" w:footer="720" w:gutter="0"/>
          <w:lnNumType w:countBy="1"/>
          <w:cols w:space="720"/>
          <w:titlePg/>
          <w:docGrid w:linePitch="360"/>
        </w:sectPr>
      </w:pPr>
      <w:r>
        <w:t xml:space="preserve">[Disclaimer:  These questions and answers are intended to serve as an example of one possible introduction to the direct testimony and not as any type of requirement.] </w:t>
      </w:r>
    </w:p>
    <w:p w:rsidR="00EC7F09" w:rsidRPr="00EC7F09" w:rsidRDefault="00EC7F09" w:rsidP="00EC7F09">
      <w:pPr>
        <w:spacing w:line="240" w:lineRule="auto"/>
        <w:jc w:val="left"/>
        <w:rPr>
          <w:rFonts w:ascii="Microsoft Sans Serif" w:eastAsia="Times New Roman" w:hAnsi="Microsoft Sans Serif" w:cs="Microsoft Sans Serif"/>
          <w:b/>
          <w:u w:val="single"/>
        </w:rPr>
      </w:pPr>
      <w:r w:rsidRPr="00EC7F09">
        <w:rPr>
          <w:rFonts w:ascii="Microsoft Sans Serif" w:eastAsia="Times New Roman" w:hAnsi="Microsoft Sans Serif" w:cs="Microsoft Sans Serif"/>
          <w:b/>
          <w:u w:val="single"/>
        </w:rPr>
        <w:lastRenderedPageBreak/>
        <w:t>C-2012-2287515 - GREGORY HARRIS v. PPL ELECTRIC UTILITIES CORPORATION</w:t>
      </w:r>
    </w:p>
    <w:p w:rsidR="00EC7F09" w:rsidRPr="00EC7F09" w:rsidRDefault="00EC7F09" w:rsidP="00EC7F09">
      <w:pPr>
        <w:spacing w:line="240" w:lineRule="auto"/>
        <w:jc w:val="left"/>
        <w:rPr>
          <w:rFonts w:ascii="Microsoft Sans Serif" w:eastAsia="Times New Roman" w:hAnsi="Microsoft Sans Serif" w:cs="Microsoft Sans Serif"/>
          <w:b/>
          <w:u w:val="single"/>
        </w:rPr>
      </w:pPr>
    </w:p>
    <w:p w:rsidR="00EC7F09" w:rsidRPr="00EC7F09" w:rsidRDefault="00EC7F09" w:rsidP="00EC7F09">
      <w:pPr>
        <w:spacing w:line="240" w:lineRule="auto"/>
        <w:jc w:val="left"/>
        <w:rPr>
          <w:rFonts w:ascii="Microsoft Sans Serif" w:eastAsia="Times New Roman" w:hAnsi="Microsoft Sans Serif" w:cs="Microsoft Sans Serif"/>
          <w:b/>
          <w:u w:val="single"/>
        </w:rPr>
      </w:pPr>
    </w:p>
    <w:p w:rsidR="00EC7F09" w:rsidRPr="00EC7F09" w:rsidRDefault="00EC7F09" w:rsidP="00EC7F09">
      <w:pPr>
        <w:spacing w:line="240" w:lineRule="auto"/>
        <w:jc w:val="left"/>
        <w:rPr>
          <w:rFonts w:ascii="Microsoft Sans Serif" w:eastAsia="Times New Roman" w:hAnsi="Microsoft Sans Serif" w:cs="Microsoft Sans Serif"/>
          <w:b/>
          <w:u w:val="single"/>
        </w:rPr>
      </w:pPr>
    </w:p>
    <w:p w:rsidR="00EC7F09" w:rsidRPr="00EC7F09" w:rsidRDefault="00EC7F09" w:rsidP="00EC7F09">
      <w:pPr>
        <w:spacing w:line="240" w:lineRule="auto"/>
        <w:jc w:val="left"/>
        <w:rPr>
          <w:rFonts w:ascii="Microsoft Sans Serif" w:eastAsia="Times New Roman" w:hAnsi="Microsoft Sans Serif" w:cs="Microsoft Sans Serif"/>
        </w:rPr>
      </w:pPr>
      <w:bookmarkStart w:id="0" w:name="_GoBack"/>
      <w:r w:rsidRPr="00EC7F09">
        <w:rPr>
          <w:rFonts w:ascii="Microsoft Sans Serif" w:eastAsia="Times New Roman" w:hAnsi="Microsoft Sans Serif" w:cs="Microsoft Sans Serif"/>
        </w:rPr>
        <w:t>GREGORY HARRIS</w:t>
      </w:r>
    </w:p>
    <w:p w:rsidR="00EC7F09" w:rsidRPr="00EC7F09" w:rsidRDefault="00EC7F09" w:rsidP="00EC7F09">
      <w:pPr>
        <w:spacing w:line="240" w:lineRule="auto"/>
        <w:jc w:val="left"/>
        <w:rPr>
          <w:rFonts w:ascii="Microsoft Sans Serif" w:eastAsia="Times New Roman" w:hAnsi="Microsoft Sans Serif" w:cs="Microsoft Sans Serif"/>
        </w:rPr>
      </w:pPr>
      <w:r w:rsidRPr="00EC7F09">
        <w:rPr>
          <w:rFonts w:ascii="Microsoft Sans Serif" w:eastAsia="Times New Roman" w:hAnsi="Microsoft Sans Serif" w:cs="Microsoft Sans Serif"/>
        </w:rPr>
        <w:t>6511 LEONARD DRIVE</w:t>
      </w:r>
    </w:p>
    <w:p w:rsidR="00EC7F09" w:rsidRPr="00EC7F09" w:rsidRDefault="00EC7F09" w:rsidP="00EC7F09">
      <w:pPr>
        <w:spacing w:line="240" w:lineRule="auto"/>
        <w:jc w:val="left"/>
        <w:rPr>
          <w:rFonts w:ascii="Microsoft Sans Serif" w:eastAsia="Times New Roman" w:hAnsi="Microsoft Sans Serif" w:cs="Microsoft Sans Serif"/>
        </w:rPr>
      </w:pPr>
      <w:r w:rsidRPr="00EC7F09">
        <w:rPr>
          <w:rFonts w:ascii="Microsoft Sans Serif" w:eastAsia="Times New Roman" w:hAnsi="Microsoft Sans Serif" w:cs="Microsoft Sans Serif"/>
        </w:rPr>
        <w:t>HARRISBURG PA 17111</w:t>
      </w:r>
    </w:p>
    <w:bookmarkEnd w:id="0"/>
    <w:p w:rsidR="00EC7F09" w:rsidRPr="00EC7F09" w:rsidRDefault="00EC7F09" w:rsidP="00EC7F09">
      <w:pPr>
        <w:spacing w:line="240" w:lineRule="auto"/>
        <w:jc w:val="left"/>
        <w:rPr>
          <w:rFonts w:ascii="Microsoft Sans Serif" w:eastAsia="Times New Roman" w:hAnsi="Microsoft Sans Serif" w:cs="Microsoft Sans Serif"/>
          <w:b/>
        </w:rPr>
      </w:pPr>
      <w:r w:rsidRPr="00EC7F09">
        <w:rPr>
          <w:rFonts w:ascii="Microsoft Sans Serif" w:eastAsia="Times New Roman" w:hAnsi="Microsoft Sans Serif" w:cs="Microsoft Sans Serif"/>
          <w:b/>
        </w:rPr>
        <w:t>717-540-5337</w:t>
      </w:r>
    </w:p>
    <w:p w:rsidR="00EC7F09" w:rsidRPr="00EC7F09" w:rsidRDefault="00EC7F09" w:rsidP="00EC7F09">
      <w:pPr>
        <w:spacing w:line="240" w:lineRule="auto"/>
        <w:jc w:val="left"/>
        <w:rPr>
          <w:rFonts w:ascii="Microsoft Sans Serif" w:eastAsia="Times New Roman" w:hAnsi="Microsoft Sans Serif" w:cs="Microsoft Sans Serif"/>
        </w:rPr>
      </w:pPr>
      <w:bookmarkStart w:id="1" w:name="BMLine6"/>
    </w:p>
    <w:p w:rsidR="00EC7F09" w:rsidRPr="00EC7F09" w:rsidRDefault="00EC7F09" w:rsidP="00EC7F09">
      <w:pPr>
        <w:spacing w:line="240" w:lineRule="auto"/>
        <w:jc w:val="left"/>
        <w:rPr>
          <w:rFonts w:ascii="Microsoft Sans Serif" w:eastAsia="Times New Roman" w:hAnsi="Microsoft Sans Serif" w:cs="Microsoft Sans Serif"/>
        </w:rPr>
      </w:pPr>
      <w:bookmarkStart w:id="2" w:name="BMLine7"/>
      <w:bookmarkEnd w:id="1"/>
      <w:r w:rsidRPr="00EC7F09">
        <w:rPr>
          <w:rFonts w:ascii="Microsoft Sans Serif" w:eastAsia="Times New Roman" w:hAnsi="Microsoft Sans Serif" w:cs="Microsoft Sans Serif"/>
        </w:rPr>
        <w:t>JESSICA ROGERS ESQUIRE</w:t>
      </w:r>
    </w:p>
    <w:p w:rsidR="00EC7F09" w:rsidRPr="00EC7F09" w:rsidRDefault="00EC7F09" w:rsidP="00EC7F09">
      <w:pPr>
        <w:spacing w:line="240" w:lineRule="auto"/>
        <w:jc w:val="left"/>
        <w:rPr>
          <w:rFonts w:ascii="Microsoft Sans Serif" w:eastAsia="Times New Roman" w:hAnsi="Microsoft Sans Serif" w:cs="Microsoft Sans Serif"/>
        </w:rPr>
      </w:pPr>
      <w:r w:rsidRPr="00EC7F09">
        <w:rPr>
          <w:rFonts w:ascii="Microsoft Sans Serif" w:eastAsia="Times New Roman" w:hAnsi="Microsoft Sans Serif" w:cs="Microsoft Sans Serif"/>
        </w:rPr>
        <w:t>POST &amp; SCHELL ATTORNEYS AT LAW</w:t>
      </w:r>
    </w:p>
    <w:p w:rsidR="00EC7F09" w:rsidRPr="00EC7F09" w:rsidRDefault="00EC7F09" w:rsidP="00EC7F09">
      <w:pPr>
        <w:spacing w:line="240" w:lineRule="auto"/>
        <w:jc w:val="left"/>
        <w:rPr>
          <w:rFonts w:ascii="Microsoft Sans Serif" w:eastAsia="Times New Roman" w:hAnsi="Microsoft Sans Serif" w:cs="Microsoft Sans Serif"/>
        </w:rPr>
      </w:pPr>
      <w:bookmarkStart w:id="3" w:name="BMLine8"/>
      <w:bookmarkEnd w:id="2"/>
      <w:r w:rsidRPr="00EC7F09">
        <w:rPr>
          <w:rFonts w:ascii="Microsoft Sans Serif" w:eastAsia="Times New Roman" w:hAnsi="Microsoft Sans Serif" w:cs="Microsoft Sans Serif"/>
        </w:rPr>
        <w:t xml:space="preserve">17 NORTH SECOND </w:t>
      </w:r>
      <w:proofErr w:type="gramStart"/>
      <w:r w:rsidRPr="00EC7F09">
        <w:rPr>
          <w:rFonts w:ascii="Microsoft Sans Serif" w:eastAsia="Times New Roman" w:hAnsi="Microsoft Sans Serif" w:cs="Microsoft Sans Serif"/>
        </w:rPr>
        <w:t>STREET</w:t>
      </w:r>
      <w:proofErr w:type="gramEnd"/>
    </w:p>
    <w:p w:rsidR="00EC7F09" w:rsidRPr="00EC7F09" w:rsidRDefault="00EC7F09" w:rsidP="00EC7F09">
      <w:pPr>
        <w:spacing w:line="240" w:lineRule="auto"/>
        <w:jc w:val="left"/>
        <w:rPr>
          <w:rFonts w:ascii="Microsoft Sans Serif" w:eastAsia="Times New Roman" w:hAnsi="Microsoft Sans Serif" w:cs="Microsoft Sans Serif"/>
        </w:rPr>
      </w:pPr>
      <w:bookmarkStart w:id="4" w:name="BMLine9"/>
      <w:bookmarkEnd w:id="3"/>
      <w:proofErr w:type="spellStart"/>
      <w:r w:rsidRPr="00EC7F09">
        <w:rPr>
          <w:rFonts w:ascii="Microsoft Sans Serif" w:eastAsia="Times New Roman" w:hAnsi="Microsoft Sans Serif" w:cs="Microsoft Sans Serif"/>
        </w:rPr>
        <w:t>12</w:t>
      </w:r>
      <w:r w:rsidRPr="00EC7F09">
        <w:rPr>
          <w:rFonts w:ascii="Microsoft Sans Serif" w:eastAsia="Times New Roman" w:hAnsi="Microsoft Sans Serif" w:cs="Microsoft Sans Serif"/>
          <w:vertAlign w:val="superscript"/>
        </w:rPr>
        <w:t>TH</w:t>
      </w:r>
      <w:proofErr w:type="spellEnd"/>
      <w:r w:rsidRPr="00EC7F09">
        <w:rPr>
          <w:rFonts w:ascii="Microsoft Sans Serif" w:eastAsia="Times New Roman" w:hAnsi="Microsoft Sans Serif" w:cs="Microsoft Sans Serif"/>
        </w:rPr>
        <w:t xml:space="preserve"> FLOOR</w:t>
      </w:r>
    </w:p>
    <w:p w:rsidR="00EC7F09" w:rsidRPr="00EC7F09" w:rsidRDefault="00EC7F09" w:rsidP="00EC7F09">
      <w:pPr>
        <w:spacing w:line="240" w:lineRule="auto"/>
        <w:jc w:val="left"/>
        <w:rPr>
          <w:rFonts w:ascii="Microsoft Sans Serif" w:eastAsia="Times New Roman" w:hAnsi="Microsoft Sans Serif" w:cs="Microsoft Sans Serif"/>
        </w:rPr>
      </w:pPr>
      <w:bookmarkStart w:id="5" w:name="BMLine10"/>
      <w:bookmarkEnd w:id="4"/>
      <w:r w:rsidRPr="00EC7F09">
        <w:rPr>
          <w:rFonts w:ascii="Microsoft Sans Serif" w:eastAsia="Times New Roman" w:hAnsi="Microsoft Sans Serif" w:cs="Microsoft Sans Serif"/>
        </w:rPr>
        <w:t>HARRISBURG PA 17101</w:t>
      </w:r>
    </w:p>
    <w:p w:rsidR="00650902" w:rsidRPr="00EC7F09" w:rsidRDefault="00EC7F09" w:rsidP="00EC7F09">
      <w:pPr>
        <w:spacing w:line="240" w:lineRule="auto"/>
        <w:jc w:val="left"/>
        <w:rPr>
          <w:rFonts w:ascii="Microsoft Sans Serif" w:eastAsia="Times New Roman" w:hAnsi="Microsoft Sans Serif" w:cs="Microsoft Sans Serif"/>
          <w:b/>
        </w:rPr>
      </w:pPr>
      <w:r w:rsidRPr="00EC7F09">
        <w:rPr>
          <w:rFonts w:ascii="Microsoft Sans Serif" w:eastAsia="Times New Roman" w:hAnsi="Microsoft Sans Serif" w:cs="Microsoft Sans Serif"/>
          <w:b/>
        </w:rPr>
        <w:t>717-612-6018</w:t>
      </w:r>
      <w:bookmarkEnd w:id="5"/>
    </w:p>
    <w:sectPr w:rsidR="00650902" w:rsidRPr="00EC7F09" w:rsidSect="00AB78F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5B2" w:rsidRDefault="004725B2" w:rsidP="00654B54">
      <w:pPr>
        <w:spacing w:line="240" w:lineRule="auto"/>
      </w:pPr>
      <w:r>
        <w:separator/>
      </w:r>
    </w:p>
  </w:endnote>
  <w:endnote w:type="continuationSeparator" w:id="0">
    <w:p w:rsidR="004725B2" w:rsidRDefault="004725B2" w:rsidP="00654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30495"/>
      <w:docPartObj>
        <w:docPartGallery w:val="Page Numbers (Bottom of Page)"/>
        <w:docPartUnique/>
      </w:docPartObj>
    </w:sdtPr>
    <w:sdtEndPr>
      <w:rPr>
        <w:noProof/>
        <w:sz w:val="20"/>
        <w:szCs w:val="20"/>
      </w:rPr>
    </w:sdtEndPr>
    <w:sdtContent>
      <w:p w:rsidR="00650902" w:rsidRPr="00650902" w:rsidRDefault="00650902" w:rsidP="00650902">
        <w:pPr>
          <w:pStyle w:val="Footer"/>
          <w:rPr>
            <w:sz w:val="20"/>
            <w:szCs w:val="20"/>
          </w:rPr>
        </w:pPr>
        <w:r w:rsidRPr="00650902">
          <w:rPr>
            <w:sz w:val="20"/>
            <w:szCs w:val="20"/>
          </w:rPr>
          <w:fldChar w:fldCharType="begin"/>
        </w:r>
        <w:r w:rsidRPr="00650902">
          <w:rPr>
            <w:sz w:val="20"/>
            <w:szCs w:val="20"/>
          </w:rPr>
          <w:instrText xml:space="preserve"> PAGE   \* MERGEFORMAT </w:instrText>
        </w:r>
        <w:r w:rsidRPr="00650902">
          <w:rPr>
            <w:sz w:val="20"/>
            <w:szCs w:val="20"/>
          </w:rPr>
          <w:fldChar w:fldCharType="separate"/>
        </w:r>
        <w:r w:rsidR="00D32225">
          <w:rPr>
            <w:noProof/>
            <w:sz w:val="20"/>
            <w:szCs w:val="20"/>
          </w:rPr>
          <w:t>5</w:t>
        </w:r>
        <w:r w:rsidRPr="00650902">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225" w:rsidRPr="00650902" w:rsidRDefault="00D32225" w:rsidP="00650902">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5B2" w:rsidRDefault="004725B2" w:rsidP="00654B54">
      <w:pPr>
        <w:spacing w:line="240" w:lineRule="auto"/>
      </w:pPr>
      <w:r>
        <w:separator/>
      </w:r>
    </w:p>
  </w:footnote>
  <w:footnote w:type="continuationSeparator" w:id="0">
    <w:p w:rsidR="004725B2" w:rsidRDefault="004725B2" w:rsidP="00654B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6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4B15"/>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1BFC"/>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623"/>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269"/>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244"/>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157"/>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25B2"/>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290"/>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394"/>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902"/>
    <w:rsid w:val="00651F0A"/>
    <w:rsid w:val="006540C5"/>
    <w:rsid w:val="006543FB"/>
    <w:rsid w:val="006549F5"/>
    <w:rsid w:val="00654B54"/>
    <w:rsid w:val="00655505"/>
    <w:rsid w:val="00655AA7"/>
    <w:rsid w:val="00655B95"/>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16F"/>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38F"/>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1FAD"/>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1B7"/>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19B8"/>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6FB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2225"/>
    <w:rsid w:val="00D33231"/>
    <w:rsid w:val="00D36240"/>
    <w:rsid w:val="00D36D3E"/>
    <w:rsid w:val="00D36DB7"/>
    <w:rsid w:val="00D37682"/>
    <w:rsid w:val="00D40E5E"/>
    <w:rsid w:val="00D4138D"/>
    <w:rsid w:val="00D41493"/>
    <w:rsid w:val="00D4152F"/>
    <w:rsid w:val="00D438DC"/>
    <w:rsid w:val="00D43EF1"/>
    <w:rsid w:val="00D43F6F"/>
    <w:rsid w:val="00D44015"/>
    <w:rsid w:val="00D46755"/>
    <w:rsid w:val="00D46CFF"/>
    <w:rsid w:val="00D46FBF"/>
    <w:rsid w:val="00D47A7B"/>
    <w:rsid w:val="00D47BB6"/>
    <w:rsid w:val="00D51F6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7A7"/>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280"/>
    <w:rsid w:val="00DE43F4"/>
    <w:rsid w:val="00DE466B"/>
    <w:rsid w:val="00DE4A72"/>
    <w:rsid w:val="00DE5D8B"/>
    <w:rsid w:val="00DE7607"/>
    <w:rsid w:val="00DE761A"/>
    <w:rsid w:val="00DF2338"/>
    <w:rsid w:val="00DF37CE"/>
    <w:rsid w:val="00DF4C70"/>
    <w:rsid w:val="00DF4D56"/>
    <w:rsid w:val="00DF56F3"/>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C7F09"/>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16F"/>
    <w:rPr>
      <w:color w:val="0000FF"/>
      <w:u w:val="single"/>
    </w:rPr>
  </w:style>
  <w:style w:type="paragraph" w:styleId="BalloonText">
    <w:name w:val="Balloon Text"/>
    <w:basedOn w:val="Normal"/>
    <w:link w:val="BalloonTextChar"/>
    <w:uiPriority w:val="99"/>
    <w:semiHidden/>
    <w:unhideWhenUsed/>
    <w:rsid w:val="008761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16F"/>
    <w:rPr>
      <w:rFonts w:ascii="Tahoma" w:hAnsi="Tahoma" w:cs="Tahoma"/>
      <w:sz w:val="16"/>
      <w:szCs w:val="16"/>
    </w:rPr>
  </w:style>
  <w:style w:type="paragraph" w:styleId="Header">
    <w:name w:val="header"/>
    <w:basedOn w:val="Normal"/>
    <w:link w:val="HeaderChar"/>
    <w:uiPriority w:val="99"/>
    <w:unhideWhenUsed/>
    <w:rsid w:val="00654B54"/>
    <w:pPr>
      <w:tabs>
        <w:tab w:val="center" w:pos="4680"/>
        <w:tab w:val="right" w:pos="9360"/>
      </w:tabs>
      <w:spacing w:line="240" w:lineRule="auto"/>
    </w:pPr>
  </w:style>
  <w:style w:type="character" w:customStyle="1" w:styleId="HeaderChar">
    <w:name w:val="Header Char"/>
    <w:basedOn w:val="DefaultParagraphFont"/>
    <w:link w:val="Header"/>
    <w:uiPriority w:val="99"/>
    <w:rsid w:val="00654B54"/>
  </w:style>
  <w:style w:type="paragraph" w:styleId="Footer">
    <w:name w:val="footer"/>
    <w:basedOn w:val="Normal"/>
    <w:link w:val="FooterChar"/>
    <w:uiPriority w:val="99"/>
    <w:unhideWhenUsed/>
    <w:rsid w:val="00654B54"/>
    <w:pPr>
      <w:tabs>
        <w:tab w:val="center" w:pos="4680"/>
        <w:tab w:val="right" w:pos="9360"/>
      </w:tabs>
      <w:spacing w:line="240" w:lineRule="auto"/>
    </w:pPr>
  </w:style>
  <w:style w:type="character" w:customStyle="1" w:styleId="FooterChar">
    <w:name w:val="Footer Char"/>
    <w:basedOn w:val="DefaultParagraphFont"/>
    <w:link w:val="Footer"/>
    <w:uiPriority w:val="99"/>
    <w:rsid w:val="00654B54"/>
  </w:style>
  <w:style w:type="character" w:styleId="LineNumber">
    <w:name w:val="line number"/>
    <w:basedOn w:val="DefaultParagraphFont"/>
    <w:uiPriority w:val="99"/>
    <w:semiHidden/>
    <w:unhideWhenUsed/>
    <w:rsid w:val="00A341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16F"/>
    <w:rPr>
      <w:color w:val="0000FF"/>
      <w:u w:val="single"/>
    </w:rPr>
  </w:style>
  <w:style w:type="paragraph" w:styleId="BalloonText">
    <w:name w:val="Balloon Text"/>
    <w:basedOn w:val="Normal"/>
    <w:link w:val="BalloonTextChar"/>
    <w:uiPriority w:val="99"/>
    <w:semiHidden/>
    <w:unhideWhenUsed/>
    <w:rsid w:val="008761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16F"/>
    <w:rPr>
      <w:rFonts w:ascii="Tahoma" w:hAnsi="Tahoma" w:cs="Tahoma"/>
      <w:sz w:val="16"/>
      <w:szCs w:val="16"/>
    </w:rPr>
  </w:style>
  <w:style w:type="paragraph" w:styleId="Header">
    <w:name w:val="header"/>
    <w:basedOn w:val="Normal"/>
    <w:link w:val="HeaderChar"/>
    <w:uiPriority w:val="99"/>
    <w:unhideWhenUsed/>
    <w:rsid w:val="00654B54"/>
    <w:pPr>
      <w:tabs>
        <w:tab w:val="center" w:pos="4680"/>
        <w:tab w:val="right" w:pos="9360"/>
      </w:tabs>
      <w:spacing w:line="240" w:lineRule="auto"/>
    </w:pPr>
  </w:style>
  <w:style w:type="character" w:customStyle="1" w:styleId="HeaderChar">
    <w:name w:val="Header Char"/>
    <w:basedOn w:val="DefaultParagraphFont"/>
    <w:link w:val="Header"/>
    <w:uiPriority w:val="99"/>
    <w:rsid w:val="00654B54"/>
  </w:style>
  <w:style w:type="paragraph" w:styleId="Footer">
    <w:name w:val="footer"/>
    <w:basedOn w:val="Normal"/>
    <w:link w:val="FooterChar"/>
    <w:uiPriority w:val="99"/>
    <w:unhideWhenUsed/>
    <w:rsid w:val="00654B54"/>
    <w:pPr>
      <w:tabs>
        <w:tab w:val="center" w:pos="4680"/>
        <w:tab w:val="right" w:pos="9360"/>
      </w:tabs>
      <w:spacing w:line="240" w:lineRule="auto"/>
    </w:pPr>
  </w:style>
  <w:style w:type="character" w:customStyle="1" w:styleId="FooterChar">
    <w:name w:val="Footer Char"/>
    <w:basedOn w:val="DefaultParagraphFont"/>
    <w:link w:val="Footer"/>
    <w:uiPriority w:val="99"/>
    <w:rsid w:val="00654B54"/>
  </w:style>
  <w:style w:type="character" w:styleId="LineNumber">
    <w:name w:val="line number"/>
    <w:basedOn w:val="DefaultParagraphFont"/>
    <w:uiPriority w:val="99"/>
    <w:semiHidden/>
    <w:unhideWhenUsed/>
    <w:rsid w:val="00A34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9F5FF-A47F-4139-BA9D-119AB116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Complainant Statement No. 1</vt:lpstr>
    </vt:vector>
  </TitlesOfParts>
  <Company>Pa Public Utility Commission</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Complainant Statement No. 1</dc:title>
  <dc:creator>scolwell</dc:creator>
  <cp:lastModifiedBy>Reitenbach, Dawn</cp:lastModifiedBy>
  <cp:revision>5</cp:revision>
  <cp:lastPrinted>2012-05-24T12:40:00Z</cp:lastPrinted>
  <dcterms:created xsi:type="dcterms:W3CDTF">2012-05-24T12:24:00Z</dcterms:created>
  <dcterms:modified xsi:type="dcterms:W3CDTF">2012-05-24T12:40:00Z</dcterms:modified>
</cp:coreProperties>
</file>