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250"/>
        <w:gridCol w:w="1530"/>
        <w:gridCol w:w="450"/>
        <w:gridCol w:w="2880"/>
      </w:tblGrid>
      <w:tr w:rsidR="00142BC5" w:rsidRPr="00DD4B2D">
        <w:tc>
          <w:tcPr>
            <w:tcW w:w="2448" w:type="dxa"/>
          </w:tcPr>
          <w:p w:rsidR="00142BC5" w:rsidRPr="00AC1019" w:rsidRDefault="00142BC5"/>
        </w:tc>
        <w:tc>
          <w:tcPr>
            <w:tcW w:w="4230" w:type="dxa"/>
            <w:gridSpan w:val="3"/>
          </w:tcPr>
          <w:p w:rsidR="00142BC5" w:rsidRPr="00DD4B2D" w:rsidRDefault="00142BC5">
            <w:pPr>
              <w:jc w:val="center"/>
              <w:rPr>
                <w:b/>
              </w:rPr>
            </w:pPr>
            <w:smartTag w:uri="urn:schemas-microsoft-com:office:smarttags" w:element="place">
              <w:smartTag w:uri="urn:schemas-microsoft-com:office:smarttags" w:element="State">
                <w:r w:rsidRPr="00DD4B2D">
                  <w:rPr>
                    <w:b/>
                  </w:rPr>
                  <w:t>PENNSYLVANIA</w:t>
                </w:r>
              </w:smartTag>
            </w:smartTag>
          </w:p>
          <w:p w:rsidR="00142BC5" w:rsidRPr="00DD4B2D" w:rsidRDefault="00142BC5">
            <w:pPr>
              <w:jc w:val="center"/>
              <w:rPr>
                <w:b/>
              </w:rPr>
            </w:pPr>
            <w:r w:rsidRPr="00DD4B2D">
              <w:rPr>
                <w:b/>
              </w:rPr>
              <w:t>PUBLIC UTILITY COMMISSION</w:t>
            </w:r>
          </w:p>
          <w:p w:rsidR="00142BC5" w:rsidRPr="00DD4B2D" w:rsidRDefault="00142BC5">
            <w:pPr>
              <w:jc w:val="center"/>
            </w:pPr>
            <w:smartTag w:uri="urn:schemas-microsoft-com:office:smarttags" w:element="place">
              <w:smartTag w:uri="urn:schemas-microsoft-com:office:smarttags" w:element="City">
                <w:r w:rsidRPr="00DD4B2D">
                  <w:rPr>
                    <w:b/>
                  </w:rPr>
                  <w:t>Harrisburg</w:t>
                </w:r>
              </w:smartTag>
              <w:r w:rsidRPr="00DD4B2D">
                <w:rPr>
                  <w:b/>
                </w:rPr>
                <w:t xml:space="preserve">, </w:t>
              </w:r>
              <w:smartTag w:uri="urn:schemas-microsoft-com:office:smarttags" w:element="State">
                <w:r w:rsidRPr="00DD4B2D">
                  <w:rPr>
                    <w:b/>
                  </w:rPr>
                  <w:t>PA</w:t>
                </w:r>
              </w:smartTag>
              <w:r w:rsidRPr="00DD4B2D">
                <w:rPr>
                  <w:b/>
                </w:rPr>
                <w:t xml:space="preserve">  </w:t>
              </w:r>
              <w:smartTag w:uri="urn:schemas-microsoft-com:office:smarttags" w:element="PostalCode">
                <w:r w:rsidRPr="00DD4B2D">
                  <w:rPr>
                    <w:b/>
                  </w:rPr>
                  <w:t>17105-3265</w:t>
                </w:r>
              </w:smartTag>
            </w:smartTag>
          </w:p>
        </w:tc>
        <w:tc>
          <w:tcPr>
            <w:tcW w:w="2880" w:type="dxa"/>
          </w:tcPr>
          <w:p w:rsidR="00142BC5" w:rsidRPr="00DD4B2D" w:rsidRDefault="00142BC5"/>
        </w:tc>
      </w:tr>
      <w:tr w:rsidR="00AC1019" w:rsidRPr="00DD4B2D">
        <w:tc>
          <w:tcPr>
            <w:tcW w:w="2448" w:type="dxa"/>
          </w:tcPr>
          <w:p w:rsidR="00AC1019" w:rsidRPr="00DD4B2D" w:rsidRDefault="00AC1019"/>
        </w:tc>
        <w:tc>
          <w:tcPr>
            <w:tcW w:w="4230" w:type="dxa"/>
            <w:gridSpan w:val="3"/>
          </w:tcPr>
          <w:p w:rsidR="00AC1019" w:rsidRPr="00DD4B2D" w:rsidRDefault="00AC1019">
            <w:pPr>
              <w:jc w:val="center"/>
              <w:rPr>
                <w:b/>
              </w:rPr>
            </w:pPr>
          </w:p>
        </w:tc>
        <w:tc>
          <w:tcPr>
            <w:tcW w:w="2880" w:type="dxa"/>
          </w:tcPr>
          <w:p w:rsidR="00AC1019" w:rsidRPr="00DD4B2D" w:rsidRDefault="00AC1019"/>
        </w:tc>
      </w:tr>
      <w:tr w:rsidR="00142BC5" w:rsidRPr="009F6E2F">
        <w:tc>
          <w:tcPr>
            <w:tcW w:w="4698" w:type="dxa"/>
            <w:gridSpan w:val="2"/>
          </w:tcPr>
          <w:p w:rsidR="00142BC5" w:rsidRPr="00DD4B2D" w:rsidRDefault="00142BC5"/>
        </w:tc>
        <w:tc>
          <w:tcPr>
            <w:tcW w:w="4860" w:type="dxa"/>
            <w:gridSpan w:val="3"/>
          </w:tcPr>
          <w:p w:rsidR="00142BC5" w:rsidRPr="009F6E2F" w:rsidRDefault="00142BC5" w:rsidP="00194B47">
            <w:pPr>
              <w:rPr>
                <w:highlight w:val="green"/>
              </w:rPr>
            </w:pPr>
            <w:r w:rsidRPr="00872C9E">
              <w:t>Public Meeting held</w:t>
            </w:r>
            <w:r w:rsidR="003836A0">
              <w:t xml:space="preserve"> </w:t>
            </w:r>
            <w:r w:rsidR="002528AE">
              <w:t>May 24</w:t>
            </w:r>
            <w:r w:rsidR="00194B47">
              <w:t>, 2012</w:t>
            </w:r>
          </w:p>
        </w:tc>
      </w:tr>
      <w:tr w:rsidR="00142BC5" w:rsidRPr="009F6E2F">
        <w:tc>
          <w:tcPr>
            <w:tcW w:w="4698" w:type="dxa"/>
            <w:gridSpan w:val="2"/>
          </w:tcPr>
          <w:p w:rsidR="00142BC5" w:rsidRPr="005D23AC" w:rsidRDefault="00142BC5">
            <w:r w:rsidRPr="005D23AC">
              <w:t>Commissioners Present:</w:t>
            </w:r>
          </w:p>
        </w:tc>
        <w:tc>
          <w:tcPr>
            <w:tcW w:w="4860" w:type="dxa"/>
            <w:gridSpan w:val="3"/>
          </w:tcPr>
          <w:p w:rsidR="00142BC5" w:rsidRPr="005D23AC" w:rsidRDefault="00142BC5"/>
        </w:tc>
      </w:tr>
      <w:tr w:rsidR="00AC1019" w:rsidRPr="009F6E2F">
        <w:tc>
          <w:tcPr>
            <w:tcW w:w="4698" w:type="dxa"/>
            <w:gridSpan w:val="2"/>
          </w:tcPr>
          <w:p w:rsidR="00AC1019" w:rsidRPr="005D23AC" w:rsidRDefault="00AC1019"/>
        </w:tc>
        <w:tc>
          <w:tcPr>
            <w:tcW w:w="4860" w:type="dxa"/>
            <w:gridSpan w:val="3"/>
          </w:tcPr>
          <w:p w:rsidR="00AC1019" w:rsidRPr="005D23AC" w:rsidRDefault="00AC1019"/>
        </w:tc>
      </w:tr>
      <w:tr w:rsidR="00142BC5" w:rsidRPr="009F6E2F">
        <w:tc>
          <w:tcPr>
            <w:tcW w:w="4698" w:type="dxa"/>
            <w:gridSpan w:val="2"/>
          </w:tcPr>
          <w:p w:rsidR="00142BC5" w:rsidRPr="005D23AC" w:rsidRDefault="00AC72A9" w:rsidP="00AC72A9">
            <w:pPr>
              <w:ind w:firstLine="450"/>
            </w:pPr>
            <w:r>
              <w:t>Robert F. Powelson</w:t>
            </w:r>
            <w:r w:rsidR="00666333" w:rsidRPr="005D23AC">
              <w:t xml:space="preserve">, </w:t>
            </w:r>
            <w:r w:rsidR="00EB093F" w:rsidRPr="005D23AC">
              <w:t>Chairman</w:t>
            </w:r>
          </w:p>
        </w:tc>
        <w:tc>
          <w:tcPr>
            <w:tcW w:w="4860" w:type="dxa"/>
            <w:gridSpan w:val="3"/>
          </w:tcPr>
          <w:p w:rsidR="00142BC5" w:rsidRPr="005D23AC" w:rsidRDefault="00142BC5"/>
        </w:tc>
      </w:tr>
      <w:tr w:rsidR="00142BC5" w:rsidRPr="009F6E2F">
        <w:tc>
          <w:tcPr>
            <w:tcW w:w="4698" w:type="dxa"/>
            <w:gridSpan w:val="2"/>
          </w:tcPr>
          <w:p w:rsidR="00C6641E" w:rsidRPr="00C6641E" w:rsidRDefault="00AC72A9">
            <w:pPr>
              <w:ind w:firstLine="450"/>
            </w:pPr>
            <w:r>
              <w:t xml:space="preserve">John F. Coleman, Jr., </w:t>
            </w:r>
            <w:r w:rsidR="002303F8" w:rsidRPr="005D23AC">
              <w:t>Vice Chairman</w:t>
            </w:r>
          </w:p>
        </w:tc>
        <w:tc>
          <w:tcPr>
            <w:tcW w:w="4860" w:type="dxa"/>
            <w:gridSpan w:val="3"/>
          </w:tcPr>
          <w:p w:rsidR="00142BC5" w:rsidRPr="005D23AC" w:rsidRDefault="00142BC5"/>
        </w:tc>
      </w:tr>
      <w:tr w:rsidR="004324B3" w:rsidRPr="009F6E2F">
        <w:tc>
          <w:tcPr>
            <w:tcW w:w="4698" w:type="dxa"/>
            <w:gridSpan w:val="2"/>
          </w:tcPr>
          <w:p w:rsidR="004324B3" w:rsidRPr="005D23AC" w:rsidRDefault="00194B47" w:rsidP="0024624F">
            <w:pPr>
              <w:ind w:firstLine="450"/>
            </w:pPr>
            <w:r w:rsidRPr="005D23AC">
              <w:t>Wayne E. Gardner</w:t>
            </w:r>
          </w:p>
        </w:tc>
        <w:tc>
          <w:tcPr>
            <w:tcW w:w="4860" w:type="dxa"/>
            <w:gridSpan w:val="3"/>
          </w:tcPr>
          <w:p w:rsidR="004324B3" w:rsidRPr="005D23AC" w:rsidRDefault="004324B3"/>
        </w:tc>
      </w:tr>
      <w:tr w:rsidR="00072504" w:rsidRPr="009F6E2F">
        <w:tc>
          <w:tcPr>
            <w:tcW w:w="4698" w:type="dxa"/>
            <w:gridSpan w:val="2"/>
          </w:tcPr>
          <w:p w:rsidR="00072504" w:rsidRPr="005D23AC" w:rsidRDefault="00194B47" w:rsidP="00D20D4A">
            <w:pPr>
              <w:ind w:firstLine="450"/>
            </w:pPr>
            <w:r w:rsidRPr="005D23AC">
              <w:t>James H. Cawley</w:t>
            </w:r>
          </w:p>
        </w:tc>
        <w:tc>
          <w:tcPr>
            <w:tcW w:w="4860" w:type="dxa"/>
            <w:gridSpan w:val="3"/>
          </w:tcPr>
          <w:p w:rsidR="00072504" w:rsidRPr="005D23AC" w:rsidRDefault="00072504"/>
        </w:tc>
      </w:tr>
      <w:tr w:rsidR="00072504" w:rsidRPr="009F6E2F">
        <w:tc>
          <w:tcPr>
            <w:tcW w:w="4698" w:type="dxa"/>
            <w:gridSpan w:val="2"/>
          </w:tcPr>
          <w:p w:rsidR="00072504" w:rsidRPr="005D23AC" w:rsidRDefault="00194B47" w:rsidP="00D20D4A">
            <w:pPr>
              <w:ind w:firstLine="450"/>
            </w:pPr>
            <w:r>
              <w:t>Pamela A. Witmer</w:t>
            </w:r>
          </w:p>
        </w:tc>
        <w:tc>
          <w:tcPr>
            <w:tcW w:w="4860" w:type="dxa"/>
            <w:gridSpan w:val="3"/>
          </w:tcPr>
          <w:p w:rsidR="00072504" w:rsidRPr="005D23AC" w:rsidRDefault="00072504"/>
        </w:tc>
      </w:tr>
      <w:tr w:rsidR="00072504" w:rsidRPr="009F6E2F">
        <w:tc>
          <w:tcPr>
            <w:tcW w:w="4698" w:type="dxa"/>
            <w:gridSpan w:val="2"/>
          </w:tcPr>
          <w:p w:rsidR="00072504" w:rsidRPr="005D23AC" w:rsidRDefault="00072504">
            <w:pPr>
              <w:ind w:firstLine="450"/>
            </w:pPr>
          </w:p>
        </w:tc>
        <w:tc>
          <w:tcPr>
            <w:tcW w:w="4860" w:type="dxa"/>
            <w:gridSpan w:val="3"/>
          </w:tcPr>
          <w:p w:rsidR="00072504" w:rsidRPr="005D23AC" w:rsidRDefault="00072504"/>
        </w:tc>
      </w:tr>
      <w:tr w:rsidR="00072504" w:rsidRPr="009F6E2F">
        <w:tc>
          <w:tcPr>
            <w:tcW w:w="6228" w:type="dxa"/>
            <w:gridSpan w:val="3"/>
          </w:tcPr>
          <w:p w:rsidR="00072504" w:rsidRPr="009F6E2F" w:rsidRDefault="00072504">
            <w:pPr>
              <w:jc w:val="center"/>
              <w:rPr>
                <w:highlight w:val="green"/>
              </w:rPr>
            </w:pPr>
          </w:p>
        </w:tc>
        <w:tc>
          <w:tcPr>
            <w:tcW w:w="3330" w:type="dxa"/>
            <w:gridSpan w:val="2"/>
          </w:tcPr>
          <w:p w:rsidR="00072504" w:rsidRPr="009F6E2F" w:rsidRDefault="00072504">
            <w:pPr>
              <w:ind w:firstLine="1332"/>
              <w:rPr>
                <w:highlight w:val="green"/>
              </w:rPr>
            </w:pPr>
          </w:p>
        </w:tc>
      </w:tr>
      <w:tr w:rsidR="00072504" w:rsidRPr="00872C9E" w:rsidTr="00A27DE3">
        <w:tc>
          <w:tcPr>
            <w:tcW w:w="4698" w:type="dxa"/>
            <w:gridSpan w:val="2"/>
            <w:vAlign w:val="center"/>
          </w:tcPr>
          <w:p w:rsidR="00072504" w:rsidRPr="00872C9E" w:rsidRDefault="00072504" w:rsidP="00F47908">
            <w:pPr>
              <w:jc w:val="center"/>
            </w:pPr>
            <w:smartTag w:uri="urn:schemas-microsoft-com:office:smarttags" w:element="State">
              <w:smartTag w:uri="urn:schemas-microsoft-com:office:smarttags" w:element="place">
                <w:r w:rsidRPr="00872C9E">
                  <w:t>Pennsylvania</w:t>
                </w:r>
              </w:smartTag>
            </w:smartTag>
            <w:r w:rsidRPr="00872C9E">
              <w:t xml:space="preserve"> Public Utility Commission</w:t>
            </w:r>
          </w:p>
          <w:p w:rsidR="00072504" w:rsidRPr="00872C9E" w:rsidRDefault="00072504" w:rsidP="00F32FF7">
            <w:pPr>
              <w:tabs>
                <w:tab w:val="left" w:pos="1455"/>
              </w:tabs>
              <w:jc w:val="center"/>
            </w:pPr>
            <w:r w:rsidRPr="00872C9E">
              <w:t>v.</w:t>
            </w:r>
          </w:p>
          <w:p w:rsidR="00072504" w:rsidRPr="00872C9E" w:rsidRDefault="00194B47" w:rsidP="00C6641E">
            <w:pPr>
              <w:jc w:val="center"/>
            </w:pPr>
            <w:r>
              <w:t>P</w:t>
            </w:r>
            <w:r w:rsidR="002528AE">
              <w:t>PL Electric Utilities Corporation</w:t>
            </w:r>
          </w:p>
        </w:tc>
        <w:tc>
          <w:tcPr>
            <w:tcW w:w="1530" w:type="dxa"/>
            <w:vAlign w:val="center"/>
          </w:tcPr>
          <w:p w:rsidR="00072504" w:rsidRPr="00872C9E" w:rsidRDefault="00072504" w:rsidP="00F32FF7">
            <w:pPr>
              <w:jc w:val="center"/>
            </w:pPr>
          </w:p>
        </w:tc>
        <w:tc>
          <w:tcPr>
            <w:tcW w:w="3330" w:type="dxa"/>
            <w:gridSpan w:val="2"/>
          </w:tcPr>
          <w:p w:rsidR="00072504" w:rsidRDefault="00072504" w:rsidP="005F1DC0">
            <w:r>
              <w:t>Docket No.</w:t>
            </w:r>
          </w:p>
          <w:p w:rsidR="00072504" w:rsidRPr="00872C9E" w:rsidRDefault="003C4998" w:rsidP="005F1DC0">
            <w:r>
              <w:t>R-</w:t>
            </w:r>
            <w:r w:rsidR="002528AE">
              <w:t>2012-2290597</w:t>
            </w:r>
          </w:p>
          <w:p w:rsidR="00072504" w:rsidRPr="00872C9E" w:rsidRDefault="00072504" w:rsidP="002728A2">
            <w:pPr>
              <w:rPr>
                <w:i/>
              </w:rPr>
            </w:pPr>
          </w:p>
        </w:tc>
      </w:tr>
      <w:tr w:rsidR="00072504" w:rsidRPr="00872C9E">
        <w:tc>
          <w:tcPr>
            <w:tcW w:w="6228" w:type="dxa"/>
            <w:gridSpan w:val="3"/>
          </w:tcPr>
          <w:p w:rsidR="00072504" w:rsidRPr="00872C9E" w:rsidRDefault="00072504">
            <w:pPr>
              <w:jc w:val="center"/>
            </w:pPr>
          </w:p>
        </w:tc>
        <w:tc>
          <w:tcPr>
            <w:tcW w:w="3330" w:type="dxa"/>
            <w:gridSpan w:val="2"/>
          </w:tcPr>
          <w:p w:rsidR="00072504" w:rsidRPr="00872C9E" w:rsidRDefault="00072504">
            <w:pPr>
              <w:ind w:firstLine="1332"/>
            </w:pPr>
          </w:p>
        </w:tc>
      </w:tr>
      <w:tr w:rsidR="00072504" w:rsidRPr="00872C9E">
        <w:tc>
          <w:tcPr>
            <w:tcW w:w="6228" w:type="dxa"/>
            <w:gridSpan w:val="3"/>
          </w:tcPr>
          <w:p w:rsidR="00072504" w:rsidRPr="00872C9E" w:rsidRDefault="00072504">
            <w:pPr>
              <w:jc w:val="center"/>
            </w:pPr>
          </w:p>
        </w:tc>
        <w:tc>
          <w:tcPr>
            <w:tcW w:w="3330" w:type="dxa"/>
            <w:gridSpan w:val="2"/>
          </w:tcPr>
          <w:p w:rsidR="00072504" w:rsidRPr="00872C9E" w:rsidRDefault="00072504">
            <w:pPr>
              <w:ind w:firstLine="1332"/>
            </w:pPr>
          </w:p>
        </w:tc>
      </w:tr>
    </w:tbl>
    <w:p w:rsidR="00F47908" w:rsidRPr="00872C9E" w:rsidRDefault="00F47908">
      <w:pPr>
        <w:jc w:val="center"/>
        <w:rPr>
          <w:b/>
        </w:rPr>
      </w:pPr>
    </w:p>
    <w:p w:rsidR="00142BC5" w:rsidRPr="00872C9E" w:rsidRDefault="00142BC5">
      <w:pPr>
        <w:jc w:val="center"/>
      </w:pPr>
      <w:r w:rsidRPr="00872C9E">
        <w:rPr>
          <w:b/>
        </w:rPr>
        <w:t>ORDER</w:t>
      </w:r>
    </w:p>
    <w:p w:rsidR="00AC1019" w:rsidRPr="00872C9E" w:rsidRDefault="00AC1019" w:rsidP="006117EF">
      <w:pPr>
        <w:rPr>
          <w:b/>
        </w:rPr>
      </w:pPr>
    </w:p>
    <w:p w:rsidR="00142BC5" w:rsidRPr="00872C9E" w:rsidRDefault="00142BC5">
      <w:pPr>
        <w:spacing w:line="360" w:lineRule="auto"/>
        <w:rPr>
          <w:b/>
        </w:rPr>
      </w:pPr>
      <w:r w:rsidRPr="00872C9E">
        <w:rPr>
          <w:b/>
        </w:rPr>
        <w:t>BY THE COMMISSION:</w:t>
      </w:r>
    </w:p>
    <w:p w:rsidR="00142BC5" w:rsidRPr="00A320B8" w:rsidRDefault="00142BC5" w:rsidP="006117EF"/>
    <w:p w:rsidR="00E66B53" w:rsidRPr="00B15CA2" w:rsidRDefault="00EC47E0" w:rsidP="00BF751D">
      <w:pPr>
        <w:spacing w:line="360" w:lineRule="auto"/>
        <w:ind w:firstLine="720"/>
        <w:rPr>
          <w:highlight w:val="green"/>
        </w:rPr>
      </w:pPr>
      <w:r w:rsidRPr="00A320B8">
        <w:tab/>
      </w:r>
      <w:r w:rsidR="00142BC5" w:rsidRPr="00093745">
        <w:t>On</w:t>
      </w:r>
      <w:r w:rsidR="0043557E" w:rsidRPr="00093745">
        <w:t xml:space="preserve"> </w:t>
      </w:r>
      <w:r w:rsidR="00093745" w:rsidRPr="00093745">
        <w:t>March 30</w:t>
      </w:r>
      <w:r w:rsidR="008E0A5B" w:rsidRPr="00093745">
        <w:t>, 2012</w:t>
      </w:r>
      <w:r w:rsidR="00142BC5" w:rsidRPr="00093745">
        <w:t>,</w:t>
      </w:r>
      <w:r w:rsidR="00A320B8" w:rsidRPr="00093745">
        <w:t xml:space="preserve"> </w:t>
      </w:r>
      <w:r w:rsidR="00093745" w:rsidRPr="00093745">
        <w:t>PPL Electric Utilities Corporation</w:t>
      </w:r>
      <w:r w:rsidR="00E3104A" w:rsidRPr="00093745">
        <w:t>,</w:t>
      </w:r>
      <w:r w:rsidR="004B34CF" w:rsidRPr="00093745">
        <w:t xml:space="preserve"> </w:t>
      </w:r>
      <w:r w:rsidR="00142BC5" w:rsidRPr="00093745">
        <w:t>(</w:t>
      </w:r>
      <w:r w:rsidR="00093745" w:rsidRPr="00093745">
        <w:t>“PPL”</w:t>
      </w:r>
      <w:r w:rsidR="006A70DE" w:rsidRPr="00093745">
        <w:t xml:space="preserve"> or </w:t>
      </w:r>
      <w:r w:rsidR="00093745" w:rsidRPr="00093745">
        <w:t>“</w:t>
      </w:r>
      <w:r w:rsidR="006A70DE" w:rsidRPr="00093745">
        <w:t>the Company</w:t>
      </w:r>
      <w:r w:rsidR="00093745" w:rsidRPr="00093745">
        <w:t>”</w:t>
      </w:r>
      <w:r w:rsidR="00142BC5" w:rsidRPr="00093745">
        <w:t>) filed</w:t>
      </w:r>
      <w:r w:rsidR="00093745" w:rsidRPr="00093745">
        <w:t xml:space="preserve"> Supplement No. 118</w:t>
      </w:r>
      <w:r w:rsidR="00BF751D">
        <w:t xml:space="preserve"> to</w:t>
      </w:r>
      <w:r w:rsidR="00142BC5" w:rsidRPr="00093745">
        <w:t xml:space="preserve"> </w:t>
      </w:r>
      <w:bookmarkStart w:id="0" w:name="OLE_LINK1"/>
      <w:bookmarkStart w:id="1" w:name="OLE_LINK2"/>
      <w:r w:rsidR="00093745" w:rsidRPr="008974F9">
        <w:t>Tariff Electric</w:t>
      </w:r>
      <w:r w:rsidR="00D214F3" w:rsidRPr="008974F9">
        <w:t xml:space="preserve"> – P</w:t>
      </w:r>
      <w:r w:rsidR="00093745" w:rsidRPr="008974F9">
        <w:t>a</w:t>
      </w:r>
      <w:r w:rsidR="00D214F3" w:rsidRPr="008974F9">
        <w:t>.</w:t>
      </w:r>
      <w:r w:rsidR="00226341" w:rsidRPr="008974F9">
        <w:t xml:space="preserve"> PUC</w:t>
      </w:r>
      <w:r w:rsidR="00D214F3" w:rsidRPr="008974F9">
        <w:t xml:space="preserve"> No. </w:t>
      </w:r>
      <w:r w:rsidR="00093745" w:rsidRPr="008974F9">
        <w:t>201</w:t>
      </w:r>
      <w:r w:rsidR="00E66B53" w:rsidRPr="008974F9">
        <w:t>,</w:t>
      </w:r>
      <w:r w:rsidR="002728A2" w:rsidRPr="008974F9">
        <w:t xml:space="preserve"> </w:t>
      </w:r>
      <w:bookmarkEnd w:id="0"/>
      <w:bookmarkEnd w:id="1"/>
      <w:r w:rsidR="00D214F3" w:rsidRPr="008974F9">
        <w:t>containing</w:t>
      </w:r>
      <w:r w:rsidR="00142BC5" w:rsidRPr="008974F9">
        <w:t xml:space="preserve"> proposed changes in rates, rules</w:t>
      </w:r>
      <w:r w:rsidR="00C67675" w:rsidRPr="008974F9">
        <w:t>,</w:t>
      </w:r>
      <w:r w:rsidR="00142BC5" w:rsidRPr="008974F9">
        <w:t xml:space="preserve"> and regulations calculated to produce </w:t>
      </w:r>
      <w:r w:rsidR="00F32EFC" w:rsidRPr="008974F9">
        <w:t xml:space="preserve">approximately </w:t>
      </w:r>
      <w:r w:rsidR="00142BC5" w:rsidRPr="008974F9">
        <w:t>$</w:t>
      </w:r>
      <w:r w:rsidR="00093745" w:rsidRPr="008974F9">
        <w:t>104.6</w:t>
      </w:r>
      <w:r w:rsidR="004B34CF" w:rsidRPr="008974F9">
        <w:t xml:space="preserve"> million</w:t>
      </w:r>
      <w:r w:rsidR="00727F3A" w:rsidRPr="008974F9">
        <w:t xml:space="preserve"> </w:t>
      </w:r>
      <w:r w:rsidR="00142BC5" w:rsidRPr="008974F9">
        <w:t>in additional annual</w:t>
      </w:r>
      <w:r w:rsidR="00142BC5" w:rsidRPr="008974F9">
        <w:rPr>
          <w:i/>
        </w:rPr>
        <w:t xml:space="preserve"> </w:t>
      </w:r>
      <w:r w:rsidR="00142BC5" w:rsidRPr="008974F9">
        <w:t>revenues</w:t>
      </w:r>
      <w:r w:rsidR="00093745" w:rsidRPr="008974F9">
        <w:t xml:space="preserve">.  </w:t>
      </w:r>
      <w:r w:rsidR="00E66B53" w:rsidRPr="008974F9">
        <w:t>This rate change represents an</w:t>
      </w:r>
      <w:r w:rsidR="008974F9" w:rsidRPr="008974F9">
        <w:t xml:space="preserve"> average</w:t>
      </w:r>
      <w:r w:rsidR="00E66B53" w:rsidRPr="008974F9">
        <w:t xml:space="preserve"> </w:t>
      </w:r>
      <w:r w:rsidR="00D3234F" w:rsidRPr="008974F9">
        <w:t>increase</w:t>
      </w:r>
      <w:r w:rsidR="008974F9">
        <w:t xml:space="preserve"> in the Company’s distribution rates</w:t>
      </w:r>
      <w:r w:rsidR="00247118">
        <w:t xml:space="preserve"> of approximately 13%</w:t>
      </w:r>
      <w:r w:rsidR="008974F9">
        <w:t>, which equates to an average increase in total rates (distribution, transmission, and generation charges) of approximately 2.</w:t>
      </w:r>
      <w:r w:rsidR="00247118">
        <w:t>9%</w:t>
      </w:r>
      <w:r w:rsidR="008974F9">
        <w:t>.</w:t>
      </w:r>
      <w:r w:rsidR="00BF751D">
        <w:t xml:space="preserve">  Supplement No. 118 is proposed to become effective June 1, 2012.</w:t>
      </w:r>
    </w:p>
    <w:p w:rsidR="00E66B53" w:rsidRPr="00B15CA2" w:rsidRDefault="00E66B53" w:rsidP="006F0B7B">
      <w:pPr>
        <w:spacing w:line="360" w:lineRule="auto"/>
        <w:ind w:firstLine="720"/>
        <w:rPr>
          <w:highlight w:val="green"/>
        </w:rPr>
      </w:pPr>
    </w:p>
    <w:p w:rsidR="00894F25" w:rsidRPr="000E7C0A" w:rsidRDefault="000E7C0A" w:rsidP="00A53445">
      <w:pPr>
        <w:spacing w:line="360" w:lineRule="auto"/>
        <w:ind w:firstLine="1440"/>
        <w:rPr>
          <w:i/>
        </w:rPr>
      </w:pPr>
      <w:r w:rsidRPr="000E7C0A">
        <w:t>PPL’s</w:t>
      </w:r>
      <w:r w:rsidR="00C81EDF" w:rsidRPr="000E7C0A">
        <w:t xml:space="preserve"> proposed general rate increase is based on a future te</w:t>
      </w:r>
      <w:r w:rsidR="00840E50" w:rsidRPr="000E7C0A">
        <w:t xml:space="preserve">st year ending </w:t>
      </w:r>
      <w:r w:rsidRPr="000E7C0A">
        <w:t>December</w:t>
      </w:r>
      <w:r w:rsidR="00C45B2C" w:rsidRPr="000E7C0A">
        <w:t xml:space="preserve"> 31</w:t>
      </w:r>
      <w:r w:rsidR="00840E50" w:rsidRPr="000E7C0A">
        <w:t>, 201</w:t>
      </w:r>
      <w:r w:rsidR="00C45B2C" w:rsidRPr="000E7C0A">
        <w:t>2</w:t>
      </w:r>
      <w:r w:rsidR="00C81EDF" w:rsidRPr="000E7C0A">
        <w:t xml:space="preserve">, and is designed to allow the Company an opportunity to earn an overall rate of return </w:t>
      </w:r>
      <w:r w:rsidR="00C81EDF" w:rsidRPr="00C03467">
        <w:t xml:space="preserve">of </w:t>
      </w:r>
      <w:r w:rsidR="00903DE7" w:rsidRPr="00C03467">
        <w:t>8.</w:t>
      </w:r>
      <w:r w:rsidR="00C03467" w:rsidRPr="00C03467">
        <w:t>46</w:t>
      </w:r>
      <w:r w:rsidR="00C81EDF" w:rsidRPr="00C03467">
        <w:t>%</w:t>
      </w:r>
      <w:r w:rsidR="00903DE7" w:rsidRPr="00C03467">
        <w:t>, including an 11.</w:t>
      </w:r>
      <w:r w:rsidR="00C45B2C" w:rsidRPr="00C03467">
        <w:t>25</w:t>
      </w:r>
      <w:r w:rsidR="00C81EDF" w:rsidRPr="00C03467">
        <w:t>%</w:t>
      </w:r>
      <w:r w:rsidR="00C03467">
        <w:t xml:space="preserve"> return on </w:t>
      </w:r>
      <w:r w:rsidR="00C81EDF" w:rsidRPr="000E7C0A">
        <w:t>equity.</w:t>
      </w:r>
    </w:p>
    <w:p w:rsidR="003B3BE9" w:rsidRPr="003B3BE9" w:rsidRDefault="00A36790" w:rsidP="00EA40DB">
      <w:pPr>
        <w:spacing w:line="360" w:lineRule="auto"/>
        <w:ind w:firstLine="720"/>
      </w:pPr>
      <w:r w:rsidRPr="003B3BE9">
        <w:lastRenderedPageBreak/>
        <w:tab/>
      </w:r>
      <w:r w:rsidR="006203FC" w:rsidRPr="003B3BE9">
        <w:t xml:space="preserve">Under </w:t>
      </w:r>
      <w:r w:rsidR="003B3BE9" w:rsidRPr="003B3BE9">
        <w:t>PPL</w:t>
      </w:r>
      <w:r w:rsidRPr="003B3BE9">
        <w:t>’s proposed</w:t>
      </w:r>
      <w:r w:rsidR="00FE0293" w:rsidRPr="003B3BE9">
        <w:t xml:space="preserve"> revenue</w:t>
      </w:r>
      <w:r w:rsidR="006203FC" w:rsidRPr="003B3BE9">
        <w:t xml:space="preserve"> increase, </w:t>
      </w:r>
      <w:r w:rsidR="00996321" w:rsidRPr="003B3BE9">
        <w:t>the to</w:t>
      </w:r>
      <w:r w:rsidR="003B3BE9" w:rsidRPr="003B3BE9">
        <w:t>tal monthly bill for a</w:t>
      </w:r>
      <w:r w:rsidR="00996321" w:rsidRPr="003B3BE9">
        <w:t xml:space="preserve"> residential customer</w:t>
      </w:r>
      <w:r w:rsidR="003B3BE9" w:rsidRPr="003B3BE9">
        <w:t xml:space="preserve"> using 1</w:t>
      </w:r>
      <w:r w:rsidR="003B3BE9">
        <w:t>,</w:t>
      </w:r>
      <w:r w:rsidR="003B3BE9" w:rsidRPr="003B3BE9">
        <w:t xml:space="preserve">000 kWh of electricity and receiving </w:t>
      </w:r>
      <w:r w:rsidR="003B3BE9">
        <w:t>generation service from PPL will</w:t>
      </w:r>
      <w:r w:rsidR="003B3BE9" w:rsidRPr="003B3BE9">
        <w:t xml:space="preserve"> increase from $111.60 to $118.59</w:t>
      </w:r>
      <w:r w:rsidR="003B3BE9">
        <w:t>, an increase of $6.99 or 6.3%.  The total monthly bill for a commercial customer using 1,000</w:t>
      </w:r>
      <w:r w:rsidR="00AD5CB9">
        <w:t xml:space="preserve"> kWh with a maximum demand of 3 </w:t>
      </w:r>
      <w:r w:rsidR="003B3BE9">
        <w:t xml:space="preserve">kW would increase from $94.72 to $95.90, and increase of </w:t>
      </w:r>
      <w:r w:rsidR="00AB3A3C">
        <w:t>$1.18 or 1.3%.  The total monthly bill for an industrial customer</w:t>
      </w:r>
      <w:r w:rsidR="00AB3A3C" w:rsidRPr="00AB3A3C">
        <w:t xml:space="preserve"> </w:t>
      </w:r>
      <w:r w:rsidR="00AB3A3C">
        <w:t>using 150,000 kWh with a maximum demand of 500 kW would increase from $10,248.82 to $10,254.11, and increase of $5.29 or 0.1%.</w:t>
      </w:r>
    </w:p>
    <w:p w:rsidR="00E754D2" w:rsidRPr="006E720A" w:rsidRDefault="00E754D2" w:rsidP="001A1A38">
      <w:pPr>
        <w:ind w:firstLine="720"/>
      </w:pPr>
    </w:p>
    <w:p w:rsidR="00B10DA3" w:rsidRPr="00A839B7" w:rsidRDefault="00E754D2" w:rsidP="00E754D2">
      <w:pPr>
        <w:spacing w:line="360" w:lineRule="auto"/>
      </w:pPr>
      <w:r w:rsidRPr="006E720A">
        <w:tab/>
      </w:r>
      <w:r w:rsidR="00B10DA3" w:rsidRPr="006E720A">
        <w:t xml:space="preserve">The </w:t>
      </w:r>
      <w:r w:rsidR="006E720A" w:rsidRPr="006E720A">
        <w:t xml:space="preserve">Office of Consumer Advocate </w:t>
      </w:r>
      <w:r w:rsidR="00C45B2C" w:rsidRPr="006E720A">
        <w:t>and</w:t>
      </w:r>
      <w:r w:rsidR="00B10DA3" w:rsidRPr="006E720A">
        <w:t xml:space="preserve"> </w:t>
      </w:r>
      <w:r w:rsidR="00C45B2C" w:rsidRPr="006E720A">
        <w:t>the Off</w:t>
      </w:r>
      <w:r w:rsidR="006E720A" w:rsidRPr="006E720A">
        <w:t>ice of Small Business Advocate both</w:t>
      </w:r>
      <w:r w:rsidR="00C132D4" w:rsidRPr="006E720A">
        <w:t xml:space="preserve"> </w:t>
      </w:r>
      <w:r w:rsidR="00B10DA3" w:rsidRPr="006E720A">
        <w:t>filed</w:t>
      </w:r>
      <w:r w:rsidR="00C132D4" w:rsidRPr="006E720A">
        <w:t xml:space="preserve"> formal complaints against </w:t>
      </w:r>
      <w:r w:rsidR="006E720A" w:rsidRPr="006E720A">
        <w:t>PPL’s</w:t>
      </w:r>
      <w:r w:rsidR="00C132D4" w:rsidRPr="006E720A">
        <w:t xml:space="preserve"> base rate filing</w:t>
      </w:r>
      <w:r w:rsidR="006E720A" w:rsidRPr="006E720A">
        <w:t xml:space="preserve">, and the Commission’s Bureau of Investigation and Enforcement filed a notice of appearance in </w:t>
      </w:r>
      <w:r w:rsidR="00876938" w:rsidRPr="006E720A">
        <w:t>this</w:t>
      </w:r>
      <w:r w:rsidR="006E720A" w:rsidRPr="006E720A">
        <w:t xml:space="preserve"> proceeding</w:t>
      </w:r>
      <w:r w:rsidR="00B10DA3" w:rsidRPr="006E720A">
        <w:t>.</w:t>
      </w:r>
      <w:r w:rsidR="00225287" w:rsidRPr="006E720A">
        <w:t xml:space="preserve">  A</w:t>
      </w:r>
      <w:r w:rsidR="00B10DA3" w:rsidRPr="006E720A">
        <w:t xml:space="preserve"> number </w:t>
      </w:r>
      <w:r w:rsidR="00B10DA3" w:rsidRPr="00BB4D12">
        <w:t>of other formal com</w:t>
      </w:r>
      <w:r w:rsidR="006E720A" w:rsidRPr="00BB4D12">
        <w:t xml:space="preserve">plaints, protests, and </w:t>
      </w:r>
      <w:r w:rsidR="003435A2" w:rsidRPr="00BB4D12">
        <w:t>expressions of opposition</w:t>
      </w:r>
      <w:r w:rsidR="006E720A" w:rsidRPr="00BB4D12">
        <w:t xml:space="preserve"> to the Company’s proposed base rate increase have also been filed by various customers of PPL.  </w:t>
      </w:r>
      <w:r w:rsidR="00225287" w:rsidRPr="00BB4D12">
        <w:t xml:space="preserve">In addition, </w:t>
      </w:r>
      <w:r w:rsidR="00C45B2C" w:rsidRPr="00BB4D12">
        <w:t>two</w:t>
      </w:r>
      <w:r w:rsidR="00BB4D12" w:rsidRPr="00BB4D12">
        <w:t xml:space="preserve"> other parties</w:t>
      </w:r>
      <w:r w:rsidR="00225287" w:rsidRPr="00BB4D12">
        <w:t>—Dominion Retail, Inc.</w:t>
      </w:r>
      <w:r w:rsidR="00BB4D12" w:rsidRPr="00BB4D12">
        <w:t xml:space="preserve"> and the International Brotherhood of Electrical Workers, Local 1600—filed petitions to i</w:t>
      </w:r>
      <w:r w:rsidR="00225287" w:rsidRPr="00BB4D12">
        <w:t xml:space="preserve">ntervene in </w:t>
      </w:r>
      <w:r w:rsidR="00225287" w:rsidRPr="00A839B7">
        <w:t>this proceeding.</w:t>
      </w:r>
    </w:p>
    <w:p w:rsidR="00194B47" w:rsidRPr="00A839B7" w:rsidRDefault="00194B47" w:rsidP="00E754D2">
      <w:pPr>
        <w:spacing w:line="360" w:lineRule="auto"/>
      </w:pPr>
    </w:p>
    <w:p w:rsidR="005A3548" w:rsidRPr="00ED17B8" w:rsidRDefault="00881330" w:rsidP="00ED17B8">
      <w:pPr>
        <w:tabs>
          <w:tab w:val="left" w:pos="1440"/>
        </w:tabs>
        <w:spacing w:line="360" w:lineRule="auto"/>
        <w:ind w:firstLine="720"/>
      </w:pPr>
      <w:r w:rsidRPr="00A839B7">
        <w:tab/>
      </w:r>
      <w:r w:rsidR="005A3548" w:rsidRPr="00A839B7">
        <w:t>Our inv</w:t>
      </w:r>
      <w:r w:rsidR="00180A0A" w:rsidRPr="00A839B7">
        <w:t xml:space="preserve">estigation and analysis of </w:t>
      </w:r>
      <w:r w:rsidR="00A839B7" w:rsidRPr="00A839B7">
        <w:t>PPL</w:t>
      </w:r>
      <w:r w:rsidR="00180A0A" w:rsidRPr="00A839B7">
        <w:t>’s</w:t>
      </w:r>
      <w:r w:rsidR="005A3548" w:rsidRPr="00A839B7">
        <w:t xml:space="preserve"> proposed general rate increase and the supporting data indicate that the proposed changes in rates, rules, and regulations may be unlawful, unjust, unreasonable, and contrary to the public interest.  It also appears that consideration should be given to the reasonableness of the Company’s existing rates, rules, and regulations.</w:t>
      </w:r>
      <w:r w:rsidR="00ED17B8">
        <w:t xml:space="preserve">  Therefore, b</w:t>
      </w:r>
      <w:r w:rsidR="00A839B7" w:rsidRPr="00A839B7">
        <w:t xml:space="preserve">ased on our analysis of PPL’s filing, and pursuant to 66 Pa. C.S. §1308(d), we will permit Supplement No. 118 to Tariff Electric – Pa. PUC No. 201to be suspended by operation of law for a period not to exceed seven months, or until January 1, 2013, unless permitted by Commission Order to become effective at an earlier date.  In addition, we will direct that an investigation be instituted to determine the lawfulness, justness, and reasonableness of the rates, rules, and regulations contained in the proposed Supplement No. 118, as well as the Company’s existing rates, rules, and regulations.  We will further direct that the case be assigned to the Office of </w:t>
      </w:r>
      <w:r w:rsidR="00A839B7" w:rsidRPr="00A839B7">
        <w:lastRenderedPageBreak/>
        <w:t xml:space="preserve">Administrative Law Judge for the prompt scheduling of such hearings as may be necessary, culminating in the issuance of a Recommended Decision.  </w:t>
      </w:r>
      <w:r w:rsidR="00F72ACF" w:rsidRPr="00A839B7">
        <w:rPr>
          <w:b/>
        </w:rPr>
        <w:t>THEREFORE</w:t>
      </w:r>
      <w:r w:rsidR="00BB5681" w:rsidRPr="00A839B7">
        <w:rPr>
          <w:b/>
        </w:rPr>
        <w:t>;</w:t>
      </w:r>
    </w:p>
    <w:p w:rsidR="00194B47" w:rsidRPr="00A839B7" w:rsidRDefault="00194B47" w:rsidP="00194B47">
      <w:pPr>
        <w:spacing w:line="360" w:lineRule="auto"/>
        <w:ind w:firstLine="720"/>
        <w:rPr>
          <w:b/>
        </w:rPr>
      </w:pPr>
    </w:p>
    <w:p w:rsidR="000449C2" w:rsidRPr="00DC6EE3" w:rsidRDefault="000449C2" w:rsidP="000449C2">
      <w:pPr>
        <w:spacing w:line="360" w:lineRule="auto"/>
        <w:ind w:firstLine="720"/>
        <w:rPr>
          <w:b/>
        </w:rPr>
      </w:pPr>
      <w:r w:rsidRPr="00DC6EE3">
        <w:rPr>
          <w:b/>
        </w:rPr>
        <w:t>IT IS ORDERED:</w:t>
      </w:r>
    </w:p>
    <w:p w:rsidR="005A3548" w:rsidRPr="00DC6EE3" w:rsidRDefault="005A3548" w:rsidP="008D7ABB">
      <w:pPr>
        <w:ind w:firstLine="720"/>
        <w:rPr>
          <w:b/>
        </w:rPr>
      </w:pPr>
    </w:p>
    <w:p w:rsidR="000449C2" w:rsidRPr="00DC6EE3" w:rsidRDefault="00490365" w:rsidP="000449C2">
      <w:pPr>
        <w:tabs>
          <w:tab w:val="left" w:pos="1440"/>
        </w:tabs>
        <w:spacing w:line="360" w:lineRule="auto"/>
        <w:ind w:firstLine="720"/>
      </w:pPr>
      <w:r w:rsidRPr="00DC6EE3">
        <w:t>1.</w:t>
      </w:r>
      <w:r w:rsidRPr="00DC6EE3">
        <w:tab/>
        <w:t xml:space="preserve">That </w:t>
      </w:r>
      <w:r w:rsidR="00DC6EE3" w:rsidRPr="00DC6EE3">
        <w:t>PPL Electric Utilities Corporation’s</w:t>
      </w:r>
      <w:r w:rsidR="000449C2" w:rsidRPr="00DC6EE3">
        <w:t xml:space="preserve"> proposed </w:t>
      </w:r>
      <w:r w:rsidR="00DC6EE3" w:rsidRPr="00DC6EE3">
        <w:t>Supplement No. 118 to Tariff Electric – Pa. PUC No. 201</w:t>
      </w:r>
      <w:r w:rsidR="00794F44">
        <w:t xml:space="preserve"> </w:t>
      </w:r>
      <w:r w:rsidR="000449C2" w:rsidRPr="00DC6EE3">
        <w:t>be suspended b</w:t>
      </w:r>
      <w:r w:rsidRPr="00DC6EE3">
        <w:t xml:space="preserve">y operation of law until </w:t>
      </w:r>
      <w:r w:rsidR="00DC6EE3" w:rsidRPr="00DC6EE3">
        <w:t>January 1</w:t>
      </w:r>
      <w:r w:rsidR="000449C2" w:rsidRPr="00DC6EE3">
        <w:t>, 201</w:t>
      </w:r>
      <w:r w:rsidR="00DC6EE3" w:rsidRPr="00DC6EE3">
        <w:t>3</w:t>
      </w:r>
      <w:r w:rsidR="000449C2" w:rsidRPr="00DC6EE3">
        <w:t>, unless otherwise directed by Order of the Commission.</w:t>
      </w:r>
    </w:p>
    <w:p w:rsidR="008E0A5B" w:rsidRPr="00695ABA" w:rsidRDefault="008E0A5B" w:rsidP="000C5A6F">
      <w:pPr>
        <w:tabs>
          <w:tab w:val="left" w:pos="1440"/>
        </w:tabs>
        <w:spacing w:line="360" w:lineRule="auto"/>
        <w:ind w:firstLine="720"/>
      </w:pPr>
    </w:p>
    <w:p w:rsidR="000449C2" w:rsidRPr="00695ABA" w:rsidRDefault="00BC78D1" w:rsidP="000C5A6F">
      <w:pPr>
        <w:tabs>
          <w:tab w:val="left" w:pos="1440"/>
        </w:tabs>
        <w:spacing w:line="360" w:lineRule="auto"/>
        <w:ind w:firstLine="720"/>
        <w:rPr>
          <w:color w:val="auto"/>
        </w:rPr>
      </w:pPr>
      <w:r>
        <w:t>2</w:t>
      </w:r>
      <w:r w:rsidR="000449C2" w:rsidRPr="00695ABA">
        <w:t>.</w:t>
      </w:r>
      <w:r w:rsidR="000449C2" w:rsidRPr="00695ABA">
        <w:tab/>
        <w:t xml:space="preserve">That an investigation on Commission motion be, and hereby is, instituted to determine the lawfulness, justness, and reasonableness of the rates, rules, and regulations contained in the proposed </w:t>
      </w:r>
      <w:r w:rsidR="00695ABA" w:rsidRPr="00695ABA">
        <w:t>Supplement No. 118 to Tariff Electric – Pa. PUC No. 201.</w:t>
      </w:r>
    </w:p>
    <w:p w:rsidR="00432085" w:rsidRPr="00695ABA" w:rsidRDefault="00432085" w:rsidP="000C5A6F">
      <w:pPr>
        <w:tabs>
          <w:tab w:val="left" w:pos="1440"/>
        </w:tabs>
        <w:spacing w:line="360" w:lineRule="auto"/>
        <w:ind w:firstLine="720"/>
        <w:rPr>
          <w:color w:val="auto"/>
        </w:rPr>
      </w:pPr>
    </w:p>
    <w:p w:rsidR="00432085" w:rsidRPr="00CE3D2A" w:rsidRDefault="00BC78D1" w:rsidP="00432085">
      <w:pPr>
        <w:tabs>
          <w:tab w:val="left" w:pos="1440"/>
        </w:tabs>
        <w:spacing w:line="360" w:lineRule="auto"/>
        <w:ind w:firstLine="720"/>
      </w:pPr>
      <w:r>
        <w:rPr>
          <w:color w:val="auto"/>
        </w:rPr>
        <w:t>3</w:t>
      </w:r>
      <w:r w:rsidR="00432085" w:rsidRPr="00BC78D1">
        <w:rPr>
          <w:color w:val="auto"/>
        </w:rPr>
        <w:t>.</w:t>
      </w:r>
      <w:r w:rsidR="00432085" w:rsidRPr="00BC78D1">
        <w:rPr>
          <w:color w:val="auto"/>
        </w:rPr>
        <w:tab/>
        <w:t>T</w:t>
      </w:r>
      <w:r w:rsidR="00432085" w:rsidRPr="00BC78D1">
        <w:t>hat pursuant to 52 Pa. Code §53.71</w:t>
      </w:r>
      <w:r w:rsidRPr="00BC78D1">
        <w:t>,</w:t>
      </w:r>
      <w:r w:rsidR="00432085" w:rsidRPr="00BC78D1">
        <w:t xml:space="preserve"> a tariff  supplement shall be filed with the Commission a</w:t>
      </w:r>
      <w:r w:rsidRPr="00BC78D1">
        <w:t>nd posted at the office of the C</w:t>
      </w:r>
      <w:r w:rsidR="00432085" w:rsidRPr="00BC78D1">
        <w:t xml:space="preserve">ompany to announce </w:t>
      </w:r>
      <w:r w:rsidRPr="00BC78D1">
        <w:t>that Supplement No. 118 to Tariff Electric – Pa. PUC No. 201</w:t>
      </w:r>
      <w:r w:rsidR="00432085" w:rsidRPr="00BC78D1">
        <w:t xml:space="preserve"> is suspen</w:t>
      </w:r>
      <w:r w:rsidRPr="00BC78D1">
        <w:t xml:space="preserve">ded until the date stated in this </w:t>
      </w:r>
      <w:r w:rsidR="00432085" w:rsidRPr="00BC78D1">
        <w:t xml:space="preserve">Order. </w:t>
      </w:r>
      <w:r w:rsidRPr="00BC78D1">
        <w:t xml:space="preserve"> </w:t>
      </w:r>
      <w:r>
        <w:t>Such tariff supplement shall be substantially identical in form to the sample tariff supplement sheet attached to this Order, and</w:t>
      </w:r>
      <w:r w:rsidR="00432085" w:rsidRPr="00BC78D1">
        <w:t xml:space="preserve"> </w:t>
      </w:r>
      <w:r>
        <w:t>shall be filed in triplicate, or</w:t>
      </w:r>
      <w:r w:rsidR="00432085" w:rsidRPr="00BC78D1">
        <w:t xml:space="preserve"> if applicable, e-filed with the </w:t>
      </w:r>
      <w:r w:rsidR="00432085" w:rsidRPr="00CE3D2A">
        <w:t>Commission with</w:t>
      </w:r>
      <w:r w:rsidRPr="00CE3D2A">
        <w:t xml:space="preserve">in ten days following the </w:t>
      </w:r>
      <w:r w:rsidR="00432085" w:rsidRPr="00CE3D2A">
        <w:t>entry date</w:t>
      </w:r>
      <w:r w:rsidRPr="00CE3D2A">
        <w:t xml:space="preserve"> of this Order</w:t>
      </w:r>
      <w:r w:rsidR="00432085" w:rsidRPr="00CE3D2A">
        <w:t>.</w:t>
      </w:r>
    </w:p>
    <w:p w:rsidR="00BC78D1" w:rsidRPr="00CE3D2A" w:rsidRDefault="00BC78D1" w:rsidP="00432085">
      <w:pPr>
        <w:tabs>
          <w:tab w:val="left" w:pos="1440"/>
        </w:tabs>
        <w:spacing w:line="360" w:lineRule="auto"/>
        <w:ind w:firstLine="720"/>
      </w:pPr>
    </w:p>
    <w:p w:rsidR="000449C2" w:rsidRPr="00CE3D2A" w:rsidRDefault="00CE3D2A" w:rsidP="000449C2">
      <w:pPr>
        <w:tabs>
          <w:tab w:val="left" w:pos="1440"/>
        </w:tabs>
        <w:spacing w:line="360" w:lineRule="auto"/>
        <w:ind w:firstLine="720"/>
      </w:pPr>
      <w:r w:rsidRPr="00CE3D2A">
        <w:t>4</w:t>
      </w:r>
      <w:r w:rsidR="001F12DD" w:rsidRPr="00CE3D2A">
        <w:t>.</w:t>
      </w:r>
      <w:r w:rsidR="001F12DD" w:rsidRPr="00CE3D2A">
        <w:tab/>
        <w:t>That the</w:t>
      </w:r>
      <w:r w:rsidR="000449C2" w:rsidRPr="00CE3D2A">
        <w:t xml:space="preserve"> investigation</w:t>
      </w:r>
      <w:r w:rsidR="001F12DD" w:rsidRPr="00CE3D2A">
        <w:t xml:space="preserve"> instituted in</w:t>
      </w:r>
      <w:r w:rsidRPr="00CE3D2A">
        <w:t xml:space="preserve"> Ordering Paragraph No. 2 of this Order</w:t>
      </w:r>
      <w:r w:rsidR="000449C2" w:rsidRPr="00CE3D2A">
        <w:t xml:space="preserve"> shall include consideration of the lawfulness, justness, and reasonableness of the Company’s existing rates, rules, and regulations.</w:t>
      </w:r>
    </w:p>
    <w:p w:rsidR="000449C2" w:rsidRPr="00CE3D2A" w:rsidRDefault="000449C2" w:rsidP="000449C2">
      <w:pPr>
        <w:tabs>
          <w:tab w:val="left" w:pos="1440"/>
        </w:tabs>
        <w:ind w:firstLine="720"/>
      </w:pPr>
    </w:p>
    <w:p w:rsidR="008F74D6" w:rsidRPr="00CE3D2A" w:rsidRDefault="00CE3D2A" w:rsidP="00590837">
      <w:pPr>
        <w:tabs>
          <w:tab w:val="left" w:pos="1440"/>
        </w:tabs>
        <w:spacing w:line="360" w:lineRule="auto"/>
        <w:ind w:firstLine="720"/>
      </w:pPr>
      <w:r w:rsidRPr="00CE3D2A">
        <w:t>5.</w:t>
      </w:r>
      <w:r w:rsidRPr="00CE3D2A">
        <w:tab/>
        <w:t>That this</w:t>
      </w:r>
      <w:r w:rsidR="000449C2" w:rsidRPr="00CE3D2A">
        <w:t xml:space="preserve"> case be assigned to the Office of Administrative Law Judge for the prompt scheduling of such hearings as may be necessary, culminating in the issuance of a Recommended Decision.</w:t>
      </w:r>
    </w:p>
    <w:p w:rsidR="00432085" w:rsidRPr="00CE3D2A" w:rsidRDefault="00432085" w:rsidP="000449C2">
      <w:pPr>
        <w:tabs>
          <w:tab w:val="left" w:pos="1440"/>
        </w:tabs>
        <w:spacing w:line="360" w:lineRule="auto"/>
        <w:ind w:firstLine="720"/>
      </w:pPr>
    </w:p>
    <w:p w:rsidR="000449C2" w:rsidRPr="003E4394" w:rsidRDefault="003E4394" w:rsidP="000449C2">
      <w:pPr>
        <w:tabs>
          <w:tab w:val="left" w:pos="1440"/>
        </w:tabs>
        <w:spacing w:line="360" w:lineRule="auto"/>
        <w:ind w:firstLine="720"/>
      </w:pPr>
      <w:r>
        <w:lastRenderedPageBreak/>
        <w:t>6</w:t>
      </w:r>
      <w:r w:rsidR="000449C2" w:rsidRPr="003E4394">
        <w:t>.</w:t>
      </w:r>
      <w:r w:rsidR="000449C2" w:rsidRPr="003E4394">
        <w:tab/>
        <w:t xml:space="preserve">That a copy of this Order </w:t>
      </w:r>
      <w:r w:rsidR="00ED0F00" w:rsidRPr="003E4394">
        <w:t>shall be served upon PPL Electric Utilities Corporation</w:t>
      </w:r>
      <w:r w:rsidR="000449C2" w:rsidRPr="003E4394">
        <w:t xml:space="preserve">, the Office of Consumer Advocate, the Office of Small Business Advocate, </w:t>
      </w:r>
      <w:r w:rsidR="00C45B2C" w:rsidRPr="003E4394">
        <w:t>the Public Utility Commission’s Bureau of Investigation and Enforcement</w:t>
      </w:r>
      <w:r w:rsidR="00ED0F00" w:rsidRPr="003E4394">
        <w:t>,</w:t>
      </w:r>
      <w:r w:rsidR="00C45B2C" w:rsidRPr="003E4394">
        <w:t xml:space="preserve"> </w:t>
      </w:r>
      <w:r>
        <w:t xml:space="preserve">and any </w:t>
      </w:r>
      <w:r w:rsidR="000449C2" w:rsidRPr="003E4394">
        <w:t>persons who h</w:t>
      </w:r>
      <w:r w:rsidRPr="003E4394">
        <w:t>ave filed formal c</w:t>
      </w:r>
      <w:r w:rsidR="000449C2" w:rsidRPr="003E4394">
        <w:t>omplaints again</w:t>
      </w:r>
      <w:r w:rsidRPr="003E4394">
        <w:t>st the Company’s proposed Supplement No. 118 to Tariff Electric – Pa. PUC No. 201</w:t>
      </w:r>
      <w:r w:rsidR="000449C2" w:rsidRPr="003E4394">
        <w:t>.</w:t>
      </w:r>
    </w:p>
    <w:p w:rsidR="00651BBB" w:rsidRPr="003E4394" w:rsidRDefault="00651BBB" w:rsidP="000449C2">
      <w:pPr>
        <w:tabs>
          <w:tab w:val="left" w:pos="1440"/>
        </w:tabs>
        <w:spacing w:line="360" w:lineRule="auto"/>
        <w:ind w:firstLine="720"/>
      </w:pPr>
    </w:p>
    <w:p w:rsidR="00142BC5" w:rsidRPr="003E4394" w:rsidRDefault="00142BC5" w:rsidP="00AC1019"/>
    <w:p w:rsidR="00142BC5" w:rsidRPr="006B38EF" w:rsidRDefault="009669AF" w:rsidP="00AC1019">
      <w:pPr>
        <w:tabs>
          <w:tab w:val="left" w:pos="4320"/>
        </w:tabs>
      </w:pPr>
      <w:r>
        <w:rPr>
          <w:noProof/>
        </w:rPr>
        <w:drawing>
          <wp:anchor distT="0" distB="0" distL="114300" distR="114300" simplePos="0" relativeHeight="251658240" behindDoc="1" locked="0" layoutInCell="1" allowOverlap="1" wp14:anchorId="58D747DD" wp14:editId="55ECDC60">
            <wp:simplePos x="0" y="0"/>
            <wp:positionH relativeFrom="column">
              <wp:posOffset>2489200</wp:posOffset>
            </wp:positionH>
            <wp:positionV relativeFrom="paragraph">
              <wp:posOffset>184150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2BC5" w:rsidRPr="003E4394">
        <w:tab/>
      </w:r>
      <w:r w:rsidR="00142BC5" w:rsidRPr="003E4394">
        <w:rPr>
          <w:b/>
        </w:rPr>
        <w:t>BY THE COMMISSION</w:t>
      </w:r>
      <w:r w:rsidR="004D2B0E" w:rsidRPr="003E4394">
        <w:rPr>
          <w:b/>
        </w:rPr>
        <w:t>,</w:t>
      </w:r>
    </w:p>
    <w:p w:rsidR="00142BC5" w:rsidRPr="006B38EF" w:rsidRDefault="00142BC5" w:rsidP="00AC1019">
      <w:pPr>
        <w:tabs>
          <w:tab w:val="left" w:pos="4320"/>
        </w:tabs>
      </w:pPr>
    </w:p>
    <w:p w:rsidR="0082505A" w:rsidRPr="006B38EF" w:rsidRDefault="0082505A" w:rsidP="00AC1019">
      <w:pPr>
        <w:tabs>
          <w:tab w:val="left" w:pos="4320"/>
        </w:tabs>
      </w:pPr>
    </w:p>
    <w:p w:rsidR="00F47908" w:rsidRPr="006B38EF" w:rsidRDefault="00F47908" w:rsidP="00AC1019">
      <w:pPr>
        <w:tabs>
          <w:tab w:val="left" w:pos="4320"/>
        </w:tabs>
      </w:pPr>
    </w:p>
    <w:p w:rsidR="00142BC5" w:rsidRPr="006B38EF" w:rsidRDefault="00142BC5" w:rsidP="00AC1019">
      <w:pPr>
        <w:tabs>
          <w:tab w:val="left" w:pos="4320"/>
        </w:tabs>
      </w:pPr>
    </w:p>
    <w:p w:rsidR="00142BC5" w:rsidRPr="006B38EF" w:rsidRDefault="00142BC5" w:rsidP="00AC1019">
      <w:pPr>
        <w:tabs>
          <w:tab w:val="left" w:pos="4320"/>
        </w:tabs>
      </w:pPr>
      <w:r w:rsidRPr="006B38EF">
        <w:tab/>
      </w:r>
      <w:r w:rsidR="00BF3A15" w:rsidRPr="006B38EF">
        <w:t>Rosemary Chiavetta</w:t>
      </w:r>
    </w:p>
    <w:p w:rsidR="00142BC5" w:rsidRPr="006B38EF" w:rsidRDefault="00142BC5" w:rsidP="00AC1019">
      <w:pPr>
        <w:tabs>
          <w:tab w:val="left" w:pos="4320"/>
        </w:tabs>
      </w:pPr>
      <w:r w:rsidRPr="006B38EF">
        <w:tab/>
        <w:t>Secretary</w:t>
      </w:r>
    </w:p>
    <w:p w:rsidR="00142BC5" w:rsidRPr="006B38EF" w:rsidRDefault="00142BC5" w:rsidP="00AC1019">
      <w:pPr>
        <w:tabs>
          <w:tab w:val="left" w:pos="4320"/>
        </w:tabs>
      </w:pPr>
    </w:p>
    <w:p w:rsidR="008C2D12" w:rsidRPr="006B38EF" w:rsidRDefault="008C2D12" w:rsidP="00AC1019">
      <w:pPr>
        <w:tabs>
          <w:tab w:val="left" w:pos="4320"/>
        </w:tabs>
        <w:spacing w:line="360" w:lineRule="auto"/>
      </w:pPr>
    </w:p>
    <w:p w:rsidR="008C2D12" w:rsidRPr="006B38EF" w:rsidRDefault="008C2D12" w:rsidP="00AC1019">
      <w:pPr>
        <w:tabs>
          <w:tab w:val="left" w:pos="4320"/>
        </w:tabs>
        <w:spacing w:line="360" w:lineRule="auto"/>
      </w:pPr>
    </w:p>
    <w:p w:rsidR="00142BC5" w:rsidRPr="006B38EF" w:rsidRDefault="00142BC5" w:rsidP="00AC1019">
      <w:pPr>
        <w:tabs>
          <w:tab w:val="left" w:pos="4320"/>
        </w:tabs>
        <w:spacing w:line="360" w:lineRule="auto"/>
      </w:pPr>
      <w:r w:rsidRPr="006B38EF">
        <w:t>(SEAL)</w:t>
      </w:r>
    </w:p>
    <w:p w:rsidR="009B729F" w:rsidRPr="006B38EF" w:rsidRDefault="009B729F" w:rsidP="00AC1019">
      <w:pPr>
        <w:tabs>
          <w:tab w:val="left" w:pos="4320"/>
        </w:tabs>
        <w:spacing w:line="360" w:lineRule="auto"/>
      </w:pPr>
    </w:p>
    <w:p w:rsidR="00142BC5" w:rsidRPr="006B38EF" w:rsidRDefault="00142BC5" w:rsidP="00AC1019">
      <w:pPr>
        <w:tabs>
          <w:tab w:val="left" w:pos="4320"/>
        </w:tabs>
        <w:spacing w:line="360" w:lineRule="auto"/>
      </w:pPr>
      <w:r w:rsidRPr="006B38EF">
        <w:t xml:space="preserve">ORDER ADOPTED:  </w:t>
      </w:r>
      <w:r w:rsidR="00B15CA2">
        <w:t>May 24</w:t>
      </w:r>
      <w:r w:rsidR="00194B47">
        <w:t>, 2012</w:t>
      </w:r>
    </w:p>
    <w:p w:rsidR="00506BA2" w:rsidRDefault="00142BC5" w:rsidP="00AC1019">
      <w:pPr>
        <w:tabs>
          <w:tab w:val="left" w:pos="4320"/>
        </w:tabs>
        <w:spacing w:line="360" w:lineRule="auto"/>
      </w:pPr>
      <w:r w:rsidRPr="006B38EF">
        <w:t xml:space="preserve">ORDER ENTERED:  </w:t>
      </w:r>
      <w:r w:rsidR="009669AF">
        <w:t>May 24, 2012</w:t>
      </w:r>
      <w:bookmarkStart w:id="2" w:name="_GoBack"/>
      <w:bookmarkEnd w:id="2"/>
    </w:p>
    <w:p w:rsidR="00B746C5" w:rsidRDefault="00B746C5" w:rsidP="00AC1019">
      <w:pPr>
        <w:tabs>
          <w:tab w:val="left" w:pos="4320"/>
        </w:tabs>
        <w:spacing w:line="360" w:lineRule="auto"/>
      </w:pPr>
    </w:p>
    <w:p w:rsidR="00C442A6" w:rsidRDefault="00C442A6">
      <w:pPr>
        <w:sectPr w:rsidR="00C442A6" w:rsidSect="00A15230">
          <w:footerReference w:type="even" r:id="rId10"/>
          <w:footerReference w:type="default" r:id="rId11"/>
          <w:pgSz w:w="12240" w:h="15840" w:code="1"/>
          <w:pgMar w:top="1440" w:right="1440" w:bottom="1440" w:left="1440" w:header="720" w:footer="720" w:gutter="0"/>
          <w:cols w:space="720"/>
          <w:titlePg/>
          <w:docGrid w:linePitch="354"/>
        </w:sectPr>
      </w:pPr>
    </w:p>
    <w:p w:rsidR="00B746C5" w:rsidRDefault="00B746C5"/>
    <w:p w:rsidR="00B746C5" w:rsidRPr="00B746C5" w:rsidRDefault="00B746C5" w:rsidP="00B746C5">
      <w:pPr>
        <w:tabs>
          <w:tab w:val="left" w:pos="4320"/>
        </w:tabs>
        <w:spacing w:line="360" w:lineRule="auto"/>
        <w:jc w:val="center"/>
        <w:rPr>
          <w:sz w:val="24"/>
          <w:szCs w:val="24"/>
          <w:u w:val="single"/>
        </w:rPr>
      </w:pPr>
      <w:r w:rsidRPr="00B746C5">
        <w:rPr>
          <w:sz w:val="24"/>
          <w:szCs w:val="24"/>
          <w:u w:val="single"/>
        </w:rPr>
        <w:t>ATTACHMENT</w:t>
      </w:r>
    </w:p>
    <w:p w:rsidR="00B746C5" w:rsidRPr="00B746C5" w:rsidRDefault="00B746C5" w:rsidP="00B746C5">
      <w:pPr>
        <w:jc w:val="right"/>
        <w:rPr>
          <w:sz w:val="24"/>
        </w:rPr>
      </w:pP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t>Supplement No. ______ to</w:t>
      </w:r>
    </w:p>
    <w:p w:rsidR="00B746C5" w:rsidRPr="00B746C5" w:rsidRDefault="00B746C5" w:rsidP="00B746C5">
      <w:pPr>
        <w:jc w:val="right"/>
        <w:rPr>
          <w:sz w:val="24"/>
        </w:rPr>
      </w:pP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r>
    </w:p>
    <w:p w:rsidR="00B746C5" w:rsidRPr="00B746C5" w:rsidRDefault="00B746C5" w:rsidP="00B746C5">
      <w:pPr>
        <w:jc w:val="right"/>
        <w:rPr>
          <w:sz w:val="24"/>
        </w:rPr>
      </w:pPr>
      <w:r w:rsidRPr="00B746C5">
        <w:rPr>
          <w:sz w:val="24"/>
        </w:rPr>
        <w:t>Pa. P.U.C. No. _____</w:t>
      </w: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jc w:val="center"/>
        <w:rPr>
          <w:sz w:val="24"/>
        </w:rPr>
      </w:pPr>
      <w:r w:rsidRPr="00B746C5">
        <w:rPr>
          <w:sz w:val="24"/>
        </w:rPr>
        <w:t>(COMPANY’S NAME)</w:t>
      </w:r>
    </w:p>
    <w:p w:rsidR="00B746C5" w:rsidRPr="00B746C5" w:rsidRDefault="00B746C5" w:rsidP="00B746C5">
      <w:pPr>
        <w:jc w:val="center"/>
        <w:rPr>
          <w:sz w:val="24"/>
        </w:rPr>
      </w:pPr>
    </w:p>
    <w:p w:rsidR="00B746C5" w:rsidRPr="00B746C5" w:rsidRDefault="00B746C5" w:rsidP="00B746C5">
      <w:pPr>
        <w:jc w:val="center"/>
        <w:rPr>
          <w:sz w:val="24"/>
        </w:rPr>
      </w:pPr>
      <w:r w:rsidRPr="00B746C5">
        <w:rPr>
          <w:sz w:val="24"/>
        </w:rPr>
        <w:t>_______________________________</w:t>
      </w:r>
    </w:p>
    <w:p w:rsidR="00B746C5" w:rsidRPr="00B746C5" w:rsidRDefault="00B746C5" w:rsidP="00B746C5">
      <w:pPr>
        <w:jc w:val="center"/>
        <w:rPr>
          <w:sz w:val="24"/>
        </w:rPr>
      </w:pPr>
    </w:p>
    <w:p w:rsidR="00B746C5" w:rsidRPr="00B746C5" w:rsidRDefault="00B746C5" w:rsidP="00B746C5">
      <w:pPr>
        <w:jc w:val="center"/>
        <w:rPr>
          <w:sz w:val="24"/>
        </w:rPr>
      </w:pPr>
    </w:p>
    <w:p w:rsidR="00B746C5" w:rsidRPr="00B746C5" w:rsidRDefault="00B746C5" w:rsidP="00B746C5">
      <w:pPr>
        <w:jc w:val="center"/>
        <w:rPr>
          <w:sz w:val="24"/>
        </w:rPr>
      </w:pPr>
    </w:p>
    <w:p w:rsidR="00B746C5" w:rsidRPr="00B746C5" w:rsidRDefault="00B746C5" w:rsidP="00B746C5">
      <w:pPr>
        <w:jc w:val="center"/>
        <w:rPr>
          <w:sz w:val="24"/>
        </w:rPr>
      </w:pPr>
    </w:p>
    <w:p w:rsidR="00B746C5" w:rsidRPr="00B746C5" w:rsidRDefault="00B746C5" w:rsidP="00B746C5">
      <w:pPr>
        <w:jc w:val="center"/>
        <w:rPr>
          <w:sz w:val="24"/>
        </w:rPr>
      </w:pPr>
    </w:p>
    <w:p w:rsidR="00B746C5" w:rsidRPr="00B746C5" w:rsidRDefault="00B746C5" w:rsidP="00B746C5">
      <w:pPr>
        <w:jc w:val="center"/>
        <w:rPr>
          <w:sz w:val="24"/>
        </w:rPr>
      </w:pPr>
      <w:r w:rsidRPr="00B746C5">
        <w:rPr>
          <w:sz w:val="24"/>
        </w:rPr>
        <w:t>(TERRITORY SERVED BY COMPANY)</w:t>
      </w: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spacing w:after="120"/>
        <w:rPr>
          <w:color w:val="auto"/>
          <w:sz w:val="20"/>
        </w:rPr>
      </w:pPr>
      <w:r w:rsidRPr="00B746C5">
        <w:rPr>
          <w:color w:val="auto"/>
          <w:sz w:val="20"/>
        </w:rPr>
        <w:t xml:space="preserve">The application of rates proposed in Supplement No. _____ to Tariff _____________ </w:t>
      </w:r>
      <w:smartTag w:uri="urn:schemas-microsoft-com:office:smarttags" w:element="place">
        <w:smartTag w:uri="urn:schemas-microsoft-com:office:smarttags" w:element="State">
          <w:r w:rsidRPr="00B746C5">
            <w:rPr>
              <w:color w:val="auto"/>
              <w:sz w:val="20"/>
            </w:rPr>
            <w:t>Pa.</w:t>
          </w:r>
        </w:smartTag>
      </w:smartTag>
      <w:r w:rsidRPr="00B746C5">
        <w:rPr>
          <w:color w:val="auto"/>
          <w:sz w:val="20"/>
        </w:rPr>
        <w:t xml:space="preserve"> P.U.C. No. ____ filed to become effective ___________________ (and voluntarily postponed to become effective ______________________, is hereby suspended until ______________________, at Docket No. ________________.  Presently effective rates contained in Tariff ____________ Pa. P.U.C. No. _______ and supplements thereto, will continue in effect until otherwise amended.</w:t>
      </w: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rPr>
          <w:sz w:val="24"/>
        </w:rPr>
      </w:pPr>
    </w:p>
    <w:p w:rsidR="00B746C5" w:rsidRPr="00B746C5" w:rsidRDefault="00B746C5" w:rsidP="00B746C5">
      <w:pPr>
        <w:jc w:val="right"/>
        <w:rPr>
          <w:sz w:val="24"/>
        </w:rPr>
      </w:pPr>
      <w:r w:rsidRPr="00B746C5">
        <w:rPr>
          <w:sz w:val="24"/>
        </w:rPr>
        <w:t>Issued:</w:t>
      </w: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t>Issued in compliance with</w:t>
      </w:r>
    </w:p>
    <w:p w:rsidR="00B746C5" w:rsidRPr="00AC1019" w:rsidRDefault="00B746C5" w:rsidP="00AC1019">
      <w:pPr>
        <w:tabs>
          <w:tab w:val="left" w:pos="4320"/>
        </w:tabs>
        <w:spacing w:line="360" w:lineRule="auto"/>
      </w:pP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r>
      <w:r w:rsidRPr="00B746C5">
        <w:rPr>
          <w:sz w:val="24"/>
        </w:rPr>
        <w:tab/>
        <w:t>Title 66 PA C.S.</w:t>
      </w:r>
    </w:p>
    <w:sectPr w:rsidR="00B746C5" w:rsidRPr="00AC1019" w:rsidSect="00C442A6">
      <w:pgSz w:w="12240" w:h="15840" w:code="1"/>
      <w:pgMar w:top="1008" w:right="1440" w:bottom="1008" w:left="1440" w:header="720"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DB2" w:rsidRDefault="009F0DB2">
      <w:r>
        <w:separator/>
      </w:r>
    </w:p>
  </w:endnote>
  <w:endnote w:type="continuationSeparator" w:id="0">
    <w:p w:rsidR="009F0DB2" w:rsidRDefault="009F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5F" w:rsidRDefault="001C484C">
    <w:pPr>
      <w:pStyle w:val="Footer"/>
      <w:framePr w:wrap="around" w:vAnchor="text" w:hAnchor="margin" w:xAlign="center" w:y="1"/>
      <w:rPr>
        <w:rStyle w:val="PageNumber"/>
      </w:rPr>
    </w:pPr>
    <w:r>
      <w:rPr>
        <w:rStyle w:val="PageNumber"/>
      </w:rPr>
      <w:fldChar w:fldCharType="begin"/>
    </w:r>
    <w:r w:rsidR="0084205F">
      <w:rPr>
        <w:rStyle w:val="PageNumber"/>
      </w:rPr>
      <w:instrText xml:space="preserve">PAGE  </w:instrText>
    </w:r>
    <w:r>
      <w:rPr>
        <w:rStyle w:val="PageNumber"/>
      </w:rPr>
      <w:fldChar w:fldCharType="separate"/>
    </w:r>
    <w:r w:rsidR="0084205F">
      <w:rPr>
        <w:rStyle w:val="PageNumber"/>
        <w:noProof/>
      </w:rPr>
      <w:t>1</w:t>
    </w:r>
    <w:r>
      <w:rPr>
        <w:rStyle w:val="PageNumber"/>
      </w:rPr>
      <w:fldChar w:fldCharType="end"/>
    </w:r>
  </w:p>
  <w:p w:rsidR="0084205F" w:rsidRDefault="008420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05F" w:rsidRDefault="001C484C">
    <w:pPr>
      <w:pStyle w:val="Footer"/>
      <w:framePr w:wrap="around" w:vAnchor="text" w:hAnchor="margin" w:xAlign="center" w:y="1"/>
      <w:rPr>
        <w:rStyle w:val="PageNumber"/>
      </w:rPr>
    </w:pPr>
    <w:r>
      <w:rPr>
        <w:rStyle w:val="PageNumber"/>
      </w:rPr>
      <w:fldChar w:fldCharType="begin"/>
    </w:r>
    <w:r w:rsidR="0084205F">
      <w:rPr>
        <w:rStyle w:val="PageNumber"/>
      </w:rPr>
      <w:instrText xml:space="preserve">PAGE  </w:instrText>
    </w:r>
    <w:r>
      <w:rPr>
        <w:rStyle w:val="PageNumber"/>
      </w:rPr>
      <w:fldChar w:fldCharType="separate"/>
    </w:r>
    <w:r w:rsidR="009669AF">
      <w:rPr>
        <w:rStyle w:val="PageNumber"/>
        <w:noProof/>
      </w:rPr>
      <w:t>4</w:t>
    </w:r>
    <w:r>
      <w:rPr>
        <w:rStyle w:val="PageNumber"/>
      </w:rPr>
      <w:fldChar w:fldCharType="end"/>
    </w:r>
  </w:p>
  <w:p w:rsidR="0084205F" w:rsidRDefault="0084205F">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DB2" w:rsidRDefault="009F0DB2">
      <w:r>
        <w:separator/>
      </w:r>
    </w:p>
  </w:footnote>
  <w:footnote w:type="continuationSeparator" w:id="0">
    <w:p w:rsidR="009F0DB2" w:rsidRDefault="009F0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207C4"/>
    <w:multiLevelType w:val="hybridMultilevel"/>
    <w:tmpl w:val="C07CDA5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nsid w:val="170542D7"/>
    <w:multiLevelType w:val="hybridMultilevel"/>
    <w:tmpl w:val="DCCC0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6123060"/>
    <w:multiLevelType w:val="hybridMultilevel"/>
    <w:tmpl w:val="368E4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005EB1"/>
    <w:multiLevelType w:val="hybridMultilevel"/>
    <w:tmpl w:val="AA7E5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B1C1E"/>
    <w:multiLevelType w:val="hybridMultilevel"/>
    <w:tmpl w:val="AC1C6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CAF19E1"/>
    <w:multiLevelType w:val="singleLevel"/>
    <w:tmpl w:val="0622917A"/>
    <w:lvl w:ilvl="0">
      <w:start w:val="1"/>
      <w:numFmt w:val="decimal"/>
      <w:lvlText w:val="%1."/>
      <w:lvlJc w:val="left"/>
      <w:pPr>
        <w:tabs>
          <w:tab w:val="num" w:pos="1800"/>
        </w:tabs>
        <w:ind w:left="1800" w:hanging="360"/>
      </w:pPr>
      <w:rPr>
        <w:rFonts w:hint="default"/>
      </w:rPr>
    </w:lvl>
  </w:abstractNum>
  <w:abstractNum w:abstractNumId="6">
    <w:nsid w:val="525962D5"/>
    <w:multiLevelType w:val="hybridMultilevel"/>
    <w:tmpl w:val="C660D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5568C1"/>
    <w:multiLevelType w:val="hybridMultilevel"/>
    <w:tmpl w:val="E522C8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767F384B"/>
    <w:multiLevelType w:val="hybridMultilevel"/>
    <w:tmpl w:val="AB44EA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1"/>
  </w:num>
  <w:num w:numId="6">
    <w:abstractNumId w:val="8"/>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3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BC5"/>
    <w:rsid w:val="000001B7"/>
    <w:rsid w:val="00001239"/>
    <w:rsid w:val="00002422"/>
    <w:rsid w:val="0000437E"/>
    <w:rsid w:val="00004B9F"/>
    <w:rsid w:val="0000665A"/>
    <w:rsid w:val="0001171C"/>
    <w:rsid w:val="0001266D"/>
    <w:rsid w:val="000147C6"/>
    <w:rsid w:val="000179BC"/>
    <w:rsid w:val="0002055E"/>
    <w:rsid w:val="00023BE8"/>
    <w:rsid w:val="000272F6"/>
    <w:rsid w:val="00027DFA"/>
    <w:rsid w:val="00031D5F"/>
    <w:rsid w:val="00033741"/>
    <w:rsid w:val="00036041"/>
    <w:rsid w:val="00040844"/>
    <w:rsid w:val="000412D7"/>
    <w:rsid w:val="00043668"/>
    <w:rsid w:val="000449C2"/>
    <w:rsid w:val="00050CD2"/>
    <w:rsid w:val="00052FC7"/>
    <w:rsid w:val="00053BF9"/>
    <w:rsid w:val="0005402D"/>
    <w:rsid w:val="0005782B"/>
    <w:rsid w:val="00060F2D"/>
    <w:rsid w:val="000619B5"/>
    <w:rsid w:val="00064A09"/>
    <w:rsid w:val="00066D86"/>
    <w:rsid w:val="00072504"/>
    <w:rsid w:val="00072AB0"/>
    <w:rsid w:val="000761B7"/>
    <w:rsid w:val="000804CA"/>
    <w:rsid w:val="0008061B"/>
    <w:rsid w:val="000810DF"/>
    <w:rsid w:val="0008272C"/>
    <w:rsid w:val="00082CC2"/>
    <w:rsid w:val="00085C9F"/>
    <w:rsid w:val="000875C4"/>
    <w:rsid w:val="00087CED"/>
    <w:rsid w:val="00090083"/>
    <w:rsid w:val="00091FA2"/>
    <w:rsid w:val="00093745"/>
    <w:rsid w:val="00094411"/>
    <w:rsid w:val="0009446F"/>
    <w:rsid w:val="0009521E"/>
    <w:rsid w:val="0009523C"/>
    <w:rsid w:val="000961CF"/>
    <w:rsid w:val="00097759"/>
    <w:rsid w:val="000A0206"/>
    <w:rsid w:val="000A1873"/>
    <w:rsid w:val="000A612F"/>
    <w:rsid w:val="000A6FCA"/>
    <w:rsid w:val="000A7AF0"/>
    <w:rsid w:val="000B0B1C"/>
    <w:rsid w:val="000B0F57"/>
    <w:rsid w:val="000B150D"/>
    <w:rsid w:val="000B30DD"/>
    <w:rsid w:val="000B67D8"/>
    <w:rsid w:val="000B77CF"/>
    <w:rsid w:val="000C0E11"/>
    <w:rsid w:val="000C4DC8"/>
    <w:rsid w:val="000C4E0A"/>
    <w:rsid w:val="000C5613"/>
    <w:rsid w:val="000C5A6F"/>
    <w:rsid w:val="000C6C92"/>
    <w:rsid w:val="000C7DF9"/>
    <w:rsid w:val="000C7ED3"/>
    <w:rsid w:val="000D25B4"/>
    <w:rsid w:val="000D58F3"/>
    <w:rsid w:val="000D72F3"/>
    <w:rsid w:val="000E19A0"/>
    <w:rsid w:val="000E2C5B"/>
    <w:rsid w:val="000E3729"/>
    <w:rsid w:val="000E4C85"/>
    <w:rsid w:val="000E7C0A"/>
    <w:rsid w:val="000F5740"/>
    <w:rsid w:val="000F5794"/>
    <w:rsid w:val="000F6726"/>
    <w:rsid w:val="000F67C9"/>
    <w:rsid w:val="000F7A15"/>
    <w:rsid w:val="000F7EA3"/>
    <w:rsid w:val="00104BAF"/>
    <w:rsid w:val="001077C9"/>
    <w:rsid w:val="001116B9"/>
    <w:rsid w:val="00112A90"/>
    <w:rsid w:val="0011368B"/>
    <w:rsid w:val="00115431"/>
    <w:rsid w:val="00117B08"/>
    <w:rsid w:val="001210EB"/>
    <w:rsid w:val="00130ABB"/>
    <w:rsid w:val="00130F81"/>
    <w:rsid w:val="0013168D"/>
    <w:rsid w:val="00132AB3"/>
    <w:rsid w:val="001357BC"/>
    <w:rsid w:val="00137A57"/>
    <w:rsid w:val="00140A6F"/>
    <w:rsid w:val="00140F39"/>
    <w:rsid w:val="00142BC5"/>
    <w:rsid w:val="0014317C"/>
    <w:rsid w:val="001469C6"/>
    <w:rsid w:val="00146C82"/>
    <w:rsid w:val="00147E27"/>
    <w:rsid w:val="001500A4"/>
    <w:rsid w:val="00150BC8"/>
    <w:rsid w:val="001513A1"/>
    <w:rsid w:val="00151454"/>
    <w:rsid w:val="00154773"/>
    <w:rsid w:val="001554B4"/>
    <w:rsid w:val="00155C4D"/>
    <w:rsid w:val="00157464"/>
    <w:rsid w:val="00160966"/>
    <w:rsid w:val="00161495"/>
    <w:rsid w:val="001616B4"/>
    <w:rsid w:val="0016287E"/>
    <w:rsid w:val="0016437F"/>
    <w:rsid w:val="001708CD"/>
    <w:rsid w:val="00170CC3"/>
    <w:rsid w:val="00171806"/>
    <w:rsid w:val="001734F8"/>
    <w:rsid w:val="00180A0A"/>
    <w:rsid w:val="00181456"/>
    <w:rsid w:val="00185D42"/>
    <w:rsid w:val="00187F01"/>
    <w:rsid w:val="00191571"/>
    <w:rsid w:val="001916DC"/>
    <w:rsid w:val="00194B47"/>
    <w:rsid w:val="00195414"/>
    <w:rsid w:val="00196D24"/>
    <w:rsid w:val="001A1A38"/>
    <w:rsid w:val="001A2CCA"/>
    <w:rsid w:val="001A7275"/>
    <w:rsid w:val="001B010E"/>
    <w:rsid w:val="001B1DF7"/>
    <w:rsid w:val="001B33CE"/>
    <w:rsid w:val="001B4666"/>
    <w:rsid w:val="001B4E4A"/>
    <w:rsid w:val="001B526E"/>
    <w:rsid w:val="001B648D"/>
    <w:rsid w:val="001C1215"/>
    <w:rsid w:val="001C1479"/>
    <w:rsid w:val="001C484C"/>
    <w:rsid w:val="001C51A8"/>
    <w:rsid w:val="001C63A3"/>
    <w:rsid w:val="001D1166"/>
    <w:rsid w:val="001D2549"/>
    <w:rsid w:val="001D2AEB"/>
    <w:rsid w:val="001D5214"/>
    <w:rsid w:val="001D55C4"/>
    <w:rsid w:val="001E1363"/>
    <w:rsid w:val="001E3F0D"/>
    <w:rsid w:val="001E495C"/>
    <w:rsid w:val="001F12DD"/>
    <w:rsid w:val="001F24EC"/>
    <w:rsid w:val="001F33B8"/>
    <w:rsid w:val="001F6947"/>
    <w:rsid w:val="001F79D9"/>
    <w:rsid w:val="0020493B"/>
    <w:rsid w:val="00205563"/>
    <w:rsid w:val="002102D8"/>
    <w:rsid w:val="00211164"/>
    <w:rsid w:val="002121F9"/>
    <w:rsid w:val="00212260"/>
    <w:rsid w:val="00214732"/>
    <w:rsid w:val="00214BF2"/>
    <w:rsid w:val="002157BD"/>
    <w:rsid w:val="0022181C"/>
    <w:rsid w:val="00221EFE"/>
    <w:rsid w:val="00222BF7"/>
    <w:rsid w:val="002245BB"/>
    <w:rsid w:val="00224C8D"/>
    <w:rsid w:val="00225287"/>
    <w:rsid w:val="00226341"/>
    <w:rsid w:val="00226421"/>
    <w:rsid w:val="002303F8"/>
    <w:rsid w:val="002321B9"/>
    <w:rsid w:val="00232E90"/>
    <w:rsid w:val="002355CC"/>
    <w:rsid w:val="002402FF"/>
    <w:rsid w:val="00242429"/>
    <w:rsid w:val="0024624F"/>
    <w:rsid w:val="00246E6C"/>
    <w:rsid w:val="00247118"/>
    <w:rsid w:val="00247BC2"/>
    <w:rsid w:val="002518C7"/>
    <w:rsid w:val="002528AE"/>
    <w:rsid w:val="002535E6"/>
    <w:rsid w:val="00253786"/>
    <w:rsid w:val="0026008D"/>
    <w:rsid w:val="002622B5"/>
    <w:rsid w:val="002623B9"/>
    <w:rsid w:val="00262699"/>
    <w:rsid w:val="00263815"/>
    <w:rsid w:val="002646CA"/>
    <w:rsid w:val="00265383"/>
    <w:rsid w:val="0027064C"/>
    <w:rsid w:val="00270ACF"/>
    <w:rsid w:val="002728A2"/>
    <w:rsid w:val="00273F52"/>
    <w:rsid w:val="002748AC"/>
    <w:rsid w:val="002750F3"/>
    <w:rsid w:val="00280D60"/>
    <w:rsid w:val="00282203"/>
    <w:rsid w:val="0028797B"/>
    <w:rsid w:val="002902A1"/>
    <w:rsid w:val="002907A0"/>
    <w:rsid w:val="002908AA"/>
    <w:rsid w:val="00292047"/>
    <w:rsid w:val="00292752"/>
    <w:rsid w:val="0029415D"/>
    <w:rsid w:val="002943F3"/>
    <w:rsid w:val="002949B3"/>
    <w:rsid w:val="002950D9"/>
    <w:rsid w:val="00297711"/>
    <w:rsid w:val="002A0E5D"/>
    <w:rsid w:val="002A0FC9"/>
    <w:rsid w:val="002A320D"/>
    <w:rsid w:val="002A4B3B"/>
    <w:rsid w:val="002B0550"/>
    <w:rsid w:val="002B0560"/>
    <w:rsid w:val="002B6432"/>
    <w:rsid w:val="002B69B6"/>
    <w:rsid w:val="002C0767"/>
    <w:rsid w:val="002C1CBC"/>
    <w:rsid w:val="002C3A08"/>
    <w:rsid w:val="002C3B96"/>
    <w:rsid w:val="002C45AC"/>
    <w:rsid w:val="002D5704"/>
    <w:rsid w:val="002E2AA0"/>
    <w:rsid w:val="002E35BA"/>
    <w:rsid w:val="002E3D1D"/>
    <w:rsid w:val="002E4351"/>
    <w:rsid w:val="002F0029"/>
    <w:rsid w:val="002F4553"/>
    <w:rsid w:val="002F4A8A"/>
    <w:rsid w:val="002F4E0B"/>
    <w:rsid w:val="003019ED"/>
    <w:rsid w:val="003032C9"/>
    <w:rsid w:val="00305BED"/>
    <w:rsid w:val="00307011"/>
    <w:rsid w:val="00310A02"/>
    <w:rsid w:val="00311500"/>
    <w:rsid w:val="00311C72"/>
    <w:rsid w:val="00317947"/>
    <w:rsid w:val="003224CA"/>
    <w:rsid w:val="00323549"/>
    <w:rsid w:val="00323555"/>
    <w:rsid w:val="003306A5"/>
    <w:rsid w:val="00332D23"/>
    <w:rsid w:val="003435A2"/>
    <w:rsid w:val="00346C6F"/>
    <w:rsid w:val="00346D78"/>
    <w:rsid w:val="0034728A"/>
    <w:rsid w:val="003501F3"/>
    <w:rsid w:val="003564A9"/>
    <w:rsid w:val="00356D6B"/>
    <w:rsid w:val="00357255"/>
    <w:rsid w:val="00360270"/>
    <w:rsid w:val="00362DC8"/>
    <w:rsid w:val="00364EE3"/>
    <w:rsid w:val="00365433"/>
    <w:rsid w:val="00367661"/>
    <w:rsid w:val="00367EBA"/>
    <w:rsid w:val="00380B95"/>
    <w:rsid w:val="00380C62"/>
    <w:rsid w:val="003836A0"/>
    <w:rsid w:val="00384B20"/>
    <w:rsid w:val="00387E2E"/>
    <w:rsid w:val="00393FB2"/>
    <w:rsid w:val="00395331"/>
    <w:rsid w:val="003A0437"/>
    <w:rsid w:val="003A2507"/>
    <w:rsid w:val="003A5250"/>
    <w:rsid w:val="003A65FA"/>
    <w:rsid w:val="003A68A9"/>
    <w:rsid w:val="003A6CED"/>
    <w:rsid w:val="003B03A2"/>
    <w:rsid w:val="003B1455"/>
    <w:rsid w:val="003B15EF"/>
    <w:rsid w:val="003B2DC3"/>
    <w:rsid w:val="003B3BE9"/>
    <w:rsid w:val="003C1852"/>
    <w:rsid w:val="003C3647"/>
    <w:rsid w:val="003C4998"/>
    <w:rsid w:val="003C59E0"/>
    <w:rsid w:val="003C7750"/>
    <w:rsid w:val="003D05F9"/>
    <w:rsid w:val="003D092E"/>
    <w:rsid w:val="003D0B67"/>
    <w:rsid w:val="003D2FF0"/>
    <w:rsid w:val="003D3118"/>
    <w:rsid w:val="003D3220"/>
    <w:rsid w:val="003D475F"/>
    <w:rsid w:val="003D541A"/>
    <w:rsid w:val="003D724F"/>
    <w:rsid w:val="003E1352"/>
    <w:rsid w:val="003E1D2C"/>
    <w:rsid w:val="003E1E70"/>
    <w:rsid w:val="003E2801"/>
    <w:rsid w:val="003E4394"/>
    <w:rsid w:val="003E4484"/>
    <w:rsid w:val="003E54B8"/>
    <w:rsid w:val="003E6BF9"/>
    <w:rsid w:val="003E6BFA"/>
    <w:rsid w:val="003E780C"/>
    <w:rsid w:val="003E7B2C"/>
    <w:rsid w:val="003F7B0B"/>
    <w:rsid w:val="0040138F"/>
    <w:rsid w:val="004035D3"/>
    <w:rsid w:val="004045C8"/>
    <w:rsid w:val="00405B44"/>
    <w:rsid w:val="00411FB9"/>
    <w:rsid w:val="004120EC"/>
    <w:rsid w:val="004146DA"/>
    <w:rsid w:val="00420FA8"/>
    <w:rsid w:val="004229AE"/>
    <w:rsid w:val="004233A6"/>
    <w:rsid w:val="00424B3F"/>
    <w:rsid w:val="004265BF"/>
    <w:rsid w:val="00431911"/>
    <w:rsid w:val="00432085"/>
    <w:rsid w:val="00432399"/>
    <w:rsid w:val="004324B3"/>
    <w:rsid w:val="0043557E"/>
    <w:rsid w:val="00443C0D"/>
    <w:rsid w:val="00445055"/>
    <w:rsid w:val="00446236"/>
    <w:rsid w:val="004555D1"/>
    <w:rsid w:val="004570B3"/>
    <w:rsid w:val="00460768"/>
    <w:rsid w:val="0046164D"/>
    <w:rsid w:val="00463CDE"/>
    <w:rsid w:val="00464D12"/>
    <w:rsid w:val="0046518B"/>
    <w:rsid w:val="00471C84"/>
    <w:rsid w:val="00471F70"/>
    <w:rsid w:val="00473E79"/>
    <w:rsid w:val="00474158"/>
    <w:rsid w:val="0048010F"/>
    <w:rsid w:val="00481A44"/>
    <w:rsid w:val="00482BFB"/>
    <w:rsid w:val="00485F3E"/>
    <w:rsid w:val="00490365"/>
    <w:rsid w:val="00490A03"/>
    <w:rsid w:val="00491EB3"/>
    <w:rsid w:val="00492A50"/>
    <w:rsid w:val="004933B1"/>
    <w:rsid w:val="00496CAB"/>
    <w:rsid w:val="004A019F"/>
    <w:rsid w:val="004A3991"/>
    <w:rsid w:val="004A6086"/>
    <w:rsid w:val="004A63F7"/>
    <w:rsid w:val="004B101C"/>
    <w:rsid w:val="004B1956"/>
    <w:rsid w:val="004B34CF"/>
    <w:rsid w:val="004B4149"/>
    <w:rsid w:val="004B4736"/>
    <w:rsid w:val="004B517A"/>
    <w:rsid w:val="004B590F"/>
    <w:rsid w:val="004C0583"/>
    <w:rsid w:val="004C511D"/>
    <w:rsid w:val="004C566B"/>
    <w:rsid w:val="004C5B2E"/>
    <w:rsid w:val="004D2B0E"/>
    <w:rsid w:val="004D68A3"/>
    <w:rsid w:val="004E03A6"/>
    <w:rsid w:val="004E0BBD"/>
    <w:rsid w:val="004E2EE5"/>
    <w:rsid w:val="004E41B9"/>
    <w:rsid w:val="004E4D0C"/>
    <w:rsid w:val="004E5E88"/>
    <w:rsid w:val="004E6706"/>
    <w:rsid w:val="004E6F1A"/>
    <w:rsid w:val="004F38BA"/>
    <w:rsid w:val="004F49E4"/>
    <w:rsid w:val="004F6545"/>
    <w:rsid w:val="00506BA2"/>
    <w:rsid w:val="00507301"/>
    <w:rsid w:val="00507E71"/>
    <w:rsid w:val="00513DBA"/>
    <w:rsid w:val="005148EE"/>
    <w:rsid w:val="00515A53"/>
    <w:rsid w:val="00516D09"/>
    <w:rsid w:val="00520E39"/>
    <w:rsid w:val="005216A0"/>
    <w:rsid w:val="00522842"/>
    <w:rsid w:val="0052524B"/>
    <w:rsid w:val="00531733"/>
    <w:rsid w:val="00536CF7"/>
    <w:rsid w:val="005402BA"/>
    <w:rsid w:val="00541848"/>
    <w:rsid w:val="005420D9"/>
    <w:rsid w:val="00545488"/>
    <w:rsid w:val="0054720A"/>
    <w:rsid w:val="00552A81"/>
    <w:rsid w:val="005548B7"/>
    <w:rsid w:val="005562B3"/>
    <w:rsid w:val="00556DDC"/>
    <w:rsid w:val="0056059A"/>
    <w:rsid w:val="00560620"/>
    <w:rsid w:val="0056094C"/>
    <w:rsid w:val="00561C3F"/>
    <w:rsid w:val="00562FFD"/>
    <w:rsid w:val="0056515C"/>
    <w:rsid w:val="00566C5B"/>
    <w:rsid w:val="00574D9F"/>
    <w:rsid w:val="0057500E"/>
    <w:rsid w:val="00575B3F"/>
    <w:rsid w:val="005761B1"/>
    <w:rsid w:val="00576C3A"/>
    <w:rsid w:val="00576E8E"/>
    <w:rsid w:val="0057747F"/>
    <w:rsid w:val="00580676"/>
    <w:rsid w:val="00582614"/>
    <w:rsid w:val="0058378F"/>
    <w:rsid w:val="00584758"/>
    <w:rsid w:val="0058539A"/>
    <w:rsid w:val="0058583F"/>
    <w:rsid w:val="00590837"/>
    <w:rsid w:val="005930F9"/>
    <w:rsid w:val="005948D8"/>
    <w:rsid w:val="005967AA"/>
    <w:rsid w:val="00597427"/>
    <w:rsid w:val="00597AFB"/>
    <w:rsid w:val="00597B95"/>
    <w:rsid w:val="00597EB2"/>
    <w:rsid w:val="005A1035"/>
    <w:rsid w:val="005A1AF4"/>
    <w:rsid w:val="005A3548"/>
    <w:rsid w:val="005A54C2"/>
    <w:rsid w:val="005A6C6D"/>
    <w:rsid w:val="005B322D"/>
    <w:rsid w:val="005B6AC3"/>
    <w:rsid w:val="005B76F9"/>
    <w:rsid w:val="005C182A"/>
    <w:rsid w:val="005C3914"/>
    <w:rsid w:val="005C6EB0"/>
    <w:rsid w:val="005D2160"/>
    <w:rsid w:val="005D23AC"/>
    <w:rsid w:val="005D4BBC"/>
    <w:rsid w:val="005D542E"/>
    <w:rsid w:val="005D795B"/>
    <w:rsid w:val="005E18D9"/>
    <w:rsid w:val="005E1C68"/>
    <w:rsid w:val="005E1C6C"/>
    <w:rsid w:val="005E2337"/>
    <w:rsid w:val="005E2669"/>
    <w:rsid w:val="005E2862"/>
    <w:rsid w:val="005E41D8"/>
    <w:rsid w:val="005E52FF"/>
    <w:rsid w:val="005F1DC0"/>
    <w:rsid w:val="005F2194"/>
    <w:rsid w:val="005F52DA"/>
    <w:rsid w:val="005F6E89"/>
    <w:rsid w:val="005F7EE3"/>
    <w:rsid w:val="00600535"/>
    <w:rsid w:val="00601221"/>
    <w:rsid w:val="00601803"/>
    <w:rsid w:val="006117EF"/>
    <w:rsid w:val="006203FC"/>
    <w:rsid w:val="00621948"/>
    <w:rsid w:val="00622DFD"/>
    <w:rsid w:val="00624436"/>
    <w:rsid w:val="0062674E"/>
    <w:rsid w:val="0062678E"/>
    <w:rsid w:val="00633343"/>
    <w:rsid w:val="00635AA5"/>
    <w:rsid w:val="00636FAE"/>
    <w:rsid w:val="0064110E"/>
    <w:rsid w:val="00641641"/>
    <w:rsid w:val="00642296"/>
    <w:rsid w:val="006443E3"/>
    <w:rsid w:val="00647B13"/>
    <w:rsid w:val="00651BBB"/>
    <w:rsid w:val="0065285D"/>
    <w:rsid w:val="006541C5"/>
    <w:rsid w:val="00654423"/>
    <w:rsid w:val="0066082A"/>
    <w:rsid w:val="0066247E"/>
    <w:rsid w:val="006625E5"/>
    <w:rsid w:val="0066610F"/>
    <w:rsid w:val="00666333"/>
    <w:rsid w:val="00667527"/>
    <w:rsid w:val="0066792E"/>
    <w:rsid w:val="00671382"/>
    <w:rsid w:val="006750F0"/>
    <w:rsid w:val="00675B18"/>
    <w:rsid w:val="006765E0"/>
    <w:rsid w:val="00676AB9"/>
    <w:rsid w:val="006776F9"/>
    <w:rsid w:val="006808EF"/>
    <w:rsid w:val="00682D2B"/>
    <w:rsid w:val="006838A6"/>
    <w:rsid w:val="00683F38"/>
    <w:rsid w:val="006851B8"/>
    <w:rsid w:val="00685C66"/>
    <w:rsid w:val="006867C1"/>
    <w:rsid w:val="00686C74"/>
    <w:rsid w:val="00690154"/>
    <w:rsid w:val="00695ABA"/>
    <w:rsid w:val="00696144"/>
    <w:rsid w:val="006976ED"/>
    <w:rsid w:val="006979A8"/>
    <w:rsid w:val="006A0741"/>
    <w:rsid w:val="006A18B3"/>
    <w:rsid w:val="006A4518"/>
    <w:rsid w:val="006A70DE"/>
    <w:rsid w:val="006A7DCB"/>
    <w:rsid w:val="006B0E86"/>
    <w:rsid w:val="006B0FC3"/>
    <w:rsid w:val="006B38EF"/>
    <w:rsid w:val="006C1014"/>
    <w:rsid w:val="006C18AB"/>
    <w:rsid w:val="006C5B3D"/>
    <w:rsid w:val="006C64EA"/>
    <w:rsid w:val="006D0892"/>
    <w:rsid w:val="006D15AC"/>
    <w:rsid w:val="006D1D28"/>
    <w:rsid w:val="006D4578"/>
    <w:rsid w:val="006D5027"/>
    <w:rsid w:val="006D6C4A"/>
    <w:rsid w:val="006D7898"/>
    <w:rsid w:val="006E0150"/>
    <w:rsid w:val="006E0A8B"/>
    <w:rsid w:val="006E149E"/>
    <w:rsid w:val="006E14E2"/>
    <w:rsid w:val="006E160A"/>
    <w:rsid w:val="006E2850"/>
    <w:rsid w:val="006E2FA1"/>
    <w:rsid w:val="006E3A31"/>
    <w:rsid w:val="006E3E91"/>
    <w:rsid w:val="006E720A"/>
    <w:rsid w:val="006F0B7B"/>
    <w:rsid w:val="006F2BC6"/>
    <w:rsid w:val="006F594E"/>
    <w:rsid w:val="006F70A6"/>
    <w:rsid w:val="00705F68"/>
    <w:rsid w:val="00706706"/>
    <w:rsid w:val="007075AC"/>
    <w:rsid w:val="00707A49"/>
    <w:rsid w:val="00707C99"/>
    <w:rsid w:val="00717284"/>
    <w:rsid w:val="00720F10"/>
    <w:rsid w:val="007244F3"/>
    <w:rsid w:val="00727F3A"/>
    <w:rsid w:val="00732391"/>
    <w:rsid w:val="0073361B"/>
    <w:rsid w:val="00737450"/>
    <w:rsid w:val="007378E4"/>
    <w:rsid w:val="00737ED9"/>
    <w:rsid w:val="00741F7D"/>
    <w:rsid w:val="0074415F"/>
    <w:rsid w:val="00746BE8"/>
    <w:rsid w:val="00747E7B"/>
    <w:rsid w:val="00753881"/>
    <w:rsid w:val="007538F0"/>
    <w:rsid w:val="00754042"/>
    <w:rsid w:val="007548C8"/>
    <w:rsid w:val="00755173"/>
    <w:rsid w:val="007557BE"/>
    <w:rsid w:val="00756BA3"/>
    <w:rsid w:val="00757167"/>
    <w:rsid w:val="00757406"/>
    <w:rsid w:val="00761B5B"/>
    <w:rsid w:val="00762812"/>
    <w:rsid w:val="007661D0"/>
    <w:rsid w:val="007734FD"/>
    <w:rsid w:val="00774BCF"/>
    <w:rsid w:val="00776911"/>
    <w:rsid w:val="00777B6C"/>
    <w:rsid w:val="00780B97"/>
    <w:rsid w:val="007822B3"/>
    <w:rsid w:val="00782C54"/>
    <w:rsid w:val="00782DE5"/>
    <w:rsid w:val="00783ADA"/>
    <w:rsid w:val="00787230"/>
    <w:rsid w:val="00792A48"/>
    <w:rsid w:val="00792CF2"/>
    <w:rsid w:val="00794F44"/>
    <w:rsid w:val="007A13DB"/>
    <w:rsid w:val="007A4D04"/>
    <w:rsid w:val="007A50F1"/>
    <w:rsid w:val="007A5171"/>
    <w:rsid w:val="007A55C5"/>
    <w:rsid w:val="007A6725"/>
    <w:rsid w:val="007A7BF5"/>
    <w:rsid w:val="007B16CB"/>
    <w:rsid w:val="007B3DA6"/>
    <w:rsid w:val="007B3FBB"/>
    <w:rsid w:val="007B49F3"/>
    <w:rsid w:val="007B6F33"/>
    <w:rsid w:val="007C0D0F"/>
    <w:rsid w:val="007C1502"/>
    <w:rsid w:val="007C1D59"/>
    <w:rsid w:val="007C36CB"/>
    <w:rsid w:val="007C4FFE"/>
    <w:rsid w:val="007C6484"/>
    <w:rsid w:val="007C6ABB"/>
    <w:rsid w:val="007C7577"/>
    <w:rsid w:val="007D05C8"/>
    <w:rsid w:val="007D0654"/>
    <w:rsid w:val="007D1962"/>
    <w:rsid w:val="007D4C22"/>
    <w:rsid w:val="007D6692"/>
    <w:rsid w:val="007E4598"/>
    <w:rsid w:val="007E63F2"/>
    <w:rsid w:val="007E6997"/>
    <w:rsid w:val="007E6E81"/>
    <w:rsid w:val="007F0DCE"/>
    <w:rsid w:val="007F1B75"/>
    <w:rsid w:val="007F508E"/>
    <w:rsid w:val="007F6F9C"/>
    <w:rsid w:val="008022D6"/>
    <w:rsid w:val="00802AB8"/>
    <w:rsid w:val="00811295"/>
    <w:rsid w:val="00811C5F"/>
    <w:rsid w:val="00812A0F"/>
    <w:rsid w:val="008207A9"/>
    <w:rsid w:val="00820EFE"/>
    <w:rsid w:val="0082282C"/>
    <w:rsid w:val="00824105"/>
    <w:rsid w:val="0082505A"/>
    <w:rsid w:val="00831F85"/>
    <w:rsid w:val="00832273"/>
    <w:rsid w:val="00832B9A"/>
    <w:rsid w:val="00834A3D"/>
    <w:rsid w:val="00834F69"/>
    <w:rsid w:val="00837502"/>
    <w:rsid w:val="008401CC"/>
    <w:rsid w:val="0084049F"/>
    <w:rsid w:val="00840E50"/>
    <w:rsid w:val="0084205F"/>
    <w:rsid w:val="0084228D"/>
    <w:rsid w:val="00842A22"/>
    <w:rsid w:val="00846614"/>
    <w:rsid w:val="008466D0"/>
    <w:rsid w:val="00852483"/>
    <w:rsid w:val="00852DF5"/>
    <w:rsid w:val="00854CA1"/>
    <w:rsid w:val="0085507A"/>
    <w:rsid w:val="00860CD1"/>
    <w:rsid w:val="00860DCD"/>
    <w:rsid w:val="008613EF"/>
    <w:rsid w:val="00861BFF"/>
    <w:rsid w:val="00862517"/>
    <w:rsid w:val="008679E1"/>
    <w:rsid w:val="00867B6E"/>
    <w:rsid w:val="00867C6A"/>
    <w:rsid w:val="008726B9"/>
    <w:rsid w:val="00872BC3"/>
    <w:rsid w:val="00872C9E"/>
    <w:rsid w:val="00873112"/>
    <w:rsid w:val="00874832"/>
    <w:rsid w:val="008754FE"/>
    <w:rsid w:val="00876938"/>
    <w:rsid w:val="00876B10"/>
    <w:rsid w:val="00881330"/>
    <w:rsid w:val="008830D6"/>
    <w:rsid w:val="008852A1"/>
    <w:rsid w:val="008901C6"/>
    <w:rsid w:val="00891E54"/>
    <w:rsid w:val="008927A6"/>
    <w:rsid w:val="00892FF3"/>
    <w:rsid w:val="00893105"/>
    <w:rsid w:val="00894F25"/>
    <w:rsid w:val="0089639F"/>
    <w:rsid w:val="008974F9"/>
    <w:rsid w:val="008A304A"/>
    <w:rsid w:val="008A324A"/>
    <w:rsid w:val="008A4221"/>
    <w:rsid w:val="008A74F6"/>
    <w:rsid w:val="008B0CBA"/>
    <w:rsid w:val="008B4264"/>
    <w:rsid w:val="008C0C44"/>
    <w:rsid w:val="008C204C"/>
    <w:rsid w:val="008C2D12"/>
    <w:rsid w:val="008C5A5B"/>
    <w:rsid w:val="008D1C2F"/>
    <w:rsid w:val="008D3137"/>
    <w:rsid w:val="008D37C4"/>
    <w:rsid w:val="008D3A46"/>
    <w:rsid w:val="008D3C28"/>
    <w:rsid w:val="008D4E45"/>
    <w:rsid w:val="008D6031"/>
    <w:rsid w:val="008D7ABB"/>
    <w:rsid w:val="008E0A5B"/>
    <w:rsid w:val="008E15C0"/>
    <w:rsid w:val="008E694E"/>
    <w:rsid w:val="008F0785"/>
    <w:rsid w:val="008F48A1"/>
    <w:rsid w:val="008F5DCA"/>
    <w:rsid w:val="008F6AAF"/>
    <w:rsid w:val="008F74D6"/>
    <w:rsid w:val="008F7E03"/>
    <w:rsid w:val="00900C42"/>
    <w:rsid w:val="00900C62"/>
    <w:rsid w:val="00902B7D"/>
    <w:rsid w:val="00902F8F"/>
    <w:rsid w:val="00903DE7"/>
    <w:rsid w:val="00905564"/>
    <w:rsid w:val="00905C89"/>
    <w:rsid w:val="00906105"/>
    <w:rsid w:val="00906D1E"/>
    <w:rsid w:val="00907DAC"/>
    <w:rsid w:val="00912159"/>
    <w:rsid w:val="00915E51"/>
    <w:rsid w:val="00916839"/>
    <w:rsid w:val="00924283"/>
    <w:rsid w:val="00930DA1"/>
    <w:rsid w:val="00932979"/>
    <w:rsid w:val="00932A92"/>
    <w:rsid w:val="0093346B"/>
    <w:rsid w:val="00933CFE"/>
    <w:rsid w:val="00935555"/>
    <w:rsid w:val="009424F1"/>
    <w:rsid w:val="00943122"/>
    <w:rsid w:val="00943EF9"/>
    <w:rsid w:val="0095004A"/>
    <w:rsid w:val="0095220B"/>
    <w:rsid w:val="00952745"/>
    <w:rsid w:val="00953E9D"/>
    <w:rsid w:val="00957344"/>
    <w:rsid w:val="009578B6"/>
    <w:rsid w:val="009612F4"/>
    <w:rsid w:val="009624F2"/>
    <w:rsid w:val="00964C54"/>
    <w:rsid w:val="0096547F"/>
    <w:rsid w:val="00965BB8"/>
    <w:rsid w:val="009669AF"/>
    <w:rsid w:val="00967679"/>
    <w:rsid w:val="00977785"/>
    <w:rsid w:val="009809BC"/>
    <w:rsid w:val="00983BAF"/>
    <w:rsid w:val="009840AC"/>
    <w:rsid w:val="0099052A"/>
    <w:rsid w:val="00990761"/>
    <w:rsid w:val="00990B30"/>
    <w:rsid w:val="00993097"/>
    <w:rsid w:val="00996321"/>
    <w:rsid w:val="00997309"/>
    <w:rsid w:val="009A0982"/>
    <w:rsid w:val="009A456E"/>
    <w:rsid w:val="009A5EBF"/>
    <w:rsid w:val="009B0B57"/>
    <w:rsid w:val="009B729F"/>
    <w:rsid w:val="009C26BB"/>
    <w:rsid w:val="009C308C"/>
    <w:rsid w:val="009D0A88"/>
    <w:rsid w:val="009D1FE5"/>
    <w:rsid w:val="009D29DF"/>
    <w:rsid w:val="009D669F"/>
    <w:rsid w:val="009D6B17"/>
    <w:rsid w:val="009D6FEA"/>
    <w:rsid w:val="009E2692"/>
    <w:rsid w:val="009E2B50"/>
    <w:rsid w:val="009E442F"/>
    <w:rsid w:val="009E47DD"/>
    <w:rsid w:val="009E7B54"/>
    <w:rsid w:val="009F01AD"/>
    <w:rsid w:val="009F0DB2"/>
    <w:rsid w:val="009F1FC9"/>
    <w:rsid w:val="009F2AEC"/>
    <w:rsid w:val="009F66BE"/>
    <w:rsid w:val="009F6AA2"/>
    <w:rsid w:val="009F6E2F"/>
    <w:rsid w:val="009F7E10"/>
    <w:rsid w:val="00A02B87"/>
    <w:rsid w:val="00A06B9F"/>
    <w:rsid w:val="00A06C7A"/>
    <w:rsid w:val="00A078DA"/>
    <w:rsid w:val="00A10561"/>
    <w:rsid w:val="00A13342"/>
    <w:rsid w:val="00A15230"/>
    <w:rsid w:val="00A1555C"/>
    <w:rsid w:val="00A201CE"/>
    <w:rsid w:val="00A21150"/>
    <w:rsid w:val="00A2382D"/>
    <w:rsid w:val="00A24023"/>
    <w:rsid w:val="00A24A78"/>
    <w:rsid w:val="00A25EAC"/>
    <w:rsid w:val="00A26EFC"/>
    <w:rsid w:val="00A27CB9"/>
    <w:rsid w:val="00A27DE3"/>
    <w:rsid w:val="00A320B8"/>
    <w:rsid w:val="00A32A17"/>
    <w:rsid w:val="00A33965"/>
    <w:rsid w:val="00A34E25"/>
    <w:rsid w:val="00A36790"/>
    <w:rsid w:val="00A46C7F"/>
    <w:rsid w:val="00A502BD"/>
    <w:rsid w:val="00A53445"/>
    <w:rsid w:val="00A55104"/>
    <w:rsid w:val="00A555A6"/>
    <w:rsid w:val="00A5648A"/>
    <w:rsid w:val="00A660BC"/>
    <w:rsid w:val="00A66CA0"/>
    <w:rsid w:val="00A66E27"/>
    <w:rsid w:val="00A707B6"/>
    <w:rsid w:val="00A726E6"/>
    <w:rsid w:val="00A73DD0"/>
    <w:rsid w:val="00A750B3"/>
    <w:rsid w:val="00A75FF5"/>
    <w:rsid w:val="00A8013C"/>
    <w:rsid w:val="00A80560"/>
    <w:rsid w:val="00A839B7"/>
    <w:rsid w:val="00A83D6E"/>
    <w:rsid w:val="00A852E6"/>
    <w:rsid w:val="00A864FF"/>
    <w:rsid w:val="00A86E74"/>
    <w:rsid w:val="00A900FD"/>
    <w:rsid w:val="00A91B38"/>
    <w:rsid w:val="00A92423"/>
    <w:rsid w:val="00AA038C"/>
    <w:rsid w:val="00AA211D"/>
    <w:rsid w:val="00AA31DE"/>
    <w:rsid w:val="00AA486A"/>
    <w:rsid w:val="00AA5949"/>
    <w:rsid w:val="00AB0B44"/>
    <w:rsid w:val="00AB3163"/>
    <w:rsid w:val="00AB3A3C"/>
    <w:rsid w:val="00AB3E5B"/>
    <w:rsid w:val="00AC1019"/>
    <w:rsid w:val="00AC377E"/>
    <w:rsid w:val="00AC5010"/>
    <w:rsid w:val="00AC6355"/>
    <w:rsid w:val="00AC6D81"/>
    <w:rsid w:val="00AC72A9"/>
    <w:rsid w:val="00AD1B3C"/>
    <w:rsid w:val="00AD2E04"/>
    <w:rsid w:val="00AD3C2D"/>
    <w:rsid w:val="00AD48E7"/>
    <w:rsid w:val="00AD53F9"/>
    <w:rsid w:val="00AD5CB9"/>
    <w:rsid w:val="00AD7621"/>
    <w:rsid w:val="00AD777E"/>
    <w:rsid w:val="00AD7B0F"/>
    <w:rsid w:val="00AE052D"/>
    <w:rsid w:val="00AE143F"/>
    <w:rsid w:val="00AE34CA"/>
    <w:rsid w:val="00AE6AEA"/>
    <w:rsid w:val="00AF2694"/>
    <w:rsid w:val="00AF3BFE"/>
    <w:rsid w:val="00AF5739"/>
    <w:rsid w:val="00AF6B2C"/>
    <w:rsid w:val="00AF7B35"/>
    <w:rsid w:val="00B045F9"/>
    <w:rsid w:val="00B05306"/>
    <w:rsid w:val="00B10ABF"/>
    <w:rsid w:val="00B10C5D"/>
    <w:rsid w:val="00B10DA3"/>
    <w:rsid w:val="00B12034"/>
    <w:rsid w:val="00B13344"/>
    <w:rsid w:val="00B1355B"/>
    <w:rsid w:val="00B13CB8"/>
    <w:rsid w:val="00B14413"/>
    <w:rsid w:val="00B15CA2"/>
    <w:rsid w:val="00B17610"/>
    <w:rsid w:val="00B24EC5"/>
    <w:rsid w:val="00B275BD"/>
    <w:rsid w:val="00B31564"/>
    <w:rsid w:val="00B322A7"/>
    <w:rsid w:val="00B354BD"/>
    <w:rsid w:val="00B355E4"/>
    <w:rsid w:val="00B410B5"/>
    <w:rsid w:val="00B41C2C"/>
    <w:rsid w:val="00B4219A"/>
    <w:rsid w:val="00B434E3"/>
    <w:rsid w:val="00B44209"/>
    <w:rsid w:val="00B44857"/>
    <w:rsid w:val="00B45066"/>
    <w:rsid w:val="00B45707"/>
    <w:rsid w:val="00B4704B"/>
    <w:rsid w:val="00B52905"/>
    <w:rsid w:val="00B572A4"/>
    <w:rsid w:val="00B6202B"/>
    <w:rsid w:val="00B63BFD"/>
    <w:rsid w:val="00B6464F"/>
    <w:rsid w:val="00B70087"/>
    <w:rsid w:val="00B72AF4"/>
    <w:rsid w:val="00B746C5"/>
    <w:rsid w:val="00B74D6B"/>
    <w:rsid w:val="00B80A42"/>
    <w:rsid w:val="00B80D6A"/>
    <w:rsid w:val="00B80F79"/>
    <w:rsid w:val="00B83CF0"/>
    <w:rsid w:val="00B8474E"/>
    <w:rsid w:val="00B84EDC"/>
    <w:rsid w:val="00B862B6"/>
    <w:rsid w:val="00B8632E"/>
    <w:rsid w:val="00B87579"/>
    <w:rsid w:val="00B912C6"/>
    <w:rsid w:val="00BA15E2"/>
    <w:rsid w:val="00BA4BF7"/>
    <w:rsid w:val="00BA4D42"/>
    <w:rsid w:val="00BB2016"/>
    <w:rsid w:val="00BB4D12"/>
    <w:rsid w:val="00BB5681"/>
    <w:rsid w:val="00BC5E01"/>
    <w:rsid w:val="00BC5F7C"/>
    <w:rsid w:val="00BC78D1"/>
    <w:rsid w:val="00BC7B16"/>
    <w:rsid w:val="00BC7EEE"/>
    <w:rsid w:val="00BD4CA4"/>
    <w:rsid w:val="00BD594F"/>
    <w:rsid w:val="00BE13AE"/>
    <w:rsid w:val="00BE39DB"/>
    <w:rsid w:val="00BE4E5E"/>
    <w:rsid w:val="00BE782A"/>
    <w:rsid w:val="00BE7954"/>
    <w:rsid w:val="00BF25D1"/>
    <w:rsid w:val="00BF2DC8"/>
    <w:rsid w:val="00BF3A15"/>
    <w:rsid w:val="00BF4934"/>
    <w:rsid w:val="00BF4D4D"/>
    <w:rsid w:val="00BF751D"/>
    <w:rsid w:val="00BF7B07"/>
    <w:rsid w:val="00C02835"/>
    <w:rsid w:val="00C029CB"/>
    <w:rsid w:val="00C03467"/>
    <w:rsid w:val="00C044E7"/>
    <w:rsid w:val="00C05D3A"/>
    <w:rsid w:val="00C0763E"/>
    <w:rsid w:val="00C10EFB"/>
    <w:rsid w:val="00C122BF"/>
    <w:rsid w:val="00C126FF"/>
    <w:rsid w:val="00C12CFD"/>
    <w:rsid w:val="00C132D4"/>
    <w:rsid w:val="00C138CA"/>
    <w:rsid w:val="00C16438"/>
    <w:rsid w:val="00C20059"/>
    <w:rsid w:val="00C22CCA"/>
    <w:rsid w:val="00C23CD5"/>
    <w:rsid w:val="00C37FEA"/>
    <w:rsid w:val="00C40D8B"/>
    <w:rsid w:val="00C4153D"/>
    <w:rsid w:val="00C42A6E"/>
    <w:rsid w:val="00C4355D"/>
    <w:rsid w:val="00C442A6"/>
    <w:rsid w:val="00C44442"/>
    <w:rsid w:val="00C456F4"/>
    <w:rsid w:val="00C45B2C"/>
    <w:rsid w:val="00C52F5F"/>
    <w:rsid w:val="00C55D00"/>
    <w:rsid w:val="00C62CE8"/>
    <w:rsid w:val="00C64EDB"/>
    <w:rsid w:val="00C6588F"/>
    <w:rsid w:val="00C6641E"/>
    <w:rsid w:val="00C667E5"/>
    <w:rsid w:val="00C667F6"/>
    <w:rsid w:val="00C67675"/>
    <w:rsid w:val="00C72C83"/>
    <w:rsid w:val="00C73977"/>
    <w:rsid w:val="00C73E12"/>
    <w:rsid w:val="00C75606"/>
    <w:rsid w:val="00C762E5"/>
    <w:rsid w:val="00C802D5"/>
    <w:rsid w:val="00C8035C"/>
    <w:rsid w:val="00C80560"/>
    <w:rsid w:val="00C812C8"/>
    <w:rsid w:val="00C81EDF"/>
    <w:rsid w:val="00C8690D"/>
    <w:rsid w:val="00C87144"/>
    <w:rsid w:val="00CA101A"/>
    <w:rsid w:val="00CA155A"/>
    <w:rsid w:val="00CA1F95"/>
    <w:rsid w:val="00CA2B88"/>
    <w:rsid w:val="00CA3115"/>
    <w:rsid w:val="00CA74C2"/>
    <w:rsid w:val="00CA790E"/>
    <w:rsid w:val="00CB29BE"/>
    <w:rsid w:val="00CC1905"/>
    <w:rsid w:val="00CC1D71"/>
    <w:rsid w:val="00CC2C54"/>
    <w:rsid w:val="00CC344C"/>
    <w:rsid w:val="00CC49FD"/>
    <w:rsid w:val="00CC64E5"/>
    <w:rsid w:val="00CC6633"/>
    <w:rsid w:val="00CD1D82"/>
    <w:rsid w:val="00CD24A2"/>
    <w:rsid w:val="00CD2ECF"/>
    <w:rsid w:val="00CD33D6"/>
    <w:rsid w:val="00CD3817"/>
    <w:rsid w:val="00CD4167"/>
    <w:rsid w:val="00CD4998"/>
    <w:rsid w:val="00CD4AA4"/>
    <w:rsid w:val="00CD4C03"/>
    <w:rsid w:val="00CD516C"/>
    <w:rsid w:val="00CD5BDB"/>
    <w:rsid w:val="00CD7885"/>
    <w:rsid w:val="00CE1A98"/>
    <w:rsid w:val="00CE3A93"/>
    <w:rsid w:val="00CE3D2A"/>
    <w:rsid w:val="00CE5AE9"/>
    <w:rsid w:val="00CE6920"/>
    <w:rsid w:val="00CE7B95"/>
    <w:rsid w:val="00CF1D77"/>
    <w:rsid w:val="00CF3BDF"/>
    <w:rsid w:val="00CF551D"/>
    <w:rsid w:val="00CF58AF"/>
    <w:rsid w:val="00D010EB"/>
    <w:rsid w:val="00D012D1"/>
    <w:rsid w:val="00D01EA8"/>
    <w:rsid w:val="00D01F4A"/>
    <w:rsid w:val="00D02572"/>
    <w:rsid w:val="00D02CFC"/>
    <w:rsid w:val="00D031AF"/>
    <w:rsid w:val="00D049C6"/>
    <w:rsid w:val="00D057E7"/>
    <w:rsid w:val="00D0643F"/>
    <w:rsid w:val="00D0664F"/>
    <w:rsid w:val="00D074D6"/>
    <w:rsid w:val="00D076B5"/>
    <w:rsid w:val="00D1154B"/>
    <w:rsid w:val="00D1204F"/>
    <w:rsid w:val="00D127D3"/>
    <w:rsid w:val="00D12B1D"/>
    <w:rsid w:val="00D13067"/>
    <w:rsid w:val="00D15BBF"/>
    <w:rsid w:val="00D16ADA"/>
    <w:rsid w:val="00D2033E"/>
    <w:rsid w:val="00D214F3"/>
    <w:rsid w:val="00D238A6"/>
    <w:rsid w:val="00D24D98"/>
    <w:rsid w:val="00D2696D"/>
    <w:rsid w:val="00D301A0"/>
    <w:rsid w:val="00D3234F"/>
    <w:rsid w:val="00D33917"/>
    <w:rsid w:val="00D35FDA"/>
    <w:rsid w:val="00D36289"/>
    <w:rsid w:val="00D4026E"/>
    <w:rsid w:val="00D419D9"/>
    <w:rsid w:val="00D478BF"/>
    <w:rsid w:val="00D5062C"/>
    <w:rsid w:val="00D51253"/>
    <w:rsid w:val="00D51551"/>
    <w:rsid w:val="00D55BF6"/>
    <w:rsid w:val="00D56890"/>
    <w:rsid w:val="00D56B61"/>
    <w:rsid w:val="00D60634"/>
    <w:rsid w:val="00D62BC2"/>
    <w:rsid w:val="00D64BA8"/>
    <w:rsid w:val="00D64C12"/>
    <w:rsid w:val="00D651C3"/>
    <w:rsid w:val="00D6633F"/>
    <w:rsid w:val="00D70F16"/>
    <w:rsid w:val="00D7729E"/>
    <w:rsid w:val="00D84308"/>
    <w:rsid w:val="00D85268"/>
    <w:rsid w:val="00D85A91"/>
    <w:rsid w:val="00D85A9C"/>
    <w:rsid w:val="00D85CB2"/>
    <w:rsid w:val="00D85F23"/>
    <w:rsid w:val="00D871C0"/>
    <w:rsid w:val="00D87ECC"/>
    <w:rsid w:val="00D909D7"/>
    <w:rsid w:val="00D93203"/>
    <w:rsid w:val="00D9538C"/>
    <w:rsid w:val="00DA1A68"/>
    <w:rsid w:val="00DA2792"/>
    <w:rsid w:val="00DA36DD"/>
    <w:rsid w:val="00DA3D97"/>
    <w:rsid w:val="00DA4B44"/>
    <w:rsid w:val="00DA5902"/>
    <w:rsid w:val="00DA70FC"/>
    <w:rsid w:val="00DB1B73"/>
    <w:rsid w:val="00DB57C6"/>
    <w:rsid w:val="00DC125F"/>
    <w:rsid w:val="00DC1D88"/>
    <w:rsid w:val="00DC6EE3"/>
    <w:rsid w:val="00DD125B"/>
    <w:rsid w:val="00DD3EC5"/>
    <w:rsid w:val="00DD4417"/>
    <w:rsid w:val="00DD4B2D"/>
    <w:rsid w:val="00DE058C"/>
    <w:rsid w:val="00DE438F"/>
    <w:rsid w:val="00DF0A21"/>
    <w:rsid w:val="00DF1AA0"/>
    <w:rsid w:val="00DF2AC2"/>
    <w:rsid w:val="00DF3BCB"/>
    <w:rsid w:val="00DF43BB"/>
    <w:rsid w:val="00DF65DA"/>
    <w:rsid w:val="00E01A29"/>
    <w:rsid w:val="00E02434"/>
    <w:rsid w:val="00E03577"/>
    <w:rsid w:val="00E03C15"/>
    <w:rsid w:val="00E0413A"/>
    <w:rsid w:val="00E064E3"/>
    <w:rsid w:val="00E06D2F"/>
    <w:rsid w:val="00E14C1C"/>
    <w:rsid w:val="00E20BA3"/>
    <w:rsid w:val="00E20D07"/>
    <w:rsid w:val="00E22BB9"/>
    <w:rsid w:val="00E23D3D"/>
    <w:rsid w:val="00E24B8F"/>
    <w:rsid w:val="00E25035"/>
    <w:rsid w:val="00E2659E"/>
    <w:rsid w:val="00E300E6"/>
    <w:rsid w:val="00E3104A"/>
    <w:rsid w:val="00E315A0"/>
    <w:rsid w:val="00E3196B"/>
    <w:rsid w:val="00E339E0"/>
    <w:rsid w:val="00E3416D"/>
    <w:rsid w:val="00E34E75"/>
    <w:rsid w:val="00E359F2"/>
    <w:rsid w:val="00E421E4"/>
    <w:rsid w:val="00E44E76"/>
    <w:rsid w:val="00E4556D"/>
    <w:rsid w:val="00E50903"/>
    <w:rsid w:val="00E512D0"/>
    <w:rsid w:val="00E517CF"/>
    <w:rsid w:val="00E55307"/>
    <w:rsid w:val="00E55F00"/>
    <w:rsid w:val="00E56EFC"/>
    <w:rsid w:val="00E57513"/>
    <w:rsid w:val="00E576AA"/>
    <w:rsid w:val="00E57A0A"/>
    <w:rsid w:val="00E57C44"/>
    <w:rsid w:val="00E61C82"/>
    <w:rsid w:val="00E66B53"/>
    <w:rsid w:val="00E70CB3"/>
    <w:rsid w:val="00E715B7"/>
    <w:rsid w:val="00E724F0"/>
    <w:rsid w:val="00E735B8"/>
    <w:rsid w:val="00E754D2"/>
    <w:rsid w:val="00E757B3"/>
    <w:rsid w:val="00E819FF"/>
    <w:rsid w:val="00E84295"/>
    <w:rsid w:val="00E8555F"/>
    <w:rsid w:val="00E861DB"/>
    <w:rsid w:val="00E86763"/>
    <w:rsid w:val="00E91008"/>
    <w:rsid w:val="00E92D3C"/>
    <w:rsid w:val="00E95AF2"/>
    <w:rsid w:val="00EA046D"/>
    <w:rsid w:val="00EA0FB3"/>
    <w:rsid w:val="00EA20FB"/>
    <w:rsid w:val="00EA3F29"/>
    <w:rsid w:val="00EA40DB"/>
    <w:rsid w:val="00EA68D0"/>
    <w:rsid w:val="00EA7435"/>
    <w:rsid w:val="00EA7F1F"/>
    <w:rsid w:val="00EB093F"/>
    <w:rsid w:val="00EB741E"/>
    <w:rsid w:val="00EC3F40"/>
    <w:rsid w:val="00EC458B"/>
    <w:rsid w:val="00EC47E0"/>
    <w:rsid w:val="00EC5744"/>
    <w:rsid w:val="00EC7F3C"/>
    <w:rsid w:val="00ED0005"/>
    <w:rsid w:val="00ED0F00"/>
    <w:rsid w:val="00ED15C4"/>
    <w:rsid w:val="00ED17B8"/>
    <w:rsid w:val="00ED1F52"/>
    <w:rsid w:val="00ED30B1"/>
    <w:rsid w:val="00ED3423"/>
    <w:rsid w:val="00ED427D"/>
    <w:rsid w:val="00ED53AC"/>
    <w:rsid w:val="00EE171B"/>
    <w:rsid w:val="00EE2B23"/>
    <w:rsid w:val="00EE3C68"/>
    <w:rsid w:val="00EE5311"/>
    <w:rsid w:val="00EE54BE"/>
    <w:rsid w:val="00EF17CD"/>
    <w:rsid w:val="00EF28C3"/>
    <w:rsid w:val="00EF37A2"/>
    <w:rsid w:val="00EF4B35"/>
    <w:rsid w:val="00EF57A6"/>
    <w:rsid w:val="00EF5C01"/>
    <w:rsid w:val="00EF6DE2"/>
    <w:rsid w:val="00F00089"/>
    <w:rsid w:val="00F000E8"/>
    <w:rsid w:val="00F02FB9"/>
    <w:rsid w:val="00F050DB"/>
    <w:rsid w:val="00F0626A"/>
    <w:rsid w:val="00F1489D"/>
    <w:rsid w:val="00F14DA7"/>
    <w:rsid w:val="00F2022C"/>
    <w:rsid w:val="00F22440"/>
    <w:rsid w:val="00F22FA7"/>
    <w:rsid w:val="00F23C19"/>
    <w:rsid w:val="00F2502B"/>
    <w:rsid w:val="00F316DA"/>
    <w:rsid w:val="00F32EFC"/>
    <w:rsid w:val="00F32FF7"/>
    <w:rsid w:val="00F33767"/>
    <w:rsid w:val="00F34D66"/>
    <w:rsid w:val="00F40B0B"/>
    <w:rsid w:val="00F445BF"/>
    <w:rsid w:val="00F47908"/>
    <w:rsid w:val="00F47B54"/>
    <w:rsid w:val="00F50C46"/>
    <w:rsid w:val="00F535D5"/>
    <w:rsid w:val="00F54C01"/>
    <w:rsid w:val="00F54C99"/>
    <w:rsid w:val="00F55B17"/>
    <w:rsid w:val="00F5773C"/>
    <w:rsid w:val="00F578E6"/>
    <w:rsid w:val="00F57C93"/>
    <w:rsid w:val="00F6198D"/>
    <w:rsid w:val="00F6232F"/>
    <w:rsid w:val="00F648C4"/>
    <w:rsid w:val="00F64D77"/>
    <w:rsid w:val="00F657A4"/>
    <w:rsid w:val="00F65AF6"/>
    <w:rsid w:val="00F66BD6"/>
    <w:rsid w:val="00F713DA"/>
    <w:rsid w:val="00F72ACF"/>
    <w:rsid w:val="00F730D6"/>
    <w:rsid w:val="00F73EA5"/>
    <w:rsid w:val="00F750D3"/>
    <w:rsid w:val="00F75E45"/>
    <w:rsid w:val="00F77665"/>
    <w:rsid w:val="00F77966"/>
    <w:rsid w:val="00F80DB5"/>
    <w:rsid w:val="00F84CC9"/>
    <w:rsid w:val="00F86C0F"/>
    <w:rsid w:val="00F90DDB"/>
    <w:rsid w:val="00F926ED"/>
    <w:rsid w:val="00F9342E"/>
    <w:rsid w:val="00F959E4"/>
    <w:rsid w:val="00F95DB0"/>
    <w:rsid w:val="00F96113"/>
    <w:rsid w:val="00FA094D"/>
    <w:rsid w:val="00FA12F6"/>
    <w:rsid w:val="00FA1E1D"/>
    <w:rsid w:val="00FA27A7"/>
    <w:rsid w:val="00FA36A4"/>
    <w:rsid w:val="00FA4989"/>
    <w:rsid w:val="00FA4A03"/>
    <w:rsid w:val="00FB290C"/>
    <w:rsid w:val="00FB3941"/>
    <w:rsid w:val="00FB4100"/>
    <w:rsid w:val="00FB53B7"/>
    <w:rsid w:val="00FB5933"/>
    <w:rsid w:val="00FB68A1"/>
    <w:rsid w:val="00FB6D12"/>
    <w:rsid w:val="00FC0EB2"/>
    <w:rsid w:val="00FC1558"/>
    <w:rsid w:val="00FC264E"/>
    <w:rsid w:val="00FC485E"/>
    <w:rsid w:val="00FC6877"/>
    <w:rsid w:val="00FC7C23"/>
    <w:rsid w:val="00FD0A5F"/>
    <w:rsid w:val="00FD14F0"/>
    <w:rsid w:val="00FD261B"/>
    <w:rsid w:val="00FD37DC"/>
    <w:rsid w:val="00FD65F4"/>
    <w:rsid w:val="00FE0293"/>
    <w:rsid w:val="00FE1652"/>
    <w:rsid w:val="00FE3739"/>
    <w:rsid w:val="00FE4D82"/>
    <w:rsid w:val="00FF00CD"/>
    <w:rsid w:val="00FF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BA3"/>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6BA3"/>
    <w:pPr>
      <w:tabs>
        <w:tab w:val="center" w:pos="4320"/>
        <w:tab w:val="right" w:pos="8640"/>
      </w:tabs>
    </w:pPr>
  </w:style>
  <w:style w:type="paragraph" w:styleId="Footer">
    <w:name w:val="footer"/>
    <w:basedOn w:val="Normal"/>
    <w:rsid w:val="00756BA3"/>
    <w:pPr>
      <w:tabs>
        <w:tab w:val="center" w:pos="4320"/>
        <w:tab w:val="right" w:pos="8640"/>
      </w:tabs>
    </w:pPr>
  </w:style>
  <w:style w:type="character" w:styleId="PageNumber">
    <w:name w:val="page number"/>
    <w:basedOn w:val="DefaultParagraphFont"/>
    <w:rsid w:val="00756BA3"/>
  </w:style>
  <w:style w:type="paragraph" w:styleId="FootnoteText">
    <w:name w:val="footnote text"/>
    <w:basedOn w:val="Normal"/>
    <w:semiHidden/>
    <w:rsid w:val="00756BA3"/>
    <w:rPr>
      <w:sz w:val="20"/>
    </w:rPr>
  </w:style>
  <w:style w:type="character" w:styleId="FootnoteReference">
    <w:name w:val="footnote reference"/>
    <w:basedOn w:val="DefaultParagraphFont"/>
    <w:semiHidden/>
    <w:rsid w:val="00756BA3"/>
    <w:rPr>
      <w:vertAlign w:val="superscript"/>
    </w:rPr>
  </w:style>
  <w:style w:type="paragraph" w:styleId="BalloonText">
    <w:name w:val="Balloon Text"/>
    <w:basedOn w:val="Normal"/>
    <w:semiHidden/>
    <w:rsid w:val="0008061B"/>
    <w:rPr>
      <w:rFonts w:ascii="Tahoma" w:hAnsi="Tahoma" w:cs="Tahoma"/>
      <w:sz w:val="16"/>
      <w:szCs w:val="16"/>
    </w:rPr>
  </w:style>
  <w:style w:type="paragraph" w:styleId="ListParagraph">
    <w:name w:val="List Paragraph"/>
    <w:basedOn w:val="Normal"/>
    <w:uiPriority w:val="34"/>
    <w:qFormat/>
    <w:rsid w:val="00393F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BA3"/>
    <w:rPr>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6BA3"/>
    <w:pPr>
      <w:tabs>
        <w:tab w:val="center" w:pos="4320"/>
        <w:tab w:val="right" w:pos="8640"/>
      </w:tabs>
    </w:pPr>
  </w:style>
  <w:style w:type="paragraph" w:styleId="Footer">
    <w:name w:val="footer"/>
    <w:basedOn w:val="Normal"/>
    <w:rsid w:val="00756BA3"/>
    <w:pPr>
      <w:tabs>
        <w:tab w:val="center" w:pos="4320"/>
        <w:tab w:val="right" w:pos="8640"/>
      </w:tabs>
    </w:pPr>
  </w:style>
  <w:style w:type="character" w:styleId="PageNumber">
    <w:name w:val="page number"/>
    <w:basedOn w:val="DefaultParagraphFont"/>
    <w:rsid w:val="00756BA3"/>
  </w:style>
  <w:style w:type="paragraph" w:styleId="FootnoteText">
    <w:name w:val="footnote text"/>
    <w:basedOn w:val="Normal"/>
    <w:semiHidden/>
    <w:rsid w:val="00756BA3"/>
    <w:rPr>
      <w:sz w:val="20"/>
    </w:rPr>
  </w:style>
  <w:style w:type="character" w:styleId="FootnoteReference">
    <w:name w:val="footnote reference"/>
    <w:basedOn w:val="DefaultParagraphFont"/>
    <w:semiHidden/>
    <w:rsid w:val="00756BA3"/>
    <w:rPr>
      <w:vertAlign w:val="superscript"/>
    </w:rPr>
  </w:style>
  <w:style w:type="paragraph" w:styleId="BalloonText">
    <w:name w:val="Balloon Text"/>
    <w:basedOn w:val="Normal"/>
    <w:semiHidden/>
    <w:rsid w:val="0008061B"/>
    <w:rPr>
      <w:rFonts w:ascii="Tahoma" w:hAnsi="Tahoma" w:cs="Tahoma"/>
      <w:sz w:val="16"/>
      <w:szCs w:val="16"/>
    </w:rPr>
  </w:style>
  <w:style w:type="paragraph" w:styleId="ListParagraph">
    <w:name w:val="List Paragraph"/>
    <w:basedOn w:val="Normal"/>
    <w:uiPriority w:val="34"/>
    <w:qFormat/>
    <w:rsid w:val="00393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758E-9394-45CC-998E-4149E96E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Template (FUS) Order</vt:lpstr>
    </vt:vector>
  </TitlesOfParts>
  <Company>PA PUC</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(FUS) Order</dc:title>
  <dc:creator>DEICHMILLERH</dc:creator>
  <cp:lastModifiedBy>Hinds, Margaret</cp:lastModifiedBy>
  <cp:revision>30</cp:revision>
  <cp:lastPrinted>2012-05-24T15:32:00Z</cp:lastPrinted>
  <dcterms:created xsi:type="dcterms:W3CDTF">2012-05-07T19:34:00Z</dcterms:created>
  <dcterms:modified xsi:type="dcterms:W3CDTF">2012-05-24T15:32:00Z</dcterms:modified>
</cp:coreProperties>
</file>